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1AE" w:rsidRPr="00057250" w:rsidRDefault="00F771AE" w:rsidP="00F771AE">
      <w:pPr>
        <w:spacing w:line="276" w:lineRule="auto"/>
        <w:rPr>
          <w:b/>
          <w:sz w:val="28"/>
          <w:szCs w:val="28"/>
          <w:lang w:val="ro-MD" w:eastAsia="ro-RO"/>
        </w:rPr>
      </w:pPr>
    </w:p>
    <w:p w:rsidR="00F771AE" w:rsidRPr="00057250" w:rsidRDefault="00F771AE" w:rsidP="00F771AE">
      <w:pPr>
        <w:spacing w:line="276" w:lineRule="auto"/>
        <w:jc w:val="center"/>
        <w:rPr>
          <w:b/>
          <w:sz w:val="28"/>
          <w:szCs w:val="28"/>
          <w:lang w:val="ro-MD" w:eastAsia="ro-RO"/>
        </w:rPr>
      </w:pPr>
      <w:r w:rsidRPr="00057250">
        <w:rPr>
          <w:b/>
          <w:sz w:val="28"/>
          <w:szCs w:val="28"/>
          <w:lang w:val="ro-MD" w:eastAsia="ro-RO"/>
        </w:rPr>
        <w:t>NOTA INFORMATIVĂ</w:t>
      </w:r>
    </w:p>
    <w:p w:rsidR="002651AB" w:rsidRDefault="00F771AE" w:rsidP="002651AB">
      <w:pPr>
        <w:ind w:firstLine="708"/>
        <w:jc w:val="center"/>
        <w:rPr>
          <w:b/>
          <w:sz w:val="28"/>
          <w:szCs w:val="28"/>
          <w:lang w:val="ro-MD" w:eastAsia="ru-RU"/>
        </w:rPr>
      </w:pPr>
      <w:r w:rsidRPr="00057250">
        <w:rPr>
          <w:b/>
          <w:sz w:val="28"/>
          <w:szCs w:val="28"/>
          <w:lang w:val="ro-MD" w:eastAsia="ro-RO"/>
        </w:rPr>
        <w:t xml:space="preserve">la proiectul </w:t>
      </w:r>
      <w:proofErr w:type="spellStart"/>
      <w:r w:rsidRPr="00057250">
        <w:rPr>
          <w:b/>
          <w:sz w:val="28"/>
          <w:szCs w:val="28"/>
          <w:lang w:val="ro-MD" w:eastAsia="ro-RO"/>
        </w:rPr>
        <w:t>Hotărîrii</w:t>
      </w:r>
      <w:proofErr w:type="spellEnd"/>
      <w:r w:rsidRPr="00057250">
        <w:rPr>
          <w:b/>
          <w:sz w:val="28"/>
          <w:szCs w:val="28"/>
          <w:lang w:val="ro-MD" w:eastAsia="ro-RO"/>
        </w:rPr>
        <w:t xml:space="preserve"> Guvernului cu privire la </w:t>
      </w:r>
      <w:r w:rsidR="00B47E80" w:rsidRPr="00057250">
        <w:rPr>
          <w:b/>
          <w:sz w:val="28"/>
          <w:szCs w:val="28"/>
          <w:lang w:val="ro-MD" w:eastAsia="ru-RU"/>
        </w:rPr>
        <w:t xml:space="preserve">desemnarea </w:t>
      </w:r>
    </w:p>
    <w:p w:rsidR="002651AB" w:rsidRDefault="00B47E80" w:rsidP="002651AB">
      <w:pPr>
        <w:ind w:firstLine="708"/>
        <w:jc w:val="center"/>
        <w:rPr>
          <w:b/>
          <w:sz w:val="28"/>
          <w:szCs w:val="28"/>
          <w:lang w:val="ro-MD"/>
        </w:rPr>
      </w:pPr>
      <w:r w:rsidRPr="00057250">
        <w:rPr>
          <w:b/>
          <w:color w:val="000000"/>
          <w:sz w:val="28"/>
          <w:szCs w:val="28"/>
          <w:lang w:val="ro-MD"/>
        </w:rPr>
        <w:t xml:space="preserve">subiecților raporturilor juridice ai </w:t>
      </w:r>
      <w:r w:rsidRPr="00057250">
        <w:rPr>
          <w:b/>
          <w:sz w:val="28"/>
          <w:szCs w:val="28"/>
          <w:lang w:val="ro-MD"/>
        </w:rPr>
        <w:t xml:space="preserve">sistemului electronic unic </w:t>
      </w:r>
    </w:p>
    <w:p w:rsidR="00B47E80" w:rsidRPr="00057250" w:rsidRDefault="00B47E80" w:rsidP="002651AB">
      <w:pPr>
        <w:ind w:firstLine="708"/>
        <w:jc w:val="center"/>
        <w:rPr>
          <w:b/>
          <w:sz w:val="28"/>
          <w:szCs w:val="28"/>
          <w:lang w:val="ro-MD" w:eastAsia="ro-RO"/>
        </w:rPr>
      </w:pPr>
      <w:r w:rsidRPr="00057250">
        <w:rPr>
          <w:b/>
          <w:sz w:val="28"/>
          <w:szCs w:val="28"/>
          <w:lang w:val="ro-MD"/>
        </w:rPr>
        <w:t>de monitorizare de stat a jocurilor de noroc</w:t>
      </w:r>
    </w:p>
    <w:p w:rsidR="00B47E80" w:rsidRPr="00057250" w:rsidRDefault="00B47E80" w:rsidP="00B47E80">
      <w:pPr>
        <w:jc w:val="center"/>
        <w:rPr>
          <w:sz w:val="28"/>
          <w:szCs w:val="28"/>
          <w:lang w:val="ro-MD" w:eastAsia="ru-RU"/>
        </w:rPr>
      </w:pPr>
      <w:r w:rsidRPr="00057250">
        <w:rPr>
          <w:sz w:val="28"/>
          <w:szCs w:val="28"/>
          <w:lang w:val="ro-MD" w:eastAsia="ru-RU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</w:tblGrid>
      <w:tr w:rsidR="00F771AE" w:rsidRPr="00057250" w:rsidTr="00082E09">
        <w:tc>
          <w:tcPr>
            <w:tcW w:w="10258" w:type="dxa"/>
            <w:shd w:val="clear" w:color="auto" w:fill="BFBFBF"/>
            <w:vAlign w:val="center"/>
          </w:tcPr>
          <w:p w:rsidR="00F771AE" w:rsidRPr="00057250" w:rsidRDefault="00F771AE" w:rsidP="00082E09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709"/>
              <w:rPr>
                <w:b/>
                <w:sz w:val="28"/>
                <w:szCs w:val="28"/>
                <w:lang w:val="ro-MD" w:eastAsia="ro-RO"/>
              </w:rPr>
            </w:pPr>
            <w:r w:rsidRPr="00057250">
              <w:rPr>
                <w:b/>
                <w:sz w:val="28"/>
                <w:szCs w:val="28"/>
                <w:lang w:val="ro-MD"/>
              </w:rPr>
              <w:t>Condițiile ce au impus elaborarea proiectului și finalitățile urmărite</w:t>
            </w:r>
          </w:p>
        </w:tc>
      </w:tr>
      <w:tr w:rsidR="00F771AE" w:rsidRPr="00057250" w:rsidTr="00082E09">
        <w:tc>
          <w:tcPr>
            <w:tcW w:w="10258" w:type="dxa"/>
          </w:tcPr>
          <w:p w:rsidR="00F771AE" w:rsidRPr="00057250" w:rsidRDefault="00F771AE" w:rsidP="00082E09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  <w:lang w:val="ro-MD" w:eastAsia="ro-RO"/>
              </w:rPr>
            </w:pPr>
            <w:r w:rsidRPr="00057250">
              <w:rPr>
                <w:sz w:val="28"/>
                <w:szCs w:val="28"/>
                <w:lang w:val="ro-MD"/>
              </w:rPr>
              <w:t xml:space="preserve">La data de 26.05.2017 a intrat în vigoare Legea nr. 80  din  05.05.2017 pentru modificarea </w:t>
            </w:r>
            <w:proofErr w:type="spellStart"/>
            <w:r w:rsidRPr="00057250">
              <w:rPr>
                <w:sz w:val="28"/>
                <w:szCs w:val="28"/>
                <w:lang w:val="ro-MD"/>
              </w:rPr>
              <w:t>şi</w:t>
            </w:r>
            <w:proofErr w:type="spellEnd"/>
            <w:r w:rsidRPr="00057250">
              <w:rPr>
                <w:sz w:val="28"/>
                <w:szCs w:val="28"/>
                <w:lang w:val="ro-MD"/>
              </w:rPr>
              <w:t xml:space="preserve"> completarea unor acte legislative, prin care Legea nr. 291 din  16.12.2016 cu privire la organizarea </w:t>
            </w:r>
            <w:proofErr w:type="spellStart"/>
            <w:r w:rsidRPr="00057250">
              <w:rPr>
                <w:sz w:val="28"/>
                <w:szCs w:val="28"/>
                <w:lang w:val="ro-MD"/>
              </w:rPr>
              <w:t>şi</w:t>
            </w:r>
            <w:proofErr w:type="spellEnd"/>
            <w:r w:rsidRPr="00057250">
              <w:rPr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057250">
              <w:rPr>
                <w:sz w:val="28"/>
                <w:szCs w:val="28"/>
                <w:lang w:val="ro-MD"/>
              </w:rPr>
              <w:t>desfăşurarea</w:t>
            </w:r>
            <w:proofErr w:type="spellEnd"/>
            <w:r w:rsidRPr="00057250">
              <w:rPr>
                <w:sz w:val="28"/>
                <w:szCs w:val="28"/>
                <w:lang w:val="ro-MD"/>
              </w:rPr>
              <w:t xml:space="preserve"> jocurilor de noroc a fost modificată, cu transmiterea unor funcții de la Ministerul </w:t>
            </w:r>
            <w:proofErr w:type="spellStart"/>
            <w:r w:rsidRPr="00057250">
              <w:rPr>
                <w:sz w:val="28"/>
                <w:szCs w:val="28"/>
                <w:lang w:val="ro-MD"/>
              </w:rPr>
              <w:t>Finanţelor</w:t>
            </w:r>
            <w:proofErr w:type="spellEnd"/>
            <w:r w:rsidRPr="00057250">
              <w:rPr>
                <w:sz w:val="28"/>
                <w:szCs w:val="28"/>
                <w:lang w:val="ro-MD"/>
              </w:rPr>
              <w:t xml:space="preserve"> către Instituția Publică „</w:t>
            </w:r>
            <w:proofErr w:type="spellStart"/>
            <w:r w:rsidRPr="00057250">
              <w:rPr>
                <w:sz w:val="28"/>
                <w:szCs w:val="28"/>
                <w:lang w:val="ro-MD"/>
              </w:rPr>
              <w:t>Agenţia</w:t>
            </w:r>
            <w:proofErr w:type="spellEnd"/>
            <w:r w:rsidRPr="00057250">
              <w:rPr>
                <w:sz w:val="28"/>
                <w:szCs w:val="28"/>
                <w:lang w:val="ro-MD"/>
              </w:rPr>
              <w:t xml:space="preserve"> Servicii Publice”, inclusiv în domeniul administrării sistemului electronic unic de monitorizare de stat a jocurilor de noroc (în continuare – SEUMSJN).</w:t>
            </w:r>
          </w:p>
        </w:tc>
      </w:tr>
      <w:tr w:rsidR="00F771AE" w:rsidRPr="00057250" w:rsidTr="00082E09">
        <w:tc>
          <w:tcPr>
            <w:tcW w:w="10258" w:type="dxa"/>
            <w:shd w:val="clear" w:color="auto" w:fill="BFBFBF"/>
            <w:vAlign w:val="center"/>
          </w:tcPr>
          <w:p w:rsidR="00F771AE" w:rsidRPr="00057250" w:rsidRDefault="00F771AE" w:rsidP="00082E09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709"/>
              <w:rPr>
                <w:b/>
                <w:sz w:val="28"/>
                <w:szCs w:val="28"/>
                <w:lang w:val="ro-MD"/>
              </w:rPr>
            </w:pPr>
            <w:r w:rsidRPr="00057250">
              <w:rPr>
                <w:b/>
                <w:sz w:val="28"/>
                <w:szCs w:val="28"/>
                <w:lang w:val="ro-MD"/>
              </w:rPr>
              <w:t>Principalele prevederi ale proiectului</w:t>
            </w:r>
          </w:p>
        </w:tc>
      </w:tr>
      <w:tr w:rsidR="00F771AE" w:rsidRPr="00057250" w:rsidTr="00082E09">
        <w:tc>
          <w:tcPr>
            <w:tcW w:w="10258" w:type="dxa"/>
          </w:tcPr>
          <w:p w:rsidR="00057250" w:rsidRPr="00057250" w:rsidRDefault="00F771AE" w:rsidP="00057250">
            <w:pPr>
              <w:ind w:firstLine="708"/>
              <w:jc w:val="both"/>
              <w:rPr>
                <w:sz w:val="28"/>
                <w:szCs w:val="28"/>
                <w:lang w:val="ro-MD"/>
              </w:rPr>
            </w:pPr>
            <w:r w:rsidRPr="00057250">
              <w:rPr>
                <w:sz w:val="28"/>
                <w:szCs w:val="28"/>
                <w:lang w:val="ro-MD" w:eastAsia="ru-RU"/>
              </w:rPr>
              <w:t>În contextul modificărilor legislative operate, î</w:t>
            </w:r>
            <w:r w:rsidRPr="00057250">
              <w:rPr>
                <w:sz w:val="28"/>
                <w:szCs w:val="28"/>
                <w:lang w:val="ro-MD"/>
              </w:rPr>
              <w:t xml:space="preserve">n scopul urgentării creării și implementării SUEMSJN au fost convocate 2 </w:t>
            </w:r>
            <w:proofErr w:type="spellStart"/>
            <w:r w:rsidRPr="00057250">
              <w:rPr>
                <w:sz w:val="28"/>
                <w:szCs w:val="28"/>
                <w:lang w:val="ro-MD"/>
              </w:rPr>
              <w:t>şedinţe</w:t>
            </w:r>
            <w:proofErr w:type="spellEnd"/>
            <w:r w:rsidRPr="00057250">
              <w:rPr>
                <w:sz w:val="28"/>
                <w:szCs w:val="28"/>
                <w:lang w:val="ro-MD"/>
              </w:rPr>
              <w:t xml:space="preserve"> de lucru interdepartamentale cu participarea </w:t>
            </w:r>
            <w:r w:rsidRPr="00057250">
              <w:rPr>
                <w:sz w:val="28"/>
                <w:szCs w:val="28"/>
                <w:lang w:val="ro-MD" w:eastAsia="ru-RU"/>
              </w:rPr>
              <w:t xml:space="preserve">reprezentanților Ministerului Economiei </w:t>
            </w:r>
            <w:proofErr w:type="spellStart"/>
            <w:r w:rsidRPr="00057250">
              <w:rPr>
                <w:sz w:val="28"/>
                <w:szCs w:val="28"/>
                <w:lang w:val="ro-MD" w:eastAsia="ru-RU"/>
              </w:rPr>
              <w:t>şi</w:t>
            </w:r>
            <w:proofErr w:type="spellEnd"/>
            <w:r w:rsidRPr="00057250">
              <w:rPr>
                <w:sz w:val="28"/>
                <w:szCs w:val="28"/>
                <w:lang w:val="ro-MD" w:eastAsia="ru-RU"/>
              </w:rPr>
              <w:t xml:space="preserve"> Infrastructurii, Ministerului </w:t>
            </w:r>
            <w:proofErr w:type="spellStart"/>
            <w:r w:rsidRPr="00057250">
              <w:rPr>
                <w:sz w:val="28"/>
                <w:szCs w:val="28"/>
                <w:lang w:val="ro-MD" w:eastAsia="ru-RU"/>
              </w:rPr>
              <w:t>Finanţelor</w:t>
            </w:r>
            <w:proofErr w:type="spellEnd"/>
            <w:r w:rsidRPr="00057250">
              <w:rPr>
                <w:sz w:val="28"/>
                <w:szCs w:val="28"/>
                <w:lang w:val="ro-MD" w:eastAsia="ru-RU"/>
              </w:rPr>
              <w:t>, Centrului de Implementare a Reformelor, Instituției Publice „</w:t>
            </w:r>
            <w:proofErr w:type="spellStart"/>
            <w:r w:rsidRPr="00057250">
              <w:rPr>
                <w:sz w:val="28"/>
                <w:szCs w:val="28"/>
                <w:lang w:val="ro-MD" w:eastAsia="ru-RU"/>
              </w:rPr>
              <w:t>Agenţia</w:t>
            </w:r>
            <w:proofErr w:type="spellEnd"/>
            <w:r w:rsidRPr="00057250">
              <w:rPr>
                <w:sz w:val="28"/>
                <w:szCs w:val="28"/>
                <w:lang w:val="ro-MD" w:eastAsia="ru-RU"/>
              </w:rPr>
              <w:t xml:space="preserve"> Servicii Publice”, </w:t>
            </w:r>
            <w:proofErr w:type="spellStart"/>
            <w:r w:rsidRPr="00057250">
              <w:rPr>
                <w:sz w:val="28"/>
                <w:szCs w:val="28"/>
                <w:lang w:val="ro-MD" w:eastAsia="ru-RU"/>
              </w:rPr>
              <w:t>Agenţiei</w:t>
            </w:r>
            <w:proofErr w:type="spellEnd"/>
            <w:r w:rsidRPr="00057250">
              <w:rPr>
                <w:sz w:val="28"/>
                <w:szCs w:val="28"/>
                <w:lang w:val="ro-MD" w:eastAsia="ru-RU"/>
              </w:rPr>
              <w:t xml:space="preserve"> </w:t>
            </w:r>
            <w:proofErr w:type="spellStart"/>
            <w:r w:rsidRPr="00057250">
              <w:rPr>
                <w:sz w:val="28"/>
                <w:szCs w:val="28"/>
                <w:lang w:val="ro-MD" w:eastAsia="ru-RU"/>
              </w:rPr>
              <w:t>Proprietăţii</w:t>
            </w:r>
            <w:proofErr w:type="spellEnd"/>
            <w:r w:rsidRPr="00057250">
              <w:rPr>
                <w:sz w:val="28"/>
                <w:szCs w:val="28"/>
                <w:lang w:val="ro-MD" w:eastAsia="ru-RU"/>
              </w:rPr>
              <w:t xml:space="preserve"> Publice, </w:t>
            </w:r>
            <w:proofErr w:type="spellStart"/>
            <w:r w:rsidRPr="00057250">
              <w:rPr>
                <w:iCs/>
                <w:sz w:val="28"/>
                <w:szCs w:val="28"/>
                <w:lang w:val="ro-MD" w:eastAsia="ru-RU"/>
              </w:rPr>
              <w:t>Agenţiei</w:t>
            </w:r>
            <w:proofErr w:type="spellEnd"/>
            <w:r w:rsidRPr="00057250">
              <w:rPr>
                <w:iCs/>
                <w:sz w:val="28"/>
                <w:szCs w:val="28"/>
                <w:lang w:val="ro-MD" w:eastAsia="ru-RU"/>
              </w:rPr>
              <w:t xml:space="preserve"> pentru </w:t>
            </w:r>
            <w:proofErr w:type="spellStart"/>
            <w:r w:rsidRPr="00057250">
              <w:rPr>
                <w:iCs/>
                <w:sz w:val="28"/>
                <w:szCs w:val="28"/>
                <w:lang w:val="ro-MD" w:eastAsia="ru-RU"/>
              </w:rPr>
              <w:t>Protecţia</w:t>
            </w:r>
            <w:proofErr w:type="spellEnd"/>
            <w:r w:rsidRPr="00057250">
              <w:rPr>
                <w:iCs/>
                <w:sz w:val="28"/>
                <w:szCs w:val="28"/>
                <w:lang w:val="ro-MD" w:eastAsia="ru-RU"/>
              </w:rPr>
              <w:t xml:space="preserve"> Consumatorilor </w:t>
            </w:r>
            <w:proofErr w:type="spellStart"/>
            <w:r w:rsidRPr="00057250">
              <w:rPr>
                <w:iCs/>
                <w:sz w:val="28"/>
                <w:szCs w:val="28"/>
                <w:lang w:val="ro-MD" w:eastAsia="ru-RU"/>
              </w:rPr>
              <w:t>şi</w:t>
            </w:r>
            <w:proofErr w:type="spellEnd"/>
            <w:r w:rsidRPr="00057250">
              <w:rPr>
                <w:iCs/>
                <w:sz w:val="28"/>
                <w:szCs w:val="28"/>
                <w:lang w:val="ro-MD" w:eastAsia="ru-RU"/>
              </w:rPr>
              <w:t xml:space="preserve"> Supravegherea </w:t>
            </w:r>
            <w:proofErr w:type="spellStart"/>
            <w:r w:rsidRPr="00057250">
              <w:rPr>
                <w:iCs/>
                <w:sz w:val="28"/>
                <w:szCs w:val="28"/>
                <w:lang w:val="ro-MD" w:eastAsia="ru-RU"/>
              </w:rPr>
              <w:t>Pieţei</w:t>
            </w:r>
            <w:proofErr w:type="spellEnd"/>
            <w:r w:rsidRPr="00057250">
              <w:rPr>
                <w:iCs/>
                <w:sz w:val="28"/>
                <w:szCs w:val="28"/>
                <w:lang w:val="ro-MD" w:eastAsia="ru-RU"/>
              </w:rPr>
              <w:t>,</w:t>
            </w:r>
            <w:r w:rsidRPr="00057250">
              <w:rPr>
                <w:sz w:val="28"/>
                <w:szCs w:val="28"/>
                <w:lang w:val="ro-MD" w:eastAsia="ru-RU"/>
              </w:rPr>
              <w:t xml:space="preserve"> S.A. „Loteria </w:t>
            </w:r>
            <w:proofErr w:type="spellStart"/>
            <w:r w:rsidRPr="00057250">
              <w:rPr>
                <w:sz w:val="28"/>
                <w:szCs w:val="28"/>
                <w:lang w:val="ro-MD" w:eastAsia="ru-RU"/>
              </w:rPr>
              <w:t>Naţională</w:t>
            </w:r>
            <w:proofErr w:type="spellEnd"/>
            <w:r w:rsidRPr="00057250">
              <w:rPr>
                <w:sz w:val="28"/>
                <w:szCs w:val="28"/>
                <w:lang w:val="ro-MD" w:eastAsia="ru-RU"/>
              </w:rPr>
              <w:t xml:space="preserve"> a Moldovei”, precum și a companiilor „</w:t>
            </w:r>
            <w:proofErr w:type="spellStart"/>
            <w:r w:rsidRPr="00057250">
              <w:rPr>
                <w:sz w:val="28"/>
                <w:szCs w:val="28"/>
                <w:lang w:val="ro-MD" w:eastAsia="ru-RU"/>
              </w:rPr>
              <w:t>Novo</w:t>
            </w:r>
            <w:proofErr w:type="spellEnd"/>
            <w:r w:rsidRPr="00057250">
              <w:rPr>
                <w:sz w:val="28"/>
                <w:szCs w:val="28"/>
                <w:lang w:val="ro-MD" w:eastAsia="ru-RU"/>
              </w:rPr>
              <w:t xml:space="preserve"> Investment MLD” S.R.L. și „NGM Company” S.R.L.</w:t>
            </w:r>
            <w:r w:rsidRPr="00057250">
              <w:rPr>
                <w:sz w:val="28"/>
                <w:szCs w:val="28"/>
                <w:lang w:val="ro-MD"/>
              </w:rPr>
              <w:t xml:space="preserve">  În cadrul acestor ședințe au fost identificate </w:t>
            </w:r>
            <w:proofErr w:type="spellStart"/>
            <w:r w:rsidRPr="00057250">
              <w:rPr>
                <w:sz w:val="28"/>
                <w:szCs w:val="28"/>
                <w:lang w:val="ro-MD"/>
              </w:rPr>
              <w:t>acţiunile</w:t>
            </w:r>
            <w:proofErr w:type="spellEnd"/>
            <w:r w:rsidRPr="00057250">
              <w:rPr>
                <w:sz w:val="28"/>
                <w:szCs w:val="28"/>
                <w:lang w:val="ro-MD"/>
              </w:rPr>
              <w:t>, care urmează a fi întreprinse de către toate autoritățile responsabile implicate în acest proces. Totodată, mersul executării Legii nr. 291 din 16.12.2016 a fost audiat în cadrul ședinței Comisiei parlamentare economie, buget și finanțe.</w:t>
            </w:r>
          </w:p>
          <w:p w:rsidR="00F771AE" w:rsidRPr="00057250" w:rsidRDefault="00F771AE" w:rsidP="00082E09">
            <w:pPr>
              <w:ind w:firstLine="708"/>
              <w:jc w:val="both"/>
              <w:rPr>
                <w:sz w:val="28"/>
                <w:szCs w:val="28"/>
                <w:lang w:val="ro-MD"/>
              </w:rPr>
            </w:pPr>
            <w:r w:rsidRPr="00057250">
              <w:rPr>
                <w:sz w:val="28"/>
                <w:szCs w:val="28"/>
                <w:lang w:val="ro-MD"/>
              </w:rPr>
              <w:t xml:space="preserve">În acest sens, proiectul de </w:t>
            </w:r>
            <w:proofErr w:type="spellStart"/>
            <w:r w:rsidRPr="00057250">
              <w:rPr>
                <w:sz w:val="28"/>
                <w:szCs w:val="28"/>
                <w:lang w:val="ro-MD"/>
              </w:rPr>
              <w:t>hotărîre</w:t>
            </w:r>
            <w:proofErr w:type="spellEnd"/>
            <w:r w:rsidRPr="00057250">
              <w:rPr>
                <w:sz w:val="28"/>
                <w:szCs w:val="28"/>
                <w:lang w:val="ro-MD"/>
              </w:rPr>
              <w:t xml:space="preserve"> stabilește autoritățile/instituțiile publice, care</w:t>
            </w:r>
            <w:r w:rsidR="00571105" w:rsidRPr="00057250">
              <w:rPr>
                <w:sz w:val="28"/>
                <w:szCs w:val="28"/>
                <w:lang w:val="ro-MD"/>
              </w:rPr>
              <w:t xml:space="preserve"> vor avea calitatea de posesor și </w:t>
            </w:r>
            <w:r w:rsidRPr="00057250">
              <w:rPr>
                <w:sz w:val="28"/>
                <w:szCs w:val="28"/>
                <w:lang w:val="ro-MD"/>
              </w:rPr>
              <w:t xml:space="preserve">deținător </w:t>
            </w:r>
            <w:r w:rsidR="00571105" w:rsidRPr="00057250">
              <w:rPr>
                <w:sz w:val="28"/>
                <w:szCs w:val="28"/>
                <w:lang w:val="ro-MD"/>
              </w:rPr>
              <w:t xml:space="preserve">al </w:t>
            </w:r>
            <w:r w:rsidRPr="00057250">
              <w:rPr>
                <w:sz w:val="28"/>
                <w:szCs w:val="28"/>
                <w:lang w:val="ro-MD"/>
              </w:rPr>
              <w:t>sistemului electronic unic de monitorizare de stat a jocurilor de noroc.</w:t>
            </w:r>
          </w:p>
          <w:p w:rsidR="00F771AE" w:rsidRPr="00057250" w:rsidRDefault="00F771AE" w:rsidP="00082E09">
            <w:pPr>
              <w:ind w:firstLine="708"/>
              <w:jc w:val="both"/>
              <w:rPr>
                <w:sz w:val="28"/>
                <w:szCs w:val="28"/>
                <w:lang w:val="ro-MD"/>
              </w:rPr>
            </w:pPr>
            <w:r w:rsidRPr="00057250">
              <w:rPr>
                <w:sz w:val="28"/>
                <w:szCs w:val="28"/>
                <w:lang w:val="ro-MD"/>
              </w:rPr>
              <w:t xml:space="preserve">Astfel, proiectul prevede că calitatea de posesor al SEUMSJN o </w:t>
            </w:r>
            <w:r w:rsidR="00571105" w:rsidRPr="00057250">
              <w:rPr>
                <w:sz w:val="28"/>
                <w:szCs w:val="28"/>
                <w:lang w:val="ro-MD"/>
              </w:rPr>
              <w:t xml:space="preserve">va </w:t>
            </w:r>
            <w:r w:rsidRPr="00057250">
              <w:rPr>
                <w:sz w:val="28"/>
                <w:szCs w:val="28"/>
                <w:lang w:val="ro-MD"/>
              </w:rPr>
              <w:t>deține Ministe</w:t>
            </w:r>
            <w:r w:rsidR="00571105" w:rsidRPr="00057250">
              <w:rPr>
                <w:sz w:val="28"/>
                <w:szCs w:val="28"/>
                <w:lang w:val="ro-MD"/>
              </w:rPr>
              <w:t>rul Finanțelor</w:t>
            </w:r>
            <w:r w:rsidRPr="00057250">
              <w:rPr>
                <w:sz w:val="28"/>
                <w:szCs w:val="28"/>
                <w:lang w:val="ro-MD"/>
              </w:rPr>
              <w:t>.</w:t>
            </w:r>
          </w:p>
          <w:p w:rsidR="00571105" w:rsidRDefault="00F771AE" w:rsidP="00571105">
            <w:pPr>
              <w:ind w:firstLine="708"/>
              <w:jc w:val="both"/>
              <w:rPr>
                <w:sz w:val="28"/>
                <w:szCs w:val="28"/>
                <w:lang w:val="ro-MD"/>
              </w:rPr>
            </w:pPr>
            <w:r w:rsidRPr="00057250">
              <w:rPr>
                <w:sz w:val="28"/>
                <w:szCs w:val="28"/>
                <w:lang w:val="ro-MD"/>
              </w:rPr>
              <w:t xml:space="preserve">Calitatea de deținător se atribuie Agenției Servicii Publice, deoarece potrivit art.5 alin.(2) </w:t>
            </w:r>
            <w:proofErr w:type="spellStart"/>
            <w:r w:rsidRPr="00057250">
              <w:rPr>
                <w:sz w:val="28"/>
                <w:szCs w:val="28"/>
                <w:lang w:val="ro-MD"/>
              </w:rPr>
              <w:t>lit.k</w:t>
            </w:r>
            <w:proofErr w:type="spellEnd"/>
            <w:r w:rsidRPr="00057250">
              <w:rPr>
                <w:sz w:val="28"/>
                <w:szCs w:val="28"/>
                <w:lang w:val="ro-MD"/>
              </w:rPr>
              <w:t xml:space="preserve">) din Legea nr.291 din 16.12.2016 cu privire la organizarea </w:t>
            </w:r>
            <w:proofErr w:type="spellStart"/>
            <w:r w:rsidRPr="00057250">
              <w:rPr>
                <w:sz w:val="28"/>
                <w:szCs w:val="28"/>
                <w:lang w:val="ro-MD"/>
              </w:rPr>
              <w:t>şi</w:t>
            </w:r>
            <w:proofErr w:type="spellEnd"/>
            <w:r w:rsidRPr="00057250">
              <w:rPr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057250">
              <w:rPr>
                <w:sz w:val="28"/>
                <w:szCs w:val="28"/>
                <w:lang w:val="ro-MD"/>
              </w:rPr>
              <w:t>desfăşurarea</w:t>
            </w:r>
            <w:proofErr w:type="spellEnd"/>
            <w:r w:rsidRPr="00057250">
              <w:rPr>
                <w:sz w:val="28"/>
                <w:szCs w:val="28"/>
                <w:lang w:val="ro-MD"/>
              </w:rPr>
              <w:t xml:space="preserve"> jocurilor de noroc, Agenția administrează sistemul electronic unic de monitorizare de stat a jocurilor de noroc.</w:t>
            </w:r>
          </w:p>
          <w:p w:rsidR="00822A59" w:rsidRPr="00057250" w:rsidRDefault="00822A59" w:rsidP="00571105">
            <w:pPr>
              <w:ind w:firstLine="708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Destinatarii sistemului vor fi prevăzuți în Regulamentul privind ținerea SEUMSJN.</w:t>
            </w:r>
            <w:bookmarkStart w:id="0" w:name="_GoBack"/>
            <w:bookmarkEnd w:id="0"/>
            <w:r>
              <w:rPr>
                <w:sz w:val="28"/>
                <w:szCs w:val="28"/>
                <w:lang w:val="ro-MD"/>
              </w:rPr>
              <w:t xml:space="preserve"> </w:t>
            </w:r>
          </w:p>
          <w:p w:rsidR="00F771AE" w:rsidRPr="00057250" w:rsidRDefault="00571105" w:rsidP="00571105">
            <w:pPr>
              <w:tabs>
                <w:tab w:val="left" w:pos="709"/>
                <w:tab w:val="left" w:pos="851"/>
                <w:tab w:val="left" w:pos="993"/>
              </w:tabs>
              <w:ind w:firstLine="567"/>
              <w:jc w:val="both"/>
              <w:rPr>
                <w:rStyle w:val="docheader"/>
                <w:bCs/>
                <w:color w:val="000000"/>
                <w:sz w:val="28"/>
                <w:szCs w:val="28"/>
                <w:lang w:val="ro-MD"/>
              </w:rPr>
            </w:pPr>
            <w:r w:rsidRPr="00057250">
              <w:rPr>
                <w:sz w:val="28"/>
                <w:szCs w:val="28"/>
                <w:lang w:val="ro-MD"/>
              </w:rPr>
              <w:t xml:space="preserve">Totodată, proiectul prevede că Ministerul Finanțelor și Instituția publică ”Agenția Servicii Publice” </w:t>
            </w:r>
            <w:r w:rsidRPr="00057250">
              <w:rPr>
                <w:sz w:val="28"/>
                <w:szCs w:val="28"/>
                <w:lang w:val="ro-MD"/>
              </w:rPr>
              <w:t xml:space="preserve">vor elabora și prezenta spre aprobare Guvernului proiectul Conceptului tehnic al </w:t>
            </w:r>
            <w:r w:rsidRPr="00057250">
              <w:rPr>
                <w:sz w:val="28"/>
                <w:szCs w:val="28"/>
                <w:lang w:val="ro-MD"/>
              </w:rPr>
              <w:t xml:space="preserve">SEUMSJN și a </w:t>
            </w:r>
            <w:r w:rsidRPr="00057250">
              <w:rPr>
                <w:rStyle w:val="docheader"/>
                <w:bCs/>
                <w:color w:val="000000"/>
                <w:sz w:val="28"/>
                <w:szCs w:val="28"/>
                <w:lang w:val="ro-MD"/>
              </w:rPr>
              <w:t>Regulamentului privind ținerea acestui sistem.</w:t>
            </w:r>
          </w:p>
          <w:p w:rsidR="00057250" w:rsidRPr="00057250" w:rsidRDefault="00057250" w:rsidP="00057250">
            <w:pPr>
              <w:pStyle w:val="a6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lang w:val="ro-MD"/>
              </w:rPr>
            </w:pPr>
            <w:r w:rsidRPr="00057250">
              <w:rPr>
                <w:rStyle w:val="docheader"/>
                <w:bCs/>
                <w:color w:val="000000"/>
                <w:sz w:val="28"/>
                <w:szCs w:val="28"/>
                <w:lang w:val="ro-MD"/>
              </w:rPr>
              <w:t xml:space="preserve">Prezentul proiect de </w:t>
            </w:r>
            <w:proofErr w:type="spellStart"/>
            <w:r w:rsidRPr="00057250">
              <w:rPr>
                <w:rStyle w:val="docheader"/>
                <w:bCs/>
                <w:color w:val="000000"/>
                <w:sz w:val="28"/>
                <w:szCs w:val="28"/>
                <w:lang w:val="ro-MD"/>
              </w:rPr>
              <w:t>hotărîre</w:t>
            </w:r>
            <w:proofErr w:type="spellEnd"/>
            <w:r w:rsidRPr="00057250">
              <w:rPr>
                <w:rStyle w:val="docheader"/>
                <w:bCs/>
                <w:color w:val="000000"/>
                <w:sz w:val="28"/>
                <w:szCs w:val="28"/>
                <w:lang w:val="ro-MD"/>
              </w:rPr>
              <w:t xml:space="preserve"> să prezintă repetat la avizare în temeiul art.32 alin.(7) din Legea nr.100 din 22 decembrie 2017 privind actele normative, potrivit căruia </w:t>
            </w:r>
            <w:r w:rsidRPr="00057250">
              <w:rPr>
                <w:sz w:val="28"/>
                <w:szCs w:val="28"/>
                <w:lang w:val="ro-MD"/>
              </w:rPr>
              <w:t xml:space="preserve">dacă, în urma avizării </w:t>
            </w:r>
            <w:proofErr w:type="spellStart"/>
            <w:r w:rsidRPr="00057250">
              <w:rPr>
                <w:sz w:val="28"/>
                <w:szCs w:val="28"/>
                <w:lang w:val="ro-MD"/>
              </w:rPr>
              <w:t>şi</w:t>
            </w:r>
            <w:proofErr w:type="spellEnd"/>
            <w:r w:rsidRPr="00057250">
              <w:rPr>
                <w:sz w:val="28"/>
                <w:szCs w:val="28"/>
                <w:lang w:val="ro-MD"/>
              </w:rPr>
              <w:t xml:space="preserve"> consultării publice, proiectul actului normativ a fost completat cu aspecte </w:t>
            </w:r>
            <w:proofErr w:type="spellStart"/>
            <w:r w:rsidRPr="00057250">
              <w:rPr>
                <w:sz w:val="28"/>
                <w:szCs w:val="28"/>
                <w:lang w:val="ro-MD"/>
              </w:rPr>
              <w:t>şi</w:t>
            </w:r>
            <w:proofErr w:type="spellEnd"/>
            <w:r w:rsidRPr="00057250">
              <w:rPr>
                <w:sz w:val="28"/>
                <w:szCs w:val="28"/>
                <w:lang w:val="ro-MD"/>
              </w:rPr>
              <w:t xml:space="preserve"> concepte noi sau dacă mai mult de 30% din textul </w:t>
            </w:r>
            <w:r w:rsidRPr="00057250">
              <w:rPr>
                <w:sz w:val="28"/>
                <w:szCs w:val="28"/>
                <w:lang w:val="ro-MD"/>
              </w:rPr>
              <w:lastRenderedPageBreak/>
              <w:t xml:space="preserve">proiectului actului normativ a fost modificat, acesta trebuie remis repetat spre avizare </w:t>
            </w:r>
            <w:proofErr w:type="spellStart"/>
            <w:r w:rsidRPr="00057250">
              <w:rPr>
                <w:sz w:val="28"/>
                <w:szCs w:val="28"/>
                <w:lang w:val="ro-MD"/>
              </w:rPr>
              <w:t>şi</w:t>
            </w:r>
            <w:proofErr w:type="spellEnd"/>
            <w:r w:rsidRPr="00057250">
              <w:rPr>
                <w:sz w:val="28"/>
                <w:szCs w:val="28"/>
                <w:lang w:val="ro-MD"/>
              </w:rPr>
              <w:t xml:space="preserve"> consultare publică.</w:t>
            </w:r>
          </w:p>
        </w:tc>
      </w:tr>
      <w:tr w:rsidR="00F771AE" w:rsidRPr="00057250" w:rsidTr="00082E09">
        <w:tc>
          <w:tcPr>
            <w:tcW w:w="10258" w:type="dxa"/>
            <w:shd w:val="clear" w:color="auto" w:fill="BFBFBF"/>
          </w:tcPr>
          <w:p w:rsidR="00F771AE" w:rsidRPr="00057250" w:rsidRDefault="00F771AE" w:rsidP="00082E09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709"/>
              <w:rPr>
                <w:b/>
                <w:sz w:val="28"/>
                <w:szCs w:val="28"/>
                <w:lang w:val="ro-MD"/>
              </w:rPr>
            </w:pPr>
            <w:r w:rsidRPr="00057250">
              <w:rPr>
                <w:b/>
                <w:sz w:val="28"/>
                <w:szCs w:val="28"/>
                <w:lang w:val="ro-MD"/>
              </w:rPr>
              <w:lastRenderedPageBreak/>
              <w:t>Descrierea gradului de compatibilitate a prevederilor proiectului cu legislația Uniunii Europene</w:t>
            </w:r>
          </w:p>
        </w:tc>
      </w:tr>
      <w:tr w:rsidR="00F771AE" w:rsidRPr="00057250" w:rsidTr="00082E09">
        <w:tc>
          <w:tcPr>
            <w:tcW w:w="10258" w:type="dxa"/>
          </w:tcPr>
          <w:p w:rsidR="00F771AE" w:rsidRPr="00057250" w:rsidRDefault="00F771AE" w:rsidP="00082E09">
            <w:pPr>
              <w:spacing w:line="276" w:lineRule="auto"/>
              <w:ind w:firstLine="709"/>
              <w:jc w:val="both"/>
              <w:rPr>
                <w:sz w:val="28"/>
                <w:szCs w:val="28"/>
                <w:lang w:val="ro-MD" w:eastAsia="ru-RU"/>
              </w:rPr>
            </w:pPr>
            <w:r w:rsidRPr="00057250">
              <w:rPr>
                <w:sz w:val="28"/>
                <w:szCs w:val="28"/>
                <w:lang w:val="ro-MD" w:eastAsia="ru-RU"/>
              </w:rPr>
              <w:t>Prezentul proiect de act normativ nu contravine legislației Uniunii Europene.</w:t>
            </w:r>
          </w:p>
        </w:tc>
      </w:tr>
      <w:tr w:rsidR="00F771AE" w:rsidRPr="00057250" w:rsidTr="00082E09">
        <w:tc>
          <w:tcPr>
            <w:tcW w:w="10258" w:type="dxa"/>
            <w:shd w:val="clear" w:color="auto" w:fill="BFBFBF"/>
            <w:vAlign w:val="center"/>
          </w:tcPr>
          <w:p w:rsidR="00F771AE" w:rsidRPr="00057250" w:rsidRDefault="00F771AE" w:rsidP="00082E09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709"/>
              <w:rPr>
                <w:sz w:val="28"/>
                <w:szCs w:val="28"/>
                <w:lang w:val="ro-MD"/>
              </w:rPr>
            </w:pPr>
            <w:r w:rsidRPr="00057250">
              <w:rPr>
                <w:b/>
                <w:sz w:val="28"/>
                <w:szCs w:val="28"/>
                <w:lang w:val="ro-MD"/>
              </w:rPr>
              <w:t xml:space="preserve">Fundamentarea </w:t>
            </w:r>
            <w:proofErr w:type="spellStart"/>
            <w:r w:rsidRPr="00057250">
              <w:rPr>
                <w:b/>
                <w:sz w:val="28"/>
                <w:szCs w:val="28"/>
                <w:lang w:val="ro-MD"/>
              </w:rPr>
              <w:t>economico</w:t>
            </w:r>
            <w:proofErr w:type="spellEnd"/>
            <w:r w:rsidRPr="00057250">
              <w:rPr>
                <w:b/>
                <w:sz w:val="28"/>
                <w:szCs w:val="28"/>
                <w:lang w:val="ro-MD"/>
              </w:rPr>
              <w:t>-financiară</w:t>
            </w:r>
          </w:p>
        </w:tc>
      </w:tr>
      <w:tr w:rsidR="00F771AE" w:rsidRPr="00057250" w:rsidTr="00082E09">
        <w:tc>
          <w:tcPr>
            <w:tcW w:w="10258" w:type="dxa"/>
          </w:tcPr>
          <w:p w:rsidR="00F771AE" w:rsidRPr="00057250" w:rsidRDefault="00F771AE" w:rsidP="00082E09">
            <w:pPr>
              <w:spacing w:line="276" w:lineRule="auto"/>
              <w:ind w:firstLine="709"/>
              <w:jc w:val="both"/>
              <w:rPr>
                <w:sz w:val="28"/>
                <w:szCs w:val="28"/>
                <w:lang w:val="ro-MD" w:eastAsia="ru-RU"/>
              </w:rPr>
            </w:pPr>
            <w:r w:rsidRPr="00057250">
              <w:rPr>
                <w:color w:val="000000"/>
                <w:sz w:val="28"/>
                <w:szCs w:val="28"/>
                <w:lang w:val="ro-MD" w:eastAsia="ro-RO"/>
              </w:rPr>
              <w:t xml:space="preserve">Aprobarea prezentului proiect de </w:t>
            </w:r>
            <w:proofErr w:type="spellStart"/>
            <w:r w:rsidRPr="00057250">
              <w:rPr>
                <w:color w:val="000000"/>
                <w:sz w:val="28"/>
                <w:szCs w:val="28"/>
                <w:lang w:val="ro-MD" w:eastAsia="ro-RO"/>
              </w:rPr>
              <w:t>hotărîre</w:t>
            </w:r>
            <w:proofErr w:type="spellEnd"/>
            <w:r w:rsidRPr="00057250">
              <w:rPr>
                <w:color w:val="000000"/>
                <w:sz w:val="28"/>
                <w:szCs w:val="28"/>
                <w:lang w:val="ro-MD" w:eastAsia="ro-RO"/>
              </w:rPr>
              <w:t xml:space="preserve"> nu implică cheltuieli bugetare suplimentare.</w:t>
            </w:r>
          </w:p>
        </w:tc>
      </w:tr>
      <w:tr w:rsidR="00F771AE" w:rsidRPr="00057250" w:rsidTr="00082E09">
        <w:tc>
          <w:tcPr>
            <w:tcW w:w="10258" w:type="dxa"/>
            <w:shd w:val="clear" w:color="auto" w:fill="BFBFBF"/>
            <w:vAlign w:val="center"/>
          </w:tcPr>
          <w:p w:rsidR="00F771AE" w:rsidRPr="00057250" w:rsidRDefault="00F771AE" w:rsidP="00082E09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709"/>
              <w:rPr>
                <w:b/>
                <w:sz w:val="28"/>
                <w:szCs w:val="28"/>
                <w:lang w:val="ro-MD"/>
              </w:rPr>
            </w:pPr>
            <w:r w:rsidRPr="00057250">
              <w:rPr>
                <w:b/>
                <w:sz w:val="28"/>
                <w:szCs w:val="28"/>
                <w:lang w:val="ro-MD"/>
              </w:rPr>
              <w:t>Transparența decizională</w:t>
            </w:r>
          </w:p>
        </w:tc>
      </w:tr>
      <w:tr w:rsidR="00F771AE" w:rsidRPr="00057250" w:rsidTr="00082E09">
        <w:tc>
          <w:tcPr>
            <w:tcW w:w="10258" w:type="dxa"/>
          </w:tcPr>
          <w:p w:rsidR="00F771AE" w:rsidRPr="00057250" w:rsidRDefault="00F771AE" w:rsidP="00082E09">
            <w:pPr>
              <w:ind w:firstLine="709"/>
              <w:jc w:val="both"/>
              <w:rPr>
                <w:i/>
                <w:sz w:val="28"/>
                <w:szCs w:val="28"/>
                <w:lang w:val="ro-MD" w:eastAsia="ru-RU"/>
              </w:rPr>
            </w:pPr>
            <w:r w:rsidRPr="00057250">
              <w:rPr>
                <w:sz w:val="28"/>
                <w:szCs w:val="28"/>
                <w:lang w:val="ro-MD" w:eastAsia="ru-RU"/>
              </w:rPr>
              <w:t xml:space="preserve">În scopul respectării prevederilor Legii nr. 239 din 13 noiembrie 2008 privind transparența în procesul decizional, proiectul Hotărârii de Guvern a fost plasat pe pagina </w:t>
            </w:r>
            <w:hyperlink r:id="rId5" w:history="1">
              <w:r w:rsidRPr="00057250">
                <w:rPr>
                  <w:rStyle w:val="a5"/>
                  <w:sz w:val="28"/>
                  <w:szCs w:val="28"/>
                  <w:lang w:val="ro-MD" w:eastAsia="ru-RU"/>
                </w:rPr>
                <w:t>www.particip.gov.md</w:t>
              </w:r>
            </w:hyperlink>
            <w:r w:rsidRPr="00057250">
              <w:rPr>
                <w:sz w:val="28"/>
                <w:szCs w:val="28"/>
                <w:lang w:val="ro-MD" w:eastAsia="ru-RU"/>
              </w:rPr>
              <w:t xml:space="preserve"> și pagina web oficială a Ministerului Finanțelor www.mf.gov.md, compartimentul </w:t>
            </w:r>
            <w:r w:rsidRPr="00057250">
              <w:rPr>
                <w:i/>
                <w:sz w:val="28"/>
                <w:szCs w:val="28"/>
                <w:lang w:val="ro-MD" w:eastAsia="ru-RU"/>
              </w:rPr>
              <w:t xml:space="preserve">Transparența decizională, </w:t>
            </w:r>
            <w:r w:rsidRPr="00057250">
              <w:rPr>
                <w:sz w:val="28"/>
                <w:szCs w:val="28"/>
                <w:lang w:val="ro-MD" w:eastAsia="ru-RU"/>
              </w:rPr>
              <w:t xml:space="preserve">directoriul </w:t>
            </w:r>
            <w:r w:rsidRPr="00057250">
              <w:rPr>
                <w:i/>
                <w:sz w:val="28"/>
                <w:szCs w:val="28"/>
                <w:lang w:val="ro-MD" w:eastAsia="ru-RU"/>
              </w:rPr>
              <w:t>Procesul decizional.</w:t>
            </w:r>
          </w:p>
        </w:tc>
      </w:tr>
    </w:tbl>
    <w:p w:rsidR="00F771AE" w:rsidRPr="00057250" w:rsidRDefault="00F771AE" w:rsidP="00F771AE">
      <w:pPr>
        <w:spacing w:line="276" w:lineRule="auto"/>
        <w:ind w:firstLine="567"/>
        <w:jc w:val="both"/>
        <w:rPr>
          <w:b/>
          <w:sz w:val="28"/>
          <w:szCs w:val="28"/>
          <w:lang w:val="ro-MD" w:eastAsia="ru-RU"/>
        </w:rPr>
      </w:pPr>
    </w:p>
    <w:p w:rsidR="00F771AE" w:rsidRPr="00057250" w:rsidRDefault="00F771AE" w:rsidP="00F771AE">
      <w:pPr>
        <w:spacing w:line="276" w:lineRule="auto"/>
        <w:ind w:firstLine="567"/>
        <w:jc w:val="both"/>
        <w:rPr>
          <w:b/>
          <w:sz w:val="28"/>
          <w:szCs w:val="28"/>
          <w:lang w:val="ro-MD" w:eastAsia="ru-RU"/>
        </w:rPr>
      </w:pPr>
    </w:p>
    <w:p w:rsidR="00F771AE" w:rsidRPr="00057250" w:rsidRDefault="00F771AE" w:rsidP="00F771AE">
      <w:pPr>
        <w:spacing w:line="276" w:lineRule="auto"/>
        <w:jc w:val="both"/>
        <w:rPr>
          <w:b/>
          <w:sz w:val="28"/>
          <w:szCs w:val="28"/>
          <w:lang w:val="ro-MD" w:eastAsia="ru-RU"/>
        </w:rPr>
      </w:pPr>
    </w:p>
    <w:p w:rsidR="00F771AE" w:rsidRPr="00057250" w:rsidRDefault="00F771AE" w:rsidP="00F771AE">
      <w:pPr>
        <w:spacing w:line="276" w:lineRule="auto"/>
        <w:ind w:firstLine="567"/>
        <w:jc w:val="both"/>
        <w:rPr>
          <w:b/>
          <w:sz w:val="28"/>
          <w:szCs w:val="28"/>
          <w:lang w:val="ro-MD" w:eastAsia="ru-RU"/>
        </w:rPr>
      </w:pPr>
    </w:p>
    <w:p w:rsidR="00F771AE" w:rsidRPr="00057250" w:rsidRDefault="00F771AE" w:rsidP="00F771AE">
      <w:pPr>
        <w:jc w:val="center"/>
        <w:rPr>
          <w:lang w:val="ro-MD"/>
        </w:rPr>
      </w:pPr>
      <w:r w:rsidRPr="00057250">
        <w:rPr>
          <w:b/>
          <w:sz w:val="28"/>
          <w:szCs w:val="28"/>
          <w:lang w:val="ro-MD" w:eastAsia="ru-RU"/>
        </w:rPr>
        <w:t xml:space="preserve">Secretar de Stat            </w:t>
      </w:r>
      <w:r w:rsidR="00F46E03">
        <w:rPr>
          <w:b/>
          <w:sz w:val="28"/>
          <w:szCs w:val="28"/>
          <w:lang w:val="ro-MD" w:eastAsia="ru-RU"/>
        </w:rPr>
        <w:t xml:space="preserve">                          </w:t>
      </w:r>
      <w:r w:rsidRPr="00057250">
        <w:rPr>
          <w:b/>
          <w:sz w:val="28"/>
          <w:szCs w:val="28"/>
          <w:lang w:val="ro-MD" w:eastAsia="ru-RU"/>
        </w:rPr>
        <w:t xml:space="preserve">                                          Viorica Pricop</w:t>
      </w:r>
    </w:p>
    <w:p w:rsidR="00183B5C" w:rsidRPr="00057250" w:rsidRDefault="00183B5C">
      <w:pPr>
        <w:rPr>
          <w:lang w:val="ro-MD"/>
        </w:rPr>
      </w:pPr>
    </w:p>
    <w:sectPr w:rsidR="00183B5C" w:rsidRPr="00057250" w:rsidSect="00A6474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46EFA"/>
    <w:multiLevelType w:val="hybridMultilevel"/>
    <w:tmpl w:val="B532E068"/>
    <w:lvl w:ilvl="0" w:tplc="AC06FC6C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62"/>
    <w:rsid w:val="00057250"/>
    <w:rsid w:val="00183B5C"/>
    <w:rsid w:val="002651AB"/>
    <w:rsid w:val="003D1A62"/>
    <w:rsid w:val="0042405B"/>
    <w:rsid w:val="00571105"/>
    <w:rsid w:val="00822A59"/>
    <w:rsid w:val="00B47E80"/>
    <w:rsid w:val="00F46E03"/>
    <w:rsid w:val="00F7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7686A"/>
  <w15:chartTrackingRefBased/>
  <w15:docId w15:val="{89773C68-1A92-4405-A5AE-B8D75629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771AE"/>
    <w:pPr>
      <w:ind w:left="720"/>
      <w:contextualSpacing/>
    </w:pPr>
    <w:rPr>
      <w:szCs w:val="20"/>
      <w:lang w:val="en-US" w:eastAsia="ru-RU"/>
    </w:rPr>
  </w:style>
  <w:style w:type="character" w:customStyle="1" w:styleId="a4">
    <w:name w:val="Абзац списка Знак"/>
    <w:link w:val="a3"/>
    <w:uiPriority w:val="99"/>
    <w:locked/>
    <w:rsid w:val="00F771A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F771AE"/>
    <w:rPr>
      <w:rFonts w:cs="Times New Roman"/>
      <w:color w:val="0000FF"/>
      <w:u w:val="single"/>
    </w:rPr>
  </w:style>
  <w:style w:type="character" w:customStyle="1" w:styleId="docheader">
    <w:name w:val="doc_header"/>
    <w:basedOn w:val="a0"/>
    <w:rsid w:val="00571105"/>
  </w:style>
  <w:style w:type="paragraph" w:styleId="a6">
    <w:name w:val="Normal (Web)"/>
    <w:basedOn w:val="a"/>
    <w:uiPriority w:val="99"/>
    <w:unhideWhenUsed/>
    <w:rsid w:val="00057250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3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rticip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Balan</dc:creator>
  <cp:keywords/>
  <dc:description/>
  <cp:lastModifiedBy>Andrei Balan</cp:lastModifiedBy>
  <cp:revision>8</cp:revision>
  <dcterms:created xsi:type="dcterms:W3CDTF">2018-08-24T10:52:00Z</dcterms:created>
  <dcterms:modified xsi:type="dcterms:W3CDTF">2018-08-24T12:44:00Z</dcterms:modified>
</cp:coreProperties>
</file>