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28" w:rsidRPr="001D4791" w:rsidRDefault="000C7828" w:rsidP="000C7828">
      <w:pPr>
        <w:spacing w:after="0"/>
        <w:rPr>
          <w:rFonts w:ascii="Times New Roman" w:hAnsi="Times New Roman" w:cs="Times New Roman"/>
          <w:sz w:val="24"/>
          <w:szCs w:val="24"/>
        </w:rPr>
      </w:pPr>
      <w:bookmarkStart w:id="0" w:name="_GoBack"/>
    </w:p>
    <w:p w:rsidR="000C7828" w:rsidRPr="001D4791" w:rsidRDefault="000C7828" w:rsidP="000C7828">
      <w:pPr>
        <w:spacing w:after="0"/>
        <w:rPr>
          <w:rFonts w:ascii="Times New Roman" w:hAnsi="Times New Roman" w:cs="Times New Roman"/>
          <w:sz w:val="24"/>
          <w:szCs w:val="24"/>
        </w:rPr>
      </w:pPr>
    </w:p>
    <w:p w:rsidR="000C7828" w:rsidRPr="001D4791" w:rsidRDefault="000C7828" w:rsidP="000C7828">
      <w:pPr>
        <w:spacing w:after="0"/>
        <w:rPr>
          <w:rFonts w:ascii="Times New Roman" w:hAnsi="Times New Roman" w:cs="Times New Roman"/>
          <w:b/>
          <w:sz w:val="24"/>
          <w:szCs w:val="24"/>
        </w:rPr>
      </w:pPr>
      <w:r w:rsidRPr="001D4791">
        <w:rPr>
          <w:rFonts w:ascii="Times New Roman" w:hAnsi="Times New Roman" w:cs="Times New Roman"/>
          <w:b/>
          <w:sz w:val="24"/>
          <w:szCs w:val="24"/>
        </w:rPr>
        <w:t>Tabel de concordanţă</w:t>
      </w:r>
    </w:p>
    <w:p w:rsidR="000C7828" w:rsidRPr="001D4791" w:rsidRDefault="005F06DB" w:rsidP="000C7828">
      <w:pPr>
        <w:spacing w:after="0"/>
        <w:rPr>
          <w:rFonts w:ascii="Times New Roman" w:hAnsi="Times New Roman" w:cs="Times New Roman"/>
          <w:b/>
          <w:sz w:val="24"/>
          <w:szCs w:val="24"/>
        </w:rPr>
      </w:pPr>
      <w:r w:rsidRPr="001D4791">
        <w:rPr>
          <w:rFonts w:ascii="Times New Roman" w:eastAsia="Calibri" w:hAnsi="Times New Roman" w:cs="Times New Roman"/>
          <w:b/>
          <w:sz w:val="24"/>
          <w:szCs w:val="24"/>
          <w:lang w:eastAsia="ja-JP"/>
        </w:rPr>
        <w:t xml:space="preserve">la proiectul Hotărîrii de Guvern </w:t>
      </w:r>
      <w:r w:rsidRPr="001D4791">
        <w:rPr>
          <w:rFonts w:ascii="Times New Roman" w:eastAsia="Arial Unicode MS" w:hAnsi="Times New Roman" w:cs="Times New Roman"/>
          <w:b/>
          <w:kern w:val="3"/>
          <w:sz w:val="24"/>
          <w:szCs w:val="24"/>
        </w:rPr>
        <w:t>cu privire la aprobarea metodelor de prelevare de probe și a metodelor de analiză pentru controlul nivelurilor de dioxine, de PCB-uri de tipul dioxinelor și de PCB-uri care nu sunt de tipul dioxinelor în anumite produse alimentare</w:t>
      </w:r>
    </w:p>
    <w:tbl>
      <w:tblPr>
        <w:tblStyle w:val="a3"/>
        <w:tblpPr w:leftFromText="180" w:rightFromText="180" w:vertAnchor="text" w:tblpY="1"/>
        <w:tblOverlap w:val="never"/>
        <w:tblW w:w="0" w:type="auto"/>
        <w:tblLayout w:type="fixed"/>
        <w:tblLook w:val="04A0" w:firstRow="1" w:lastRow="0" w:firstColumn="1" w:lastColumn="0" w:noHBand="0" w:noVBand="1"/>
      </w:tblPr>
      <w:tblGrid>
        <w:gridCol w:w="3794"/>
        <w:gridCol w:w="3827"/>
        <w:gridCol w:w="1843"/>
        <w:gridCol w:w="1843"/>
        <w:gridCol w:w="1701"/>
        <w:gridCol w:w="1778"/>
      </w:tblGrid>
      <w:tr w:rsidR="000C7828" w:rsidRPr="001D4791" w:rsidTr="006534C2">
        <w:tc>
          <w:tcPr>
            <w:tcW w:w="14786" w:type="dxa"/>
            <w:gridSpan w:val="6"/>
          </w:tcPr>
          <w:p w:rsidR="00F21DF1" w:rsidRPr="001D4791" w:rsidRDefault="00F21DF1" w:rsidP="006534C2">
            <w:pPr>
              <w:spacing w:line="276" w:lineRule="auto"/>
              <w:rPr>
                <w:rFonts w:ascii="Times New Roman" w:hAnsi="Times New Roman" w:cs="Times New Roman"/>
                <w:b/>
                <w:sz w:val="24"/>
                <w:szCs w:val="24"/>
              </w:rPr>
            </w:pPr>
          </w:p>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1. Titlul actului comunitar, subiectul reglementat şi scopul acestuia</w:t>
            </w:r>
          </w:p>
          <w:p w:rsidR="006D5C5C" w:rsidRPr="001D4791" w:rsidRDefault="006D5C5C" w:rsidP="006534C2">
            <w:pPr>
              <w:spacing w:line="276" w:lineRule="auto"/>
              <w:rPr>
                <w:rFonts w:ascii="Times New Roman" w:hAnsi="Times New Roman" w:cs="Times New Roman"/>
                <w:b/>
                <w:sz w:val="24"/>
                <w:szCs w:val="24"/>
              </w:rPr>
            </w:pPr>
          </w:p>
          <w:p w:rsidR="00F63E90" w:rsidRPr="001D4791" w:rsidRDefault="00F63E90" w:rsidP="006534C2">
            <w:pPr>
              <w:spacing w:line="276" w:lineRule="auto"/>
              <w:rPr>
                <w:rFonts w:ascii="Times New Roman" w:hAnsi="Times New Roman" w:cs="Times New Roman"/>
                <w:b/>
                <w:bCs/>
                <w:sz w:val="24"/>
                <w:szCs w:val="24"/>
              </w:rPr>
            </w:pPr>
            <w:r w:rsidRPr="001D4791">
              <w:rPr>
                <w:rFonts w:ascii="Times New Roman" w:hAnsi="Times New Roman" w:cs="Times New Roman"/>
                <w:b/>
                <w:bCs/>
                <w:sz w:val="24"/>
                <w:szCs w:val="24"/>
              </w:rPr>
              <w:t>Regulamentul (UE) 2017/644 al Comisiei din 5 aprilie 2017 de stabilire a metodelor de prelevare de probe și a metodelor de analiză pentru controlul nivelurilor de dioxine, de PCB-uri de tipul dioxinelor și de PCB-uri care nu sunt de tipul dioxinelor în anumite produse alimentare și de abrogare a Regulamentului (UE) nr. 589/2014 (Text cu relevanță pentru SEE. )</w:t>
            </w:r>
            <w:r w:rsidR="006D5C5C" w:rsidRPr="001D4791">
              <w:rPr>
                <w:rFonts w:ascii="Times New Roman" w:hAnsi="Times New Roman" w:cs="Times New Roman"/>
                <w:b/>
                <w:bCs/>
                <w:sz w:val="24"/>
                <w:szCs w:val="24"/>
              </w:rPr>
              <w:t>.</w:t>
            </w:r>
          </w:p>
          <w:p w:rsidR="006D5C5C" w:rsidRPr="001D4791" w:rsidRDefault="006D5C5C" w:rsidP="006534C2">
            <w:pPr>
              <w:spacing w:line="276" w:lineRule="auto"/>
              <w:rPr>
                <w:rFonts w:ascii="Times New Roman" w:hAnsi="Times New Roman" w:cs="Times New Roman"/>
                <w:b/>
                <w:i/>
                <w:sz w:val="24"/>
                <w:szCs w:val="24"/>
              </w:rPr>
            </w:pPr>
            <w:r w:rsidRPr="001D4791">
              <w:rPr>
                <w:rFonts w:ascii="Times New Roman" w:hAnsi="Times New Roman" w:cs="Times New Roman"/>
                <w:b/>
                <w:i/>
                <w:sz w:val="24"/>
                <w:szCs w:val="24"/>
              </w:rPr>
              <w:t>Commission Regulation (EU) 2017/644 of 5 April 2017 laying down methods of sampling and analysis for the control of levels of dioxins, dioxin-like PCBs and non-dioxin-like PCBs in certain foodstuffs and repealing Regulation (EU) No 589/2014 (Text with EEA relevance. ).</w:t>
            </w:r>
          </w:p>
          <w:p w:rsidR="006D5C5C" w:rsidRPr="001D4791" w:rsidRDefault="006D5C5C" w:rsidP="006534C2">
            <w:pPr>
              <w:spacing w:line="276" w:lineRule="auto"/>
              <w:rPr>
                <w:rFonts w:ascii="Times New Roman" w:hAnsi="Times New Roman" w:cs="Times New Roman"/>
                <w:b/>
                <w:sz w:val="24"/>
                <w:szCs w:val="24"/>
              </w:rPr>
            </w:pPr>
          </w:p>
          <w:p w:rsidR="00F63E90" w:rsidRPr="001D4791" w:rsidRDefault="00F63E90"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Subiectul:</w:t>
            </w:r>
            <w:r w:rsidR="005F06DB" w:rsidRPr="001D4791">
              <w:rPr>
                <w:rFonts w:ascii="Times New Roman" w:hAnsi="Times New Roman" w:cs="Times New Roman"/>
                <w:b/>
                <w:sz w:val="24"/>
                <w:szCs w:val="24"/>
              </w:rPr>
              <w:t xml:space="preserve"> Prezentele Metode </w:t>
            </w:r>
            <w:r w:rsidR="00C52164" w:rsidRPr="001D4791">
              <w:rPr>
                <w:b/>
              </w:rPr>
              <w:t xml:space="preserve"> </w:t>
            </w:r>
            <w:r w:rsidR="00C52164" w:rsidRPr="001D4791">
              <w:rPr>
                <w:rFonts w:ascii="Times New Roman" w:hAnsi="Times New Roman" w:cs="Times New Roman"/>
                <w:b/>
                <w:sz w:val="24"/>
                <w:szCs w:val="24"/>
              </w:rPr>
              <w:t>se referă numai la prelevarea de probe și la analizarea dioxinelor, a PCB-urilor de tipul dioxinelor și a PCB-urilor care nu sunt de tipul dioxinelor în vederea punerii în aplicare a Regulamentului (CE) nr. 1881/2006 și a Recomandării 2013/711/UE.</w:t>
            </w:r>
          </w:p>
          <w:p w:rsidR="00F63E90" w:rsidRPr="001D4791" w:rsidRDefault="00F63E90" w:rsidP="006534C2">
            <w:pPr>
              <w:spacing w:line="276" w:lineRule="auto"/>
              <w:rPr>
                <w:rFonts w:ascii="Times New Roman" w:hAnsi="Times New Roman" w:cs="Times New Roman"/>
                <w:b/>
                <w:sz w:val="24"/>
                <w:szCs w:val="24"/>
              </w:rPr>
            </w:pPr>
            <w:r w:rsidRPr="001D4791">
              <w:rPr>
                <w:rFonts w:ascii="Times New Roman" w:hAnsi="Times New Roman" w:cs="Times New Roman"/>
                <w:b/>
                <w:i/>
                <w:sz w:val="24"/>
                <w:szCs w:val="24"/>
              </w:rPr>
              <w:t>The subject:</w:t>
            </w:r>
            <w:r w:rsidR="00C52164" w:rsidRPr="001D4791">
              <w:rPr>
                <w:i/>
              </w:rPr>
              <w:t xml:space="preserve"> </w:t>
            </w:r>
            <w:r w:rsidR="005F06DB" w:rsidRPr="001D4791">
              <w:rPr>
                <w:rFonts w:ascii="Times New Roman" w:hAnsi="Times New Roman" w:cs="Times New Roman"/>
                <w:b/>
                <w:sz w:val="24"/>
                <w:szCs w:val="24"/>
              </w:rPr>
              <w:t>These Methods only refer to the sampling and analysis of dioxins, dioxin-like PCBs and non-dioxin-like PCBs for the implementation of Regulation (EC) 1881/2006 and Recommendation 2013/711 / EU.</w:t>
            </w:r>
          </w:p>
          <w:p w:rsidR="006D5C5C" w:rsidRPr="001D4791" w:rsidRDefault="006D5C5C" w:rsidP="006534C2">
            <w:pPr>
              <w:spacing w:line="276" w:lineRule="auto"/>
              <w:rPr>
                <w:rFonts w:ascii="Times New Roman" w:hAnsi="Times New Roman" w:cs="Times New Roman"/>
                <w:b/>
                <w:sz w:val="24"/>
                <w:szCs w:val="24"/>
              </w:rPr>
            </w:pPr>
          </w:p>
          <w:p w:rsidR="00C52164" w:rsidRPr="001D4791" w:rsidRDefault="00C52164" w:rsidP="006534C2">
            <w:pPr>
              <w:rPr>
                <w:rFonts w:ascii="Times New Roman" w:hAnsi="Times New Roman" w:cs="Times New Roman"/>
                <w:b/>
                <w:sz w:val="24"/>
                <w:szCs w:val="24"/>
              </w:rPr>
            </w:pPr>
            <w:r w:rsidRPr="001D4791">
              <w:rPr>
                <w:rFonts w:ascii="Times New Roman" w:hAnsi="Times New Roman" w:cs="Times New Roman"/>
                <w:b/>
                <w:sz w:val="24"/>
                <w:szCs w:val="24"/>
              </w:rPr>
              <w:t xml:space="preserve">Scopul: Atingerea unui nivel ridicat de protecție a vieții și a sănătății umane </w:t>
            </w:r>
          </w:p>
          <w:p w:rsidR="00F63E90" w:rsidRPr="001D4791" w:rsidRDefault="00C52164" w:rsidP="006534C2">
            <w:pPr>
              <w:spacing w:line="276" w:lineRule="auto"/>
              <w:rPr>
                <w:rFonts w:ascii="Times New Roman" w:hAnsi="Times New Roman" w:cs="Times New Roman"/>
                <w:b/>
                <w:i/>
                <w:sz w:val="24"/>
                <w:szCs w:val="24"/>
              </w:rPr>
            </w:pPr>
            <w:r w:rsidRPr="001D4791">
              <w:rPr>
                <w:rFonts w:ascii="Times New Roman" w:hAnsi="Times New Roman" w:cs="Times New Roman"/>
                <w:b/>
                <w:i/>
                <w:sz w:val="24"/>
                <w:szCs w:val="24"/>
              </w:rPr>
              <w:t>The scope: The pursuit of a high level of protection of human life and health</w:t>
            </w:r>
          </w:p>
        </w:tc>
      </w:tr>
      <w:tr w:rsidR="000C7828" w:rsidRPr="001D4791" w:rsidTr="006534C2">
        <w:tc>
          <w:tcPr>
            <w:tcW w:w="14786" w:type="dxa"/>
            <w:gridSpan w:val="6"/>
          </w:tcPr>
          <w:p w:rsidR="00F21DF1" w:rsidRPr="001D4791" w:rsidRDefault="00F21DF1" w:rsidP="006534C2">
            <w:pPr>
              <w:spacing w:line="276" w:lineRule="auto"/>
              <w:rPr>
                <w:rFonts w:ascii="Times New Roman" w:hAnsi="Times New Roman" w:cs="Times New Roman"/>
                <w:b/>
                <w:sz w:val="24"/>
                <w:szCs w:val="24"/>
              </w:rPr>
            </w:pPr>
          </w:p>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2. Titlul actului normativ naţional, subiectul reglementat şi scopul acestuia</w:t>
            </w:r>
          </w:p>
          <w:p w:rsidR="006D5C5C" w:rsidRPr="001D4791" w:rsidRDefault="006D5C5C" w:rsidP="006534C2">
            <w:pPr>
              <w:spacing w:line="276" w:lineRule="auto"/>
              <w:rPr>
                <w:rFonts w:ascii="Times New Roman" w:hAnsi="Times New Roman" w:cs="Times New Roman"/>
                <w:b/>
                <w:sz w:val="24"/>
                <w:szCs w:val="24"/>
              </w:rPr>
            </w:pPr>
          </w:p>
          <w:p w:rsidR="00F63E90" w:rsidRPr="001D4791" w:rsidRDefault="005F06DB"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Metode</w:t>
            </w:r>
            <w:r w:rsidR="006D5C5C" w:rsidRPr="001D4791">
              <w:rPr>
                <w:rFonts w:ascii="Times New Roman" w:hAnsi="Times New Roman" w:cs="Times New Roman"/>
                <w:b/>
                <w:sz w:val="24"/>
                <w:szCs w:val="24"/>
              </w:rPr>
              <w:t xml:space="preserve"> de prelevare de probe și a metode de analiză pentru controlul nivelurilor de dioxine, de PCB-uri de tipul dioxinelor și de PCB-uri care nu sunt de tipul dioxinelor în anumite produse alimentare.</w:t>
            </w:r>
          </w:p>
          <w:p w:rsidR="006D5C5C" w:rsidRPr="001D4791" w:rsidRDefault="005F06DB" w:rsidP="006534C2">
            <w:pPr>
              <w:spacing w:line="276" w:lineRule="auto"/>
              <w:rPr>
                <w:rFonts w:ascii="Times New Roman" w:hAnsi="Times New Roman" w:cs="Times New Roman"/>
                <w:b/>
                <w:i/>
                <w:sz w:val="24"/>
                <w:szCs w:val="24"/>
              </w:rPr>
            </w:pPr>
            <w:r w:rsidRPr="001D4791">
              <w:rPr>
                <w:rFonts w:ascii="Times New Roman" w:hAnsi="Times New Roman" w:cs="Times New Roman"/>
                <w:b/>
                <w:i/>
                <w:sz w:val="24"/>
                <w:szCs w:val="24"/>
              </w:rPr>
              <w:t>Methods of sampling and analysis methods for controlling levels of dioxins, dioxin-like PCBs and non-dioxin-like PCBs in certain foodstuffs.</w:t>
            </w:r>
          </w:p>
          <w:p w:rsidR="005F06DB" w:rsidRPr="001D4791" w:rsidRDefault="005F06DB" w:rsidP="006534C2">
            <w:pPr>
              <w:spacing w:line="276" w:lineRule="auto"/>
              <w:rPr>
                <w:rFonts w:ascii="Times New Roman" w:hAnsi="Times New Roman" w:cs="Times New Roman"/>
                <w:b/>
                <w:sz w:val="24"/>
                <w:szCs w:val="24"/>
              </w:rPr>
            </w:pPr>
          </w:p>
          <w:p w:rsidR="00F63E90" w:rsidRPr="001D4791" w:rsidRDefault="00F63E90"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Subiectul:</w:t>
            </w:r>
            <w:r w:rsidR="00C52164" w:rsidRPr="001D4791">
              <w:rPr>
                <w:rFonts w:ascii="Times New Roman" w:hAnsi="Times New Roman" w:cs="Times New Roman"/>
                <w:b/>
                <w:sz w:val="24"/>
                <w:szCs w:val="24"/>
              </w:rPr>
              <w:t xml:space="preserve"> Punere în aplicare a Hotărîrii de Guvern nr. 520 din 22 iunie 2010 cu privire la aprobarea Regulamentului sanitar privind </w:t>
            </w:r>
            <w:r w:rsidR="00C52164" w:rsidRPr="001D4791">
              <w:rPr>
                <w:rFonts w:ascii="Times New Roman" w:hAnsi="Times New Roman" w:cs="Times New Roman"/>
                <w:b/>
                <w:sz w:val="24"/>
                <w:szCs w:val="24"/>
              </w:rPr>
              <w:lastRenderedPageBreak/>
              <w:t xml:space="preserve">contaminanții din produsele alimentare (publicată în Monitorul Oficial al Republicii Moldova, 29 iunie 2010, nr. 108-109 art. 607)  </w:t>
            </w:r>
          </w:p>
          <w:p w:rsidR="006D5C5C" w:rsidRPr="001D4791" w:rsidRDefault="006D5C5C" w:rsidP="006534C2">
            <w:pPr>
              <w:rPr>
                <w:rFonts w:ascii="Times New Roman" w:hAnsi="Times New Roman" w:cs="Times New Roman"/>
                <w:b/>
                <w:i/>
                <w:sz w:val="24"/>
                <w:szCs w:val="24"/>
              </w:rPr>
            </w:pPr>
            <w:r w:rsidRPr="001D4791">
              <w:rPr>
                <w:rFonts w:ascii="Times New Roman" w:hAnsi="Times New Roman" w:cs="Times New Roman"/>
                <w:b/>
                <w:i/>
                <w:sz w:val="24"/>
                <w:szCs w:val="24"/>
              </w:rPr>
              <w:t>The subject:</w:t>
            </w:r>
            <w:r w:rsidR="00C52164" w:rsidRPr="001D4791">
              <w:rPr>
                <w:i/>
              </w:rPr>
              <w:t xml:space="preserve"> </w:t>
            </w:r>
            <w:r w:rsidR="00C52164" w:rsidRPr="001D4791">
              <w:rPr>
                <w:rFonts w:ascii="Times New Roman" w:hAnsi="Times New Roman" w:cs="Times New Roman"/>
                <w:b/>
                <w:i/>
                <w:sz w:val="24"/>
                <w:szCs w:val="24"/>
              </w:rPr>
              <w:t>Implementation of the Government Decision no. 520 of 22 June 2010 on the approval of the Health Regulation on contaminants in foodstuffs (published in the Official Gazette of the Republic of Moldova, June 29, 2010, No. 108-109 article 607)</w:t>
            </w:r>
          </w:p>
          <w:p w:rsidR="006D5C5C" w:rsidRPr="001D4791" w:rsidRDefault="006D5C5C" w:rsidP="006534C2">
            <w:pPr>
              <w:rPr>
                <w:rFonts w:ascii="Times New Roman" w:hAnsi="Times New Roman" w:cs="Times New Roman"/>
                <w:b/>
                <w:sz w:val="24"/>
                <w:szCs w:val="24"/>
              </w:rPr>
            </w:pPr>
          </w:p>
          <w:p w:rsidR="006D5C5C" w:rsidRPr="001D4791" w:rsidRDefault="006D5C5C" w:rsidP="006534C2">
            <w:pPr>
              <w:rPr>
                <w:rFonts w:ascii="Times New Roman" w:hAnsi="Times New Roman" w:cs="Times New Roman"/>
                <w:b/>
                <w:sz w:val="24"/>
                <w:szCs w:val="24"/>
              </w:rPr>
            </w:pPr>
            <w:r w:rsidRPr="001D4791">
              <w:rPr>
                <w:rFonts w:ascii="Times New Roman" w:hAnsi="Times New Roman" w:cs="Times New Roman"/>
                <w:b/>
                <w:sz w:val="24"/>
                <w:szCs w:val="24"/>
              </w:rPr>
              <w:t>Scopul:</w:t>
            </w:r>
            <w:r w:rsidR="00C52164" w:rsidRPr="001D4791">
              <w:rPr>
                <w:rFonts w:ascii="Times New Roman" w:hAnsi="Times New Roman" w:cs="Times New Roman"/>
                <w:b/>
                <w:sz w:val="24"/>
                <w:szCs w:val="24"/>
              </w:rPr>
              <w:t xml:space="preserve"> asigurarea inofensivității produselor alimentare, garantarea calității acestora, precum și asigurarea protecției intereselor consumatorului.</w:t>
            </w:r>
          </w:p>
          <w:p w:rsidR="006D5C5C" w:rsidRPr="001D4791" w:rsidRDefault="006D5C5C" w:rsidP="006534C2">
            <w:pPr>
              <w:spacing w:line="276" w:lineRule="auto"/>
              <w:rPr>
                <w:rFonts w:ascii="Times New Roman" w:hAnsi="Times New Roman" w:cs="Times New Roman"/>
                <w:b/>
                <w:i/>
                <w:sz w:val="24"/>
                <w:szCs w:val="24"/>
              </w:rPr>
            </w:pPr>
            <w:r w:rsidRPr="001D4791">
              <w:rPr>
                <w:rFonts w:ascii="Times New Roman" w:hAnsi="Times New Roman" w:cs="Times New Roman"/>
                <w:b/>
                <w:i/>
                <w:sz w:val="24"/>
                <w:szCs w:val="24"/>
              </w:rPr>
              <w:t>The scope:</w:t>
            </w:r>
            <w:r w:rsidR="00C52164" w:rsidRPr="001D4791">
              <w:rPr>
                <w:rFonts w:ascii="Times New Roman" w:hAnsi="Times New Roman" w:cs="Times New Roman"/>
                <w:b/>
                <w:i/>
                <w:sz w:val="24"/>
                <w:szCs w:val="24"/>
              </w:rPr>
              <w:t xml:space="preserve"> ensuring the safety of food products, guaranteeing their quality, and ensuring the protection of consumers' interests.</w:t>
            </w:r>
          </w:p>
        </w:tc>
      </w:tr>
      <w:tr w:rsidR="000C7828" w:rsidRPr="001D4791" w:rsidTr="006534C2">
        <w:tc>
          <w:tcPr>
            <w:tcW w:w="14786" w:type="dxa"/>
            <w:gridSpan w:val="6"/>
          </w:tcPr>
          <w:p w:rsidR="000C7828" w:rsidRPr="001D4791" w:rsidRDefault="000C7828" w:rsidP="006534C2">
            <w:pPr>
              <w:spacing w:line="276" w:lineRule="auto"/>
              <w:rPr>
                <w:rFonts w:ascii="Times New Roman" w:hAnsi="Times New Roman" w:cs="Times New Roman"/>
                <w:sz w:val="24"/>
                <w:szCs w:val="24"/>
              </w:rPr>
            </w:pPr>
            <w:r w:rsidRPr="001D4791">
              <w:rPr>
                <w:rFonts w:ascii="Times New Roman" w:hAnsi="Times New Roman" w:cs="Times New Roman"/>
                <w:b/>
                <w:sz w:val="24"/>
                <w:szCs w:val="24"/>
              </w:rPr>
              <w:lastRenderedPageBreak/>
              <w:t xml:space="preserve">3. Gradul de compatibilitate: </w:t>
            </w:r>
            <w:r w:rsidRPr="001D4791">
              <w:rPr>
                <w:rFonts w:ascii="Times New Roman" w:hAnsi="Times New Roman" w:cs="Times New Roman"/>
                <w:sz w:val="24"/>
                <w:szCs w:val="24"/>
              </w:rPr>
              <w:t>complet compatibil</w:t>
            </w:r>
          </w:p>
        </w:tc>
      </w:tr>
      <w:tr w:rsidR="000C7828" w:rsidRPr="001D4791" w:rsidTr="006534C2">
        <w:tc>
          <w:tcPr>
            <w:tcW w:w="3794" w:type="dxa"/>
          </w:tcPr>
          <w:p w:rsidR="000C7828" w:rsidRPr="001D4791" w:rsidRDefault="000C7828"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4</w:t>
            </w:r>
          </w:p>
        </w:tc>
        <w:tc>
          <w:tcPr>
            <w:tcW w:w="3827" w:type="dxa"/>
          </w:tcPr>
          <w:p w:rsidR="000C7828" w:rsidRPr="001D4791" w:rsidRDefault="000C7828"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5</w:t>
            </w:r>
          </w:p>
        </w:tc>
        <w:tc>
          <w:tcPr>
            <w:tcW w:w="1843" w:type="dxa"/>
          </w:tcPr>
          <w:p w:rsidR="000C7828" w:rsidRPr="001D4791" w:rsidRDefault="000C7828"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6</w:t>
            </w:r>
          </w:p>
        </w:tc>
        <w:tc>
          <w:tcPr>
            <w:tcW w:w="1843" w:type="dxa"/>
          </w:tcPr>
          <w:p w:rsidR="000C7828" w:rsidRPr="001D4791" w:rsidRDefault="000C7828"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7</w:t>
            </w:r>
          </w:p>
        </w:tc>
        <w:tc>
          <w:tcPr>
            <w:tcW w:w="1701" w:type="dxa"/>
          </w:tcPr>
          <w:p w:rsidR="000C7828" w:rsidRPr="001D4791" w:rsidRDefault="000C7828"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8</w:t>
            </w:r>
          </w:p>
        </w:tc>
        <w:tc>
          <w:tcPr>
            <w:tcW w:w="1778" w:type="dxa"/>
          </w:tcPr>
          <w:p w:rsidR="000C7828" w:rsidRPr="001D4791" w:rsidRDefault="000C7828"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9</w:t>
            </w:r>
          </w:p>
        </w:tc>
      </w:tr>
      <w:tr w:rsidR="000C7828" w:rsidRPr="001D4791" w:rsidTr="006534C2">
        <w:tc>
          <w:tcPr>
            <w:tcW w:w="3794" w:type="dxa"/>
          </w:tcPr>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Prevederile şi cerinţele reglementărilor comunitare (articolul, paragraful)</w:t>
            </w:r>
          </w:p>
        </w:tc>
        <w:tc>
          <w:tcPr>
            <w:tcW w:w="3827" w:type="dxa"/>
          </w:tcPr>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Prevederile actului normativ naţional (capitolul, articolul, subparagraful, punctul etc.)</w:t>
            </w:r>
          </w:p>
        </w:tc>
        <w:tc>
          <w:tcPr>
            <w:tcW w:w="1843" w:type="dxa"/>
          </w:tcPr>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Diferenţe</w:t>
            </w:r>
          </w:p>
        </w:tc>
        <w:tc>
          <w:tcPr>
            <w:tcW w:w="1843" w:type="dxa"/>
          </w:tcPr>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Motivele ce explică faptul că proiectul este parţial compatibil sau incompatibil</w:t>
            </w:r>
          </w:p>
        </w:tc>
        <w:tc>
          <w:tcPr>
            <w:tcW w:w="1701" w:type="dxa"/>
          </w:tcPr>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Instituţia responsabilă</w:t>
            </w:r>
          </w:p>
        </w:tc>
        <w:tc>
          <w:tcPr>
            <w:tcW w:w="1778" w:type="dxa"/>
          </w:tcPr>
          <w:p w:rsidR="000C7828" w:rsidRPr="001D4791" w:rsidRDefault="000C7828" w:rsidP="006534C2">
            <w:pPr>
              <w:spacing w:line="276" w:lineRule="auto"/>
              <w:rPr>
                <w:rFonts w:ascii="Times New Roman" w:hAnsi="Times New Roman" w:cs="Times New Roman"/>
                <w:b/>
                <w:sz w:val="24"/>
                <w:szCs w:val="24"/>
              </w:rPr>
            </w:pPr>
            <w:r w:rsidRPr="001D4791">
              <w:rPr>
                <w:rFonts w:ascii="Times New Roman" w:hAnsi="Times New Roman" w:cs="Times New Roman"/>
                <w:b/>
                <w:sz w:val="24"/>
                <w:szCs w:val="24"/>
              </w:rPr>
              <w:t>Termenul – limită de asigurare a compatibilităţii a actului naţional</w:t>
            </w:r>
          </w:p>
        </w:tc>
      </w:tr>
      <w:tr w:rsidR="000C7828" w:rsidRPr="001D4791" w:rsidTr="006534C2">
        <w:tc>
          <w:tcPr>
            <w:tcW w:w="3794" w:type="dxa"/>
          </w:tcPr>
          <w:p w:rsidR="0040059A" w:rsidRPr="001D4791" w:rsidRDefault="0040059A" w:rsidP="006534C2">
            <w:pPr>
              <w:spacing w:line="276" w:lineRule="auto"/>
              <w:jc w:val="both"/>
              <w:rPr>
                <w:rFonts w:ascii="Times New Roman" w:hAnsi="Times New Roman" w:cs="Times New Roman"/>
                <w:i/>
                <w:iCs/>
                <w:sz w:val="24"/>
                <w:szCs w:val="24"/>
              </w:rPr>
            </w:pPr>
            <w:r w:rsidRPr="001D4791">
              <w:rPr>
                <w:rFonts w:ascii="Times New Roman" w:hAnsi="Times New Roman" w:cs="Times New Roman"/>
                <w:i/>
                <w:iCs/>
                <w:sz w:val="24"/>
                <w:szCs w:val="24"/>
              </w:rPr>
              <w:t xml:space="preserve">Articolul 1 </w:t>
            </w:r>
          </w:p>
          <w:p w:rsidR="000C7828" w:rsidRPr="001D4791" w:rsidRDefault="0040059A" w:rsidP="006534C2">
            <w:pPr>
              <w:spacing w:line="276" w:lineRule="auto"/>
              <w:jc w:val="both"/>
              <w:rPr>
                <w:rFonts w:ascii="Times New Roman" w:hAnsi="Times New Roman" w:cs="Times New Roman"/>
                <w:sz w:val="24"/>
                <w:szCs w:val="24"/>
              </w:rPr>
            </w:pPr>
            <w:r w:rsidRPr="001D4791">
              <w:rPr>
                <w:rFonts w:ascii="Times New Roman" w:hAnsi="Times New Roman" w:cs="Times New Roman"/>
                <w:sz w:val="24"/>
                <w:szCs w:val="24"/>
              </w:rPr>
              <w:t>În sensul prezentului regulament, se aplică definițiile și abrevierile menționate în anexa I.</w:t>
            </w:r>
          </w:p>
        </w:tc>
        <w:tc>
          <w:tcPr>
            <w:tcW w:w="3827" w:type="dxa"/>
          </w:tcPr>
          <w:p w:rsidR="00277BDB" w:rsidRPr="001D4791" w:rsidRDefault="00277BDB" w:rsidP="006534C2">
            <w:pPr>
              <w:spacing w:line="276" w:lineRule="auto"/>
              <w:jc w:val="both"/>
              <w:rPr>
                <w:rFonts w:ascii="Times New Roman" w:hAnsi="Times New Roman" w:cs="Times New Roman"/>
                <w:i/>
                <w:iCs/>
                <w:sz w:val="24"/>
                <w:szCs w:val="24"/>
              </w:rPr>
            </w:pPr>
            <w:r w:rsidRPr="001D4791">
              <w:rPr>
                <w:rFonts w:ascii="Times New Roman" w:hAnsi="Times New Roman" w:cs="Times New Roman"/>
                <w:i/>
                <w:iCs/>
                <w:sz w:val="24"/>
                <w:szCs w:val="24"/>
              </w:rPr>
              <w:t xml:space="preserve">Articolul 1 </w:t>
            </w:r>
          </w:p>
          <w:p w:rsidR="000C7828" w:rsidRPr="001D4791" w:rsidRDefault="00277BDB"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În sensul prezentului regulament, se aplică definițiile și abrevierile menționate la capitolul I.</w:t>
            </w:r>
          </w:p>
        </w:tc>
        <w:tc>
          <w:tcPr>
            <w:tcW w:w="1843" w:type="dxa"/>
          </w:tcPr>
          <w:p w:rsidR="000C7828" w:rsidRPr="001D4791" w:rsidRDefault="00277BDB"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0C7828" w:rsidRPr="001D4791" w:rsidRDefault="000C7828" w:rsidP="006534C2">
            <w:pPr>
              <w:spacing w:line="276" w:lineRule="auto"/>
              <w:rPr>
                <w:rFonts w:ascii="Times New Roman" w:hAnsi="Times New Roman" w:cs="Times New Roman"/>
                <w:sz w:val="24"/>
                <w:szCs w:val="24"/>
              </w:rPr>
            </w:pPr>
          </w:p>
        </w:tc>
        <w:tc>
          <w:tcPr>
            <w:tcW w:w="1701" w:type="dxa"/>
          </w:tcPr>
          <w:p w:rsidR="000C7828" w:rsidRPr="001D4791" w:rsidRDefault="00F85C15" w:rsidP="006534C2">
            <w:pPr>
              <w:spacing w:line="276" w:lineRule="auto"/>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0C7828" w:rsidRPr="001D4791" w:rsidRDefault="000C7828" w:rsidP="006534C2">
            <w:pPr>
              <w:spacing w:line="276" w:lineRule="auto"/>
              <w:rPr>
                <w:rFonts w:ascii="Times New Roman" w:hAnsi="Times New Roman" w:cs="Times New Roman"/>
                <w:sz w:val="24"/>
                <w:szCs w:val="24"/>
              </w:rPr>
            </w:pPr>
          </w:p>
        </w:tc>
      </w:tr>
      <w:tr w:rsidR="008D7B1E" w:rsidRPr="001D4791" w:rsidTr="006534C2">
        <w:tc>
          <w:tcPr>
            <w:tcW w:w="3794" w:type="dxa"/>
          </w:tcPr>
          <w:p w:rsidR="00C03CA5" w:rsidRPr="001D4791" w:rsidRDefault="00C03CA5" w:rsidP="006534C2">
            <w:pPr>
              <w:jc w:val="both"/>
              <w:rPr>
                <w:rFonts w:ascii="Times New Roman" w:hAnsi="Times New Roman" w:cs="Times New Roman"/>
                <w:sz w:val="24"/>
                <w:szCs w:val="24"/>
              </w:rPr>
            </w:pPr>
            <w:r w:rsidRPr="001D4791">
              <w:rPr>
                <w:rFonts w:ascii="Times New Roman" w:hAnsi="Times New Roman" w:cs="Times New Roman"/>
                <w:i/>
                <w:iCs/>
                <w:sz w:val="24"/>
                <w:szCs w:val="24"/>
              </w:rPr>
              <w:t>Articolul 2</w:t>
            </w:r>
          </w:p>
          <w:p w:rsidR="008D7B1E" w:rsidRPr="001D4791" w:rsidRDefault="0040059A"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Prelevarea de probe pentru controlul oficial al nivelurilor de dioxine, de furani, de PCB-uri de tipul dioxinelor și de PCB-uri care nu sunt de tipul dioxinelor din produsele alimentare incluse în lista de la secțiunea 5 a anexei la Regulamentul (CE) nr. 1881/2006 se efectuează în conformitate cu metodele menționate în anexa II la prezentul </w:t>
            </w:r>
            <w:r w:rsidRPr="001D4791">
              <w:rPr>
                <w:rFonts w:ascii="Times New Roman" w:hAnsi="Times New Roman" w:cs="Times New Roman"/>
                <w:sz w:val="24"/>
                <w:szCs w:val="24"/>
              </w:rPr>
              <w:lastRenderedPageBreak/>
              <w:t>regulament.</w:t>
            </w:r>
          </w:p>
        </w:tc>
        <w:tc>
          <w:tcPr>
            <w:tcW w:w="3827" w:type="dxa"/>
          </w:tcPr>
          <w:p w:rsidR="00277BDB" w:rsidRPr="001D4791" w:rsidRDefault="00277BDB" w:rsidP="006534C2">
            <w:pPr>
              <w:jc w:val="both"/>
              <w:rPr>
                <w:rFonts w:ascii="Times New Roman" w:hAnsi="Times New Roman" w:cs="Times New Roman"/>
                <w:sz w:val="24"/>
                <w:szCs w:val="24"/>
              </w:rPr>
            </w:pPr>
            <w:r w:rsidRPr="001D4791">
              <w:rPr>
                <w:rFonts w:ascii="Times New Roman" w:hAnsi="Times New Roman" w:cs="Times New Roman"/>
                <w:i/>
                <w:iCs/>
                <w:sz w:val="24"/>
                <w:szCs w:val="24"/>
              </w:rPr>
              <w:lastRenderedPageBreak/>
              <w:t>Articolul 2</w:t>
            </w:r>
          </w:p>
          <w:p w:rsidR="008D7B1E" w:rsidRPr="001D4791" w:rsidRDefault="00277BDB" w:rsidP="006534C2">
            <w:pPr>
              <w:rPr>
                <w:rFonts w:ascii="Times New Roman" w:hAnsi="Times New Roman" w:cs="Times New Roman"/>
                <w:sz w:val="24"/>
                <w:szCs w:val="24"/>
              </w:rPr>
            </w:pPr>
            <w:r w:rsidRPr="001D4791">
              <w:rPr>
                <w:rFonts w:ascii="Times New Roman" w:hAnsi="Times New Roman" w:cs="Times New Roman"/>
                <w:sz w:val="24"/>
                <w:szCs w:val="24"/>
              </w:rPr>
              <w:t>Prelevarea de probe pentru controlul oficial al nivelurilor de dioxine, de furani, de PCB-uri de tipul dioxinelor și de PCB-uri care nu sunt de tipul dioxinelor din produsele alimentare incluse în lista de la secțiunea 5 a anexei la Regulamentul (CE) nr. 1881/2006 se efectuează în conformitate cu metodele menționate la capitolul II.</w:t>
            </w:r>
          </w:p>
        </w:tc>
        <w:tc>
          <w:tcPr>
            <w:tcW w:w="1843" w:type="dxa"/>
          </w:tcPr>
          <w:p w:rsidR="008D7B1E" w:rsidRPr="001D4791" w:rsidRDefault="00277BDB" w:rsidP="006534C2">
            <w:pPr>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F85C15"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8D7B1E" w:rsidRPr="001D4791" w:rsidRDefault="00C03CA5" w:rsidP="006534C2">
            <w:pPr>
              <w:jc w:val="both"/>
              <w:rPr>
                <w:rFonts w:ascii="Times New Roman" w:hAnsi="Times New Roman" w:cs="Times New Roman"/>
                <w:i/>
                <w:iCs/>
                <w:sz w:val="24"/>
                <w:szCs w:val="24"/>
              </w:rPr>
            </w:pPr>
            <w:r w:rsidRPr="001D4791">
              <w:rPr>
                <w:rFonts w:ascii="Times New Roman" w:hAnsi="Times New Roman" w:cs="Times New Roman"/>
                <w:i/>
                <w:iCs/>
                <w:sz w:val="24"/>
                <w:szCs w:val="24"/>
              </w:rPr>
              <w:lastRenderedPageBreak/>
              <w:t>Articolul 3</w:t>
            </w:r>
          </w:p>
          <w:p w:rsidR="00C03CA5" w:rsidRPr="001D4791" w:rsidRDefault="00C03CA5" w:rsidP="006534C2">
            <w:pPr>
              <w:jc w:val="both"/>
              <w:rPr>
                <w:rFonts w:ascii="Times New Roman" w:hAnsi="Times New Roman" w:cs="Times New Roman"/>
                <w:sz w:val="24"/>
                <w:szCs w:val="24"/>
              </w:rPr>
            </w:pPr>
            <w:r w:rsidRPr="001D4791">
              <w:rPr>
                <w:rFonts w:ascii="Times New Roman" w:hAnsi="Times New Roman" w:cs="Times New Roman"/>
                <w:sz w:val="24"/>
                <w:szCs w:val="24"/>
              </w:rPr>
              <w:t>Pregătirea și analizarea probelor pentru controlul nivelurilor de dioxine, de furani și de PCB-uri de tipul dioxinelor din produsele alimentare incluse în lista de la secțiunea 5 a anexei la Regulamentul (CE) nr. 1881/2006 se efectuează în conformitate cu metodele menționate în anexa III la prezentul regulament.</w:t>
            </w:r>
          </w:p>
        </w:tc>
        <w:tc>
          <w:tcPr>
            <w:tcW w:w="3827" w:type="dxa"/>
          </w:tcPr>
          <w:p w:rsidR="00277BDB" w:rsidRPr="001D4791" w:rsidRDefault="00277BDB" w:rsidP="006534C2">
            <w:pPr>
              <w:jc w:val="both"/>
              <w:rPr>
                <w:rFonts w:ascii="Times New Roman" w:hAnsi="Times New Roman" w:cs="Times New Roman"/>
                <w:i/>
                <w:iCs/>
                <w:sz w:val="24"/>
                <w:szCs w:val="24"/>
              </w:rPr>
            </w:pPr>
            <w:r w:rsidRPr="001D4791">
              <w:rPr>
                <w:rFonts w:ascii="Times New Roman" w:hAnsi="Times New Roman" w:cs="Times New Roman"/>
                <w:i/>
                <w:iCs/>
                <w:sz w:val="24"/>
                <w:szCs w:val="24"/>
              </w:rPr>
              <w:t>Articolul 3</w:t>
            </w:r>
          </w:p>
          <w:p w:rsidR="008D7B1E" w:rsidRPr="001D4791" w:rsidRDefault="00277BDB" w:rsidP="006534C2">
            <w:pPr>
              <w:rPr>
                <w:rFonts w:ascii="Times New Roman" w:hAnsi="Times New Roman" w:cs="Times New Roman"/>
                <w:sz w:val="24"/>
                <w:szCs w:val="24"/>
              </w:rPr>
            </w:pPr>
            <w:r w:rsidRPr="001D4791">
              <w:rPr>
                <w:rFonts w:ascii="Times New Roman" w:hAnsi="Times New Roman" w:cs="Times New Roman"/>
                <w:sz w:val="24"/>
                <w:szCs w:val="24"/>
              </w:rPr>
              <w:t>Pregătirea și analizarea probelor pentru controlul nivelurilor de dioxine, de furani și de PCB-uri de tipul dioxinelor din produsele alimentare incluse în lista de la secțiunea 5 a anexei la Regulamentul (CE) nr. 1881/2006 se efectuează în conformitate cu metodele menționate la capitolul III.</w:t>
            </w:r>
          </w:p>
        </w:tc>
        <w:tc>
          <w:tcPr>
            <w:tcW w:w="1843" w:type="dxa"/>
          </w:tcPr>
          <w:p w:rsidR="008D7B1E" w:rsidRPr="001D4791" w:rsidRDefault="00277BDB" w:rsidP="006534C2">
            <w:pPr>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F85C15"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8D7B1E" w:rsidRPr="001D4791" w:rsidRDefault="00C03CA5" w:rsidP="006534C2">
            <w:pPr>
              <w:jc w:val="both"/>
              <w:rPr>
                <w:rFonts w:ascii="Times New Roman" w:hAnsi="Times New Roman" w:cs="Times New Roman"/>
                <w:i/>
                <w:iCs/>
                <w:sz w:val="24"/>
                <w:szCs w:val="24"/>
              </w:rPr>
            </w:pPr>
            <w:r w:rsidRPr="001D4791">
              <w:rPr>
                <w:rFonts w:ascii="Times New Roman" w:hAnsi="Times New Roman" w:cs="Times New Roman"/>
                <w:i/>
                <w:iCs/>
                <w:sz w:val="24"/>
                <w:szCs w:val="24"/>
              </w:rPr>
              <w:t>Articolul 4</w:t>
            </w:r>
          </w:p>
          <w:p w:rsidR="00C03CA5" w:rsidRPr="001D4791" w:rsidRDefault="00C03CA5" w:rsidP="006534C2">
            <w:pPr>
              <w:jc w:val="both"/>
              <w:rPr>
                <w:rFonts w:ascii="Times New Roman" w:hAnsi="Times New Roman" w:cs="Times New Roman"/>
                <w:sz w:val="24"/>
                <w:szCs w:val="24"/>
              </w:rPr>
            </w:pPr>
            <w:r w:rsidRPr="001D4791">
              <w:rPr>
                <w:rFonts w:ascii="Times New Roman" w:hAnsi="Times New Roman" w:cs="Times New Roman"/>
                <w:sz w:val="24"/>
                <w:szCs w:val="24"/>
              </w:rPr>
              <w:t>Analizele destinate controlului nivelurilor de PCB-uri care nu sunt de tipul dioxinelor din produsele alimentare incluse în lista de la secțiunea 5 a anexei la Regulamentul (CE) nr. 1881/2006 se efectuează în conformitate cu cerințele privind procedurile analitice menționate în anexa IV la prezentul regulament.</w:t>
            </w:r>
          </w:p>
        </w:tc>
        <w:tc>
          <w:tcPr>
            <w:tcW w:w="3827" w:type="dxa"/>
          </w:tcPr>
          <w:p w:rsidR="00277BDB" w:rsidRPr="001D4791" w:rsidRDefault="00277BDB" w:rsidP="006534C2">
            <w:pPr>
              <w:jc w:val="both"/>
              <w:rPr>
                <w:rFonts w:ascii="Times New Roman" w:hAnsi="Times New Roman" w:cs="Times New Roman"/>
                <w:i/>
                <w:iCs/>
                <w:sz w:val="24"/>
                <w:szCs w:val="24"/>
              </w:rPr>
            </w:pPr>
            <w:r w:rsidRPr="001D4791">
              <w:rPr>
                <w:rFonts w:ascii="Times New Roman" w:hAnsi="Times New Roman" w:cs="Times New Roman"/>
                <w:i/>
                <w:iCs/>
                <w:sz w:val="24"/>
                <w:szCs w:val="24"/>
              </w:rPr>
              <w:t>Articolul 4</w:t>
            </w:r>
          </w:p>
          <w:p w:rsidR="008D7B1E" w:rsidRPr="001D4791" w:rsidRDefault="00277BDB" w:rsidP="006534C2">
            <w:pPr>
              <w:rPr>
                <w:rFonts w:ascii="Times New Roman" w:hAnsi="Times New Roman" w:cs="Times New Roman"/>
                <w:sz w:val="24"/>
                <w:szCs w:val="24"/>
              </w:rPr>
            </w:pPr>
            <w:r w:rsidRPr="001D4791">
              <w:rPr>
                <w:rFonts w:ascii="Times New Roman" w:hAnsi="Times New Roman" w:cs="Times New Roman"/>
                <w:sz w:val="24"/>
                <w:szCs w:val="24"/>
              </w:rPr>
              <w:t>Analizele destinate controlului nivelurilor de PCB-uri care nu sunt de tipul dioxinelor din produsele alimentare incluse în lista de la secțiunea 5 a anexei la Regulamentul (CE) nr. 1881/2006 se efectuează în conformitate cu cerințele privind procedurile analitice menționate la capitolul  IV.</w:t>
            </w:r>
          </w:p>
        </w:tc>
        <w:tc>
          <w:tcPr>
            <w:tcW w:w="1843" w:type="dxa"/>
          </w:tcPr>
          <w:p w:rsidR="008D7B1E" w:rsidRPr="001D4791" w:rsidRDefault="00277BDB" w:rsidP="006534C2">
            <w:pPr>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F85C15"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4F61FA" w:rsidRPr="001D4791" w:rsidRDefault="004F61FA" w:rsidP="006534C2">
            <w:pPr>
              <w:jc w:val="both"/>
              <w:rPr>
                <w:rFonts w:ascii="Times New Roman" w:hAnsi="Times New Roman" w:cs="Times New Roman"/>
                <w:b/>
                <w:sz w:val="24"/>
                <w:szCs w:val="24"/>
              </w:rPr>
            </w:pPr>
            <w:r w:rsidRPr="001D4791">
              <w:rPr>
                <w:rFonts w:ascii="Times New Roman" w:hAnsi="Times New Roman" w:cs="Times New Roman"/>
                <w:b/>
                <w:sz w:val="24"/>
                <w:szCs w:val="24"/>
              </w:rPr>
              <w:t>ANEXA I</w:t>
            </w:r>
          </w:p>
          <w:p w:rsidR="004F61FA" w:rsidRPr="001D4791" w:rsidRDefault="004F61FA" w:rsidP="006534C2">
            <w:pPr>
              <w:jc w:val="both"/>
              <w:rPr>
                <w:rFonts w:ascii="Times New Roman" w:hAnsi="Times New Roman" w:cs="Times New Roman"/>
                <w:b/>
                <w:sz w:val="24"/>
                <w:szCs w:val="24"/>
              </w:rPr>
            </w:pPr>
            <w:r w:rsidRPr="001D4791">
              <w:rPr>
                <w:rFonts w:ascii="Times New Roman" w:hAnsi="Times New Roman" w:cs="Times New Roman"/>
                <w:b/>
                <w:sz w:val="24"/>
                <w:szCs w:val="24"/>
              </w:rPr>
              <w:t>DEFINIȚII ȘI ABREVIERI</w:t>
            </w:r>
          </w:p>
          <w:p w:rsidR="004F61FA" w:rsidRPr="001D4791" w:rsidRDefault="004F61FA" w:rsidP="006534C2">
            <w:pPr>
              <w:pStyle w:val="a4"/>
              <w:numPr>
                <w:ilvl w:val="0"/>
                <w:numId w:val="1"/>
              </w:numPr>
              <w:jc w:val="both"/>
              <w:rPr>
                <w:rFonts w:ascii="Times New Roman" w:hAnsi="Times New Roman" w:cs="Times New Roman"/>
                <w:b/>
                <w:sz w:val="24"/>
                <w:szCs w:val="24"/>
              </w:rPr>
            </w:pPr>
            <w:r w:rsidRPr="001D4791">
              <w:rPr>
                <w:rFonts w:ascii="Times New Roman" w:hAnsi="Times New Roman" w:cs="Times New Roman"/>
                <w:b/>
                <w:sz w:val="24"/>
                <w:szCs w:val="24"/>
              </w:rPr>
              <w:t>DEFINIȚII</w:t>
            </w:r>
          </w:p>
          <w:p w:rsidR="005801E4" w:rsidRPr="001D4791" w:rsidRDefault="005801E4" w:rsidP="006534C2">
            <w:pPr>
              <w:jc w:val="both"/>
              <w:rPr>
                <w:rFonts w:ascii="Times New Roman" w:hAnsi="Times New Roman" w:cs="Times New Roman"/>
                <w:b/>
                <w:sz w:val="24"/>
                <w:szCs w:val="24"/>
              </w:rPr>
            </w:pPr>
          </w:p>
          <w:p w:rsidR="005801E4" w:rsidRPr="001D4791" w:rsidRDefault="005801E4" w:rsidP="006534C2">
            <w:pPr>
              <w:jc w:val="both"/>
              <w:rPr>
                <w:rFonts w:ascii="Times New Roman" w:hAnsi="Times New Roman" w:cs="Times New Roman"/>
                <w:b/>
                <w:sz w:val="24"/>
                <w:szCs w:val="24"/>
              </w:rPr>
            </w:pPr>
          </w:p>
          <w:p w:rsidR="005801E4" w:rsidRPr="001D4791" w:rsidRDefault="005801E4" w:rsidP="006534C2">
            <w:pPr>
              <w:jc w:val="both"/>
              <w:rPr>
                <w:rFonts w:ascii="Times New Roman" w:hAnsi="Times New Roman" w:cs="Times New Roman"/>
                <w:b/>
                <w:sz w:val="24"/>
                <w:szCs w:val="24"/>
              </w:rPr>
            </w:pPr>
          </w:p>
          <w:p w:rsidR="005801E4" w:rsidRPr="001D4791" w:rsidRDefault="005801E4" w:rsidP="006534C2">
            <w:pPr>
              <w:jc w:val="both"/>
              <w:rPr>
                <w:rFonts w:ascii="Times New Roman" w:hAnsi="Times New Roman" w:cs="Times New Roman"/>
                <w:b/>
                <w:sz w:val="24"/>
                <w:szCs w:val="24"/>
              </w:rPr>
            </w:pPr>
          </w:p>
          <w:p w:rsidR="005801E4" w:rsidRPr="001D4791" w:rsidRDefault="005801E4" w:rsidP="006534C2">
            <w:pPr>
              <w:jc w:val="both"/>
              <w:rPr>
                <w:rFonts w:ascii="Times New Roman" w:hAnsi="Times New Roman" w:cs="Times New Roman"/>
                <w:b/>
                <w:sz w:val="24"/>
                <w:szCs w:val="24"/>
              </w:rPr>
            </w:pPr>
          </w:p>
          <w:p w:rsidR="005801E4" w:rsidRPr="001D4791" w:rsidRDefault="005801E4" w:rsidP="006534C2">
            <w:pPr>
              <w:jc w:val="both"/>
              <w:rPr>
                <w:rFonts w:ascii="Times New Roman" w:hAnsi="Times New Roman" w:cs="Times New Roman"/>
                <w:b/>
                <w:sz w:val="24"/>
                <w:szCs w:val="24"/>
              </w:rPr>
            </w:pP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 sensul prezentului regulament, se aplică definițiile menționate în anexa </w:t>
            </w:r>
            <w:r w:rsidRPr="001D4791">
              <w:rPr>
                <w:rFonts w:ascii="Times New Roman" w:hAnsi="Times New Roman" w:cs="Times New Roman"/>
                <w:sz w:val="24"/>
                <w:szCs w:val="24"/>
              </w:rPr>
              <w:lastRenderedPageBreak/>
              <w:t>I la Decizia 2002/657/CE.</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În plus față de definițiile respective, în sensul prezentului regulament se aplică următoarele definiții:</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1.1.„Nivel de acțiune” înseamnă nivelul unei anumite substanțe, astfel cum este menționat în anexa la Recomandarea 2013/711/UE, care declanșează investigații pentru a identifica sursa respectivei substanțe în cazurile în care sunt detectate niveluri crescute ale substanței.</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1.2.„Metode de screening” înseamnă metodele utilizate pentru selectarea acelor probe cu niveluri de PCDD/F-uri și PCB-uri de tipul dioxinelor care depășesc nivelurile maxime sau nivelurile de acțiune. Aceste metode au o capacitate mare de tratare a probelor, eficientă din punctul de vedere al costurilor, sporind astfel șansa de a descoperi noi cazuri în care un grad mare de expunere poate să ducă la riscuri de sănătate pentru consumatori. Metodele de screening se bazează pe metode bioanalitice sau GC-MS. Rezultatele probelor care depășesc valoarea de prag stabilită pentru verificarea conformității cu nivelul maxim trebuie să fie verificate printr-o nouă analiză completă din proba originală utilizând o metodă de confirmare.</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1.3.„Metode de confirmare” înseamnă metode care furnizează informații complete sau complementare care permit identificarea și cuantificarea certă a PCDD/F-urilor și a PCB-urilor de tipul dioxinelor la nivelul maxim sau, la nevoie, la nivelul de acțiune. Astfel de metode utilizează gaz-cromatografia cuplată cu spectrometria de masă de înaltă rezoluție (GC-HRMS) sau gaz-cromatografia cuplată cu spectrometria de masă în tandem (GC-MS/MS).</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1.4.„Metode bioanalitice” înseamnă metode bazate pe principii biologice, cum ar fi bioanalizele celulare, testele bazate pe receptori sau imunoanalizele. Ele nu dau rezultate la nivel de congener, ci oferă doar o indicație (1) a nivelului TEQ, exprimată în echivalente bioanalitice (BEQ), pentru a ține seama de faptul că este posibil ca nu toți compușii prezenți într-un extract de probă și care determină un răspuns în cadrul analizei să îndeplinească toate cerințele principiului TEQ.</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1.5.„Recuperarea aparentă a testului biologic” înseamnă valoarea nivelului BEQ, calculată pornind de la curba de calibrare a TCDD sau </w:t>
            </w:r>
            <w:r w:rsidRPr="001D4791">
              <w:rPr>
                <w:rFonts w:ascii="Times New Roman" w:hAnsi="Times New Roman" w:cs="Times New Roman"/>
                <w:sz w:val="24"/>
                <w:szCs w:val="24"/>
              </w:rPr>
              <w:lastRenderedPageBreak/>
              <w:t>PCB 126, corectată cu proba-martor și apoi împărțită la valoarea nivelului TEQ, determinată prin metoda de confirmare. Aceasta vizează corectarea factorilor cum ar fi pierderea de compuși PCDD/F și de tipul dioxinelor în timpul etapelor de extracție și curățare, coextragerea compușilor care duc la intensificarea sau atenuarea răspunsului (efecte agoniste și antagoniste), calitatea ajustării curbei sau diferențele dintre valorile TEF și ale REP. Recuperarea aparentă a testului biologic se calculează pornind de la probe de referință adecvate cu modele pentru congeneri reprezentativi în jurul nivelului maxim sau al nivelului de acțiune.</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1.6.</w:t>
            </w:r>
            <w:r w:rsidR="00112C00" w:rsidRPr="001D4791">
              <w:rPr>
                <w:rFonts w:ascii="Times New Roman" w:hAnsi="Times New Roman" w:cs="Times New Roman"/>
                <w:sz w:val="24"/>
                <w:szCs w:val="24"/>
              </w:rPr>
              <w:t xml:space="preserve"> </w:t>
            </w:r>
            <w:r w:rsidRPr="001D4791">
              <w:rPr>
                <w:rFonts w:ascii="Times New Roman" w:hAnsi="Times New Roman" w:cs="Times New Roman"/>
                <w:sz w:val="24"/>
                <w:szCs w:val="24"/>
              </w:rPr>
              <w:t>„Analiză duplicat” înseamnă analiza separată a analiților de interes, folosind o a doua parte alicotă din aceeași probă omogenizată.</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1.7.</w:t>
            </w:r>
            <w:r w:rsidR="00112C00" w:rsidRPr="001D4791">
              <w:rPr>
                <w:rFonts w:ascii="Times New Roman" w:hAnsi="Times New Roman" w:cs="Times New Roman"/>
                <w:sz w:val="24"/>
                <w:szCs w:val="24"/>
              </w:rPr>
              <w:t xml:space="preserve"> </w:t>
            </w:r>
            <w:r w:rsidRPr="001D4791">
              <w:rPr>
                <w:rFonts w:ascii="Times New Roman" w:hAnsi="Times New Roman" w:cs="Times New Roman"/>
                <w:sz w:val="24"/>
                <w:szCs w:val="24"/>
              </w:rPr>
              <w:t xml:space="preserve">„Limită specifică acceptată de cuantificare (2) a unui congener individual într-o probă” înseamnă concentrația minimă a unui analit care poate fi măsurată cu certitudine statistică rezonabilă și îndeplinește criteriile de identificare, astfel cum sunt descrise în standarde recunoscute pe plan internațional, de </w:t>
            </w:r>
            <w:r w:rsidRPr="001D4791">
              <w:rPr>
                <w:rFonts w:ascii="Times New Roman" w:hAnsi="Times New Roman" w:cs="Times New Roman"/>
                <w:sz w:val="24"/>
                <w:szCs w:val="24"/>
              </w:rPr>
              <w:lastRenderedPageBreak/>
              <w:t>exemplu EN 16215:2012 („Hrană pentru animale – Determinarea dioxinelor și a PCB-urilor de tipul dioxinelor prin GC/HRMS și a PCB-urilor indicatori prin GC/HRMS”) și/sau în metodele EPA 1613 și 1668 revizuite.</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Limita de cuantificare a unui congener individual poate fi definită ca:</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(a)</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concentrația de analit în extractul unei probe care produce un răspuns instrumental la doi ioni diferiți care urmează să fie controlați cu un raport S/Z (semnal/zgomot) de 3:1 pentru semnalul mai puțin intens</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sau, în cazul în care calcularea raportului semnal/zgomot nu furnizează rezultate fiabile din motive tehnice,</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(b)</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punctul corespunzător celei mai scăzute concentrații de pe o curbă de calibrare care prezintă o deviere acceptabilă (≤ 30 %) și consecventă (măsurată cel puțin la începutul și la sfârșitul unei serii de probe) de la media factorului de răspuns relativ pentru toate punctele de pe curba de etalonare, în fiecare serie de probe (3).</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1.8.</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 xml:space="preserve">„Estimare superioară” înseamnă conceptul care presupune utilizarea limitei de cuantificare pentru </w:t>
            </w:r>
            <w:r w:rsidRPr="001D4791">
              <w:rPr>
                <w:rFonts w:ascii="Times New Roman" w:hAnsi="Times New Roman" w:cs="Times New Roman"/>
                <w:sz w:val="24"/>
                <w:szCs w:val="24"/>
              </w:rPr>
              <w:lastRenderedPageBreak/>
              <w:t>contribuția fiecărui congener necuantificat.</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1.9.</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„Estimare inferioară” înseamnă conceptul care presupune utilizarea valorii zero pentru contribuția fiecărui congener necuantificat.</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1.10.</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„Estimare mediană” înseamnă conceptul care presupune ca, la calculul contribuției fiecărui congener necuantificat, să se utilizeze jumătate din limita de cuantificare.</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1.11.</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„Lot” înseamnă o cantitate identificabilă de produse alimentare, livrată odată, pentru care funcționarul stabilește că au caracteristici comune cum ar fi originea, varietatea, tipul de ambalaj, ambalatorul, expeditorul sau marcajele. În cazul peștilor și al produselor pescărești, mărimea peștilor trebuie să fie, de asemenea, comparabilă. În cazul în care mărimea și/sau greutatea peștilor nu sunt comparabile în cadrul unui transport, acesta poate să fie totuși luat în considerare ca fiind un lot, însă trebuie să i se aplice o procedură specifică de prelevare de probe.</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1.12.</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 xml:space="preserve">„Sublot” înseamnă o parte dintr-un lot mare, definită cu scopul de a aplica metoda de prelevare a </w:t>
            </w:r>
            <w:r w:rsidRPr="001D4791">
              <w:rPr>
                <w:rFonts w:ascii="Times New Roman" w:hAnsi="Times New Roman" w:cs="Times New Roman"/>
                <w:sz w:val="24"/>
                <w:szCs w:val="24"/>
              </w:rPr>
              <w:lastRenderedPageBreak/>
              <w:t>probelor respectivei părți. Fiecare sublot trebuie să fie separat fizic și identificabil.</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1.13.</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„Probă elementară” înseamnă o cantitate de material prelevată dintr-un singur loc din lot sau sublot.</w:t>
            </w:r>
          </w:p>
          <w:p w:rsidR="004F61FA"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1.14.</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„Probă agregată” înseamnă proba rezultată prin combinarea tuturor probelor elementare prelevate dintr-un lot sau sublot.</w:t>
            </w:r>
          </w:p>
          <w:p w:rsidR="008D7B1E" w:rsidRPr="001D4791" w:rsidRDefault="004F61FA" w:rsidP="006534C2">
            <w:pPr>
              <w:jc w:val="both"/>
              <w:rPr>
                <w:rFonts w:ascii="Times New Roman" w:hAnsi="Times New Roman" w:cs="Times New Roman"/>
                <w:sz w:val="24"/>
                <w:szCs w:val="24"/>
              </w:rPr>
            </w:pPr>
            <w:r w:rsidRPr="001D4791">
              <w:rPr>
                <w:rFonts w:ascii="Times New Roman" w:hAnsi="Times New Roman" w:cs="Times New Roman"/>
                <w:sz w:val="24"/>
                <w:szCs w:val="24"/>
              </w:rPr>
              <w:t>1.15.</w:t>
            </w:r>
            <w:r w:rsidR="003C4340" w:rsidRPr="001D4791">
              <w:rPr>
                <w:rFonts w:ascii="Times New Roman" w:hAnsi="Times New Roman" w:cs="Times New Roman"/>
                <w:sz w:val="24"/>
                <w:szCs w:val="24"/>
              </w:rPr>
              <w:t xml:space="preserve"> </w:t>
            </w:r>
            <w:r w:rsidRPr="001D4791">
              <w:rPr>
                <w:rFonts w:ascii="Times New Roman" w:hAnsi="Times New Roman" w:cs="Times New Roman"/>
                <w:sz w:val="24"/>
                <w:szCs w:val="24"/>
              </w:rPr>
              <w:t>„Probă de laborator” înseamnă o parte/cantitate reprezentativă din proba globală destinată laboratorului</w:t>
            </w:r>
          </w:p>
        </w:tc>
        <w:tc>
          <w:tcPr>
            <w:tcW w:w="3827" w:type="dxa"/>
          </w:tcPr>
          <w:p w:rsidR="005801E4" w:rsidRPr="001D4791" w:rsidRDefault="005801E4"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Capitolul I</w:t>
            </w:r>
          </w:p>
          <w:p w:rsidR="005801E4" w:rsidRPr="001D4791" w:rsidRDefault="005801E4"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Dispoziții generale</w:t>
            </w:r>
          </w:p>
          <w:p w:rsidR="005801E4" w:rsidRPr="001D4791" w:rsidRDefault="005801E4" w:rsidP="006534C2">
            <w:pPr>
              <w:jc w:val="both"/>
              <w:rPr>
                <w:rFonts w:ascii="Times New Roman" w:hAnsi="Times New Roman" w:cs="Times New Roman"/>
                <w:b/>
                <w:sz w:val="24"/>
                <w:szCs w:val="24"/>
              </w:rPr>
            </w:pPr>
            <w:r w:rsidRPr="001D4791">
              <w:rPr>
                <w:rFonts w:ascii="Times New Roman" w:hAnsi="Times New Roman" w:cs="Times New Roman"/>
                <w:b/>
                <w:sz w:val="24"/>
                <w:szCs w:val="24"/>
              </w:rPr>
              <w:t xml:space="preserve">1. </w:t>
            </w:r>
            <w:r w:rsidRPr="001D4791">
              <w:rPr>
                <w:rFonts w:ascii="Times New Roman" w:hAnsi="Times New Roman" w:cs="Times New Roman"/>
                <w:sz w:val="24"/>
                <w:szCs w:val="24"/>
              </w:rPr>
              <w:t xml:space="preserve">Prezentele </w:t>
            </w:r>
            <w:r w:rsidR="005F06DB" w:rsidRPr="001D4791">
              <w:rPr>
                <w:rFonts w:ascii="Times New Roman" w:hAnsi="Times New Roman" w:cs="Times New Roman"/>
                <w:sz w:val="24"/>
                <w:szCs w:val="24"/>
              </w:rPr>
              <w:t>Metode</w:t>
            </w:r>
            <w:r w:rsidRPr="001D4791">
              <w:rPr>
                <w:rFonts w:ascii="Times New Roman" w:hAnsi="Times New Roman" w:cs="Times New Roman"/>
                <w:sz w:val="24"/>
                <w:szCs w:val="24"/>
              </w:rPr>
              <w:t xml:space="preserve"> stabilesc </w:t>
            </w:r>
            <w:r w:rsidR="005F06DB" w:rsidRPr="001D4791">
              <w:rPr>
                <w:rFonts w:ascii="Times New Roman" w:hAnsi="Times New Roman" w:cs="Times New Roman"/>
                <w:sz w:val="24"/>
                <w:szCs w:val="24"/>
              </w:rPr>
              <w:t>cerințele</w:t>
            </w:r>
            <w:r w:rsidRPr="001D4791">
              <w:rPr>
                <w:rFonts w:ascii="Times New Roman" w:hAnsi="Times New Roman" w:cs="Times New Roman"/>
                <w:sz w:val="24"/>
                <w:szCs w:val="24"/>
              </w:rPr>
              <w:t xml:space="preserve"> de prelevare de probe și </w:t>
            </w:r>
            <w:r w:rsidR="005F06DB" w:rsidRPr="001D4791">
              <w:rPr>
                <w:rFonts w:ascii="Times New Roman" w:hAnsi="Times New Roman" w:cs="Times New Roman"/>
                <w:sz w:val="24"/>
                <w:szCs w:val="24"/>
              </w:rPr>
              <w:t>cerințele</w:t>
            </w:r>
            <w:r w:rsidRPr="001D4791">
              <w:rPr>
                <w:rFonts w:ascii="Times New Roman" w:hAnsi="Times New Roman" w:cs="Times New Roman"/>
                <w:sz w:val="24"/>
                <w:szCs w:val="24"/>
              </w:rPr>
              <w:t xml:space="preserve"> de analiză pentru controlul nivelurilor de dioxine, de PCB-uri de tipul dioxinelor și de PCB-uri care nu sunt de tipul dioxinelor în anumite produse alimentare</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2. </w:t>
            </w:r>
            <w:r w:rsidRPr="001D4791">
              <w:rPr>
                <w:rFonts w:ascii="Times New Roman" w:hAnsi="Times New Roman" w:cs="Times New Roman"/>
                <w:sz w:val="24"/>
                <w:szCs w:val="24"/>
              </w:rPr>
              <w:t xml:space="preserve">În sensul prezentelor </w:t>
            </w:r>
            <w:r w:rsidR="005F06DB" w:rsidRPr="001D4791">
              <w:rPr>
                <w:rFonts w:ascii="Times New Roman" w:hAnsi="Times New Roman" w:cs="Times New Roman"/>
                <w:sz w:val="24"/>
                <w:szCs w:val="24"/>
              </w:rPr>
              <w:t>Metode</w:t>
            </w:r>
            <w:r w:rsidRPr="001D4791">
              <w:rPr>
                <w:rFonts w:ascii="Times New Roman" w:hAnsi="Times New Roman" w:cs="Times New Roman"/>
                <w:sz w:val="24"/>
                <w:szCs w:val="24"/>
              </w:rPr>
              <w:t xml:space="preserve"> se aplică definițiile menționate în </w:t>
            </w:r>
            <w:r w:rsidRPr="001D4791">
              <w:rPr>
                <w:rFonts w:ascii="Times New Roman" w:hAnsi="Times New Roman" w:cs="Times New Roman"/>
                <w:sz w:val="24"/>
                <w:szCs w:val="24"/>
              </w:rPr>
              <w:lastRenderedPageBreak/>
              <w:t>Regulamentul privind aplicarea metodelor de încercări şi interpretarea rezultatelor în domeniul sanitar-veterinar aprobat prin HG nr. 265 din 06 aprilie 2009. În plus față de definițiile respective, se aplică următoarele definiții:</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nivel de acțiune</w:t>
            </w:r>
            <w:r w:rsidRPr="001D4791">
              <w:rPr>
                <w:rFonts w:ascii="Times New Roman" w:hAnsi="Times New Roman" w:cs="Times New Roman"/>
                <w:sz w:val="24"/>
                <w:szCs w:val="24"/>
              </w:rPr>
              <w:t xml:space="preserve"> - înseamnă nivelul unei anumite substanțe, care declanșează investigații pentru a identifica sursa respectivei substanțe în cazurile în care sunt detectate niveluri crescute ale substanței;</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metode de screening</w:t>
            </w:r>
            <w:r w:rsidRPr="001D4791">
              <w:rPr>
                <w:rFonts w:ascii="Times New Roman" w:hAnsi="Times New Roman" w:cs="Times New Roman"/>
                <w:sz w:val="24"/>
                <w:szCs w:val="24"/>
              </w:rPr>
              <w:t xml:space="preserve"> - înseamnă metodele utilizate pentru selectarea acelor probe cu niveluri de PCDD/F-uri și PCB-uri de tipul dioxinelor care depășesc nivelurile maxime sau nivelurile de acțiune. Aceste metode au o capacitate mare de tratare a probelor, eficientă din punctul de vedere al costurilor, sporind astfel șansa de a descoperi noi cazuri în care un grad mare de expunere poate să ducă la riscuri de sănătate pentru consumatori. Metodele de screening se bazează pe metode bioanalitice sau GC-MS. Rezultatele probelor care depășesc valoarea de prag stabilită pentru verificarea conformității cu nivelul maxim trebuie să fie verificate printr-o nouă analiză completă din proba originală </w:t>
            </w:r>
            <w:r w:rsidRPr="001D4791">
              <w:rPr>
                <w:rFonts w:ascii="Times New Roman" w:hAnsi="Times New Roman" w:cs="Times New Roman"/>
                <w:sz w:val="24"/>
                <w:szCs w:val="24"/>
              </w:rPr>
              <w:lastRenderedPageBreak/>
              <w:t>utilizând o metodă de confirmare;</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metode de confirmare</w:t>
            </w:r>
            <w:r w:rsidRPr="001D4791">
              <w:rPr>
                <w:rFonts w:ascii="Times New Roman" w:hAnsi="Times New Roman" w:cs="Times New Roman"/>
                <w:sz w:val="24"/>
                <w:szCs w:val="24"/>
              </w:rPr>
              <w:t xml:space="preserve"> - înseamnă metode care furnizează informații complete sau complementare care permit identificarea și cuantificarea certă a PCDD/F-urilor și a PCB-urilor de tipul dioxinelor la nivelul maxim sau, la nevoie, la nivelul de acțiune. Astfel de metode utilizează gaz-cromatografia cuplată cu spectrometria de masă de înaltă rezoluție (GC-HRMS) sau gaz-cromatografia cuplată cu spectrometria de masă în tandem (GC-MS/MS);</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metode bioanalitice</w:t>
            </w:r>
            <w:r w:rsidRPr="001D4791">
              <w:rPr>
                <w:rFonts w:ascii="Times New Roman" w:hAnsi="Times New Roman" w:cs="Times New Roman"/>
                <w:sz w:val="24"/>
                <w:szCs w:val="24"/>
              </w:rPr>
              <w:t xml:space="preserve"> - înseamnă metode bazate pe principii biologice, cum ar fi bioanalizele celulare, testele bazate pe receptori sau imunoanalizele. Ele nu dau rezultate la nivel de congener, ci oferă doar o indicație a nivelului TEQ, exprimată în echivalente bioanalitice (BEQ), pentru a ține seama de faptul că este posibil ca nu toți compușii prezenți într-un extract de probă și care determină un răspuns în cadrul analizei să îndeplinească toate cerințele principiului TEQ;</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recuperarea aparentă a testului biologic</w:t>
            </w:r>
            <w:r w:rsidRPr="001D4791">
              <w:rPr>
                <w:rFonts w:ascii="Times New Roman" w:hAnsi="Times New Roman" w:cs="Times New Roman"/>
                <w:sz w:val="24"/>
                <w:szCs w:val="24"/>
              </w:rPr>
              <w:t xml:space="preserve"> - înseamnă valoarea nivelului BEQ, calculată pornind de la curba de calibrare a TCDD sau </w:t>
            </w:r>
            <w:r w:rsidRPr="001D4791">
              <w:rPr>
                <w:rFonts w:ascii="Times New Roman" w:hAnsi="Times New Roman" w:cs="Times New Roman"/>
                <w:sz w:val="24"/>
                <w:szCs w:val="24"/>
              </w:rPr>
              <w:lastRenderedPageBreak/>
              <w:t>PCB 126, corectată cu proba-martor și apoi împărțită la valoarea nivelului TEQ, determinată prin metoda de confirmare. Aceasta vizează corectarea factorilor cum ar fi pierderea de compuși PCDD/F și de tipul dioxinelor în timpul etapelor de extracție și curățare, coextragerea compușilor care duc la intensificarea sau atenuarea răspunsului (efecte agoniste și antagoniste), calitatea ajustării curbei sau diferențele dintre valorile TEF și ale REP. Recuperarea aparentă a testului biologic se calculează pornind de la probe de referință adecvate cu modele pentru congeneri reprezentativi în jurul nivelului maxim sau al nivelului de acțiune;</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analiză duplicat</w:t>
            </w:r>
            <w:r w:rsidRPr="001D4791">
              <w:rPr>
                <w:rFonts w:ascii="Times New Roman" w:hAnsi="Times New Roman" w:cs="Times New Roman"/>
                <w:sz w:val="24"/>
                <w:szCs w:val="24"/>
              </w:rPr>
              <w:t xml:space="preserve"> - înseamnă analiza separată a analiților de interes, folosind o a doua parte alicotă din aceeași probă omogenizată;</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limită specifică acceptată de cuantificare a unui congener individual într-o probă</w:t>
            </w:r>
            <w:r w:rsidRPr="001D4791">
              <w:rPr>
                <w:rFonts w:ascii="Times New Roman" w:hAnsi="Times New Roman" w:cs="Times New Roman"/>
                <w:sz w:val="24"/>
                <w:szCs w:val="24"/>
              </w:rPr>
              <w:t xml:space="preserve"> - înseamnă concentrația minimă a unui analit care poate fi măsurată și îndeplinește criteriile de identificare. </w:t>
            </w:r>
          </w:p>
          <w:p w:rsidR="005801E4" w:rsidRPr="001D4791" w:rsidRDefault="005801E4"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limita de cuantificare a unui congener individual poate fi definită ca:</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a) concentrația de analit în extractul </w:t>
            </w:r>
            <w:r w:rsidRPr="001D4791">
              <w:rPr>
                <w:rFonts w:ascii="Times New Roman" w:hAnsi="Times New Roman" w:cs="Times New Roman"/>
                <w:sz w:val="24"/>
                <w:szCs w:val="24"/>
              </w:rPr>
              <w:lastRenderedPageBreak/>
              <w:t>unei probe care produce un răspuns instrumental la doi ioni diferiți care urmează să fie controlați cu un raport S/Z (semnal/zgomot) de 3:1 pentru semnalul mai puțin intens</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sz w:val="24"/>
                <w:szCs w:val="24"/>
              </w:rPr>
              <w:t>sau, în cazul în care calcularea raportului semnal/zgomot nu furnizează rezultate fiabile din motive tehnice,</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b) punctul corespunzător celei mai scăzute concentrații de pe o curbă de calibrare care prezintă o deviere acceptabilă (≤ 30 %) și consecventă (măsurată cel puțin la începutul și la sfârșitul unei serii de probe) de la media factorului de răspuns relativ pentru toate punctele de pe curba de etalonare, în fiecare serie de probe; </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estimare superioară</w:t>
            </w:r>
            <w:r w:rsidRPr="001D4791">
              <w:rPr>
                <w:rFonts w:ascii="Times New Roman" w:hAnsi="Times New Roman" w:cs="Times New Roman"/>
                <w:sz w:val="24"/>
                <w:szCs w:val="24"/>
              </w:rPr>
              <w:t xml:space="preserve"> - înseamnă conceptul care presupune utilizarea limitei de cuantificare pentru contribuția fiecărui congener necuantificat;</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estimare inferioară</w:t>
            </w:r>
            <w:r w:rsidRPr="001D4791">
              <w:rPr>
                <w:rFonts w:ascii="Times New Roman" w:hAnsi="Times New Roman" w:cs="Times New Roman"/>
                <w:sz w:val="24"/>
                <w:szCs w:val="24"/>
              </w:rPr>
              <w:t xml:space="preserve"> - înseamnă conceptul care presupune utilizarea valorii zero pentru contribuția fiecărui congener necuantificat;</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estimare mediană</w:t>
            </w:r>
            <w:r w:rsidRPr="001D4791">
              <w:rPr>
                <w:rFonts w:ascii="Times New Roman" w:hAnsi="Times New Roman" w:cs="Times New Roman"/>
                <w:sz w:val="24"/>
                <w:szCs w:val="24"/>
              </w:rPr>
              <w:t xml:space="preserve"> - înseamnă conceptul care presupune ca, la calculul contribuției fiecărui congener necuantificat, să se utilizeze jumătate din limita de cuantificare;</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lastRenderedPageBreak/>
              <w:t>lot</w:t>
            </w:r>
            <w:r w:rsidRPr="001D4791">
              <w:rPr>
                <w:rFonts w:ascii="Times New Roman" w:hAnsi="Times New Roman" w:cs="Times New Roman"/>
                <w:sz w:val="24"/>
                <w:szCs w:val="24"/>
              </w:rPr>
              <w:t xml:space="preserve"> - înseamnă o cantitate identificabilă de produse alimentare, livrată odată, pentru care funcționarul stabilește că au caracteristici comune cum ar fi originea, varietatea, tipul de ambalaj, ambalatorul, expeditorul sau marcajele. În cazul peștilor și al produselor pescărești, mărimea peștilor trebuie să fie, de asemenea, comparabilă. În cazul în care mărimea și/sau greutatea peștilor nu sunt comparabile în cadrul unui transport, acesta poate să fie totuși luat în considerare ca fiind un lot, însă trebuie să i se aplice o procedură specifică de prelevare de probe;</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sublot</w:t>
            </w:r>
            <w:r w:rsidRPr="001D4791">
              <w:rPr>
                <w:rFonts w:ascii="Times New Roman" w:hAnsi="Times New Roman" w:cs="Times New Roman"/>
                <w:sz w:val="24"/>
                <w:szCs w:val="24"/>
              </w:rPr>
              <w:t xml:space="preserve"> - înseamnă o parte dintr-un lot mare, definită cu scopul de a aplica metoda de prelevare a probelor respectivei părți. Fiecare sublot trebuie să fie separat fizic și identificabil;</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probă elementară</w:t>
            </w:r>
            <w:r w:rsidRPr="001D4791">
              <w:rPr>
                <w:rFonts w:ascii="Times New Roman" w:hAnsi="Times New Roman" w:cs="Times New Roman"/>
                <w:sz w:val="24"/>
                <w:szCs w:val="24"/>
              </w:rPr>
              <w:t xml:space="preserve"> - înseamnă o cantitate de material prelevată dintr-un singur loc din lot sau sublot;</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probă agregată</w:t>
            </w:r>
            <w:r w:rsidRPr="001D4791">
              <w:rPr>
                <w:rFonts w:ascii="Times New Roman" w:hAnsi="Times New Roman" w:cs="Times New Roman"/>
                <w:sz w:val="24"/>
                <w:szCs w:val="24"/>
              </w:rPr>
              <w:t xml:space="preserve"> - înseamnă proba rezultată prin combinarea tuturor probelor elementare prelevate dintr-un lot sau sublot;</w:t>
            </w:r>
          </w:p>
          <w:p w:rsidR="005801E4" w:rsidRPr="001D4791" w:rsidRDefault="005801E4" w:rsidP="006534C2">
            <w:pPr>
              <w:jc w:val="both"/>
              <w:rPr>
                <w:rFonts w:ascii="Times New Roman" w:hAnsi="Times New Roman" w:cs="Times New Roman"/>
                <w:sz w:val="24"/>
                <w:szCs w:val="24"/>
              </w:rPr>
            </w:pPr>
            <w:r w:rsidRPr="001D4791">
              <w:rPr>
                <w:rFonts w:ascii="Times New Roman" w:hAnsi="Times New Roman" w:cs="Times New Roman"/>
                <w:b/>
                <w:i/>
                <w:sz w:val="24"/>
                <w:szCs w:val="24"/>
              </w:rPr>
              <w:t>probă de laborator</w:t>
            </w:r>
            <w:r w:rsidRPr="001D4791">
              <w:rPr>
                <w:rFonts w:ascii="Times New Roman" w:hAnsi="Times New Roman" w:cs="Times New Roman"/>
                <w:sz w:val="24"/>
                <w:szCs w:val="24"/>
              </w:rPr>
              <w:t xml:space="preserve"> - înseamnă o parte/cantitate reprezentativă din proba globală destinată laboratorului;</w:t>
            </w:r>
          </w:p>
          <w:p w:rsidR="008D7B1E" w:rsidRPr="001D4791" w:rsidRDefault="008D7B1E"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8D7B1E" w:rsidRPr="001D4791" w:rsidRDefault="00112C00" w:rsidP="006534C2">
            <w:pPr>
              <w:rPr>
                <w:rFonts w:ascii="Times New Roman" w:hAnsi="Times New Roman" w:cs="Times New Roman"/>
                <w:b/>
                <w:sz w:val="24"/>
                <w:szCs w:val="24"/>
              </w:rPr>
            </w:pPr>
            <w:r w:rsidRPr="001D4791">
              <w:rPr>
                <w:rFonts w:ascii="Times New Roman" w:hAnsi="Times New Roman" w:cs="Times New Roman"/>
                <w:b/>
                <w:sz w:val="24"/>
                <w:szCs w:val="24"/>
              </w:rPr>
              <w:lastRenderedPageBreak/>
              <w:t>II.   ABREVIERI UTILIZATE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450"/>
              <w:gridCol w:w="2112"/>
            </w:tblGrid>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BEQ</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Echivalente bioanalitice</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GC</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Gaz-cromatografie, cromatografie în fază gazoasă</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HRMS</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Spectrometrie de masă de înaltă rezoluție</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LRMS</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Spectrometrie de masă de joasă rezoluție</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MS/MS</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Spectrometrie de masă în tandem</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lastRenderedPageBreak/>
                    <w:t>PCB</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Bifenil policlorurat</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PCB-uri care nu sunt de tipul dioxinelor</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PCB 28, PCB 52, PCB 101, PCB 138, PCB 153 și PCB 180</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PCDD</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Dibenzo-p-dioxine policlorurate</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PCDF</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Dibenzofurani policlorurați</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QC</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Controlul calității</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REP</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Potență relativă</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TEF</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Factor de echivalență toxică</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TEQ</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Echivalente toxice</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TCDD</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2,3,7,8-tetraclordibenzo-p-dioxină</w:t>
                  </w:r>
                </w:p>
              </w:tc>
            </w:tr>
            <w:tr w:rsidR="00112C00" w:rsidRPr="001D4791" w:rsidTr="00112C00">
              <w:tc>
                <w:tcPr>
                  <w:tcW w:w="4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U</w:t>
                  </w:r>
                </w:p>
              </w:tc>
              <w:tc>
                <w:tcPr>
                  <w:tcW w:w="6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12C00" w:rsidRPr="001D4791" w:rsidRDefault="00112C00" w:rsidP="001D4791">
                  <w:pPr>
                    <w:framePr w:hSpace="180" w:wrap="around" w:vAnchor="text" w:hAnchor="text" w:y="1"/>
                    <w:spacing w:before="120" w:after="0" w:line="312" w:lineRule="atLeast"/>
                    <w:suppressOverlap/>
                    <w:jc w:val="both"/>
                    <w:textAlignment w:val="baseline"/>
                    <w:rPr>
                      <w:rFonts w:ascii="Times New Roman" w:eastAsia="Times New Roman" w:hAnsi="Times New Roman" w:cs="Times New Roman"/>
                      <w:sz w:val="24"/>
                      <w:szCs w:val="24"/>
                      <w:lang w:eastAsia="ru-RU"/>
                    </w:rPr>
                  </w:pPr>
                  <w:r w:rsidRPr="001D4791">
                    <w:rPr>
                      <w:rFonts w:ascii="Times New Roman" w:eastAsia="Times New Roman" w:hAnsi="Times New Roman" w:cs="Times New Roman"/>
                      <w:sz w:val="24"/>
                      <w:szCs w:val="24"/>
                      <w:lang w:eastAsia="ru-RU"/>
                    </w:rPr>
                    <w:t>Incertitudine de măsurare extinsă</w:t>
                  </w:r>
                </w:p>
              </w:tc>
            </w:tr>
          </w:tbl>
          <w:p w:rsidR="00112C00" w:rsidRPr="001D4791" w:rsidRDefault="00112C00" w:rsidP="006534C2">
            <w:pPr>
              <w:rPr>
                <w:rFonts w:ascii="Times New Roman" w:hAnsi="Times New Roman" w:cs="Times New Roman"/>
                <w:sz w:val="24"/>
                <w:szCs w:val="24"/>
              </w:rPr>
            </w:pPr>
          </w:p>
        </w:tc>
        <w:tc>
          <w:tcPr>
            <w:tcW w:w="3827" w:type="dxa"/>
          </w:tcPr>
          <w:p w:rsidR="00D2636D" w:rsidRPr="001D4791" w:rsidRDefault="00D2636D" w:rsidP="006534C2">
            <w:pPr>
              <w:rPr>
                <w:rFonts w:ascii="Times New Roman" w:hAnsi="Times New Roman" w:cs="Times New Roman"/>
                <w:b/>
                <w:sz w:val="24"/>
                <w:szCs w:val="24"/>
              </w:rPr>
            </w:pPr>
            <w:r w:rsidRPr="001D4791">
              <w:rPr>
                <w:rFonts w:ascii="Times New Roman" w:hAnsi="Times New Roman" w:cs="Times New Roman"/>
                <w:b/>
                <w:sz w:val="24"/>
                <w:szCs w:val="24"/>
              </w:rPr>
              <w:lastRenderedPageBreak/>
              <w:t xml:space="preserve">3. </w:t>
            </w:r>
            <w:r w:rsidRPr="001D4791">
              <w:rPr>
                <w:rFonts w:ascii="Times New Roman" w:hAnsi="Times New Roman" w:cs="Times New Roman"/>
                <w:sz w:val="24"/>
                <w:szCs w:val="24"/>
              </w:rPr>
              <w:t>Abrevierile utilizate au următoarea semnificație:</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BEQ - Echivalente bioanalitice</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CB -  clorobifenil</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CDD - clorodibenzodioxină</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CDF - clorodibenzofuran</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GC - Gaz-cromatografie, cromatografie în fază gazoasă</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Hp - hepta</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HRMS - Spectrometrie de masă de înaltă rezoluție</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Hx - hexa</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LRMS - Spectrometrie de masă de joasă rezoluție</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MS/MS - Spectrometrie de masă în tandem</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O - octa</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PCB - Bifenil policlorurat</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 xml:space="preserve">PCB-uri care nu sunt de tipul dioxinelor - PCB 28, PCB 52, PCB </w:t>
            </w:r>
            <w:r w:rsidRPr="001D4791">
              <w:rPr>
                <w:rFonts w:ascii="Times New Roman" w:hAnsi="Times New Roman" w:cs="Times New Roman"/>
                <w:sz w:val="24"/>
                <w:szCs w:val="24"/>
              </w:rPr>
              <w:lastRenderedPageBreak/>
              <w:t>101, PCB 138, PCB 153 și PCB 180</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PCDD - Dibenzo-p-dioxine policlorurate</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PCDF - Dibenzofurani policlorurați</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 xml:space="preserve">Pe - penta </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QC - Controlul calității</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REP - Potență relativă</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T - tetra</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TCDD - 2,3,7,8-tetraclordibenzo-p-dioxină</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 xml:space="preserve">TEF - </w:t>
            </w:r>
            <w:r w:rsidRPr="001D4791">
              <w:rPr>
                <w:rFonts w:ascii="Times New Roman" w:hAnsi="Times New Roman" w:cs="Times New Roman"/>
                <w:sz w:val="24"/>
                <w:szCs w:val="24"/>
              </w:rPr>
              <w:tab/>
              <w:t>Factor de echivalență toxică</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TEQ - Echivalente toxice</w:t>
            </w:r>
          </w:p>
          <w:p w:rsidR="00D2636D" w:rsidRPr="001D4791" w:rsidRDefault="00D2636D" w:rsidP="006534C2">
            <w:pPr>
              <w:rPr>
                <w:rFonts w:ascii="Times New Roman" w:hAnsi="Times New Roman" w:cs="Times New Roman"/>
                <w:sz w:val="24"/>
                <w:szCs w:val="24"/>
              </w:rPr>
            </w:pPr>
            <w:r w:rsidRPr="001D4791">
              <w:rPr>
                <w:rFonts w:ascii="Times New Roman" w:hAnsi="Times New Roman" w:cs="Times New Roman"/>
                <w:sz w:val="24"/>
                <w:szCs w:val="24"/>
              </w:rPr>
              <w:t>U - Incertitudine de măsurare extinsă</w:t>
            </w:r>
          </w:p>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112C00" w:rsidRPr="001D4791" w:rsidRDefault="00112C00"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ANEXA II</w:t>
            </w:r>
          </w:p>
          <w:p w:rsidR="00112C00" w:rsidRPr="001D4791" w:rsidRDefault="00112C00" w:rsidP="006534C2">
            <w:pPr>
              <w:jc w:val="both"/>
              <w:rPr>
                <w:rFonts w:ascii="Times New Roman" w:hAnsi="Times New Roman" w:cs="Times New Roman"/>
                <w:b/>
                <w:sz w:val="24"/>
                <w:szCs w:val="24"/>
              </w:rPr>
            </w:pPr>
            <w:r w:rsidRPr="001D4791">
              <w:rPr>
                <w:rFonts w:ascii="Times New Roman" w:hAnsi="Times New Roman" w:cs="Times New Roman"/>
                <w:b/>
                <w:sz w:val="24"/>
                <w:szCs w:val="24"/>
              </w:rPr>
              <w:t xml:space="preserve">METODE DE PRELEVARE A PROBELOR PENTRU CONTROLUL OFICIAL AL NIVELURILOR DE DIOXINE </w:t>
            </w:r>
            <w:r w:rsidRPr="001D4791">
              <w:rPr>
                <w:rFonts w:ascii="Times New Roman" w:hAnsi="Times New Roman" w:cs="Times New Roman"/>
                <w:b/>
                <w:sz w:val="24"/>
                <w:szCs w:val="24"/>
              </w:rPr>
              <w:lastRenderedPageBreak/>
              <w:t>(PCDD/PCDF), DE PCB-uri DE TIPUL DIOXINELOR ȘI DE PCB-uri CARE NU SUNT DE TIPUL DIOXINELOR DIN ANUMITE PRODUSE ALIMENTARE</w:t>
            </w:r>
          </w:p>
          <w:p w:rsidR="00112C00" w:rsidRPr="001D4791" w:rsidRDefault="00112C00" w:rsidP="006534C2">
            <w:pPr>
              <w:rPr>
                <w:rFonts w:ascii="Times New Roman" w:hAnsi="Times New Roman" w:cs="Times New Roman"/>
                <w:sz w:val="24"/>
                <w:szCs w:val="24"/>
              </w:rPr>
            </w:pPr>
          </w:p>
          <w:p w:rsidR="00112C00" w:rsidRPr="001D4791" w:rsidRDefault="006074DA" w:rsidP="006534C2">
            <w:pPr>
              <w:jc w:val="both"/>
              <w:rPr>
                <w:rFonts w:ascii="Times New Roman" w:hAnsi="Times New Roman" w:cs="Times New Roman"/>
                <w:b/>
                <w:sz w:val="24"/>
                <w:szCs w:val="24"/>
              </w:rPr>
            </w:pPr>
            <w:r w:rsidRPr="001D4791">
              <w:rPr>
                <w:rFonts w:ascii="Times New Roman" w:hAnsi="Times New Roman" w:cs="Times New Roman"/>
                <w:b/>
                <w:sz w:val="24"/>
                <w:szCs w:val="24"/>
              </w:rPr>
              <w:t xml:space="preserve">I. </w:t>
            </w:r>
            <w:r w:rsidR="00112C00" w:rsidRPr="001D4791">
              <w:rPr>
                <w:rFonts w:ascii="Times New Roman" w:hAnsi="Times New Roman" w:cs="Times New Roman"/>
                <w:b/>
                <w:sz w:val="24"/>
                <w:szCs w:val="24"/>
              </w:rPr>
              <w:t>DOMENIUL DE APLICARE</w:t>
            </w:r>
          </w:p>
          <w:p w:rsidR="00112C00" w:rsidRPr="001D4791" w:rsidRDefault="00112C00" w:rsidP="006534C2">
            <w:pPr>
              <w:jc w:val="both"/>
              <w:rPr>
                <w:rFonts w:ascii="Times New Roman" w:hAnsi="Times New Roman" w:cs="Times New Roman"/>
                <w:sz w:val="24"/>
                <w:szCs w:val="24"/>
              </w:rPr>
            </w:pPr>
            <w:r w:rsidRPr="001D4791">
              <w:rPr>
                <w:rFonts w:ascii="Times New Roman" w:hAnsi="Times New Roman" w:cs="Times New Roman"/>
                <w:sz w:val="24"/>
                <w:szCs w:val="24"/>
              </w:rPr>
              <w:t>Probele destinate controlului oficial al nivelurilor de dioxine (PCDD/F), de PCB-uri de tipul dioxinelor și de PCB-uri care nu sunt de tipul dioxinelor din produsele alimentare se realizează în conformitate cu metodele descrise în prezenta anexă. Probele agregate astfel obținute se consideră reprezentative pentru loturile sau subloturile din care sunt prelevate. Pe baza nivelurilor determinate în probele de laborator, se stabilește dacă sunt respectate nivelurile maxime prevăzute în Regulamentul (CE) nr. 1881/2006.</w:t>
            </w:r>
          </w:p>
          <w:p w:rsidR="008D7B1E" w:rsidRPr="001D4791" w:rsidRDefault="00112C0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Pentru a asigura respectarea dispozițiilor de la articolul 4 din Regulamentul (CE) nr. 852/2004, la prelevarea de probe pentru controlul nivelurilor de dioxine (PCDD/F), de PCB-uri de tipul dioxinelor și de PCB-uri care nu sunt de tipul dioxinelor, operatorii din sectorul alimentar prelevă probele în conformitate cu metodele descrise în </w:t>
            </w:r>
            <w:r w:rsidRPr="001D4791">
              <w:rPr>
                <w:rFonts w:ascii="Times New Roman" w:hAnsi="Times New Roman" w:cs="Times New Roman"/>
                <w:sz w:val="24"/>
                <w:szCs w:val="24"/>
              </w:rPr>
              <w:lastRenderedPageBreak/>
              <w:t>capitolul III din prezenta anexă sau aplică o procedură de prelevare de probe echivalentă, despre care s-a demonstrat că are același nivel de reprezentativitate ca și procedura de prelevare descrisă în capitolul III din prezenta anexă.</w:t>
            </w:r>
          </w:p>
        </w:tc>
        <w:tc>
          <w:tcPr>
            <w:tcW w:w="3827" w:type="dxa"/>
          </w:tcPr>
          <w:p w:rsidR="003472A9" w:rsidRPr="001D4791" w:rsidRDefault="003472A9"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 xml:space="preserve">Capitolul II </w:t>
            </w:r>
          </w:p>
          <w:p w:rsidR="003472A9" w:rsidRPr="001D4791" w:rsidRDefault="003472A9"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METODE DE PRELEVARE A PROBELOR PENTRU CONTROLUL OFICIAL AL NIVELURILOR DE DIOXINE </w:t>
            </w:r>
            <w:r w:rsidRPr="001D4791">
              <w:rPr>
                <w:rFonts w:ascii="Times New Roman" w:hAnsi="Times New Roman" w:cs="Times New Roman"/>
                <w:b/>
                <w:bCs/>
                <w:sz w:val="24"/>
                <w:szCs w:val="24"/>
              </w:rPr>
              <w:lastRenderedPageBreak/>
              <w:t>(PCDD/PCDF), DE PCB-URI DE TIPUL DIOXINELOR ȘI DE PCB-URI CARE NU SUNT DE TIPUL DIOXINELOR DIN ANUMITE PRODUSE ALIMENTARE</w:t>
            </w:r>
          </w:p>
          <w:p w:rsidR="003472A9" w:rsidRPr="001D4791" w:rsidRDefault="003472A9"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Secțiunea 1 </w:t>
            </w:r>
          </w:p>
          <w:p w:rsidR="003472A9" w:rsidRPr="001D4791" w:rsidRDefault="003472A9" w:rsidP="006534C2">
            <w:pPr>
              <w:jc w:val="both"/>
              <w:rPr>
                <w:rFonts w:ascii="Times New Roman" w:hAnsi="Times New Roman" w:cs="Times New Roman"/>
                <w:b/>
                <w:sz w:val="24"/>
                <w:szCs w:val="24"/>
              </w:rPr>
            </w:pPr>
            <w:r w:rsidRPr="001D4791">
              <w:rPr>
                <w:rFonts w:ascii="Times New Roman" w:hAnsi="Times New Roman" w:cs="Times New Roman"/>
                <w:b/>
                <w:sz w:val="24"/>
                <w:szCs w:val="24"/>
              </w:rPr>
              <w:t xml:space="preserve">Cerințe de prelevare a probelor </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4. </w:t>
            </w:r>
            <w:r w:rsidRPr="001D4791">
              <w:rPr>
                <w:rFonts w:ascii="Times New Roman" w:hAnsi="Times New Roman" w:cs="Times New Roman"/>
                <w:sz w:val="24"/>
                <w:szCs w:val="24"/>
              </w:rPr>
              <w:t>Probele destinate controlului oficial al nivelurilor de dioxine (PCDD/F), de PCB-uri de tipul dioxinelor și de PCB-uri care nu sunt de tipul dioxinelor din produsele alimentare se realizează în conformitate cu metodele descrise în prezentul capitol. Probele agregate astfel obținute se consideră reprezentative pentru loturile sau subloturile din care sunt prelevate. Pe baza nivelurilor determinate în probele de laborator, se stabilește dacă sunt respectate nivelurile maxime prevăzute în HG nr. 520 din  22 iunie 2010 cu privire la aprobarea Regulamentului sanitar privind contaminanţii din produsele alimentare (în contunuare HG 520/2010).</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5. </w:t>
            </w:r>
            <w:r w:rsidRPr="001D4791">
              <w:rPr>
                <w:rFonts w:ascii="Times New Roman" w:hAnsi="Times New Roman" w:cs="Times New Roman"/>
                <w:sz w:val="24"/>
                <w:szCs w:val="24"/>
              </w:rPr>
              <w:t xml:space="preserve">Pentru a asigura respectarea dispozițiilor </w:t>
            </w:r>
            <w:r w:rsidR="005F06DB" w:rsidRPr="001D4791">
              <w:t xml:space="preserve"> </w:t>
            </w:r>
            <w:r w:rsidR="005F06DB" w:rsidRPr="001D4791">
              <w:rPr>
                <w:rFonts w:ascii="Times New Roman" w:hAnsi="Times New Roman" w:cs="Times New Roman"/>
                <w:sz w:val="24"/>
                <w:szCs w:val="24"/>
              </w:rPr>
              <w:t xml:space="preserve">de la articolul 3, alineatul 2-6, din Legea </w:t>
            </w:r>
            <w:r w:rsidRPr="001D4791">
              <w:rPr>
                <w:rFonts w:ascii="Times New Roman" w:hAnsi="Times New Roman" w:cs="Times New Roman"/>
                <w:sz w:val="24"/>
                <w:szCs w:val="24"/>
              </w:rPr>
              <w:t xml:space="preserve">nr. 296  privind cerințele generale de igienă a produselor alimentare din 21 </w:t>
            </w:r>
            <w:r w:rsidRPr="001D4791">
              <w:rPr>
                <w:rFonts w:ascii="Times New Roman" w:hAnsi="Times New Roman" w:cs="Times New Roman"/>
                <w:sz w:val="24"/>
                <w:szCs w:val="24"/>
              </w:rPr>
              <w:lastRenderedPageBreak/>
              <w:t>decembrie 2017, la prelevarea de probe pentru controlul nivelurilor de dioxine (PCDD/F), de PCB-uri de tipul dioxinelor și de PCB-uri care nu sunt de tipul dioxinelor, se aplică metodele descrise în secțiunea 2 din prezentul capitol sau se aplică o procedură de prelevare de probe echivalentă, despre care s-a demonstrat că are același nivel de reprezentativitate ca și procedura de prelevare descrisă în secțiunea 2 din prezentul capitol.</w:t>
            </w:r>
          </w:p>
          <w:p w:rsidR="008D7B1E" w:rsidRPr="001D4791" w:rsidRDefault="008D7B1E"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31281" w:rsidRPr="001D4791" w:rsidRDefault="006074DA"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 xml:space="preserve">II. </w:t>
            </w:r>
            <w:r w:rsidR="00331281" w:rsidRPr="001D4791">
              <w:rPr>
                <w:rFonts w:ascii="Times New Roman" w:hAnsi="Times New Roman" w:cs="Times New Roman"/>
                <w:b/>
                <w:sz w:val="24"/>
                <w:szCs w:val="24"/>
              </w:rPr>
              <w:t>DISPOZIȚII GENERALE</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t>1. Personal</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Prelevarea de probe se efectuează de către o persoană autorizată, desemnată de statul membru.</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t>2.   Materialul din care se prelevă probe</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Se prelevă probe separate din fiecare lot sau sublot care trebuie să fie examinat.</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t>3.   Precauții</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În timpul prelevării și pregătirii probelor, se iau măsuri de precauție pentru a se evita orice modificări care ar putea afecta conținutul de dioxine și de PCB-uri, care ar putea afecta în mod negativ determinarea analitică sau care ar face ca probele agregate să devină nereprezentative.</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4.   Probe elementare</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Pe cât posibil, probele elementare trebuie să fie prelevate din locuri diferite repartizate în întregul lot sau sublot. Abaterea de la această procedură se înregistrează în procesul-verbal menționat la punctul II.8.</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t>5.   Pregătirea probei agregate</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Proba agregată se obține prin combinarea probelor elementare. Proba trebuie să aibă cel puțin 1 kg, cu excepția cazurilor în care acest lucru nu este practic, de exemplu, în cazul în care s-au prelevat probe dintr-un singur pachet sau în cazul în care produsul are o valoare comercială foarte mare.</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t>6.   Probe duplicat</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Probele duplicat utilizate în scopul controlului, contestării și arbitrajului se prelevă din proba agregată omogenizată, cu excepția cazului în care această procedură este contrară reglementărilor statelor membre cu privire la drepturile operatorilor din sectorul alimentar. Mărimea probelor de laborator destinate controlului trebuie să fie suficientă pentru a permite cel puțin efectuarea de analize duplicat.</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t>7.   Ambalarea și transportul probelor</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Fiecare probă se introduce într-un recipient curat, dintr-un material inert, care oferă protecție corespunzătoare împotriva contaminării, a pierderilor de analiți prin adsorbție în peretele intern al recipientului și împotriva deteriorării în timpul transportului. Se iau toate măsurile de precauție necesare pentru a se evita orice modificare a compoziției probei care ar putea să apară în timpul transportului sau al depozitării.</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t>8.   Sigilarea și etichetarea probelor</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Fiecare probă prelevată pentru utilizare oficială se sigilează la locul prelevării și se etichetează în conformitate cu normele statelor membre.</w:t>
            </w:r>
          </w:p>
          <w:p w:rsidR="008D7B1E"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Pentru fiecare prelevare de probe, se întocmește un proces-verbal care să permită identificarea neechivocă a fiecărui lot și care să conțină data și locul prelevării, precum și orice informații suplimentare care ar putea să fie de ajutor analistului.</w:t>
            </w:r>
          </w:p>
        </w:tc>
        <w:tc>
          <w:tcPr>
            <w:tcW w:w="3827" w:type="dxa"/>
          </w:tcPr>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lastRenderedPageBreak/>
              <w:t xml:space="preserve">6. </w:t>
            </w:r>
            <w:r w:rsidR="005F06DB" w:rsidRPr="001D4791">
              <w:rPr>
                <w:rFonts w:ascii="Times New Roman" w:hAnsi="Times New Roman" w:cs="Times New Roman"/>
                <w:sz w:val="24"/>
                <w:szCs w:val="24"/>
              </w:rPr>
              <w:t>Prelevarea de probe în cadrul controalelor oficiale, se efectuează de către o persoană autorizată, desemnată de ANSA. Prelevarea de probe în cadrul controalelor efectuate de operatorii din domeniul alimentar se face de o persoană instruită</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7. </w:t>
            </w:r>
            <w:r w:rsidRPr="001D4791">
              <w:rPr>
                <w:rFonts w:ascii="Times New Roman" w:hAnsi="Times New Roman" w:cs="Times New Roman"/>
                <w:sz w:val="24"/>
                <w:szCs w:val="24"/>
              </w:rPr>
              <w:t>Probele se prelevă separat din fiecare lot sau sublot care este examinat.</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8. </w:t>
            </w:r>
            <w:r w:rsidRPr="001D4791">
              <w:rPr>
                <w:rFonts w:ascii="Times New Roman" w:hAnsi="Times New Roman" w:cs="Times New Roman"/>
                <w:sz w:val="24"/>
                <w:szCs w:val="24"/>
              </w:rPr>
              <w:t>În timpul prelevării și pregătirii probelor, se iau măsuri de precauție pentru a se evita orice modificări care ar putea afecta conținutul de dioxine și de PCB-uri, care ar putea afecta în mod negativ determinarea analitică sau care ar face ca probele agregate să devină nereprezentative.</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9. </w:t>
            </w:r>
            <w:r w:rsidRPr="001D4791">
              <w:rPr>
                <w:rFonts w:ascii="Times New Roman" w:hAnsi="Times New Roman" w:cs="Times New Roman"/>
                <w:sz w:val="24"/>
                <w:szCs w:val="24"/>
              </w:rPr>
              <w:t xml:space="preserve">Probele elementare se prelevă din </w:t>
            </w:r>
            <w:r w:rsidRPr="001D4791">
              <w:rPr>
                <w:rFonts w:ascii="Times New Roman" w:hAnsi="Times New Roman" w:cs="Times New Roman"/>
                <w:sz w:val="24"/>
                <w:szCs w:val="24"/>
              </w:rPr>
              <w:lastRenderedPageBreak/>
              <w:t xml:space="preserve">locuri diferite repartizate în întregul lot sau sublot. Abaterea de la această procedură se înregistrează în procesul-verbal menționat la punctul 13. </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10. </w:t>
            </w:r>
            <w:r w:rsidRPr="001D4791">
              <w:rPr>
                <w:rFonts w:ascii="Times New Roman" w:hAnsi="Times New Roman" w:cs="Times New Roman"/>
                <w:sz w:val="24"/>
                <w:szCs w:val="24"/>
              </w:rPr>
              <w:t>Proba agregată se obține prin combinarea probelor elementare și trebuie să aibă cel puțin 1 kg, cu excepția cazurilor în care acest lucru nu este practic, de exemplu, în cazul în care s-au prelevat probe dintr-un singur pachet sau în cazul în care produsul are o valoare comercială foarte mare.</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11. </w:t>
            </w:r>
            <w:r w:rsidRPr="001D4791">
              <w:rPr>
                <w:rFonts w:ascii="Times New Roman" w:hAnsi="Times New Roman" w:cs="Times New Roman"/>
                <w:sz w:val="24"/>
                <w:szCs w:val="24"/>
              </w:rPr>
              <w:t>Probele duplicat utilizate în scopul controlului, contestării și arbitrajului se prelevă din proba agregată omogenizată. Mărimea probelor de laborator destinate controlului trebuie să fie suficientă pentru a permite cel puțin efectuarea de analize duplicat.</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12. </w:t>
            </w:r>
            <w:r w:rsidRPr="001D4791">
              <w:rPr>
                <w:rFonts w:ascii="Times New Roman" w:hAnsi="Times New Roman" w:cs="Times New Roman"/>
                <w:sz w:val="24"/>
                <w:szCs w:val="24"/>
              </w:rPr>
              <w:t xml:space="preserve">Fiecare probă se introduce într-un recipient curat, dintr-un material inert, care oferă protecție împotriva contaminării, a pierderilor de analiți prin adsorbție în peretele intern al recipientului și împotriva deteriorării în timpul transportului. Se iau toate măsurile de precauție necesare pentru a se evita orice modificare a compoziției probei care ar putea să apară în timpul transportului sau al </w:t>
            </w:r>
            <w:r w:rsidRPr="001D4791">
              <w:rPr>
                <w:rFonts w:ascii="Times New Roman" w:hAnsi="Times New Roman" w:cs="Times New Roman"/>
                <w:sz w:val="24"/>
                <w:szCs w:val="24"/>
              </w:rPr>
              <w:lastRenderedPageBreak/>
              <w:t>depozitării.</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13. </w:t>
            </w:r>
            <w:r w:rsidRPr="001D4791">
              <w:rPr>
                <w:rFonts w:ascii="Times New Roman" w:hAnsi="Times New Roman" w:cs="Times New Roman"/>
                <w:sz w:val="24"/>
                <w:szCs w:val="24"/>
              </w:rPr>
              <w:t>Fiecare probă prelevată pentru utilizare oficială se sigilează la locul prelevării și se etichetează. Pentru fiecare prelevare de probe, se întocmește un proces-verbal care să permită identificarea neechivocă a fiecărui lot și care să conțină data și locul prelevării, precum și orice informații suplimentare care ar putea să fie de ajutor analistului.</w:t>
            </w:r>
          </w:p>
          <w:p w:rsidR="008D7B1E" w:rsidRPr="001D4791" w:rsidRDefault="008D7B1E"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III.   PLANUL DE PRELEVARE A PROBELOR</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Metoda de prelevare a probelor aplicată trebuie să asigure reprezentativitatea probei agregate pentru (sub)lotul de controlat.</w:t>
            </w:r>
          </w:p>
          <w:p w:rsidR="00331281" w:rsidRPr="001D4791" w:rsidRDefault="00331281"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1.   Împărțirea loturilor în subloturi</w:t>
            </w:r>
          </w:p>
          <w:p w:rsidR="008D7B1E"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Loturile mari se împart în subloturi, cu condiția ca sublotul să poată fi separat fizic. Pentru produsele comercializate în transporturi vrac mari (de exemplu, uleiurile vegetale), se aplică valorile din tabelul 1. Pentru alte produse, se aplică valorile din tabelul 2. Având în vedere faptul că greutatea unui lot nu este întotdeauna un multiplu exact al greutății subloturilor, greutatea sublotului poate depăși greutatea menționată cu maximum 20 %.</w:t>
            </w:r>
          </w:p>
        </w:tc>
        <w:tc>
          <w:tcPr>
            <w:tcW w:w="3827" w:type="dxa"/>
          </w:tcPr>
          <w:p w:rsidR="003472A9" w:rsidRPr="001D4791" w:rsidRDefault="003472A9"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Secțiunea 2</w:t>
            </w:r>
          </w:p>
          <w:p w:rsidR="003472A9" w:rsidRPr="001D4791" w:rsidRDefault="003472A9" w:rsidP="006534C2">
            <w:pPr>
              <w:jc w:val="both"/>
              <w:rPr>
                <w:rFonts w:ascii="Times New Roman" w:hAnsi="Times New Roman" w:cs="Times New Roman"/>
                <w:b/>
                <w:sz w:val="24"/>
                <w:szCs w:val="24"/>
              </w:rPr>
            </w:pPr>
            <w:r w:rsidRPr="001D4791">
              <w:rPr>
                <w:rFonts w:ascii="Times New Roman" w:hAnsi="Times New Roman" w:cs="Times New Roman"/>
                <w:b/>
                <w:sz w:val="24"/>
                <w:szCs w:val="24"/>
              </w:rPr>
              <w:t>Planul de prelevare a probelor</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14. </w:t>
            </w:r>
            <w:r w:rsidRPr="001D4791">
              <w:rPr>
                <w:rFonts w:ascii="Times New Roman" w:hAnsi="Times New Roman" w:cs="Times New Roman"/>
                <w:sz w:val="24"/>
                <w:szCs w:val="24"/>
              </w:rPr>
              <w:t xml:space="preserve">Metoda de prelevare a probelor aplicată trebuie să asigure reprezentativitatea probei agregate pentru (sub)lotul de controlat. </w:t>
            </w:r>
            <w:r w:rsidRPr="001D4791">
              <w:rPr>
                <w:rFonts w:ascii="Times New Roman" w:hAnsi="Times New Roman" w:cs="Times New Roman"/>
                <w:sz w:val="24"/>
                <w:szCs w:val="24"/>
              </w:rPr>
              <w:lastRenderedPageBreak/>
              <w:t>Loturile mari se împart în subloturi, cu condiția ca sublotul să poată fi separat fizic. Pentru produsele comercializate în transporturi vrac mari (de exemplu, uleiurile vegetale), se aplică valorile din tabelul nr. 1. Pentru alte produse, se aplică valorile din tabelul nr. 2. Având în vedere faptul că greutatea unui lot nu este întotdeauna un multiplu exact al greutății subloturilor, greutatea sublotului poate depăși greutatea menționată cu maximum 20 %.</w:t>
            </w:r>
          </w:p>
          <w:p w:rsidR="008D7B1E" w:rsidRPr="001D4791" w:rsidRDefault="008D7B1E"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i/>
                <w:iCs/>
                <w:sz w:val="24"/>
                <w:szCs w:val="24"/>
              </w:rPr>
              <w:lastRenderedPageBreak/>
              <w:t>Tabelul 1</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b/>
                <w:bCs/>
                <w:sz w:val="24"/>
                <w:szCs w:val="24"/>
              </w:rPr>
              <w:t>Împărțirea loturilor în subloturi pentru produsele comercializate în transporturi vrac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36"/>
              <w:gridCol w:w="2026"/>
            </w:tblGrid>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lotului (în tone)</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sau numărul de subloturi</w:t>
                  </w:r>
                </w:p>
              </w:tc>
            </w:tr>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1 500</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500 de tone</w:t>
                  </w:r>
                </w:p>
              </w:tc>
            </w:tr>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&gt; 300 și &lt; 1 500</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3 subloturi</w:t>
                  </w:r>
                </w:p>
              </w:tc>
            </w:tr>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50 și ≤ 300</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100 de tone</w:t>
                  </w:r>
                </w:p>
              </w:tc>
            </w:tr>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&lt; 50</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w:t>
                  </w:r>
                </w:p>
              </w:tc>
            </w:tr>
          </w:tbl>
          <w:p w:rsidR="008D7B1E" w:rsidRPr="001D4791" w:rsidRDefault="008D7B1E" w:rsidP="006534C2">
            <w:pPr>
              <w:rPr>
                <w:rFonts w:ascii="Times New Roman" w:hAnsi="Times New Roman" w:cs="Times New Roman"/>
                <w:sz w:val="24"/>
                <w:szCs w:val="24"/>
              </w:rPr>
            </w:pPr>
          </w:p>
        </w:tc>
        <w:tc>
          <w:tcPr>
            <w:tcW w:w="3827" w:type="dxa"/>
          </w:tcPr>
          <w:p w:rsidR="003472A9" w:rsidRPr="001D4791" w:rsidRDefault="003472A9" w:rsidP="006534C2">
            <w:pPr>
              <w:rPr>
                <w:rFonts w:ascii="Times New Roman" w:hAnsi="Times New Roman" w:cs="Times New Roman"/>
                <w:sz w:val="24"/>
                <w:szCs w:val="24"/>
              </w:rPr>
            </w:pPr>
            <w:r w:rsidRPr="001D4791">
              <w:rPr>
                <w:rFonts w:ascii="Times New Roman" w:hAnsi="Times New Roman" w:cs="Times New Roman"/>
                <w:iCs/>
                <w:sz w:val="24"/>
                <w:szCs w:val="24"/>
              </w:rPr>
              <w:t>Tabelul nr.1</w:t>
            </w:r>
          </w:p>
          <w:p w:rsidR="003472A9" w:rsidRPr="001D4791" w:rsidRDefault="003472A9" w:rsidP="006534C2">
            <w:pPr>
              <w:rPr>
                <w:rFonts w:ascii="Times New Roman" w:hAnsi="Times New Roman" w:cs="Times New Roman"/>
                <w:sz w:val="24"/>
                <w:szCs w:val="24"/>
              </w:rPr>
            </w:pPr>
            <w:r w:rsidRPr="001D4791">
              <w:rPr>
                <w:rFonts w:ascii="Times New Roman" w:hAnsi="Times New Roman" w:cs="Times New Roman"/>
                <w:b/>
                <w:bCs/>
                <w:sz w:val="24"/>
                <w:szCs w:val="24"/>
              </w:rPr>
              <w:t>Împărțirea loturilor în subloturi pentru produsele comercializate în transporturi vrac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47"/>
              <w:gridCol w:w="2048"/>
            </w:tblGrid>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lotului (în tone)</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sau numărul de subloturi</w:t>
                  </w:r>
                </w:p>
              </w:tc>
            </w:tr>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1 500</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500 de tone</w:t>
                  </w:r>
                </w:p>
              </w:tc>
            </w:tr>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&gt; 300 și &lt; 1 500</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3 subloturi</w:t>
                  </w:r>
                </w:p>
              </w:tc>
            </w:tr>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50 și ≤ 300</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100 de tone</w:t>
                  </w:r>
                </w:p>
              </w:tc>
            </w:tr>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&lt; 50</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w:t>
                  </w:r>
                </w:p>
              </w:tc>
            </w:tr>
          </w:tbl>
          <w:p w:rsidR="003472A9" w:rsidRPr="001D4791" w:rsidRDefault="003472A9" w:rsidP="006534C2">
            <w:pPr>
              <w:rPr>
                <w:rFonts w:ascii="Times New Roman" w:hAnsi="Times New Roman" w:cs="Times New Roman"/>
                <w:sz w:val="24"/>
                <w:szCs w:val="24"/>
              </w:rPr>
            </w:pPr>
          </w:p>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31281" w:rsidRPr="001D4791" w:rsidRDefault="00331281" w:rsidP="006534C2">
            <w:pPr>
              <w:rPr>
                <w:rFonts w:ascii="Times New Roman" w:hAnsi="Times New Roman" w:cs="Times New Roman"/>
                <w:sz w:val="24"/>
                <w:szCs w:val="24"/>
              </w:rPr>
            </w:pPr>
            <w:r w:rsidRPr="001D4791">
              <w:rPr>
                <w:rFonts w:ascii="Times New Roman" w:hAnsi="Times New Roman" w:cs="Times New Roman"/>
                <w:i/>
                <w:iCs/>
                <w:sz w:val="24"/>
                <w:szCs w:val="24"/>
              </w:rPr>
              <w:t>Tabelul 2</w:t>
            </w:r>
          </w:p>
          <w:p w:rsidR="00331281" w:rsidRPr="001D4791" w:rsidRDefault="00331281" w:rsidP="006534C2">
            <w:pPr>
              <w:rPr>
                <w:rFonts w:ascii="Times New Roman" w:hAnsi="Times New Roman" w:cs="Times New Roman"/>
                <w:sz w:val="24"/>
                <w:szCs w:val="24"/>
              </w:rPr>
            </w:pPr>
            <w:r w:rsidRPr="001D4791">
              <w:rPr>
                <w:rFonts w:ascii="Times New Roman" w:hAnsi="Times New Roman" w:cs="Times New Roman"/>
                <w:b/>
                <w:bCs/>
                <w:sz w:val="24"/>
                <w:szCs w:val="24"/>
              </w:rPr>
              <w:t xml:space="preserve">Împărțirea loturilor în subloturi </w:t>
            </w:r>
            <w:r w:rsidRPr="001D4791">
              <w:rPr>
                <w:rFonts w:ascii="Times New Roman" w:hAnsi="Times New Roman" w:cs="Times New Roman"/>
                <w:b/>
                <w:bCs/>
                <w:sz w:val="24"/>
                <w:szCs w:val="24"/>
              </w:rPr>
              <w:lastRenderedPageBreak/>
              <w:t>pentru alte produse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36"/>
              <w:gridCol w:w="2026"/>
            </w:tblGrid>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lotului (în tone)</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sau numărul de subloturi</w:t>
                  </w:r>
                </w:p>
              </w:tc>
            </w:tr>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15</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15-30 de tone</w:t>
                  </w:r>
                </w:p>
              </w:tc>
            </w:tr>
            <w:tr w:rsidR="00331281" w:rsidRPr="001D4791" w:rsidTr="00331281">
              <w:tc>
                <w:tcPr>
                  <w:tcW w:w="45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&lt; 15</w:t>
                  </w:r>
                </w:p>
              </w:tc>
              <w:tc>
                <w:tcPr>
                  <w:tcW w:w="612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w:t>
                  </w:r>
                </w:p>
              </w:tc>
            </w:tr>
          </w:tbl>
          <w:p w:rsidR="008D7B1E" w:rsidRPr="001D4791" w:rsidRDefault="008D7B1E" w:rsidP="006534C2">
            <w:pPr>
              <w:rPr>
                <w:rFonts w:ascii="Times New Roman" w:hAnsi="Times New Roman" w:cs="Times New Roman"/>
                <w:sz w:val="24"/>
                <w:szCs w:val="24"/>
              </w:rPr>
            </w:pPr>
          </w:p>
        </w:tc>
        <w:tc>
          <w:tcPr>
            <w:tcW w:w="3827" w:type="dxa"/>
          </w:tcPr>
          <w:p w:rsidR="003472A9" w:rsidRPr="001D4791" w:rsidRDefault="003472A9" w:rsidP="006534C2">
            <w:pPr>
              <w:rPr>
                <w:rFonts w:ascii="Times New Roman" w:hAnsi="Times New Roman" w:cs="Times New Roman"/>
                <w:sz w:val="24"/>
                <w:szCs w:val="24"/>
              </w:rPr>
            </w:pPr>
            <w:r w:rsidRPr="001D4791">
              <w:rPr>
                <w:rFonts w:ascii="Times New Roman" w:hAnsi="Times New Roman" w:cs="Times New Roman"/>
                <w:iCs/>
                <w:sz w:val="24"/>
                <w:szCs w:val="24"/>
              </w:rPr>
              <w:lastRenderedPageBreak/>
              <w:t>Tabelul nr. 2</w:t>
            </w:r>
          </w:p>
          <w:p w:rsidR="003472A9" w:rsidRPr="001D4791" w:rsidRDefault="003472A9" w:rsidP="006534C2">
            <w:pPr>
              <w:rPr>
                <w:rFonts w:ascii="Times New Roman" w:hAnsi="Times New Roman" w:cs="Times New Roman"/>
                <w:sz w:val="24"/>
                <w:szCs w:val="24"/>
              </w:rPr>
            </w:pPr>
            <w:r w:rsidRPr="001D4791">
              <w:rPr>
                <w:rFonts w:ascii="Times New Roman" w:hAnsi="Times New Roman" w:cs="Times New Roman"/>
                <w:b/>
                <w:bCs/>
                <w:sz w:val="24"/>
                <w:szCs w:val="24"/>
              </w:rPr>
              <w:t xml:space="preserve">Împărțirea loturilor în subloturi </w:t>
            </w:r>
            <w:r w:rsidRPr="001D4791">
              <w:rPr>
                <w:rFonts w:ascii="Times New Roman" w:hAnsi="Times New Roman" w:cs="Times New Roman"/>
                <w:b/>
                <w:bCs/>
                <w:sz w:val="24"/>
                <w:szCs w:val="24"/>
              </w:rPr>
              <w:lastRenderedPageBreak/>
              <w:t>pentru alte produse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47"/>
              <w:gridCol w:w="2048"/>
            </w:tblGrid>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lotului (în tone)</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sau numărul de subloturi</w:t>
                  </w:r>
                </w:p>
              </w:tc>
            </w:tr>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15</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15-30 de tone</w:t>
                  </w:r>
                </w:p>
              </w:tc>
            </w:tr>
            <w:tr w:rsidR="003472A9" w:rsidRPr="001D4791" w:rsidTr="003472A9">
              <w:tc>
                <w:tcPr>
                  <w:tcW w:w="41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&lt; 15</w:t>
                  </w:r>
                </w:p>
              </w:tc>
              <w:tc>
                <w:tcPr>
                  <w:tcW w:w="561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w:t>
                  </w:r>
                </w:p>
              </w:tc>
            </w:tr>
          </w:tbl>
          <w:p w:rsidR="003472A9" w:rsidRPr="001D4791" w:rsidRDefault="003472A9" w:rsidP="006534C2">
            <w:pPr>
              <w:rPr>
                <w:rFonts w:ascii="Times New Roman" w:hAnsi="Times New Roman" w:cs="Times New Roman"/>
                <w:b/>
                <w:bCs/>
                <w:sz w:val="24"/>
                <w:szCs w:val="24"/>
              </w:rPr>
            </w:pPr>
          </w:p>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 xml:space="preserve">Agenţia Naţională </w:t>
            </w:r>
            <w:r w:rsidRPr="001D4791">
              <w:rPr>
                <w:rFonts w:ascii="Times New Roman" w:hAnsi="Times New Roman" w:cs="Times New Roman"/>
                <w:sz w:val="24"/>
                <w:szCs w:val="24"/>
              </w:rPr>
              <w:lastRenderedPageBreak/>
              <w:t>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31281" w:rsidRPr="001D4791" w:rsidRDefault="00331281"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2.</w:t>
            </w:r>
            <w:r w:rsidR="006074DA" w:rsidRPr="001D4791">
              <w:rPr>
                <w:rFonts w:ascii="Times New Roman" w:hAnsi="Times New Roman" w:cs="Times New Roman"/>
                <w:b/>
                <w:bCs/>
                <w:sz w:val="24"/>
                <w:szCs w:val="24"/>
              </w:rPr>
              <w:t xml:space="preserve"> </w:t>
            </w:r>
            <w:r w:rsidRPr="001D4791">
              <w:rPr>
                <w:rFonts w:ascii="Times New Roman" w:hAnsi="Times New Roman" w:cs="Times New Roman"/>
                <w:b/>
                <w:bCs/>
                <w:sz w:val="24"/>
                <w:szCs w:val="24"/>
              </w:rPr>
              <w:t>Numărul de probe elementare</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Proba agregată care reunește toate probele elementare trebuie să fie de cel puțin 1 kg (a se vedea punctul II.5).</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Numărul minim de probe elementare care sunt prelevate din lot sau din sublot este cel indicat în tabelele 3 și 4.</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În cazul produselor lichide în vrac, lotul sau sublotul este amestecat cât mai temeinic posibil astfel încât să nu afecteze calitatea produsului, prin mijloace mecanice sau manuale, imediat înainte de prelevarea probelor. În acest caz, se presupune că se realizează o repartizare omogenă a contaminanților dintr-un anumit lot sau sublot. Prin urmare, este suficientă prelevarea a trei probe elementare dintr-un lot sau sublot pentru a constitui proba agregată.</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Probele elementare trebuie să aibă o greutate similară. Greutatea unei </w:t>
            </w:r>
            <w:r w:rsidRPr="001D4791">
              <w:rPr>
                <w:rFonts w:ascii="Times New Roman" w:hAnsi="Times New Roman" w:cs="Times New Roman"/>
                <w:sz w:val="24"/>
                <w:szCs w:val="24"/>
              </w:rPr>
              <w:lastRenderedPageBreak/>
              <w:t>probe elementare trebuie să fie de cel puțin 100 de grame.</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Abaterea de la această procedură se înregistrează în procesul-verbal menționat la punctul II.8 din prezenta anexă. În conformitate cu dispozițiile Deciziei 97/747/CE a Comisiei</w:t>
            </w:r>
            <w:hyperlink r:id="rId6" w:anchor="ntr1-L_2017092RO.01001401-E0001" w:history="1">
              <w:r w:rsidRPr="001D4791">
                <w:rPr>
                  <w:rStyle w:val="a5"/>
                  <w:rFonts w:ascii="Times New Roman" w:hAnsi="Times New Roman" w:cs="Times New Roman"/>
                  <w:color w:val="auto"/>
                  <w:sz w:val="24"/>
                  <w:szCs w:val="24"/>
                </w:rPr>
                <w:t> (</w:t>
              </w:r>
              <w:r w:rsidRPr="001D4791">
                <w:rPr>
                  <w:rStyle w:val="a5"/>
                  <w:rFonts w:ascii="Times New Roman" w:hAnsi="Times New Roman" w:cs="Times New Roman"/>
                  <w:color w:val="auto"/>
                  <w:sz w:val="24"/>
                  <w:szCs w:val="24"/>
                  <w:vertAlign w:val="superscript"/>
                </w:rPr>
                <w:t>1</w:t>
              </w:r>
              <w:r w:rsidRPr="001D4791">
                <w:rPr>
                  <w:rStyle w:val="a5"/>
                  <w:rFonts w:ascii="Times New Roman" w:hAnsi="Times New Roman" w:cs="Times New Roman"/>
                  <w:color w:val="auto"/>
                  <w:sz w:val="24"/>
                  <w:szCs w:val="24"/>
                </w:rPr>
                <w:t>)</w:t>
              </w:r>
            </w:hyperlink>
            <w:r w:rsidRPr="001D4791">
              <w:rPr>
                <w:rFonts w:ascii="Times New Roman" w:hAnsi="Times New Roman" w:cs="Times New Roman"/>
                <w:sz w:val="24"/>
                <w:szCs w:val="24"/>
              </w:rPr>
              <w:t>, mărimea probei agregate pentru ouăle de găină este de cel puțin 12 ouă (pentru loturile în vrac și pentru loturile alcătuite din pachete individuale, se aplică valorile din tabelele 3 și 4).</w:t>
            </w:r>
          </w:p>
          <w:p w:rsidR="008D7B1E" w:rsidRPr="001D4791" w:rsidRDefault="008D7B1E" w:rsidP="006534C2">
            <w:pPr>
              <w:rPr>
                <w:rFonts w:ascii="Times New Roman" w:hAnsi="Times New Roman" w:cs="Times New Roman"/>
                <w:sz w:val="24"/>
                <w:szCs w:val="24"/>
              </w:rPr>
            </w:pPr>
          </w:p>
        </w:tc>
        <w:tc>
          <w:tcPr>
            <w:tcW w:w="3827" w:type="dxa"/>
          </w:tcPr>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lastRenderedPageBreak/>
              <w:t xml:space="preserve">15. </w:t>
            </w:r>
            <w:r w:rsidRPr="001D4791">
              <w:rPr>
                <w:rFonts w:ascii="Times New Roman" w:hAnsi="Times New Roman" w:cs="Times New Roman"/>
                <w:sz w:val="24"/>
                <w:szCs w:val="24"/>
              </w:rPr>
              <w:t>Proba agregată care reunește toate probele elementare trebuie să fie de cel puțin 1 kg. (a se vedea punctul 10).</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16.</w:t>
            </w:r>
            <w:r w:rsidRPr="001D4791">
              <w:rPr>
                <w:rFonts w:ascii="Times New Roman" w:hAnsi="Times New Roman" w:cs="Times New Roman"/>
                <w:sz w:val="24"/>
                <w:szCs w:val="24"/>
              </w:rPr>
              <w:t xml:space="preserve"> Numărul minim de probe elementare care sunt prelevate din lot sau din sublot este cel indicat în tabelele nr. 3 și nr. 4.</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17.</w:t>
            </w:r>
            <w:r w:rsidRPr="001D4791">
              <w:rPr>
                <w:rFonts w:ascii="Times New Roman" w:hAnsi="Times New Roman" w:cs="Times New Roman"/>
                <w:sz w:val="24"/>
                <w:szCs w:val="24"/>
              </w:rPr>
              <w:t xml:space="preserve"> Înainte de prelevarea probelor lotul sau sublotul de produse lichide în vrac trebuie bine amestecat prin mijloace mecanice sau manuale, în scopul repartizării omogene a contaminanţilor. Este suficientă prelevarea a trei probe dintr-un lot sau sublot pentru a constitui o probă agregată.</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18.</w:t>
            </w:r>
            <w:r w:rsidRPr="001D4791">
              <w:rPr>
                <w:rFonts w:ascii="Times New Roman" w:hAnsi="Times New Roman" w:cs="Times New Roman"/>
                <w:sz w:val="24"/>
                <w:szCs w:val="24"/>
              </w:rPr>
              <w:t xml:space="preserve"> Probele elementare trebuie să aibă o greutate similară. Greutatea unei probe elementare trebuie să fie de cel puțin 100 de grame.</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t>19.</w:t>
            </w:r>
            <w:r w:rsidRPr="001D4791">
              <w:rPr>
                <w:rFonts w:ascii="Times New Roman" w:hAnsi="Times New Roman" w:cs="Times New Roman"/>
                <w:sz w:val="24"/>
                <w:szCs w:val="24"/>
              </w:rPr>
              <w:t xml:space="preserve"> Orice abatere de la această cerință se înregistrează în procesul-verbal menționat la punctul 13. </w:t>
            </w:r>
            <w:r w:rsidRPr="001D4791">
              <w:rPr>
                <w:rFonts w:ascii="Times New Roman" w:hAnsi="Times New Roman" w:cs="Times New Roman"/>
                <w:sz w:val="24"/>
                <w:szCs w:val="24"/>
              </w:rPr>
              <w:lastRenderedPageBreak/>
              <w:t>Mărimea probei agregate pentru ouăle de găină este de cel puțin 12 ouă (pentru loturile în vrac și pentru loturile alcătuite din pachete individuale, se aplică valorile din tabelele nr. 3 și nr.4.)</w:t>
            </w:r>
          </w:p>
          <w:p w:rsidR="008D7B1E" w:rsidRPr="001D4791" w:rsidRDefault="008D7B1E"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i/>
                <w:iCs/>
                <w:sz w:val="24"/>
                <w:szCs w:val="24"/>
              </w:rPr>
              <w:lastRenderedPageBreak/>
              <w:t>Tabelul 3</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b/>
                <w:bCs/>
                <w:sz w:val="24"/>
                <w:szCs w:val="24"/>
              </w:rPr>
              <w:t>Numărul minim de probe elementare de prelevat din lot sau sublot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97"/>
              <w:gridCol w:w="1665"/>
            </w:tblGrid>
            <w:tr w:rsidR="00331281" w:rsidRPr="001D4791" w:rsidTr="00331281">
              <w:tc>
                <w:tcPr>
                  <w:tcW w:w="57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sau volumul lotului/sublotului (în kg sau litri)</w:t>
                  </w:r>
                </w:p>
              </w:tc>
              <w:tc>
                <w:tcPr>
                  <w:tcW w:w="49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Numărul minim de probe elementare de prelevat</w:t>
                  </w:r>
                </w:p>
              </w:tc>
            </w:tr>
            <w:tr w:rsidR="00331281" w:rsidRPr="001D4791" w:rsidTr="00331281">
              <w:tc>
                <w:tcPr>
                  <w:tcW w:w="57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&lt; 50</w:t>
                  </w:r>
                </w:p>
              </w:tc>
              <w:tc>
                <w:tcPr>
                  <w:tcW w:w="49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3</w:t>
                  </w:r>
                </w:p>
              </w:tc>
            </w:tr>
            <w:tr w:rsidR="00331281" w:rsidRPr="001D4791" w:rsidTr="00331281">
              <w:tc>
                <w:tcPr>
                  <w:tcW w:w="57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între 50 și 500</w:t>
                  </w:r>
                </w:p>
              </w:tc>
              <w:tc>
                <w:tcPr>
                  <w:tcW w:w="49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5</w:t>
                  </w:r>
                </w:p>
              </w:tc>
            </w:tr>
            <w:tr w:rsidR="00331281" w:rsidRPr="001D4791" w:rsidTr="00331281">
              <w:tc>
                <w:tcPr>
                  <w:tcW w:w="57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&gt; 500</w:t>
                  </w:r>
                </w:p>
              </w:tc>
              <w:tc>
                <w:tcPr>
                  <w:tcW w:w="49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10</w:t>
                  </w:r>
                </w:p>
              </w:tc>
            </w:tr>
          </w:tbl>
          <w:p w:rsidR="008D7B1E" w:rsidRPr="001D4791" w:rsidRDefault="008D7B1E" w:rsidP="006534C2">
            <w:pPr>
              <w:rPr>
                <w:rFonts w:ascii="Times New Roman" w:hAnsi="Times New Roman" w:cs="Times New Roman"/>
                <w:sz w:val="24"/>
                <w:szCs w:val="24"/>
              </w:rPr>
            </w:pPr>
          </w:p>
        </w:tc>
        <w:tc>
          <w:tcPr>
            <w:tcW w:w="3827" w:type="dxa"/>
          </w:tcPr>
          <w:p w:rsidR="003472A9" w:rsidRPr="001D4791" w:rsidRDefault="003472A9" w:rsidP="006534C2">
            <w:pPr>
              <w:rPr>
                <w:rFonts w:ascii="Times New Roman" w:hAnsi="Times New Roman" w:cs="Times New Roman"/>
                <w:sz w:val="24"/>
                <w:szCs w:val="24"/>
              </w:rPr>
            </w:pPr>
            <w:r w:rsidRPr="001D4791">
              <w:rPr>
                <w:rFonts w:ascii="Times New Roman" w:hAnsi="Times New Roman" w:cs="Times New Roman"/>
                <w:iCs/>
                <w:sz w:val="24"/>
                <w:szCs w:val="24"/>
              </w:rPr>
              <w:t>Tabelul nr. 3</w:t>
            </w:r>
          </w:p>
          <w:p w:rsidR="003472A9" w:rsidRPr="001D4791" w:rsidRDefault="003472A9" w:rsidP="006534C2">
            <w:pPr>
              <w:rPr>
                <w:rFonts w:ascii="Times New Roman" w:hAnsi="Times New Roman" w:cs="Times New Roman"/>
                <w:sz w:val="24"/>
                <w:szCs w:val="24"/>
              </w:rPr>
            </w:pPr>
            <w:r w:rsidRPr="001D4791">
              <w:rPr>
                <w:rFonts w:ascii="Times New Roman" w:hAnsi="Times New Roman" w:cs="Times New Roman"/>
                <w:b/>
                <w:bCs/>
                <w:sz w:val="24"/>
                <w:szCs w:val="24"/>
              </w:rPr>
              <w:t>Numărul minim de probe elementare de prelevat din lot sau sublot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32"/>
              <w:gridCol w:w="1463"/>
            </w:tblGrid>
            <w:tr w:rsidR="003472A9" w:rsidRPr="001D4791" w:rsidTr="003472A9">
              <w:tc>
                <w:tcPr>
                  <w:tcW w:w="585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Greutatea sau volumul lotului/sublotului (în kg sau litri)</w:t>
                  </w:r>
                </w:p>
              </w:tc>
              <w:tc>
                <w:tcPr>
                  <w:tcW w:w="394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Numărul minim de probe elementare de prelevat</w:t>
                  </w:r>
                </w:p>
              </w:tc>
            </w:tr>
            <w:tr w:rsidR="003472A9" w:rsidRPr="001D4791" w:rsidTr="003472A9">
              <w:tc>
                <w:tcPr>
                  <w:tcW w:w="585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&lt; 50</w:t>
                  </w:r>
                  <w:r w:rsidRPr="001D4791">
                    <w:rPr>
                      <w:rFonts w:ascii="Times New Roman" w:hAnsi="Times New Roman" w:cs="Times New Roman"/>
                      <w:sz w:val="24"/>
                      <w:szCs w:val="24"/>
                    </w:rPr>
                    <w:tab/>
                  </w:r>
                </w:p>
              </w:tc>
              <w:tc>
                <w:tcPr>
                  <w:tcW w:w="394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3</w:t>
                  </w:r>
                </w:p>
              </w:tc>
            </w:tr>
            <w:tr w:rsidR="003472A9" w:rsidRPr="001D4791" w:rsidTr="003472A9">
              <w:tc>
                <w:tcPr>
                  <w:tcW w:w="585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între 50 și 500</w:t>
                  </w:r>
                </w:p>
              </w:tc>
              <w:tc>
                <w:tcPr>
                  <w:tcW w:w="394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5</w:t>
                  </w:r>
                </w:p>
              </w:tc>
            </w:tr>
            <w:tr w:rsidR="003472A9" w:rsidRPr="001D4791" w:rsidTr="003472A9">
              <w:tc>
                <w:tcPr>
                  <w:tcW w:w="585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&gt; 500</w:t>
                  </w:r>
                </w:p>
              </w:tc>
              <w:tc>
                <w:tcPr>
                  <w:tcW w:w="394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10</w:t>
                  </w:r>
                </w:p>
              </w:tc>
            </w:tr>
          </w:tbl>
          <w:p w:rsidR="003472A9" w:rsidRPr="001D4791" w:rsidRDefault="003472A9" w:rsidP="006534C2">
            <w:pPr>
              <w:rPr>
                <w:rFonts w:ascii="Times New Roman" w:hAnsi="Times New Roman" w:cs="Times New Roman"/>
                <w:b/>
                <w:sz w:val="24"/>
                <w:szCs w:val="24"/>
              </w:rPr>
            </w:pPr>
          </w:p>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Dacă lotul sau sublotul constă în pachete sau unități individuale, numărul de pachete sau de unități de prelevat pentru a forma o probă </w:t>
            </w:r>
            <w:r w:rsidRPr="001D4791">
              <w:rPr>
                <w:rFonts w:ascii="Times New Roman" w:hAnsi="Times New Roman" w:cs="Times New Roman"/>
                <w:sz w:val="24"/>
                <w:szCs w:val="24"/>
              </w:rPr>
              <w:lastRenderedPageBreak/>
              <w:t>agregată este menționat în tabelul 4.</w:t>
            </w:r>
          </w:p>
          <w:p w:rsidR="006074DA" w:rsidRPr="001D4791" w:rsidRDefault="006074DA" w:rsidP="006534C2">
            <w:pPr>
              <w:jc w:val="both"/>
              <w:rPr>
                <w:rFonts w:ascii="Times New Roman" w:hAnsi="Times New Roman" w:cs="Times New Roman"/>
                <w:i/>
                <w:iCs/>
                <w:sz w:val="24"/>
                <w:szCs w:val="24"/>
              </w:rPr>
            </w:pP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i/>
                <w:iCs/>
                <w:sz w:val="24"/>
                <w:szCs w:val="24"/>
              </w:rPr>
              <w:t>Tabelul 4</w:t>
            </w:r>
          </w:p>
          <w:p w:rsidR="00331281" w:rsidRPr="001D4791" w:rsidRDefault="00331281" w:rsidP="006534C2">
            <w:pPr>
              <w:jc w:val="both"/>
              <w:rPr>
                <w:rFonts w:ascii="Times New Roman" w:hAnsi="Times New Roman" w:cs="Times New Roman"/>
                <w:sz w:val="24"/>
                <w:szCs w:val="24"/>
              </w:rPr>
            </w:pPr>
            <w:r w:rsidRPr="001D4791">
              <w:rPr>
                <w:rFonts w:ascii="Times New Roman" w:hAnsi="Times New Roman" w:cs="Times New Roman"/>
                <w:b/>
                <w:bCs/>
                <w:sz w:val="24"/>
                <w:szCs w:val="24"/>
              </w:rPr>
              <w:t>Numărul de pachete sau de unități (probe elementare) de prelevat pentru a constitui proba agregată în cazul în care lotul sau sublotul este format din pachete sau unități individuale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16"/>
              <w:gridCol w:w="1746"/>
            </w:tblGrid>
            <w:tr w:rsidR="00331281" w:rsidRPr="001D4791" w:rsidTr="00331281">
              <w:tc>
                <w:tcPr>
                  <w:tcW w:w="546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Numărul de pachete sau de unități din lot/sublot</w:t>
                  </w:r>
                </w:p>
              </w:tc>
              <w:tc>
                <w:tcPr>
                  <w:tcW w:w="5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Numărul de pachete sau de unități de prelevat</w:t>
                  </w:r>
                </w:p>
              </w:tc>
            </w:tr>
            <w:tr w:rsidR="00331281" w:rsidRPr="001D4791" w:rsidTr="00331281">
              <w:tc>
                <w:tcPr>
                  <w:tcW w:w="546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între 1 și 25</w:t>
                  </w:r>
                </w:p>
              </w:tc>
              <w:tc>
                <w:tcPr>
                  <w:tcW w:w="5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cel puțin 1 pachet sau 1 unitate</w:t>
                  </w:r>
                </w:p>
              </w:tc>
            </w:tr>
            <w:tr w:rsidR="00331281" w:rsidRPr="001D4791" w:rsidTr="00331281">
              <w:tc>
                <w:tcPr>
                  <w:tcW w:w="546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între 26 și 100</w:t>
                  </w:r>
                </w:p>
              </w:tc>
              <w:tc>
                <w:tcPr>
                  <w:tcW w:w="5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aproximativ 5 %, cel puțin 2 pachete sau unități</w:t>
                  </w:r>
                </w:p>
              </w:tc>
            </w:tr>
            <w:tr w:rsidR="00331281" w:rsidRPr="001D4791" w:rsidTr="00331281">
              <w:tc>
                <w:tcPr>
                  <w:tcW w:w="546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&gt; 100</w:t>
                  </w:r>
                </w:p>
              </w:tc>
              <w:tc>
                <w:tcPr>
                  <w:tcW w:w="5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74588" w:rsidRPr="001D4791" w:rsidRDefault="00331281"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aproximativ 5 %, maximum 10 pachete sau unități</w:t>
                  </w:r>
                </w:p>
              </w:tc>
            </w:tr>
          </w:tbl>
          <w:p w:rsidR="008D7B1E" w:rsidRPr="001D4791" w:rsidRDefault="008D7B1E" w:rsidP="006534C2">
            <w:pPr>
              <w:rPr>
                <w:rFonts w:ascii="Times New Roman" w:hAnsi="Times New Roman" w:cs="Times New Roman"/>
                <w:sz w:val="24"/>
                <w:szCs w:val="24"/>
              </w:rPr>
            </w:pPr>
          </w:p>
        </w:tc>
        <w:tc>
          <w:tcPr>
            <w:tcW w:w="3827" w:type="dxa"/>
          </w:tcPr>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sz w:val="24"/>
                <w:szCs w:val="24"/>
              </w:rPr>
              <w:lastRenderedPageBreak/>
              <w:t>20.</w:t>
            </w:r>
            <w:r w:rsidRPr="001D4791">
              <w:rPr>
                <w:rFonts w:ascii="Times New Roman" w:hAnsi="Times New Roman" w:cs="Times New Roman"/>
                <w:sz w:val="24"/>
                <w:szCs w:val="24"/>
              </w:rPr>
              <w:t xml:space="preserve"> Dacă lotul sau sublotul constă în pachete sau unități individuale, numărul de pachete sau de unități de prelevat pentru a forma o probă </w:t>
            </w:r>
            <w:r w:rsidRPr="001D4791">
              <w:rPr>
                <w:rFonts w:ascii="Times New Roman" w:hAnsi="Times New Roman" w:cs="Times New Roman"/>
                <w:sz w:val="24"/>
                <w:szCs w:val="24"/>
              </w:rPr>
              <w:lastRenderedPageBreak/>
              <w:t>agregată este menționat în tabelul nr. 4.</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iCs/>
                <w:sz w:val="24"/>
                <w:szCs w:val="24"/>
              </w:rPr>
              <w:t>Tabelul nr. 4</w:t>
            </w:r>
          </w:p>
          <w:p w:rsidR="003472A9" w:rsidRPr="001D4791" w:rsidRDefault="003472A9" w:rsidP="006534C2">
            <w:pPr>
              <w:jc w:val="both"/>
              <w:rPr>
                <w:rFonts w:ascii="Times New Roman" w:hAnsi="Times New Roman" w:cs="Times New Roman"/>
                <w:sz w:val="24"/>
                <w:szCs w:val="24"/>
              </w:rPr>
            </w:pPr>
            <w:r w:rsidRPr="001D4791">
              <w:rPr>
                <w:rFonts w:ascii="Times New Roman" w:hAnsi="Times New Roman" w:cs="Times New Roman"/>
                <w:b/>
                <w:bCs/>
                <w:sz w:val="24"/>
                <w:szCs w:val="24"/>
              </w:rPr>
              <w:t>Numărul de pachete sau de unități (probe elementare) de prelevat pentru a constitui proba agregată în cazul în care lotul sau sublotul este format din pachete sau unități individuale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30"/>
              <w:gridCol w:w="1765"/>
            </w:tblGrid>
            <w:tr w:rsidR="003472A9" w:rsidRPr="001D4791" w:rsidTr="003472A9">
              <w:tc>
                <w:tcPr>
                  <w:tcW w:w="49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Numărul de pachete sau de unități din lot/sublot</w:t>
                  </w:r>
                </w:p>
              </w:tc>
              <w:tc>
                <w:tcPr>
                  <w:tcW w:w="480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Numărul de pachete sau de unități de prelevat</w:t>
                  </w:r>
                </w:p>
              </w:tc>
            </w:tr>
            <w:tr w:rsidR="003472A9" w:rsidRPr="001D4791" w:rsidTr="003472A9">
              <w:tc>
                <w:tcPr>
                  <w:tcW w:w="49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între 1 și 25</w:t>
                  </w:r>
                </w:p>
              </w:tc>
              <w:tc>
                <w:tcPr>
                  <w:tcW w:w="480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cel puțin 1 pachet sau 1 unitate</w:t>
                  </w:r>
                </w:p>
              </w:tc>
            </w:tr>
            <w:tr w:rsidR="003472A9" w:rsidRPr="001D4791" w:rsidTr="003472A9">
              <w:tc>
                <w:tcPr>
                  <w:tcW w:w="49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între 26 și 100</w:t>
                  </w:r>
                </w:p>
              </w:tc>
              <w:tc>
                <w:tcPr>
                  <w:tcW w:w="480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aproximativ 5 %, cel puțin 2 pachete sau unități</w:t>
                  </w:r>
                </w:p>
              </w:tc>
            </w:tr>
            <w:tr w:rsidR="003472A9" w:rsidRPr="001D4791" w:rsidTr="003472A9">
              <w:tc>
                <w:tcPr>
                  <w:tcW w:w="49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&gt; 100</w:t>
                  </w:r>
                </w:p>
              </w:tc>
              <w:tc>
                <w:tcPr>
                  <w:tcW w:w="480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472A9" w:rsidRPr="001D4791" w:rsidRDefault="003472A9"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aproximativ 5 %, maximum 10 pachete sau unități</w:t>
                  </w:r>
                </w:p>
              </w:tc>
            </w:tr>
          </w:tbl>
          <w:p w:rsidR="003472A9" w:rsidRPr="001D4791" w:rsidRDefault="003472A9" w:rsidP="006534C2">
            <w:pPr>
              <w:rPr>
                <w:rFonts w:ascii="Times New Roman" w:hAnsi="Times New Roman" w:cs="Times New Roman"/>
                <w:b/>
                <w:sz w:val="24"/>
                <w:szCs w:val="24"/>
              </w:rPr>
            </w:pPr>
          </w:p>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 xml:space="preserve">Agenţia Naţională pentru Siguranţa </w:t>
            </w:r>
            <w:r w:rsidRPr="001D4791">
              <w:rPr>
                <w:rFonts w:ascii="Times New Roman" w:hAnsi="Times New Roman" w:cs="Times New Roman"/>
                <w:sz w:val="24"/>
                <w:szCs w:val="24"/>
              </w:rPr>
              <w:lastRenderedPageBreak/>
              <w:t>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5577E0" w:rsidRPr="001D4791" w:rsidRDefault="005577E0"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3.   Dispoziții specifice pentru prelevarea de probe din loturi care conțin pești întregi cu mărimi și greutăți comparabile</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Se consideră că peștii au mărimi și greutăți comparabile atunci când </w:t>
            </w:r>
            <w:r w:rsidRPr="001D4791">
              <w:rPr>
                <w:rFonts w:ascii="Times New Roman" w:hAnsi="Times New Roman" w:cs="Times New Roman"/>
                <w:sz w:val="24"/>
                <w:szCs w:val="24"/>
              </w:rPr>
              <w:lastRenderedPageBreak/>
              <w:t>diferența de mărime și greutate nu depășește aproximativ 50 %.</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Numărul de probe elementare de prelevat din lot este menționat în tabelul 3. Proba agregată care reunește toate probele elementare trebuie să fie de cel puțin 1 kg (a se vedea punctul II.5).</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—Atunci când lotul din care se prelevă probe conține pești mici (pești individuali care cântăresc mai puțin de aproximativ 1 kg), aceștia se prelevă întregi ca probe elementare pentru a constitui proba agregată. Atunci când proba agregată care rezultă cântărește mai mult de 3 kg, probele elementare pot fi constituite din partea de mijloc, cântărind fiecare cel puțin 100 de grame, a peștilor care formează proba agregată. Pentru omogenizarea probei, se utilizează întreaga parte căreia îi este aplicabil nivelul maxim.</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Partea din mijloc a peștelui este cea unde se află centrul de greutate. Acesta este localizat, în cele mai multe cazuri, la nivelul aripioarei dorsale (în cazul în care peștele are aripioară dorsală) sau la mijlocul distanței dintre branhii și anus.</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—Atunci când lotul din care se prelevă probe conține pești mai mari </w:t>
            </w:r>
            <w:r w:rsidRPr="001D4791">
              <w:rPr>
                <w:rFonts w:ascii="Times New Roman" w:hAnsi="Times New Roman" w:cs="Times New Roman"/>
                <w:sz w:val="24"/>
                <w:szCs w:val="24"/>
              </w:rPr>
              <w:lastRenderedPageBreak/>
              <w:t>(fiecare cântărind mai mult de aproximativ 1 kg), proba elementară este reprezentată de partea din mijloc a peștelui. Fiecare probă elementară cântărește cel puțin 100 de grame.</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În cazul peștilor de mărime intermediară (aproximativ 1-6 kg), proba elementară constă într-o bucată prelevată în secțiune transversală între coloana vertebrală și abdomen, din partea din mijloc a peștelui.</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 cazul peștilor foarte mari (de exemplu, mai mari de aproximativ 6 kg), proba elementară este prelevată din masa musculară dorso-laterală de pe partea dreaptă (vedere frontală), din partea de mijloc a peștelui. Atunci când prelevarea unei bucăți din partea de mijloc a peștelui ar însemna un prejudiciu economic semnificativ, se poate considera suficientă prelevarea a trei probe elementare cântărind fiecare cel puțin 350 de grame, indiferent de mărimea lotului sau, ca alternativă, se poate preleva câte o parte egală din masa musculară din apropierea cozii și din cea din apropierea capului unui pește pentru a se forma proba elementară reprezentativă pentru nivelul de dioxine din peștele </w:t>
            </w:r>
            <w:r w:rsidRPr="001D4791">
              <w:rPr>
                <w:rFonts w:ascii="Times New Roman" w:hAnsi="Times New Roman" w:cs="Times New Roman"/>
                <w:sz w:val="24"/>
                <w:szCs w:val="24"/>
              </w:rPr>
              <w:lastRenderedPageBreak/>
              <w:t>întreg.</w:t>
            </w:r>
          </w:p>
          <w:p w:rsidR="005577E0" w:rsidRPr="001D4791" w:rsidRDefault="005577E0" w:rsidP="006534C2">
            <w:pPr>
              <w:jc w:val="both"/>
              <w:rPr>
                <w:rFonts w:ascii="Times New Roman" w:hAnsi="Times New Roman" w:cs="Times New Roman"/>
                <w:b/>
                <w:sz w:val="24"/>
                <w:szCs w:val="24"/>
              </w:rPr>
            </w:pPr>
            <w:r w:rsidRPr="001D4791">
              <w:rPr>
                <w:rFonts w:ascii="Times New Roman" w:hAnsi="Times New Roman" w:cs="Times New Roman"/>
                <w:b/>
                <w:sz w:val="24"/>
                <w:szCs w:val="24"/>
              </w:rPr>
              <w:t>4.   Prelevarea de probe din loturile de pește care conțin pești întregi de mărimi și/sau greutăți diferite</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—În ceea ce privește constituirea probei, se aplică dispozițiile de la punctul III.3.</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—Atunci când predomină o clasă/categorie de mărime sau de greutate (aproximativ 80 % sau mai mult din lot), proba se prelevă de la peștii de mărimea sau greutatea predominantă. Această probă se consideră reprezentativă pentru întregul lot.</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—Atunci când nu predomină o anumită clasă/categorie de mărime sau de greutate, trebuie să se asigure faptul că peștii selectați în vederea prelevării de probe sunt reprezentativi pentru lot. Instrucțiuni specifice pentru astfel de cazuri sunt puse la dispoziție în documentul „Ghid de prelevare de probe din pești întregi de mărime și/sau greutate diferită” (2).</w:t>
            </w:r>
          </w:p>
          <w:p w:rsidR="005577E0" w:rsidRPr="001D4791" w:rsidRDefault="005577E0" w:rsidP="006534C2">
            <w:pPr>
              <w:jc w:val="both"/>
              <w:rPr>
                <w:rFonts w:ascii="Times New Roman" w:hAnsi="Times New Roman" w:cs="Times New Roman"/>
                <w:b/>
                <w:sz w:val="24"/>
                <w:szCs w:val="24"/>
              </w:rPr>
            </w:pPr>
            <w:r w:rsidRPr="001D4791">
              <w:rPr>
                <w:rFonts w:ascii="Times New Roman" w:hAnsi="Times New Roman" w:cs="Times New Roman"/>
                <w:b/>
                <w:sz w:val="24"/>
                <w:szCs w:val="24"/>
              </w:rPr>
              <w:t>5.   Prelevarea probelor în etapa de vânzare cu amănuntul</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Prelevarea probelor din produsele alimentare în etapa de vânzare cu amănuntul se face, în măsura posibilului, în conformitate cu </w:t>
            </w:r>
            <w:r w:rsidRPr="001D4791">
              <w:rPr>
                <w:rFonts w:ascii="Times New Roman" w:hAnsi="Times New Roman" w:cs="Times New Roman"/>
                <w:sz w:val="24"/>
                <w:szCs w:val="24"/>
              </w:rPr>
              <w:lastRenderedPageBreak/>
              <w:t>dispozițiile privind prelevarea probelor stabilite la punctul II.2.</w:t>
            </w:r>
          </w:p>
          <w:p w:rsidR="008D7B1E"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Dacă nu este posibil, se poate utiliza o metodă alternativă de prelevare a probelor în etapa de vânzare cu amănuntul, cu condiția să se asigure o reprezentativitate suficientă a lotului sau sublotului din care se prelevă probele.</w:t>
            </w:r>
          </w:p>
        </w:tc>
        <w:tc>
          <w:tcPr>
            <w:tcW w:w="3827" w:type="dxa"/>
          </w:tcPr>
          <w:p w:rsidR="007F27A7" w:rsidRPr="001D4791" w:rsidRDefault="007F27A7" w:rsidP="006534C2">
            <w:pPr>
              <w:jc w:val="both"/>
              <w:rPr>
                <w:rFonts w:ascii="Times New Roman" w:hAnsi="Times New Roman" w:cs="Times New Roman"/>
                <w:b/>
                <w:sz w:val="24"/>
                <w:szCs w:val="24"/>
              </w:rPr>
            </w:pP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21. </w:t>
            </w:r>
            <w:r w:rsidRPr="001D4791">
              <w:rPr>
                <w:rFonts w:ascii="Times New Roman" w:hAnsi="Times New Roman" w:cs="Times New Roman"/>
                <w:sz w:val="24"/>
                <w:szCs w:val="24"/>
              </w:rPr>
              <w:t xml:space="preserve">Se consideră că peștii au mărimi și greutăți comparabile atunci când diferența de mărime și greutate nu depășește aproximativ 50 %. Numărul de probe elementare de </w:t>
            </w:r>
            <w:r w:rsidRPr="001D4791">
              <w:rPr>
                <w:rFonts w:ascii="Times New Roman" w:hAnsi="Times New Roman" w:cs="Times New Roman"/>
                <w:sz w:val="24"/>
                <w:szCs w:val="24"/>
              </w:rPr>
              <w:lastRenderedPageBreak/>
              <w:t>prelevat din lot este menționat în tabelul nr. 3. Proba agregată care reunește toate probele elementare trebuie să fie de cel puțin 1 kg ( a se vedea punctul 10). La prelevarea de probe din loturi care conțin pești întregi cu mărimi și greutăți comparabile se aplică următoarele cerințe:</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1) Atunci când lotul din care se prelevă probe conține pești mici (pești individuali care cântăresc mai puțin de aproximativ 1 kg), aceștia se prelevă întregi ca probe elementare pentru a constitui proba agregată. Atunci când proba agregată care rezultă cântărește mai mult de 3 kg, probele elementare pot fi constituite din partea de mijloc, cântărind fiecare cel puțin 100 de grame, a peștilor care formează proba agregată. Pentru omogenizarea probei, se utilizează întreaga parte căreia îi este aplicabil nivelul maxim. Partea din mijloc a peștelui este cea unde se află centrul de greutate. Acesta este localizat, în cele mai multe cazuri, la nivelul aripioarei dorsale (în cazul în care peștele are aripioară dorsală) sau la mijlocul distanței dintre branhii și anus.</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2)</w:t>
            </w:r>
            <w:r w:rsidRPr="001D4791">
              <w:rPr>
                <w:rFonts w:ascii="Times New Roman" w:hAnsi="Times New Roman" w:cs="Times New Roman"/>
                <w:b/>
                <w:sz w:val="24"/>
                <w:szCs w:val="24"/>
              </w:rPr>
              <w:t xml:space="preserve"> </w:t>
            </w:r>
            <w:r w:rsidRPr="001D4791">
              <w:rPr>
                <w:rFonts w:ascii="Times New Roman" w:hAnsi="Times New Roman" w:cs="Times New Roman"/>
                <w:sz w:val="24"/>
                <w:szCs w:val="24"/>
              </w:rPr>
              <w:t xml:space="preserve">Atunci când lotul din care se prelevă probe conține pești mai mari </w:t>
            </w:r>
            <w:r w:rsidRPr="001D4791">
              <w:rPr>
                <w:rFonts w:ascii="Times New Roman" w:hAnsi="Times New Roman" w:cs="Times New Roman"/>
                <w:sz w:val="24"/>
                <w:szCs w:val="24"/>
              </w:rPr>
              <w:lastRenderedPageBreak/>
              <w:t>(fiecare cântărind mai mult de aproximativ 1 kg), proba elementară este reprezentată de partea din mijloc a peștelui. Fiecare probă elementară cântărește cel puțin 100 de grame. În cazul peștilor de mărime intermediară (aproximativ 1-6 kg), proba elementară constă într-o bucată prelevată în secțiune transversală între coloana vertebrală și abdomen, din partea din mijloc a peștelui. În cazul peștilor foarte mari (de exemplu, mai mari de aproximativ 6 kg), proba elementară este prelevată din masa musculară dorso-laterală de pe partea dreaptă (vedere frontală), din partea de mijloc a peștelui. Atunci când prelevarea unei bucăți din partea de mijloc a peștelui ar însemna un prejudiciu economic semnificativ, se poate considera suficientă prelevarea a trei probe elementare cântărind fiecare cel puțin 350 de grame, indiferent de mărimea lotului sau, ca alternativă, se poate preleva câte o parte egală din masa musculară din apropierea cozii și din cea din apropierea capului unui pește pentru a se forma proba elementară reprezentativă pentru nivelul de dioxine din peștele întreg</w:t>
            </w:r>
          </w:p>
          <w:p w:rsidR="008D7B1E" w:rsidRPr="001D4791" w:rsidRDefault="008D7B1E"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22. </w:t>
            </w:r>
            <w:r w:rsidRPr="001D4791">
              <w:rPr>
                <w:rFonts w:ascii="Times New Roman" w:hAnsi="Times New Roman" w:cs="Times New Roman"/>
                <w:bCs/>
                <w:sz w:val="24"/>
                <w:szCs w:val="24"/>
              </w:rPr>
              <w:t>La prelevarea de probe din loturile de pește care conțin pești întregi de mărimi și/sau greutăți diferite se aplică următoarele cerințe:</w:t>
            </w:r>
          </w:p>
          <w:p w:rsidR="007F27A7" w:rsidRPr="001D4791" w:rsidRDefault="007F27A7"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1) În ceea ce privește constituirea probei, se aplică dispozițiile de la punctul 21.</w:t>
            </w:r>
          </w:p>
          <w:p w:rsidR="007F27A7" w:rsidRPr="001D4791" w:rsidRDefault="007F27A7"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2) Atunci când predomină o clasă/categorie de mărime sau de greutate (aproximativ 80 % sau mai mult din lot), proba se prelevă de la peștii de mărimea sau greutatea predominantă. Această probă se consideră reprezentativă pentru întregul lot;</w:t>
            </w:r>
          </w:p>
          <w:p w:rsidR="007F27A7" w:rsidRPr="001D4791" w:rsidRDefault="007F27A7"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3) Atunci când nu predomină o anumită clasă/categorie de mărime sau de greutate, trebuie să se asigure faptul că peștii selectați în vederea prelevării de probe sunt reprezentativi pentru lot. </w:t>
            </w: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23. </w:t>
            </w:r>
            <w:r w:rsidRPr="001D4791">
              <w:rPr>
                <w:rFonts w:ascii="Times New Roman" w:hAnsi="Times New Roman" w:cs="Times New Roman"/>
                <w:sz w:val="24"/>
                <w:szCs w:val="24"/>
              </w:rPr>
              <w:t xml:space="preserve">Prelevarea probelor din produsele alimentare în etapa de vânzare cu amănuntul se face, în conformitate cu dispozițiile privind prelevarea probelor stabilite la punctul </w:t>
            </w:r>
            <w:r w:rsidRPr="001D4791">
              <w:rPr>
                <w:rFonts w:ascii="Times New Roman" w:hAnsi="Times New Roman" w:cs="Times New Roman"/>
                <w:b/>
                <w:sz w:val="24"/>
                <w:szCs w:val="24"/>
              </w:rPr>
              <w:t xml:space="preserve">7. </w:t>
            </w:r>
            <w:r w:rsidRPr="001D4791">
              <w:rPr>
                <w:rFonts w:ascii="Times New Roman" w:hAnsi="Times New Roman" w:cs="Times New Roman"/>
                <w:sz w:val="24"/>
                <w:szCs w:val="24"/>
              </w:rPr>
              <w:t xml:space="preserve">Atunci când nu este posibil, se poate utiliza </w:t>
            </w:r>
            <w:r w:rsidRPr="001D4791">
              <w:rPr>
                <w:rFonts w:ascii="Times New Roman" w:hAnsi="Times New Roman" w:cs="Times New Roman"/>
                <w:sz w:val="24"/>
                <w:szCs w:val="24"/>
              </w:rPr>
              <w:lastRenderedPageBreak/>
              <w:t>o metodă alternativă de prelevare a probelor, cu condiția să se asigure o reprezentativitate suficientă a lotului sau sublotului din care se prelevă probele.</w:t>
            </w:r>
          </w:p>
          <w:p w:rsidR="007F27A7" w:rsidRPr="001D4791" w:rsidRDefault="007F27A7"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5577E0" w:rsidRPr="001D4791" w:rsidRDefault="005577E0"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IV.   CONFORMITATEA LOTULUI CU SPECIFICAȚIILE</w:t>
            </w:r>
          </w:p>
          <w:p w:rsidR="005577E0" w:rsidRPr="001D4791" w:rsidRDefault="005577E0" w:rsidP="006534C2">
            <w:pPr>
              <w:jc w:val="both"/>
              <w:rPr>
                <w:rFonts w:ascii="Times New Roman" w:hAnsi="Times New Roman" w:cs="Times New Roman"/>
                <w:b/>
                <w:sz w:val="24"/>
                <w:szCs w:val="24"/>
              </w:rPr>
            </w:pPr>
            <w:r w:rsidRPr="001D4791">
              <w:rPr>
                <w:rFonts w:ascii="Times New Roman" w:hAnsi="Times New Roman" w:cs="Times New Roman"/>
                <w:b/>
                <w:sz w:val="24"/>
                <w:szCs w:val="24"/>
              </w:rPr>
              <w:t>1.   În ceea ce privește PCB-urile care nu sunt de tipul dioxinelor</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Lotul este considerat conform dacă rezultatul analitic pentru suma PCB-urilor care nu sunt de tipul dioxinelor nu depășește nivelul maxim corespunzător, specificat în Regulamentul (CE) nr. 1881/2006, ținând seama de incertitudinea de măsurare extinsă (3).</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Lotul este considerat neconform cu nivelul maxim specificat în Regulamentul (CE) nr. 1881/2006 în cazul în care media a două limite superioare ale rezultatelor analitice obținute printr-o analiză duplicat (4) depășește dincolo de orice îndoială rezonabilă nivelul maxim, ținând seama de incertitudinea de măsurare extinsă.</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Incertitudinea de măsurare extinsă se calculează utilizându-se un </w:t>
            </w:r>
            <w:r w:rsidRPr="001D4791">
              <w:rPr>
                <w:rFonts w:ascii="Times New Roman" w:hAnsi="Times New Roman" w:cs="Times New Roman"/>
                <w:sz w:val="24"/>
                <w:szCs w:val="24"/>
              </w:rPr>
              <w:lastRenderedPageBreak/>
              <w:t>coeficient de acoperire cu valoarea 2, care conferă un nivel de încredere de aproximativ 95 %. Un lot este considerat neconform dacă media valorilor măsurate minus incertitudinea extinsă a mediei depășește nivelul maxim stabilit.</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Normele menționate mai sus în cadrul acestui punct se aplică pentru rezultatul analitic obținut pe proba pentru controlul oficial. În cazul analizei realizate în scopuri de contestație sau de arbitraj, se aplică normele naționale.</w:t>
            </w:r>
          </w:p>
          <w:p w:rsidR="005577E0" w:rsidRPr="001D4791" w:rsidRDefault="005577E0" w:rsidP="006534C2">
            <w:pPr>
              <w:jc w:val="both"/>
              <w:rPr>
                <w:rFonts w:ascii="Times New Roman" w:hAnsi="Times New Roman" w:cs="Times New Roman"/>
                <w:b/>
                <w:sz w:val="24"/>
                <w:szCs w:val="24"/>
              </w:rPr>
            </w:pPr>
            <w:r w:rsidRPr="001D4791">
              <w:rPr>
                <w:rFonts w:ascii="Times New Roman" w:hAnsi="Times New Roman" w:cs="Times New Roman"/>
                <w:b/>
                <w:sz w:val="24"/>
                <w:szCs w:val="24"/>
              </w:rPr>
              <w:t>2.   În ceea ce privește dioxinele (PCDD/F-uri) și PCB-urile de tipul dioxinelor</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Lotul este considerat conform dacă rezultatul unei singure analize:</w:t>
            </w:r>
          </w:p>
          <w:p w:rsidR="005577E0" w:rsidRPr="001D4791" w:rsidRDefault="005577E0" w:rsidP="006534C2">
            <w:pPr>
              <w:jc w:val="both"/>
              <w:rPr>
                <w:rFonts w:ascii="Times New Roman" w:hAnsi="Times New Roman" w:cs="Times New Roman"/>
                <w:sz w:val="24"/>
                <w:szCs w:val="24"/>
              </w:rPr>
            </w:pP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—efectuate printr-o metodă de screening cu o rată de rezultate fals conforme sub 5 % arată că nivelul nu depășește nivelul maxim respectiv de PCDD/F-uri și suma dintre PCDD/F-uri și PCB-uri de tipul dioxinelor, astfel cum sunt prevăzute în Regulamentul (CE) nr. 1881/2006;</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—efectuate printr-o metodă de confirmare nu depășește nivelul maxim respectiv de PCDD/F-uri și suma dintre PCDD/F-uri și PCB-uri </w:t>
            </w:r>
            <w:r w:rsidRPr="001D4791">
              <w:rPr>
                <w:rFonts w:ascii="Times New Roman" w:hAnsi="Times New Roman" w:cs="Times New Roman"/>
                <w:sz w:val="24"/>
                <w:szCs w:val="24"/>
              </w:rPr>
              <w:lastRenderedPageBreak/>
              <w:t>de tipul dioxinelor, astfel cum sunt prevăzute în Regulamentul (CE) nr. 1881/2006, ținând seama de incertitudinea de măsurare extinsă (5).</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Pentru testele de screening, se stabilește o valoare de prag aplicabilă în decizia asupra conformității cu nivelurile maxime respective stabilite fie pentru PCDD/F-uri, fie pentru suma dintre PCDD/F-uri și PCB-uri de tipul dioxinelor.</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Lotul este considerat neconform cu nivelul maxim specificat în Regulamentul (CE) nr. 1881/2006 în cazul în care media a două limite superioare ale rezultatelor analitice (analiză duplicat (6)) obținute utilizând o metodă de confirmare depășește dincolo de orice îndoială rezonabilă nivelul maxim, ținând seama de incertitudinea de măsurare extinsă.</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Incertitudinea de măsurare extinsă se calculează utilizându-se un coeficient de acoperire cu valoarea 2, care conferă un nivel de încredere de aproximativ 95 %. Un lot este considerat neconform dacă media valorilor măsurate minus incertitudinea extinsă a mediei depășește nivelul maxim stabilit.</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Suma incertitudinilor extinse estimate ale rezultatelor analitice separate pentru PCDD/F-uri și PCB-uri de tipul dioxinelor trebuie utilizată pentru incertitudinea extinsă estimată a sumei dintre PCDD/F-uri și PCB-uri de tipul dioxinelor.</w:t>
            </w:r>
          </w:p>
          <w:p w:rsidR="005577E0"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Normele menționate mai sus în cadrul acestui punct se aplică pentru rezultatul analitic obținut pe proba pentru controlul oficial. În cazul analizei realizate în scopuri de contestație sau de arbitraj, se aplică normele naționale.</w:t>
            </w:r>
          </w:p>
          <w:p w:rsidR="005577E0" w:rsidRPr="001D4791" w:rsidRDefault="005577E0" w:rsidP="006534C2">
            <w:pPr>
              <w:jc w:val="both"/>
              <w:rPr>
                <w:rFonts w:ascii="Times New Roman" w:hAnsi="Times New Roman" w:cs="Times New Roman"/>
                <w:sz w:val="24"/>
                <w:szCs w:val="24"/>
              </w:rPr>
            </w:pPr>
          </w:p>
          <w:p w:rsidR="005577E0" w:rsidRPr="001D4791" w:rsidRDefault="005577E0" w:rsidP="006534C2">
            <w:pPr>
              <w:jc w:val="both"/>
              <w:rPr>
                <w:rFonts w:ascii="Times New Roman" w:hAnsi="Times New Roman" w:cs="Times New Roman"/>
                <w:b/>
                <w:sz w:val="24"/>
                <w:szCs w:val="24"/>
              </w:rPr>
            </w:pPr>
            <w:r w:rsidRPr="001D4791">
              <w:rPr>
                <w:rFonts w:ascii="Times New Roman" w:hAnsi="Times New Roman" w:cs="Times New Roman"/>
                <w:b/>
                <w:sz w:val="24"/>
                <w:szCs w:val="24"/>
              </w:rPr>
              <w:t>V.   DEPĂȘIREA NIVELURILOR DE ACȚIUNE</w:t>
            </w:r>
          </w:p>
          <w:p w:rsidR="008D7B1E" w:rsidRPr="001D4791" w:rsidRDefault="005577E0"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Nivelurile de acțiune servesc ca instrument pentru selectarea probelor în cazurile în care este necesar să se identifice o sursă de contaminare și să se ia măsuri pentru reducerea sau eliminarea acesteia. Metodele de screening stabilesc valorile-limită corespunzătoare pentru selectarea acelor probe. Atunci când sunt necesare eforturi semnificative pentru a identifica o sursă și a reduce sau a elimina contaminarea, ar putea fi indicat ca depășirea nivelului de acțiune să fie confirmată printr-o analiză duplicat utilizând o metodă de confirmare și </w:t>
            </w:r>
            <w:r w:rsidRPr="001D4791">
              <w:rPr>
                <w:rFonts w:ascii="Times New Roman" w:hAnsi="Times New Roman" w:cs="Times New Roman"/>
                <w:sz w:val="24"/>
                <w:szCs w:val="24"/>
              </w:rPr>
              <w:lastRenderedPageBreak/>
              <w:t>ținând seama de incertitudinea de măsurare extinsă (7).</w:t>
            </w:r>
          </w:p>
        </w:tc>
        <w:tc>
          <w:tcPr>
            <w:tcW w:w="3827" w:type="dxa"/>
          </w:tcPr>
          <w:p w:rsidR="007F27A7" w:rsidRPr="001D4791" w:rsidRDefault="007F27A7"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Secțiunea 3</w:t>
            </w:r>
          </w:p>
          <w:p w:rsidR="007F27A7" w:rsidRPr="001D4791" w:rsidRDefault="007F27A7" w:rsidP="006534C2">
            <w:pPr>
              <w:jc w:val="both"/>
              <w:rPr>
                <w:rFonts w:ascii="Times New Roman" w:hAnsi="Times New Roman" w:cs="Times New Roman"/>
                <w:b/>
                <w:sz w:val="24"/>
                <w:szCs w:val="24"/>
              </w:rPr>
            </w:pPr>
            <w:r w:rsidRPr="001D4791">
              <w:rPr>
                <w:rFonts w:ascii="Times New Roman" w:hAnsi="Times New Roman" w:cs="Times New Roman"/>
                <w:b/>
                <w:sz w:val="24"/>
                <w:szCs w:val="24"/>
              </w:rPr>
              <w:t>Conformitatea lotului cu specificațiile</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24. </w:t>
            </w:r>
            <w:r w:rsidRPr="001D4791">
              <w:rPr>
                <w:rFonts w:ascii="Times New Roman" w:hAnsi="Times New Roman" w:cs="Times New Roman"/>
                <w:sz w:val="24"/>
                <w:szCs w:val="24"/>
              </w:rPr>
              <w:t xml:space="preserve">Pentru PCB-urile care nu sunt de tipul dioxinelor lotul este considerat conform dacă rezultatul analitic pentru suma PCB-urilor nu depășește nivelul maxim specificat în HG 520/2010. Lotul este considerat neconform în cazul în care media a două limite superioare ale rezultatelor analitice obținute printr-o analiză duplicat depășește nivelul maxim, ținând seama de incertitudinea de măsurare extinsă. Incertitudinea de măsurare extinsă se calculează utilizându-se un coeficient de acoperire cu valoarea 2, care conferă un nivel de încredere de aproximativ 95 %. Un lot este considerat neconform dacă media valorilor măsurate minus incertitudinea extinsă a mediei depășește nivelul maxim stabilit. </w:t>
            </w:r>
            <w:r w:rsidRPr="001D4791">
              <w:rPr>
                <w:rFonts w:ascii="Times New Roman" w:hAnsi="Times New Roman" w:cs="Times New Roman"/>
                <w:sz w:val="24"/>
                <w:szCs w:val="24"/>
              </w:rPr>
              <w:lastRenderedPageBreak/>
              <w:t xml:space="preserve">Normele menționate în acest punct se aplică pentru rezultatul analitic obținut pe proba pentru controlul oficial. </w:t>
            </w:r>
          </w:p>
          <w:p w:rsidR="008D7B1E" w:rsidRPr="001D4791" w:rsidRDefault="008D7B1E"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25. </w:t>
            </w:r>
            <w:r w:rsidRPr="001D4791">
              <w:rPr>
                <w:rFonts w:ascii="Times New Roman" w:hAnsi="Times New Roman" w:cs="Times New Roman"/>
                <w:bCs/>
                <w:sz w:val="24"/>
                <w:szCs w:val="24"/>
              </w:rPr>
              <w:t>Pentru dioxinele (PCDD/F-uri) și PCB-urile de tipul dioxinelor</w:t>
            </w:r>
            <w:r w:rsidRPr="001D4791">
              <w:rPr>
                <w:rFonts w:ascii="Times New Roman" w:hAnsi="Times New Roman" w:cs="Times New Roman"/>
                <w:b/>
                <w:bCs/>
                <w:sz w:val="24"/>
                <w:szCs w:val="24"/>
              </w:rPr>
              <w:t xml:space="preserve"> </w:t>
            </w:r>
            <w:r w:rsidRPr="001D4791">
              <w:rPr>
                <w:rFonts w:ascii="Times New Roman" w:hAnsi="Times New Roman" w:cs="Times New Roman"/>
                <w:bCs/>
                <w:sz w:val="24"/>
                <w:szCs w:val="24"/>
              </w:rPr>
              <w:t>l</w:t>
            </w:r>
            <w:r w:rsidRPr="001D4791">
              <w:rPr>
                <w:rFonts w:ascii="Times New Roman" w:hAnsi="Times New Roman" w:cs="Times New Roman"/>
                <w:sz w:val="24"/>
                <w:szCs w:val="24"/>
              </w:rPr>
              <w:t>otul este considerat conform dacă rezultatul unei singure analize:</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1) efectuate printr-o metodă de screening cu o rată de rezultate fals conforme sub 5 % arată că nivelul nu depășește nivelul maxim respectiv de PCDD/F-uri și suma dintre PCDD/F-uri și PCB-uri de tipul dioxinelor, astfel cum sunt prevăzute în HG 520/2010. </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2) efectuate printr-o metodă de confirmare nu depășește nivelul maxim respectiv de PCDD/F-uri și suma dintre PCDD/F-uri și PCB-uri de tipul dioxinelor, astfel cum sunt prevăzute în HG 520/2010. </w:t>
            </w: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26. </w:t>
            </w:r>
            <w:r w:rsidRPr="001D4791">
              <w:rPr>
                <w:rFonts w:ascii="Times New Roman" w:hAnsi="Times New Roman" w:cs="Times New Roman"/>
                <w:sz w:val="24"/>
                <w:szCs w:val="24"/>
              </w:rPr>
              <w:t>Pentru testele de screening, se stabilește o valoare de prag aplicabilă în decizia asupra conformității cu nivelurile maxime respective stabilite fie pentru PCDD/F-uri, fie pentru suma dintre PCDD/F-uri și PCB-uri de tipul dioxinelor.</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27. </w:t>
            </w:r>
            <w:r w:rsidRPr="001D4791">
              <w:rPr>
                <w:rFonts w:ascii="Times New Roman" w:hAnsi="Times New Roman" w:cs="Times New Roman"/>
                <w:sz w:val="24"/>
                <w:szCs w:val="24"/>
              </w:rPr>
              <w:t xml:space="preserve">Lotul este considerat neconform cu nivelul maxim specificat în HG 520/2010. în cazul în care media a două limite superioare ale rezultatelor analitice (analiză duplicat) obținute utilizând o metodă de confirmare depășește nivelul maxim, ținând seama de incertitudinea de măsurare extinsă. </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28</w:t>
            </w:r>
            <w:r w:rsidRPr="001D4791">
              <w:rPr>
                <w:rFonts w:ascii="Times New Roman" w:hAnsi="Times New Roman" w:cs="Times New Roman"/>
                <w:sz w:val="24"/>
                <w:szCs w:val="24"/>
              </w:rPr>
              <w:t>. Incertitudinea de măsurare extinsă se calculează utilizându-se un coeficient de acoperire cu valoarea 2, care conferă un nivel de încredere de aproximativ 95 %. Un lot este considerat neconform dacă media valorilor măsurate minus incertitudinea extinsă a mediei depășește nivelul maxim stabilit.</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29. </w:t>
            </w:r>
            <w:r w:rsidRPr="001D4791">
              <w:rPr>
                <w:rFonts w:ascii="Times New Roman" w:hAnsi="Times New Roman" w:cs="Times New Roman"/>
                <w:sz w:val="24"/>
                <w:szCs w:val="24"/>
              </w:rPr>
              <w:t xml:space="preserve">Suma incertitudinilor extinse estimate ale rezultatelor analitice separate pentru PCDD/F-uri și PCB-uri de tipul dioxinelor trebuie </w:t>
            </w:r>
            <w:r w:rsidRPr="001D4791">
              <w:rPr>
                <w:rFonts w:ascii="Times New Roman" w:hAnsi="Times New Roman" w:cs="Times New Roman"/>
                <w:sz w:val="24"/>
                <w:szCs w:val="24"/>
              </w:rPr>
              <w:lastRenderedPageBreak/>
              <w:t>utilizată pentru incertitudinea extinsă estimată a sumei dintre PCDD/F-uri și PCB-uri de tipul dioxinelor.</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Normele menționate la punctele 25-29 se aplică pentru rezultatul analitic obținut pe proba pentru controlul oficial.</w:t>
            </w: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30. </w:t>
            </w:r>
            <w:r w:rsidRPr="001D4791">
              <w:rPr>
                <w:rFonts w:ascii="Times New Roman" w:hAnsi="Times New Roman" w:cs="Times New Roman"/>
                <w:sz w:val="24"/>
                <w:szCs w:val="24"/>
              </w:rPr>
              <w:t>Nivelurile de acțiune servesc ca instrument pentru selectarea probelor în cazurile în care este necesar să se identifice o sursă de contaminare și să se ia măsuri pentru reducerea sau eliminarea acesteia. Metodele de screening stabilesc valorile-limită corespunzătoare pentru selectarea acelor probe. Atunci când sunt necesare eforturi semnificative pentru a identifica o sursă și a reduce sau a elimina contaminarea, ar putea fi indicat ca depășirea nivelului de acțiune să fie confirmată printr-o analiză duplicat utilizând o metodă de confirmare și ținând seama de incertitudinea de măsurare extinsă.</w:t>
            </w:r>
          </w:p>
          <w:p w:rsidR="007F27A7" w:rsidRPr="001D4791" w:rsidRDefault="007F27A7"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6074DA" w:rsidRPr="001D4791" w:rsidRDefault="006074DA"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ANEXA III</w:t>
            </w:r>
          </w:p>
          <w:p w:rsidR="006074DA" w:rsidRPr="001D4791" w:rsidRDefault="006074DA" w:rsidP="006534C2">
            <w:pPr>
              <w:jc w:val="both"/>
              <w:rPr>
                <w:rFonts w:ascii="Times New Roman" w:hAnsi="Times New Roman" w:cs="Times New Roman"/>
                <w:b/>
                <w:sz w:val="24"/>
                <w:szCs w:val="24"/>
              </w:rPr>
            </w:pPr>
            <w:r w:rsidRPr="001D4791">
              <w:rPr>
                <w:rFonts w:ascii="Times New Roman" w:hAnsi="Times New Roman" w:cs="Times New Roman"/>
                <w:b/>
                <w:sz w:val="24"/>
                <w:szCs w:val="24"/>
              </w:rPr>
              <w:t>PREGĂTIREA PROBELOR ȘI CERINȚE PRIVIND METODELE DE ANALIZĂ UTILIZATE ÎN CADRUL CONTROLULUI NIVELURILOR DE DIOXINE (PCDD/F-uri) ȘI DE PCB-uri DE TIPUL DIOXINELOR DIN ANUMITE PRODUSE ALIMENTARE</w:t>
            </w:r>
          </w:p>
          <w:p w:rsidR="006074DA" w:rsidRPr="001D4791" w:rsidRDefault="006074DA" w:rsidP="006534C2">
            <w:pPr>
              <w:jc w:val="both"/>
              <w:rPr>
                <w:rFonts w:ascii="Times New Roman" w:hAnsi="Times New Roman" w:cs="Times New Roman"/>
                <w:b/>
                <w:sz w:val="24"/>
                <w:szCs w:val="24"/>
              </w:rPr>
            </w:pPr>
          </w:p>
          <w:p w:rsidR="006074DA" w:rsidRPr="001D4791" w:rsidRDefault="006074DA" w:rsidP="006534C2">
            <w:pPr>
              <w:jc w:val="both"/>
              <w:rPr>
                <w:rFonts w:ascii="Times New Roman" w:hAnsi="Times New Roman" w:cs="Times New Roman"/>
                <w:b/>
                <w:sz w:val="24"/>
                <w:szCs w:val="24"/>
              </w:rPr>
            </w:pPr>
            <w:r w:rsidRPr="001D4791">
              <w:rPr>
                <w:rFonts w:ascii="Times New Roman" w:hAnsi="Times New Roman" w:cs="Times New Roman"/>
                <w:b/>
                <w:sz w:val="24"/>
                <w:szCs w:val="24"/>
              </w:rPr>
              <w:t>1.   DOMENIUL DE APLICARE</w:t>
            </w:r>
          </w:p>
          <w:p w:rsidR="006074DA" w:rsidRPr="001D4791" w:rsidRDefault="006074DA" w:rsidP="006534C2">
            <w:pPr>
              <w:jc w:val="both"/>
              <w:rPr>
                <w:rFonts w:ascii="Times New Roman" w:hAnsi="Times New Roman" w:cs="Times New Roman"/>
                <w:sz w:val="24"/>
                <w:szCs w:val="24"/>
              </w:rPr>
            </w:pPr>
            <w:r w:rsidRPr="001D4791">
              <w:rPr>
                <w:rFonts w:ascii="Times New Roman" w:hAnsi="Times New Roman" w:cs="Times New Roman"/>
                <w:sz w:val="24"/>
                <w:szCs w:val="24"/>
              </w:rPr>
              <w:t>Cerințele stabilite în prezenta anexă se aplică atunci când produsele alimentare sunt analizate în cadrul controlului oficial al nivelurilor de dibenzo-p-dioxine policlorurate și de dibenzofurani policlorurați 2,3,7,8-substituiți (PCDD/F-uri) și bifenili policlorurați (PCB-uri) de tipul dioxinelor, precum și în ceea ce privește pregătirea probelor și cerințele analitice în alte scopuri de reglementare, inclusiv în scopul controalelor efectuate de operatorul din sectorul alimentar pentru a asigura respectarea dispozițiilor de la articolul 4 din Regulamentul (CE) nr. 852/2004.</w:t>
            </w:r>
          </w:p>
          <w:p w:rsidR="008D7B1E" w:rsidRPr="001D4791" w:rsidRDefault="006074DA" w:rsidP="006534C2">
            <w:pPr>
              <w:jc w:val="both"/>
              <w:rPr>
                <w:rFonts w:ascii="Times New Roman" w:hAnsi="Times New Roman" w:cs="Times New Roman"/>
                <w:sz w:val="24"/>
                <w:szCs w:val="24"/>
              </w:rPr>
            </w:pPr>
            <w:r w:rsidRPr="001D4791">
              <w:rPr>
                <w:rFonts w:ascii="Times New Roman" w:hAnsi="Times New Roman" w:cs="Times New Roman"/>
                <w:sz w:val="24"/>
                <w:szCs w:val="24"/>
              </w:rPr>
              <w:t>Monitorizarea prezenței PCDD/F-</w:t>
            </w:r>
            <w:r w:rsidRPr="001D4791">
              <w:rPr>
                <w:rFonts w:ascii="Times New Roman" w:hAnsi="Times New Roman" w:cs="Times New Roman"/>
                <w:sz w:val="24"/>
                <w:szCs w:val="24"/>
              </w:rPr>
              <w:lastRenderedPageBreak/>
              <w:t>urilor și a PCB-urilor de tipul dioxinelor în produsele alimentare poate fi efectuată cu două tipuri diferite de metode de analiză:</w:t>
            </w:r>
          </w:p>
          <w:p w:rsidR="00FC2D22" w:rsidRPr="001D4791" w:rsidRDefault="00FC2D22" w:rsidP="006534C2">
            <w:pPr>
              <w:jc w:val="both"/>
              <w:rPr>
                <w:rFonts w:ascii="Times New Roman" w:hAnsi="Times New Roman" w:cs="Times New Roman"/>
                <w:sz w:val="24"/>
                <w:szCs w:val="24"/>
              </w:rPr>
            </w:pPr>
          </w:p>
          <w:p w:rsidR="00FC2D22" w:rsidRPr="001D4791" w:rsidRDefault="00FC2D22"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(a)   Metode de screening</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Obiectivul metodelor de screening este selectarea acelor probe în care nivelurile de PCDD/F-uri și de PCB-uri de tipul dioxinelor depășesc nivelurile maxime sau nivelurile de acțiune. Aceste metode de screening au o capacitate mare de tratare a probelor, eficientă din punctul de vedere al costurilor, sporind astfel șansa de a descoperi noi circumstanțe în care un grad mare de expunere poate să ducă la riscuri de sănătate pentru consumatori. Aplicarea lor urmărește evitarea rezultatelor fals conforme. Ele pot să cuprindă metode bioanalitice și metode GC-MS.</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Metodele de screening compară rezultatul analitic cu o valoare de prag, determinând o decizie de tip da/nu cu privire la eventuala depășire a nivelului maxim sau a nivelului de acțiune. Concentrația de PCDD/F-uri și suma dintre PCDD/F-uri și PCB-uri de tipul dioxinelor din probele suspecte de neconformitate cu nivelul maxim trebuie </w:t>
            </w:r>
            <w:r w:rsidRPr="001D4791">
              <w:rPr>
                <w:rFonts w:ascii="Times New Roman" w:hAnsi="Times New Roman" w:cs="Times New Roman"/>
                <w:sz w:val="24"/>
                <w:szCs w:val="24"/>
              </w:rPr>
              <w:lastRenderedPageBreak/>
              <w:t>determinate sau confirmate printr-o metodă de confirmare.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În plus, metodele de screening pot să dea o indicație despre nivelurile de PCDD/F-uri și de PCB-uri de tipul dioxinelor prezente în probă. În cazul aplicării unor metode de screening bioanalitice, rezultatul este exprimat ca echivalente bioanalitice (BEQ), în timp ce în cazul aplicării metodelor fizico-chimice GC-MS, acesta este exprimat ca echivalente toxice (TEQ). Rezultatele exprimate numeric ale metodelor de screening sunt utile pentru a dovedi conformitatea sau suspiciunea de neconformitate sau depășirea nivelurilor de acțiune și oferă o indicație a intervalului în care se situează concentrațiile în vederea monitorizării prin metode de confirmare. Acestea nu sunt adecvate pentru scopuri precum evaluarea nivelurilor de fond, aprecierea gradului de expunere, urmărirea tendințelor pe care le urmează concentrațiile în timp sau reevaluarea nivelurilor maxime și a celor de acțiune.</w:t>
            </w:r>
          </w:p>
          <w:p w:rsidR="00FC2D22" w:rsidRPr="001D4791" w:rsidRDefault="00FC2D22" w:rsidP="006534C2">
            <w:pPr>
              <w:jc w:val="both"/>
              <w:rPr>
                <w:rFonts w:ascii="Times New Roman" w:hAnsi="Times New Roman" w:cs="Times New Roman"/>
                <w:sz w:val="24"/>
                <w:szCs w:val="24"/>
              </w:rPr>
            </w:pPr>
          </w:p>
          <w:p w:rsidR="00FC2D22" w:rsidRPr="001D4791" w:rsidRDefault="00FC2D22"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(b)   Metode de confirmare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Metodele de confirmare permit identificarea și cuantificarea fără </w:t>
            </w:r>
            <w:r w:rsidRPr="001D4791">
              <w:rPr>
                <w:rFonts w:ascii="Times New Roman" w:hAnsi="Times New Roman" w:cs="Times New Roman"/>
                <w:sz w:val="24"/>
                <w:szCs w:val="24"/>
              </w:rPr>
              <w:lastRenderedPageBreak/>
              <w:t>echivoc a PCDD/F-urilor și PCB-urilor de tipul dioxinelor prezente într-o probă și oferă informații depline pentru fiecare congener. Prin urmare, aceste metode permit controlarea nivelurilor maxime și a nivelurilor de acțiune, inclusiv confirmarea rezultatelor obținute prin metodele de screening. În plus, rezultatele pot fi folosite și pentru alte scopuri, precum determinarea nivelurilor de fond mici în cadrul monitorizării produselor alimentare, monitorizarea tendințelor în timp, evaluarea expunerii populației și crearea unei baze de date pentru eventuala reevaluare a nivelurilor de acțiune și a nivelurilor maxime. Ele sunt, de asemenea, importante pentru stabilirea recurenței apariției anumitor congeneri în scopul de a identifica sursa unei posibile contaminări. Astfel de metode utilizează GC-HRMS. Pentru confirmarea conformității sau a neconformității cu nivelurile maxime, poate fi folosită și GC-MS/MS.</w:t>
            </w:r>
          </w:p>
        </w:tc>
        <w:tc>
          <w:tcPr>
            <w:tcW w:w="3827" w:type="dxa"/>
          </w:tcPr>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lastRenderedPageBreak/>
              <w:t>Capitolul III</w:t>
            </w:r>
            <w:r w:rsidRPr="001D4791">
              <w:rPr>
                <w:rFonts w:ascii="Times New Roman" w:hAnsi="Times New Roman" w:cs="Times New Roman"/>
                <w:sz w:val="24"/>
                <w:szCs w:val="24"/>
              </w:rPr>
              <w:t xml:space="preserve"> </w:t>
            </w:r>
          </w:p>
          <w:p w:rsidR="007F27A7" w:rsidRPr="001D4791" w:rsidRDefault="007F27A7"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PREGĂTIREA PROBELOR ȘI CERINȚE PRIVIND METODELE DE ANALIZĂ UTILIZATE ÎN CADRUL CONTROLULUI NIVELURILOR DE DIOXINE (PCDD/F-uri) ȘI DE PCB-uri DE TIPUL DIOXINELOR DIN ANUMITE PRODUSE ALIMENTARE</w:t>
            </w:r>
          </w:p>
          <w:p w:rsidR="007F27A7" w:rsidRPr="001D4791" w:rsidRDefault="007F27A7"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Secțiunea 1</w:t>
            </w:r>
          </w:p>
          <w:p w:rsidR="007F27A7" w:rsidRPr="001D4791" w:rsidRDefault="007F27A7" w:rsidP="006534C2">
            <w:pPr>
              <w:jc w:val="both"/>
              <w:rPr>
                <w:rFonts w:ascii="Times New Roman" w:hAnsi="Times New Roman" w:cs="Times New Roman"/>
                <w:b/>
                <w:sz w:val="24"/>
                <w:szCs w:val="24"/>
              </w:rPr>
            </w:pPr>
            <w:r w:rsidRPr="001D4791">
              <w:rPr>
                <w:rFonts w:ascii="Times New Roman" w:hAnsi="Times New Roman" w:cs="Times New Roman"/>
                <w:b/>
                <w:sz w:val="24"/>
                <w:szCs w:val="24"/>
              </w:rPr>
              <w:t>Metode de analiză</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31. </w:t>
            </w:r>
            <w:r w:rsidRPr="001D4791">
              <w:rPr>
                <w:rFonts w:ascii="Times New Roman" w:hAnsi="Times New Roman" w:cs="Times New Roman"/>
                <w:sz w:val="24"/>
                <w:szCs w:val="24"/>
              </w:rPr>
              <w:t>Cerințele stabilite în prezentul capitol se aplică atunci când produsele alimentare sunt analizate în cadrul controlului oficial al conținuturilor de dibenzo-p-dioxine policlorurate și de dibenzofurani policlorurați 2,3,7,8-substituiți (PCDD/F-uri) și bifenili policlorurați (PCB-uri) de tipul dioxinelor, precum și în pregătirea probelor, cerințele analitice și efectuarea încercărilor de laborator pentru a asigura respectarea dispozițiilor Legii nr. 296 privind cerințele generale de igienă a produselor alimentare din 21 decembrie 2017.</w:t>
            </w:r>
          </w:p>
          <w:p w:rsidR="008D7B1E" w:rsidRPr="001D4791" w:rsidRDefault="008D7B1E"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32. </w:t>
            </w:r>
            <w:r w:rsidRPr="001D4791">
              <w:rPr>
                <w:rFonts w:ascii="Times New Roman" w:hAnsi="Times New Roman" w:cs="Times New Roman"/>
                <w:sz w:val="24"/>
                <w:szCs w:val="24"/>
              </w:rPr>
              <w:t xml:space="preserve">Monitorizarea prezenței </w:t>
            </w:r>
            <w:r w:rsidRPr="001D4791">
              <w:rPr>
                <w:rFonts w:ascii="Times New Roman" w:hAnsi="Times New Roman" w:cs="Times New Roman"/>
                <w:sz w:val="24"/>
                <w:szCs w:val="24"/>
              </w:rPr>
              <w:lastRenderedPageBreak/>
              <w:t>PCDD/F-urilor și a PCB-urilor de tipul dioxinelor în produsele alimentare poate fi efectuată cu două tipuri diferite de metode de analiză:</w:t>
            </w:r>
          </w:p>
          <w:p w:rsidR="007F27A7" w:rsidRPr="001D4791" w:rsidRDefault="007F27A7" w:rsidP="006534C2">
            <w:pPr>
              <w:jc w:val="both"/>
              <w:rPr>
                <w:rFonts w:ascii="Times New Roman" w:hAnsi="Times New Roman" w:cs="Times New Roman"/>
                <w:bCs/>
                <w:i/>
                <w:sz w:val="24"/>
                <w:szCs w:val="24"/>
              </w:rPr>
            </w:pPr>
            <w:r w:rsidRPr="001D4791">
              <w:rPr>
                <w:rFonts w:ascii="Times New Roman" w:hAnsi="Times New Roman" w:cs="Times New Roman"/>
                <w:bCs/>
                <w:i/>
                <w:sz w:val="24"/>
                <w:szCs w:val="24"/>
              </w:rPr>
              <w:t xml:space="preserve">1) </w:t>
            </w:r>
            <w:r w:rsidRPr="001D4791">
              <w:rPr>
                <w:rFonts w:ascii="Times New Roman" w:hAnsi="Times New Roman" w:cs="Times New Roman"/>
                <w:bCs/>
                <w:i/>
                <w:iCs/>
                <w:sz w:val="24"/>
                <w:szCs w:val="24"/>
              </w:rPr>
              <w:t>Metode de screening</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a)</w:t>
            </w:r>
            <w:r w:rsidRPr="001D4791">
              <w:rPr>
                <w:rFonts w:ascii="Times New Roman" w:hAnsi="Times New Roman" w:cs="Times New Roman"/>
                <w:b/>
                <w:sz w:val="24"/>
                <w:szCs w:val="24"/>
              </w:rPr>
              <w:t xml:space="preserve"> </w:t>
            </w:r>
            <w:r w:rsidRPr="001D4791">
              <w:rPr>
                <w:rFonts w:ascii="Times New Roman" w:hAnsi="Times New Roman" w:cs="Times New Roman"/>
                <w:sz w:val="24"/>
                <w:szCs w:val="24"/>
              </w:rPr>
              <w:t>Obiectivul metodelor de screening este selectarea acelor probe în care nivelurile de PCDD/F-uri și de PCB-uri de tipul dioxinelor depășesc nivelurile maxime sau nivelurile de acțiune. Aceste metode de screening au o capacitate mare de tratare a probelor, eficientă din punctul de vedere al costurilor, sporind astfel șansa de a descoperi noi circumstanțe în care un grad mare de expunere poate să ducă la riscuri de sănătate pentru consumatori. Aplicarea lor urmărește evitarea rezultatelor fals conforme. Ele pot să cuprindă metode bioanalitice și metode GC-MS.</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b) Metodele de screening compară rezultatul analitic cu o valoare de prag, determinând o decizie de tip da/nu cu privire la eventuala depășire a nivelului maxim sau a nivelului de acțiune. Concentrația de PCDD/F-uri și suma dintre PCDD/F-uri și PCB-uri de tipul dioxinelor din probele suspecte de neconformitate cu nivelul maxim trebuie determinate sau confirmate printr-o metodă de </w:t>
            </w:r>
            <w:r w:rsidRPr="001D4791">
              <w:rPr>
                <w:rFonts w:ascii="Times New Roman" w:hAnsi="Times New Roman" w:cs="Times New Roman"/>
                <w:sz w:val="24"/>
                <w:szCs w:val="24"/>
              </w:rPr>
              <w:lastRenderedPageBreak/>
              <w:t>confirmare.</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c) În plus, metodele de screening pot să dea o indicație despre nivelurile de PCDD/F-uri și de PCB-uri de tipul dioxinelor prezente în probă. În cazul aplicării unor metode de screening bioanalitice, rezultatul este exprimat ca echivalente bioanalitice (BEQ), în timp ce în cazul aplicării metodelor fizico-chimice GC-MS, acesta este exprimat ca echivalente toxice (TEQ). Rezultatele exprimate numeric ale metodelor de screening sunt utile pentru a dovedi conformitatea sau suspiciunea de neconformitate sau depășirea nivelurilor de acțiune și oferă o indicație a intervalului în care se situează concentrațiile în vederea monitorizării prin metode de confirmare. Acestea nu sunt adecvate pentru scopuri precum evaluarea nivelurilor de fond, aprecierea gradului de expunere, urmărirea tendințelor pe care le urmează concentrațiile în timp sau reevaluarea nivelurilor maxime și a celor de acțiune.</w:t>
            </w:r>
          </w:p>
          <w:p w:rsidR="007F27A7" w:rsidRPr="001D4791" w:rsidRDefault="007F27A7" w:rsidP="006534C2">
            <w:pPr>
              <w:jc w:val="both"/>
              <w:rPr>
                <w:rFonts w:ascii="Times New Roman" w:hAnsi="Times New Roman" w:cs="Times New Roman"/>
                <w:bCs/>
                <w:i/>
                <w:sz w:val="24"/>
                <w:szCs w:val="24"/>
              </w:rPr>
            </w:pPr>
            <w:r w:rsidRPr="001D4791">
              <w:rPr>
                <w:rFonts w:ascii="Times New Roman" w:hAnsi="Times New Roman" w:cs="Times New Roman"/>
                <w:bCs/>
                <w:i/>
                <w:sz w:val="24"/>
                <w:szCs w:val="24"/>
              </w:rPr>
              <w:t xml:space="preserve">2) </w:t>
            </w:r>
            <w:r w:rsidRPr="001D4791">
              <w:rPr>
                <w:rFonts w:ascii="Times New Roman" w:hAnsi="Times New Roman" w:cs="Times New Roman"/>
                <w:bCs/>
                <w:i/>
                <w:iCs/>
                <w:sz w:val="24"/>
                <w:szCs w:val="24"/>
              </w:rPr>
              <w:t>Metode de confirmare</w:t>
            </w:r>
          </w:p>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Metodele de confirmare permit identificarea și cuantificarea fără echivoc a PCDD/F-urilor și PCB-urilor de tipul dioxinelor prezente </w:t>
            </w:r>
            <w:r w:rsidRPr="001D4791">
              <w:rPr>
                <w:rFonts w:ascii="Times New Roman" w:hAnsi="Times New Roman" w:cs="Times New Roman"/>
                <w:sz w:val="24"/>
                <w:szCs w:val="24"/>
              </w:rPr>
              <w:lastRenderedPageBreak/>
              <w:t>într-o probă și oferă informații depline pentru fiecare congener. Prin urmare, aceste metode permit controlarea nivelurilor maxime și a nivelurilor de acțiune, inclusiv confirmarea rezultatelor obținute prin metodele de screening. În plus, rezultatele pot fi folosite și pentru alte scopuri, precum determinarea nivelurilor de fond mici în cadrul monitorizării produselor alimentare, monitorizarea tendințelor în timp, evaluarea expunerii populației și crearea unei baze de date pentru eventuala reevaluare a nivelurilor de acțiune și a nivelurilor maxime. Ele sunt, de asemenea, importante pentru stabilirea recurenței apariției anumitor congeneri în scopul de a identifica sursa unei posibile contaminări. Astfel de metode utilizează GC-HRMS. Pentru confirmarea conformității sau a neconformității cu nivelurile maxime, poate fi folosită și GC-MS/MS.</w:t>
            </w:r>
          </w:p>
          <w:p w:rsidR="007F27A7" w:rsidRPr="001D4791" w:rsidRDefault="007F27A7"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2.   CONTEXT</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Pentru calcularea concentrațiilor de TEQ, concentrațiile substanțelor individuale dintr-o probă dată se înmulțesc cu TEF corespunzătoare, </w:t>
            </w:r>
            <w:r w:rsidRPr="001D4791">
              <w:rPr>
                <w:rFonts w:ascii="Times New Roman" w:hAnsi="Times New Roman" w:cs="Times New Roman"/>
                <w:sz w:val="24"/>
                <w:szCs w:val="24"/>
              </w:rPr>
              <w:lastRenderedPageBreak/>
              <w:t>astfel cum sunt stabilite de către Organizația Mondială a Sănătății și enumerate în apendicele la prezenta anexă, și apoi acestea se însumează pentru a obține concentrația totală de compuși de tipul dioxinelor exprimată ca TEQ-uri.</w:t>
            </w:r>
          </w:p>
          <w:p w:rsidR="008D7B1E"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Metodele de screening și de confirmare pot fi aplicate pentru controlul unei anumite matrice numai dacă metodele sunt suficient de sensibile pentru a detecta în mod fiabil niveluri în zona nivelului de acțiune sau maxim.</w:t>
            </w:r>
          </w:p>
        </w:tc>
        <w:tc>
          <w:tcPr>
            <w:tcW w:w="3827" w:type="dxa"/>
          </w:tcPr>
          <w:p w:rsidR="007F27A7" w:rsidRPr="001D4791" w:rsidRDefault="007F27A7" w:rsidP="006534C2">
            <w:pPr>
              <w:jc w:val="both"/>
              <w:rPr>
                <w:rFonts w:ascii="Times New Roman" w:hAnsi="Times New Roman" w:cs="Times New Roman"/>
                <w:sz w:val="24"/>
                <w:szCs w:val="24"/>
              </w:rPr>
            </w:pPr>
            <w:r w:rsidRPr="001D4791">
              <w:rPr>
                <w:rFonts w:ascii="Times New Roman" w:hAnsi="Times New Roman" w:cs="Times New Roman"/>
                <w:b/>
                <w:sz w:val="24"/>
                <w:szCs w:val="24"/>
              </w:rPr>
              <w:lastRenderedPageBreak/>
              <w:t xml:space="preserve">33. </w:t>
            </w:r>
            <w:r w:rsidRPr="001D4791">
              <w:rPr>
                <w:rFonts w:ascii="Times New Roman" w:hAnsi="Times New Roman" w:cs="Times New Roman"/>
                <w:sz w:val="24"/>
                <w:szCs w:val="24"/>
              </w:rPr>
              <w:t xml:space="preserve">Pentru calcularea concentrațiilor de TEQ, concentrațiile substanțelor individuale dintr-o probă dată se înmulțesc cu TEF corespunzătoare, astfel cum sunt stabilite în tabelul 5 </w:t>
            </w:r>
            <w:r w:rsidRPr="001D4791">
              <w:rPr>
                <w:rFonts w:ascii="Times New Roman" w:hAnsi="Times New Roman" w:cs="Times New Roman"/>
                <w:sz w:val="24"/>
                <w:szCs w:val="24"/>
              </w:rPr>
              <w:lastRenderedPageBreak/>
              <w:t xml:space="preserve">și apoi acestea se însumează pentru a obține concentrația totală de compuși de tipul dioxinelor exprimată ca TEQ-uri. </w:t>
            </w:r>
          </w:p>
          <w:p w:rsidR="00160606" w:rsidRPr="001D4791" w:rsidRDefault="00160606" w:rsidP="006534C2">
            <w:pPr>
              <w:rPr>
                <w:rFonts w:ascii="Times New Roman" w:hAnsi="Times New Roman" w:cs="Times New Roman"/>
                <w:sz w:val="24"/>
                <w:szCs w:val="24"/>
              </w:rPr>
            </w:pPr>
          </w:p>
          <w:p w:rsidR="00160606" w:rsidRPr="001D4791" w:rsidRDefault="00160606" w:rsidP="006534C2">
            <w:pPr>
              <w:rPr>
                <w:rFonts w:ascii="Times New Roman" w:hAnsi="Times New Roman" w:cs="Times New Roman"/>
                <w:b/>
                <w:bCs/>
                <w:sz w:val="24"/>
                <w:szCs w:val="24"/>
              </w:rPr>
            </w:pPr>
            <w:r w:rsidRPr="001D4791">
              <w:rPr>
                <w:rFonts w:ascii="Times New Roman" w:hAnsi="Times New Roman" w:cs="Times New Roman"/>
                <w:b/>
                <w:bCs/>
                <w:sz w:val="24"/>
                <w:szCs w:val="24"/>
              </w:rPr>
              <w:t>Tabelul nr. 5</w:t>
            </w:r>
          </w:p>
          <w:p w:rsidR="00160606" w:rsidRPr="001D4791" w:rsidRDefault="00160606" w:rsidP="006534C2">
            <w:pPr>
              <w:rPr>
                <w:rFonts w:ascii="Times New Roman" w:hAnsi="Times New Roman" w:cs="Times New Roman"/>
                <w:b/>
                <w:bCs/>
                <w:sz w:val="24"/>
                <w:szCs w:val="24"/>
              </w:rPr>
            </w:pPr>
            <w:r w:rsidRPr="001D4791">
              <w:rPr>
                <w:rFonts w:ascii="Times New Roman" w:hAnsi="Times New Roman" w:cs="Times New Roman"/>
                <w:b/>
                <w:bCs/>
                <w:sz w:val="24"/>
                <w:szCs w:val="24"/>
              </w:rPr>
              <w:t>Factorii de echivalență toxică OMS-TEF pentru evaluarea riscurilor pentru sănătatea umană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89"/>
              <w:gridCol w:w="749"/>
              <w:gridCol w:w="992"/>
              <w:gridCol w:w="865"/>
            </w:tblGrid>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Congener</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Valoare TEF</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Congener</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Valoare TEF</w:t>
                  </w:r>
                </w:p>
              </w:tc>
            </w:tr>
            <w:tr w:rsidR="00160606" w:rsidRPr="001D4791" w:rsidTr="00160606">
              <w:tc>
                <w:tcPr>
                  <w:tcW w:w="471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b/>
                      <w:bCs/>
                      <w:i/>
                      <w:iCs/>
                      <w:sz w:val="24"/>
                      <w:szCs w:val="24"/>
                    </w:rPr>
                    <w:t>Dibenzo-p-dioxine („PCDD-uri”)</w:t>
                  </w:r>
                </w:p>
              </w:tc>
              <w:tc>
                <w:tcPr>
                  <w:tcW w:w="507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i/>
                      <w:iCs/>
                      <w:sz w:val="24"/>
                      <w:szCs w:val="24"/>
                    </w:rPr>
                    <w:t>PCB-uri „de tipul dioxinelor”</w:t>
                  </w:r>
                </w:p>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b/>
                      <w:bCs/>
                      <w:i/>
                      <w:iCs/>
                      <w:sz w:val="24"/>
                      <w:szCs w:val="24"/>
                    </w:rPr>
                    <w:t>PCB-uri non-orto + PCB-uri mono-orto</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2,3,7,8-TCDD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1,2,3,7,8-PeCDD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b/>
                      <w:bCs/>
                      <w:i/>
                      <w:iCs/>
                      <w:sz w:val="24"/>
                      <w:szCs w:val="24"/>
                    </w:rPr>
                    <w:t>PCB-uri non-orto</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1,2,3,4,7,8-HxCDD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77</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0,0001</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1,2,3,6,7,8-HxCDD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81</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1,2,3,7,8,9-HxCDD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126</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1,2,3,4,6</w:t>
                  </w:r>
                  <w:r w:rsidRPr="001D4791">
                    <w:rPr>
                      <w:rFonts w:ascii="Times New Roman" w:hAnsi="Times New Roman" w:cs="Times New Roman"/>
                      <w:sz w:val="24"/>
                      <w:szCs w:val="24"/>
                    </w:rPr>
                    <w:lastRenderedPageBreak/>
                    <w:t>,7,8-HpCDD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lastRenderedPageBreak/>
                    <w:t>0,01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169</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lastRenderedPageBreak/>
                    <w:t>OCDD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r>
            <w:tr w:rsidR="00160606" w:rsidRPr="001D4791" w:rsidTr="00160606">
              <w:tc>
                <w:tcPr>
                  <w:tcW w:w="471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b/>
                      <w:bCs/>
                      <w:i/>
                      <w:iCs/>
                      <w:sz w:val="24"/>
                      <w:szCs w:val="24"/>
                    </w:rPr>
                    <w:t>Dibenzofurani („PCDF-uri”)</w:t>
                  </w:r>
                </w:p>
              </w:tc>
              <w:tc>
                <w:tcPr>
                  <w:tcW w:w="507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b/>
                      <w:bCs/>
                      <w:i/>
                      <w:iCs/>
                      <w:sz w:val="24"/>
                      <w:szCs w:val="24"/>
                    </w:rPr>
                    <w:t>PCB-uri mono-orto</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2,3,7,8-TCDF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105</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1,2,3,7,8-PeCDF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114</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2,3,4,7,8-PeCDF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118</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1,2,3,4,7,8-HxCDF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123</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1,2,3,6,7,8-HxCDF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156</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1,2,3,7,8,9-HxCDF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157</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2,3,4,6,7,8-HxCDF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167</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1,2,3,4,6,7,8-HpCDF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PCB 189</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0,00003</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1,2,3,4,7,8,9-HpCDF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r>
            <w:tr w:rsidR="00160606" w:rsidRPr="001D4791" w:rsidTr="0016060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lastRenderedPageBreak/>
                    <w:t>OCDF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0,0003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160606" w:rsidRPr="001D4791" w:rsidRDefault="00160606"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r>
          </w:tbl>
          <w:p w:rsidR="00160606" w:rsidRPr="001D4791" w:rsidRDefault="00160606" w:rsidP="006534C2">
            <w:pPr>
              <w:rPr>
                <w:rFonts w:ascii="Times New Roman" w:hAnsi="Times New Roman" w:cs="Times New Roman"/>
                <w:b/>
                <w:sz w:val="24"/>
                <w:szCs w:val="24"/>
              </w:rPr>
            </w:pPr>
          </w:p>
          <w:p w:rsidR="00160606" w:rsidRPr="001D4791" w:rsidRDefault="00160606"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34. </w:t>
            </w:r>
            <w:r w:rsidRPr="001D4791">
              <w:rPr>
                <w:rFonts w:ascii="Times New Roman" w:hAnsi="Times New Roman" w:cs="Times New Roman"/>
                <w:sz w:val="24"/>
                <w:szCs w:val="24"/>
              </w:rPr>
              <w:t>Metodele de screening și de confirmare pot fi aplicate pentru controlul unei anumite matrice numai dacă metodele sunt suficient de sensibile pentru a detecta în mod fiabil niveluri în zona nivelului de acțiune sau maxim.</w:t>
            </w:r>
          </w:p>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3.   CERINȚE DE ASIGURARE A CALITĂȚII</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—Trebuie luate măsuri pentru a se evita contaminarea încrucișată în fiecare etapă a procedurii de prelevare de probe și de analizare.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—Probele trebuie depozitate și transportate în recipiente de sticlă, aluminiu, polipropilenă sau polietilenă, corespunzătoare pentru depozitare, fără nicio influență asupra nivelurilor de PCDD/F-uri și de PCB-uri de tipul dioxinelor din probe. Urmele de praf de hârtie trebuie îndepărtate de pe recipientul cu probe.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—Depozitarea și transportul probelor trebuie efectuate astfel încât să se păstreze integritatea probei de produs alimentar.</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 măsura în care este relevant, fiecare probă de laborator se macină </w:t>
            </w:r>
            <w:r w:rsidRPr="001D4791">
              <w:rPr>
                <w:rFonts w:ascii="Times New Roman" w:hAnsi="Times New Roman" w:cs="Times New Roman"/>
                <w:sz w:val="24"/>
                <w:szCs w:val="24"/>
              </w:rPr>
              <w:lastRenderedPageBreak/>
              <w:t>fin și se amestecă temeinic printr-un procedeu dovedit că realizează o omogenizare completă (de exemplu, proba este măcinată fin astfel încât să treacă printr-o sită cu ochiuri de 1 mm); probele trebuie uscate înainte de măcinare, în cazul în care conținutul de umiditate este prea mare.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—Controlul reactivilor, al sticlăriei și al echipamentului în vederea detectării unei posibile influențe a rezultatelor bazate pe TEQ sau BEQ este de importanță generală.</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—Se efectuează o analiză-martor parcurgând întreaga procedură analitică, însă fără probă.</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—Pentru metodele bioanalitice, este de mare importanță ca toată sticlăria și toți solvenții utilizați în cadrul analizei să fie testați, pentru a nu conține compuși care interferează cu detectarea compușilor-țintă în intervalul de lucru. Sticlăria se clătește cu solvenți sau/și se încălzește la temperaturi adecvate pentru a elimina urmele de PCDD/F-uri, de compuși de tipul dioxinelor și de compuși interferenți de pe suprafața acesteia.</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—Cantitatea de probă utilizată pentru extracție trebuie să fie suficientă pentru a îndeplini cerințele </w:t>
            </w:r>
            <w:r w:rsidRPr="001D4791">
              <w:rPr>
                <w:rFonts w:ascii="Times New Roman" w:hAnsi="Times New Roman" w:cs="Times New Roman"/>
                <w:sz w:val="24"/>
                <w:szCs w:val="24"/>
              </w:rPr>
              <w:lastRenderedPageBreak/>
              <w:t>referitoare la un interval de lucru într-o gamă de concentrații suficient de mici și care include concentrațiile la nivelurile maxime sau de acțiune.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—Procedurile specifice de pregătire a probelor utilizate pentru produsele avute în vedere urmează orientări recunoscute la nivel internațional.</w:t>
            </w:r>
          </w:p>
          <w:p w:rsidR="008D7B1E"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—În cazul peștilor, pielea trebuie îndepărtată, deoarece nivelul maxim se aplică mușchiului fără piele. Cu toate acestea, este necesar ca întreg restul de țesut muscular și adipos de pe partea internă a pielii să fie îndepărtat de piele cu grijă și în întregime și adăugat la proba de analizat.</w:t>
            </w:r>
          </w:p>
        </w:tc>
        <w:tc>
          <w:tcPr>
            <w:tcW w:w="3827" w:type="dxa"/>
          </w:tcPr>
          <w:p w:rsidR="00160606" w:rsidRPr="001D4791" w:rsidRDefault="00160606"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Secțiunea 2</w:t>
            </w:r>
          </w:p>
          <w:p w:rsidR="00160606" w:rsidRPr="001D4791" w:rsidRDefault="00160606" w:rsidP="006534C2">
            <w:pPr>
              <w:jc w:val="both"/>
              <w:rPr>
                <w:rFonts w:ascii="Times New Roman" w:hAnsi="Times New Roman" w:cs="Times New Roman"/>
                <w:b/>
                <w:sz w:val="24"/>
                <w:szCs w:val="24"/>
              </w:rPr>
            </w:pPr>
            <w:r w:rsidRPr="001D4791">
              <w:rPr>
                <w:rFonts w:ascii="Times New Roman" w:hAnsi="Times New Roman" w:cs="Times New Roman"/>
                <w:b/>
                <w:sz w:val="24"/>
                <w:szCs w:val="24"/>
              </w:rPr>
              <w:t>Cerințe de asigurare a calității și cerințe pentru laborator</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35. </w:t>
            </w:r>
            <w:r w:rsidRPr="001D4791">
              <w:rPr>
                <w:rFonts w:ascii="Times New Roman" w:hAnsi="Times New Roman" w:cs="Times New Roman"/>
                <w:bCs/>
                <w:sz w:val="24"/>
                <w:szCs w:val="24"/>
              </w:rPr>
              <w:t>Trebuie luate măsuri pentru a se evita contaminarea încrucișată în fiecare etapă a procedurii de prelevare de probe și de analizare.</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36. </w:t>
            </w:r>
            <w:r w:rsidRPr="001D4791">
              <w:rPr>
                <w:rFonts w:ascii="Times New Roman" w:hAnsi="Times New Roman" w:cs="Times New Roman"/>
                <w:bCs/>
                <w:sz w:val="24"/>
                <w:szCs w:val="24"/>
              </w:rPr>
              <w:t>Probele trebuie depozitate și transportate în recipiente de sticlă, aluminiu, polipropilenă sau polietilenă. Urmele de praf de hârtie trebuie îndepărtate de pe recipientul cu probe.</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37. </w:t>
            </w:r>
            <w:r w:rsidRPr="001D4791">
              <w:rPr>
                <w:rFonts w:ascii="Times New Roman" w:hAnsi="Times New Roman" w:cs="Times New Roman"/>
                <w:bCs/>
                <w:sz w:val="24"/>
                <w:szCs w:val="24"/>
              </w:rPr>
              <w:t>Depozitarea și transportul probelor trebuie efectuate astfel încât să se păstreze integritatea probei de produs alimentar.</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38. </w:t>
            </w:r>
            <w:r w:rsidRPr="001D4791">
              <w:rPr>
                <w:rFonts w:ascii="Times New Roman" w:hAnsi="Times New Roman" w:cs="Times New Roman"/>
                <w:bCs/>
                <w:sz w:val="24"/>
                <w:szCs w:val="24"/>
              </w:rPr>
              <w:t xml:space="preserve">În măsura în care este relevant, fiecare probă de laborator se macină fin și se amestecă temeinic printr-un procedeu dovedit că realizează o omogenizare completă (de exemplu, </w:t>
            </w:r>
            <w:r w:rsidRPr="001D4791">
              <w:rPr>
                <w:rFonts w:ascii="Times New Roman" w:hAnsi="Times New Roman" w:cs="Times New Roman"/>
                <w:bCs/>
                <w:sz w:val="24"/>
                <w:szCs w:val="24"/>
              </w:rPr>
              <w:lastRenderedPageBreak/>
              <w:t>proba este măcinată fin astfel încât să treacă printr-o sită cu ochiuri de 1 mm); probele trebuie uscate înainte de măcinare, în cazul în care conținutul de umiditate este mare.</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39. </w:t>
            </w:r>
            <w:r w:rsidRPr="001D4791">
              <w:rPr>
                <w:rFonts w:ascii="Times New Roman" w:hAnsi="Times New Roman" w:cs="Times New Roman"/>
                <w:bCs/>
                <w:sz w:val="24"/>
                <w:szCs w:val="24"/>
              </w:rPr>
              <w:t>Controlul reactivilor, al sticlăriei și al echipamentului în vederea detectării unei posibile influențe a rezultatelor bazate pe TEQ sau BEQ este de importanță generală.</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40. </w:t>
            </w:r>
            <w:r w:rsidRPr="001D4791">
              <w:rPr>
                <w:rFonts w:ascii="Times New Roman" w:hAnsi="Times New Roman" w:cs="Times New Roman"/>
                <w:bCs/>
                <w:sz w:val="24"/>
                <w:szCs w:val="24"/>
              </w:rPr>
              <w:t>Se efectuează o analiză-martor parcurgând întreaga procedură analitică, însă fără probă.</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41 </w:t>
            </w:r>
            <w:r w:rsidRPr="001D4791">
              <w:rPr>
                <w:rFonts w:ascii="Times New Roman" w:hAnsi="Times New Roman" w:cs="Times New Roman"/>
                <w:bCs/>
                <w:sz w:val="24"/>
                <w:szCs w:val="24"/>
              </w:rPr>
              <w:t>Pentru metodele bioanalitice, este de mare importanță ca toată sticlăria și toți solvenții utilizați în cadrul analizei să fie testați, pentru a nu conține compuși care interferează cu detectarea compușilor-țintă în intervalul de lucru. Sticlăria se clătește cu solvenți sau/și se încălzește la temperaturi adecvate pentru a elimina urmele de PCDD/F-uri, de compuși de tipul dioxinelor și de compuși interferenți de pe suprafața acesteia.</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42. </w:t>
            </w:r>
            <w:r w:rsidRPr="001D4791">
              <w:rPr>
                <w:rFonts w:ascii="Times New Roman" w:hAnsi="Times New Roman" w:cs="Times New Roman"/>
                <w:bCs/>
                <w:sz w:val="24"/>
                <w:szCs w:val="24"/>
              </w:rPr>
              <w:t>Cantitatea de probă utilizată pentru extracție trebuie să fie suficientă pentru a îndeplini cerințele referitoare la un interval de lucru într-o gamă de concentrații suficient de mici și care include concentrațiile la nivelurile maxime sau de acțiune.</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lastRenderedPageBreak/>
              <w:t xml:space="preserve">43. </w:t>
            </w:r>
            <w:r w:rsidRPr="001D4791">
              <w:rPr>
                <w:rFonts w:ascii="Times New Roman" w:hAnsi="Times New Roman" w:cs="Times New Roman"/>
                <w:bCs/>
                <w:sz w:val="24"/>
                <w:szCs w:val="24"/>
              </w:rPr>
              <w:t>Procedurile specifice de pregătire a probelor utilizate pentru produsele avute în vedere urmează orientări recunoscute la nivel internațional.</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44. </w:t>
            </w:r>
            <w:r w:rsidRPr="001D4791">
              <w:rPr>
                <w:rFonts w:ascii="Times New Roman" w:hAnsi="Times New Roman" w:cs="Times New Roman"/>
                <w:bCs/>
                <w:sz w:val="24"/>
                <w:szCs w:val="24"/>
              </w:rPr>
              <w:t xml:space="preserve">În cazul peștilor, pielea trebuie îndepărtată, deoarece nivelul maxim se aplică mușchiului fără piele. Cu toate acestea, este necesar ca întreg restul de țesut muscular și adipos de pe partea internă a pielii să fie îndepărtat de piele cu grijă și în întregime și adăugat la proba de analizat. </w:t>
            </w:r>
          </w:p>
          <w:p w:rsidR="008D7B1E" w:rsidRPr="001D4791" w:rsidRDefault="008D7B1E"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4.   CERINȚE PENTRU LABORATOARE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 conformitate cu dispozițiile Regulamentului (CE) nr. 882/2004, laboratoarele sunt acreditate de un organism recunoscut care funcționează în conformitate cu Ghidul ISO 58, pentru a se asigura aplicarea de către acestea a procedurilor de asigurare a calității analizelor. Laboratoarele sunt acreditate conform standardului EN ISO/IEC 17025. Dacă este cazul, trebuie respectate principiile descrise în Orientările tehnice pentru estimarea incertitudinii de măsurare </w:t>
            </w:r>
            <w:r w:rsidRPr="001D4791">
              <w:rPr>
                <w:rFonts w:ascii="Times New Roman" w:hAnsi="Times New Roman" w:cs="Times New Roman"/>
                <w:sz w:val="24"/>
                <w:szCs w:val="24"/>
              </w:rPr>
              <w:lastRenderedPageBreak/>
              <w:t>și a limitelor de cuantificare pentru analiza PCDD/F-urilor și a PCB-urilor (1).</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—Competența laboratoarelor se demonstrează prin participarea continuă și cu succes la studiile interlaboratoare pentru determinarea PCDD/F-urilor și a PCB-urilor de tipul dioxinelor în matricele de produse alimentare și în intervalele de concentrații relevante.</w:t>
            </w:r>
          </w:p>
          <w:p w:rsidR="008D7B1E"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—Laboratoarele care aplică metode de screening pentru controlul de rutină al probelor stabilesc o cooperare strânsă cu laboratoarele care aplică metoda de confirmare, atât pentru controlul calității, cât și pentru confirmarea rezultatului analitic al probelor suspecte.</w:t>
            </w:r>
          </w:p>
        </w:tc>
        <w:tc>
          <w:tcPr>
            <w:tcW w:w="3827" w:type="dxa"/>
          </w:tcPr>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lastRenderedPageBreak/>
              <w:t>45.</w:t>
            </w:r>
            <w:r w:rsidRPr="001D4791">
              <w:rPr>
                <w:rFonts w:ascii="Times New Roman" w:hAnsi="Times New Roman" w:cs="Times New Roman"/>
                <w:bCs/>
                <w:sz w:val="24"/>
                <w:szCs w:val="24"/>
              </w:rPr>
              <w:t xml:space="preserve"> Analiza probelor pentru determinarea </w:t>
            </w:r>
            <w:r w:rsidRPr="001D4791">
              <w:rPr>
                <w:rFonts w:ascii="Times New Roman" w:hAnsi="Times New Roman" w:cs="Times New Roman"/>
                <w:sz w:val="24"/>
                <w:szCs w:val="24"/>
              </w:rPr>
              <w:t xml:space="preserve">nivelurilor de dioxine, de PCB-uri de tipul dioxinelor și de PCB-uri care nu sunt de tipul dioxinelor în anumite produse alimentare </w:t>
            </w:r>
            <w:r w:rsidRPr="001D4791">
              <w:rPr>
                <w:rFonts w:ascii="Times New Roman" w:hAnsi="Times New Roman" w:cs="Times New Roman"/>
                <w:bCs/>
                <w:sz w:val="24"/>
                <w:szCs w:val="24"/>
              </w:rPr>
              <w:t xml:space="preserve">se efectuează intr-un laborator acreditat </w:t>
            </w:r>
            <w:r w:rsidRPr="001D4791">
              <w:rPr>
                <w:rFonts w:ascii="Times New Roman" w:hAnsi="Times New Roman" w:cs="Times New Roman"/>
                <w:sz w:val="24"/>
                <w:szCs w:val="24"/>
              </w:rPr>
              <w:t>conform standardului naţional SM SR EN ISO/IEC 17025:2018 „Cerinţe generale pentru competenţa laboratoarelor de încercări şi etalonări”</w:t>
            </w:r>
            <w:r w:rsidRPr="001D4791">
              <w:rPr>
                <w:rFonts w:ascii="Times New Roman" w:hAnsi="Times New Roman" w:cs="Times New Roman"/>
                <w:bCs/>
                <w:sz w:val="24"/>
                <w:szCs w:val="24"/>
              </w:rPr>
              <w:t>.</w:t>
            </w:r>
          </w:p>
          <w:p w:rsidR="008D7B1E" w:rsidRPr="001D4791" w:rsidRDefault="008D7B1E"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5.   CERINȚE DE BAZĂ PRIVIND PROCEDURILE ANALITICE REFERITOARE LA DIOXINE (PCDD/F-uri) ȘI PCB-uri DE TIPUL DIOXINELOR</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5.1.   Interval de lucru și limite de cuantificare în gama de niveluri mici</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—Pentru PCDD/F-uri, cantitățile detectabile trebuie să fie în gama superioară a femtogramelor (10–15 g) din cauza toxicității extreme a unora dintre acești compuși. Pentru majoritatea congenerilor PCB, limita </w:t>
            </w:r>
            <w:r w:rsidRPr="001D4791">
              <w:rPr>
                <w:rFonts w:ascii="Times New Roman" w:hAnsi="Times New Roman" w:cs="Times New Roman"/>
                <w:sz w:val="24"/>
                <w:szCs w:val="24"/>
              </w:rPr>
              <w:lastRenderedPageBreak/>
              <w:t>de cuantificare de ordinul nanogramelor (10–9 g) este deja suficientă. Totuși, pentru măsurarea congenerilor PCB-urilor de tipul dioxinelor mai toxici (în special a congenerilor non-orto substituiți), zona inferioară a intervalului de lucru trebuie să ajungă în gama inferioară a picogramelor (10–12 g).</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5.2.   Selectivitate (specificitate) mare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—Este necesar să se facă o distincție între PCDD/F-uri și PCB-uri de tipul dioxinelor și o multitudine de alți compuși coextrași care pot să interfereze și care sunt prezenți în concentrații cu până la câteva ordine de mărime mai mari decât cele ale analiților de interes. Pentru metodele bazate pe gaz-cromatografie/spectrometrie de masă (GC-MS), este necesară o diferențiere între diverșii congeneri, respectiv între cei toxici (de exemplu, cele șaptesprezece PCDD/F-uri 2,3,7,8-substituite și cele douăsprezece PCB-uri de tipul dioxinelor) și alți congeneri.</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—Metodele bioanalitice sunt capabile să detecteze compușii-țintă ca sumă de PCDD/F-uri și/sau de PCB-uri de tipul dioxinelor. Curățarea probelor are drept scop </w:t>
            </w:r>
            <w:r w:rsidRPr="001D4791">
              <w:rPr>
                <w:rFonts w:ascii="Times New Roman" w:hAnsi="Times New Roman" w:cs="Times New Roman"/>
                <w:sz w:val="24"/>
                <w:szCs w:val="24"/>
              </w:rPr>
              <w:lastRenderedPageBreak/>
              <w:t>eliminarea compușilor care duc la rezultate fals neconforme sau a compușilor care pot atenua răspunsul, ducând la rezultate fals conforme.</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5.3.   Acuratețe mare (fidelitate și precizie, recuperare aparentă a testului biologic)</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—Pentru metodele GC-MS, determinarea oferă o estimare valabilă a concentrației reale dintr-o probă. Acuratețea mare (acuratețea măsurătorii: concordanța cât mai bună între rezultatul unei măsurători și valoarea reală sau alocată a mărimii măsurabile) este necesară pentru a evita respingerea rezultatului analizei unei probe în temeiul fiabilității slabe a nivelului TEQ determinat. Acuratețea se exprimă prin fidelitate (diferența dintre valoarea medie măsurată pentru un analit pe un material certificat și valoarea sa certificată, exprimată ca procent din această valoare) și precizie (deviația standard relativă RSDR calculată pe baza rezultatelor generate în condiții de reproductibilitate).</w:t>
            </w:r>
          </w:p>
          <w:p w:rsidR="008D7B1E"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—Pentru metodele bioanalitice, se determină recuperarea aparentă a testului biologic.</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 xml:space="preserve">5.4.   Validarea în intervalul </w:t>
            </w:r>
            <w:r w:rsidRPr="001D4791">
              <w:rPr>
                <w:rFonts w:ascii="Times New Roman" w:hAnsi="Times New Roman" w:cs="Times New Roman"/>
                <w:b/>
                <w:sz w:val="24"/>
                <w:szCs w:val="24"/>
              </w:rPr>
              <w:lastRenderedPageBreak/>
              <w:t>nivelului maxim și măsuri generale de control al calității</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—În timpul procedurii de validare și/sau în timpul analizei de rutină, laboratoarele demonstrează performanța unei metode în intervalul nivelului maxim, de exemplu, 0,5x, 1x și 2x nivelul maxim, cu un coeficient de variație acceptabil pentru analize repetate.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—Ca măsuri interne de control al calității, se efectuează periodic controale-martor, experimente cu îmbogățire sau analize ale unor probe de control (preferabil, dacă este posibil, cu material de referință certificat). Se înregistrează și se verifică grafice de control al calității (QC) pentru controalele-martor, experimentele cu îmbogățire sau analizele unor probe de control, pentru a se garanta că performanța analitică este conformă cerințelor.</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5.5.   Limita de cuantificare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—Pentru o metodă bioanalitică de screening, stabilirea LDC nu este o cerință indispensabilă, însă metoda trebuie să demonstreze că poate face distincție între valoarea-martor și valoarea de prag. Atunci când se furnizează un nivel BEQ, se stabilește un nivel de raportare pentru a se lua decizii legate de </w:t>
            </w:r>
            <w:r w:rsidRPr="001D4791">
              <w:rPr>
                <w:rFonts w:ascii="Times New Roman" w:hAnsi="Times New Roman" w:cs="Times New Roman"/>
                <w:sz w:val="24"/>
                <w:szCs w:val="24"/>
              </w:rPr>
              <w:lastRenderedPageBreak/>
              <w:t>probele care prezintă un răspuns sub acest nivel. Trebuie să se dovedească faptul că nivelul de raportare este diferit față de probele-martor din cadrul procedurii cu un factor de minimum trei, cu un răspuns inferior intervalului de lucru. Prin urmare, se calculează pornind de la probe care conțin compușii-țintă în concentrații din jurul nivelului minim prevăzut și nu de la un raport S/Z sau de la un test-martor.</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—Limita de cuantificare (LDC) pentru o metodă de confirmare este aproximativ o cincime din nivelul maxim.</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5.6.   Criterii analitice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562"/>
            </w:tblGrid>
            <w:tr w:rsidR="00FC2D22" w:rsidRPr="001D4791" w:rsidTr="00FC2D22">
              <w:tc>
                <w:tcPr>
                  <w:tcW w:w="35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C2D22"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—Pentru ca metodele de confirmare sau de screening să ofere rezultate fiabile, în intervalul nivelului maxim trebuie să fie respectate următoarele criterii pentru valoarea TEQ, respectiv BEQ, indiferent dacă aceasta este determinată ca TEQ total sau ca BEQ total (ca sumă de PCDD/F-uri și de PCB-uri de tipul dioxinelor) sau separat pentru PCDD/F-uri și pentru PCB-uri de tipul dioxinelor.</w:t>
                  </w:r>
                </w:p>
              </w:tc>
            </w:tr>
          </w:tbl>
          <w:p w:rsidR="00FC2D22" w:rsidRPr="001D4791" w:rsidRDefault="00FC2D22" w:rsidP="006534C2">
            <w:pPr>
              <w:jc w:val="both"/>
              <w:rPr>
                <w:rFonts w:ascii="Times New Roman" w:hAnsi="Times New Roman" w:cs="Times New Roman"/>
                <w:vanish/>
                <w:sz w:val="24"/>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04"/>
              <w:gridCol w:w="1515"/>
              <w:gridCol w:w="843"/>
            </w:tblGrid>
            <w:tr w:rsidR="00FC2D22" w:rsidRPr="001D4791" w:rsidTr="00FC2D22">
              <w:tc>
                <w:tcPr>
                  <w:tcW w:w="31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c>
                <w:tcPr>
                  <w:tcW w:w="40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t xml:space="preserve">Screening cu metode bioanalitice </w:t>
                  </w:r>
                  <w:r w:rsidRPr="001D4791">
                    <w:rPr>
                      <w:rFonts w:ascii="Times New Roman" w:hAnsi="Times New Roman" w:cs="Times New Roman"/>
                      <w:b/>
                      <w:bCs/>
                      <w:sz w:val="24"/>
                      <w:szCs w:val="24"/>
                      <w:lang w:val="ru-RU"/>
                    </w:rPr>
                    <w:lastRenderedPageBreak/>
                    <w:t>sau fizico-chimice</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lastRenderedPageBreak/>
                    <w:t>Metode de confir</w:t>
                  </w:r>
                  <w:r w:rsidRPr="001D4791">
                    <w:rPr>
                      <w:rFonts w:ascii="Times New Roman" w:hAnsi="Times New Roman" w:cs="Times New Roman"/>
                      <w:b/>
                      <w:bCs/>
                      <w:sz w:val="24"/>
                      <w:szCs w:val="24"/>
                      <w:lang w:val="ru-RU"/>
                    </w:rPr>
                    <w:lastRenderedPageBreak/>
                    <w:t>mare</w:t>
                  </w:r>
                </w:p>
              </w:tc>
            </w:tr>
            <w:tr w:rsidR="00FC2D22" w:rsidRPr="001D4791" w:rsidTr="00FC2D22">
              <w:tc>
                <w:tcPr>
                  <w:tcW w:w="31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lastRenderedPageBreak/>
                    <w:t>Rată a rezultatelor fals conforme</w:t>
                  </w:r>
                  <w:hyperlink r:id="rId7" w:anchor="ntr*1-L_2017092RO.01001901-E0002" w:history="1">
                    <w:r w:rsidRPr="001D4791">
                      <w:rPr>
                        <w:rStyle w:val="a5"/>
                        <w:rFonts w:ascii="Times New Roman" w:hAnsi="Times New Roman" w:cs="Times New Roman"/>
                        <w:b/>
                        <w:bCs/>
                        <w:color w:val="auto"/>
                        <w:sz w:val="24"/>
                        <w:szCs w:val="24"/>
                        <w:lang w:val="ru-RU"/>
                      </w:rPr>
                      <w:t> (</w:t>
                    </w:r>
                    <w:r w:rsidRPr="001D4791">
                      <w:rPr>
                        <w:rStyle w:val="a5"/>
                        <w:rFonts w:ascii="Times New Roman" w:hAnsi="Times New Roman" w:cs="Times New Roman"/>
                        <w:b/>
                        <w:bCs/>
                        <w:color w:val="auto"/>
                        <w:sz w:val="24"/>
                        <w:szCs w:val="24"/>
                        <w:vertAlign w:val="superscript"/>
                        <w:lang w:val="ru-RU"/>
                      </w:rPr>
                      <w:t>*1</w:t>
                    </w:r>
                    <w:r w:rsidRPr="001D4791">
                      <w:rPr>
                        <w:rStyle w:val="a5"/>
                        <w:rFonts w:ascii="Times New Roman" w:hAnsi="Times New Roman" w:cs="Times New Roman"/>
                        <w:b/>
                        <w:bCs/>
                        <w:color w:val="auto"/>
                        <w:sz w:val="24"/>
                        <w:szCs w:val="24"/>
                        <w:lang w:val="ru-RU"/>
                      </w:rPr>
                      <w:t>)</w:t>
                    </w:r>
                  </w:hyperlink>
                </w:p>
              </w:tc>
              <w:tc>
                <w:tcPr>
                  <w:tcW w:w="40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&lt; 5 %</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 </w:t>
                  </w:r>
                </w:p>
              </w:tc>
            </w:tr>
            <w:tr w:rsidR="00FC2D22" w:rsidRPr="001D4791" w:rsidTr="00FC2D22">
              <w:tc>
                <w:tcPr>
                  <w:tcW w:w="31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t>Fidelitate</w:t>
                  </w:r>
                </w:p>
              </w:tc>
              <w:tc>
                <w:tcPr>
                  <w:tcW w:w="40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 </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 20 % și +20 %</w:t>
                  </w:r>
                </w:p>
              </w:tc>
            </w:tr>
            <w:tr w:rsidR="00FC2D22" w:rsidRPr="001D4791" w:rsidTr="00FC2D22">
              <w:tc>
                <w:tcPr>
                  <w:tcW w:w="31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t>Repetabilitate (RSD</w:t>
                  </w:r>
                  <w:r w:rsidRPr="001D4791">
                    <w:rPr>
                      <w:rFonts w:ascii="Times New Roman" w:hAnsi="Times New Roman" w:cs="Times New Roman"/>
                      <w:b/>
                      <w:bCs/>
                      <w:sz w:val="24"/>
                      <w:szCs w:val="24"/>
                      <w:vertAlign w:val="subscript"/>
                      <w:lang w:val="ru-RU"/>
                    </w:rPr>
                    <w:t>r</w:t>
                  </w:r>
                  <w:r w:rsidRPr="001D4791">
                    <w:rPr>
                      <w:rFonts w:ascii="Times New Roman" w:hAnsi="Times New Roman" w:cs="Times New Roman"/>
                      <w:b/>
                      <w:bCs/>
                      <w:sz w:val="24"/>
                      <w:szCs w:val="24"/>
                      <w:lang w:val="ru-RU"/>
                    </w:rPr>
                    <w:t>)</w:t>
                  </w:r>
                </w:p>
              </w:tc>
              <w:tc>
                <w:tcPr>
                  <w:tcW w:w="40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&lt; 20 %</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 </w:t>
                  </w:r>
                </w:p>
              </w:tc>
            </w:tr>
            <w:tr w:rsidR="00FC2D22" w:rsidRPr="001D4791" w:rsidTr="00FC2D22">
              <w:tc>
                <w:tcPr>
                  <w:tcW w:w="31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t>Precizie intermediară (RSD</w:t>
                  </w:r>
                  <w:r w:rsidRPr="001D4791">
                    <w:rPr>
                      <w:rFonts w:ascii="Times New Roman" w:hAnsi="Times New Roman" w:cs="Times New Roman"/>
                      <w:b/>
                      <w:bCs/>
                      <w:sz w:val="24"/>
                      <w:szCs w:val="24"/>
                      <w:vertAlign w:val="subscript"/>
                      <w:lang w:val="ru-RU"/>
                    </w:rPr>
                    <w:t>R</w:t>
                  </w:r>
                  <w:r w:rsidRPr="001D4791">
                    <w:rPr>
                      <w:rFonts w:ascii="Times New Roman" w:hAnsi="Times New Roman" w:cs="Times New Roman"/>
                      <w:b/>
                      <w:bCs/>
                      <w:sz w:val="24"/>
                      <w:szCs w:val="24"/>
                      <w:lang w:val="ru-RU"/>
                    </w:rPr>
                    <w:t>)</w:t>
                  </w:r>
                </w:p>
              </w:tc>
              <w:tc>
                <w:tcPr>
                  <w:tcW w:w="40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&lt; 25 %</w:t>
                  </w:r>
                </w:p>
              </w:tc>
              <w:tc>
                <w:tcPr>
                  <w:tcW w:w="217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FC2D22"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&lt; 15 %</w:t>
                  </w:r>
                </w:p>
              </w:tc>
            </w:tr>
          </w:tbl>
          <w:p w:rsidR="00FC2D22" w:rsidRPr="001D4791" w:rsidRDefault="00FC2D22" w:rsidP="006534C2">
            <w:pPr>
              <w:jc w:val="both"/>
              <w:rPr>
                <w:rFonts w:ascii="Times New Roman" w:hAnsi="Times New Roman" w:cs="Times New Roman"/>
                <w:sz w:val="24"/>
                <w:szCs w:val="24"/>
              </w:rPr>
            </w:pPr>
          </w:p>
        </w:tc>
        <w:tc>
          <w:tcPr>
            <w:tcW w:w="3827" w:type="dxa"/>
          </w:tcPr>
          <w:p w:rsidR="00160606" w:rsidRPr="001D4791" w:rsidRDefault="00160606"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Secțiunea 3</w:t>
            </w:r>
          </w:p>
          <w:p w:rsidR="00160606" w:rsidRPr="001D4791" w:rsidRDefault="00160606"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Cerințe de bază privind procedurile analitice referitoare la dioxine </w:t>
            </w:r>
          </w:p>
          <w:p w:rsidR="00160606" w:rsidRPr="001D4791" w:rsidRDefault="00160606" w:rsidP="006534C2">
            <w:pPr>
              <w:jc w:val="both"/>
              <w:rPr>
                <w:rFonts w:ascii="Times New Roman" w:hAnsi="Times New Roman" w:cs="Times New Roman"/>
                <w:b/>
                <w:sz w:val="24"/>
                <w:szCs w:val="24"/>
              </w:rPr>
            </w:pPr>
            <w:r w:rsidRPr="001D4791">
              <w:rPr>
                <w:rFonts w:ascii="Times New Roman" w:hAnsi="Times New Roman" w:cs="Times New Roman"/>
                <w:b/>
                <w:bCs/>
                <w:sz w:val="24"/>
                <w:szCs w:val="24"/>
              </w:rPr>
              <w:t>(PCDD/F-uri) și PCB-uri de tipul dioxinelor</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46. </w:t>
            </w:r>
            <w:r w:rsidRPr="001D4791">
              <w:rPr>
                <w:rFonts w:ascii="Times New Roman" w:hAnsi="Times New Roman" w:cs="Times New Roman"/>
                <w:bCs/>
                <w:sz w:val="24"/>
                <w:szCs w:val="24"/>
              </w:rPr>
              <w:t xml:space="preserve">Pentru PCDD/F-uri, cantitățile detectabile trebuie să fie în gama superioară a femtogramelor (10–15 g) din cauza toxicității extreme a unora dintre acești compuși. Pentru majoritatea congenerilor PCB, limita de cuantificare de ordinul nanogramelor (10–9 g) este deja </w:t>
            </w:r>
            <w:r w:rsidRPr="001D4791">
              <w:rPr>
                <w:rFonts w:ascii="Times New Roman" w:hAnsi="Times New Roman" w:cs="Times New Roman"/>
                <w:bCs/>
                <w:sz w:val="24"/>
                <w:szCs w:val="24"/>
              </w:rPr>
              <w:lastRenderedPageBreak/>
              <w:t xml:space="preserve">suficientă. Pentru măsurarea congenerilor PCB-urilor de tipul dioxinelor mai toxici (în special a congenerilor non-orto substituiți), zona inferioară a intervalului de lucru trebuie să ajungă în gama inferioară a picogramelor </w:t>
            </w:r>
            <w:r w:rsidRPr="001D4791">
              <w:rPr>
                <w:rFonts w:ascii="Times New Roman" w:hAnsi="Times New Roman" w:cs="Times New Roman"/>
                <w:sz w:val="24"/>
                <w:szCs w:val="24"/>
              </w:rPr>
              <w:t>(10</w:t>
            </w:r>
            <w:r w:rsidRPr="001D4791">
              <w:rPr>
                <w:rFonts w:ascii="Times New Roman" w:hAnsi="Times New Roman" w:cs="Times New Roman"/>
                <w:sz w:val="24"/>
                <w:szCs w:val="24"/>
                <w:vertAlign w:val="superscript"/>
              </w:rPr>
              <w:t xml:space="preserve">–12 </w:t>
            </w:r>
            <w:r w:rsidRPr="001D4791">
              <w:rPr>
                <w:rFonts w:ascii="Times New Roman" w:hAnsi="Times New Roman" w:cs="Times New Roman"/>
                <w:sz w:val="24"/>
                <w:szCs w:val="24"/>
              </w:rPr>
              <w:t>g).</w:t>
            </w:r>
          </w:p>
          <w:p w:rsidR="00160606" w:rsidRPr="001D4791" w:rsidRDefault="00160606" w:rsidP="006534C2">
            <w:pPr>
              <w:jc w:val="both"/>
              <w:rPr>
                <w:rFonts w:ascii="Times New Roman" w:hAnsi="Times New Roman" w:cs="Times New Roman"/>
                <w:b/>
                <w:bCs/>
                <w:sz w:val="24"/>
                <w:szCs w:val="24"/>
              </w:rPr>
            </w:pPr>
          </w:p>
          <w:p w:rsidR="00160606" w:rsidRPr="001D4791" w:rsidRDefault="00160606" w:rsidP="006534C2">
            <w:pPr>
              <w:jc w:val="both"/>
              <w:rPr>
                <w:rFonts w:ascii="Times New Roman" w:hAnsi="Times New Roman" w:cs="Times New Roman"/>
                <w:b/>
                <w:bCs/>
                <w:sz w:val="24"/>
                <w:szCs w:val="24"/>
              </w:rPr>
            </w:pPr>
          </w:p>
          <w:p w:rsidR="00160606" w:rsidRPr="001D4791" w:rsidRDefault="00160606" w:rsidP="006534C2">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47. </w:t>
            </w:r>
            <w:r w:rsidRPr="001D4791">
              <w:rPr>
                <w:rFonts w:ascii="Times New Roman" w:hAnsi="Times New Roman" w:cs="Times New Roman"/>
                <w:sz w:val="24"/>
                <w:szCs w:val="24"/>
              </w:rPr>
              <w:t>Este necesar să se facă o distincție între PCDD/F-uri și PCB-uri de tipul dioxinelor și o multitudine de alți compuși coextrași care pot să interfereze și care sunt prezenți în concentrații cu până la câteva ordine de mărime mai mari decât cele ale analiților de interes. Pentru metodele bazate pe gaz-cromatografie/spectrometrie de masă (GC-MS), este necesară o diferențiere între diverșii congeneri, respectiv între cei toxici (de exemplu, cele șaptesprezece PCDD/F-uri 2,3,7,8-substituite și cele douăsprezece PCB-uri de tipul dioxinelor) și alți congeneri.</w:t>
            </w:r>
          </w:p>
          <w:p w:rsidR="008D7B1E" w:rsidRPr="001D4791" w:rsidRDefault="008D7B1E" w:rsidP="006534C2">
            <w:pPr>
              <w:jc w:val="both"/>
              <w:rPr>
                <w:rFonts w:ascii="Times New Roman" w:hAnsi="Times New Roman" w:cs="Times New Roman"/>
                <w:sz w:val="24"/>
                <w:szCs w:val="24"/>
              </w:rPr>
            </w:pPr>
          </w:p>
          <w:p w:rsidR="00160606" w:rsidRPr="001D4791" w:rsidRDefault="00160606" w:rsidP="006534C2">
            <w:pPr>
              <w:jc w:val="both"/>
              <w:rPr>
                <w:rFonts w:ascii="Times New Roman" w:hAnsi="Times New Roman" w:cs="Times New Roman"/>
                <w:sz w:val="24"/>
                <w:szCs w:val="24"/>
              </w:rPr>
            </w:pP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sz w:val="24"/>
                <w:szCs w:val="24"/>
              </w:rPr>
              <w:t>48</w:t>
            </w:r>
            <w:r w:rsidRPr="001D4791">
              <w:rPr>
                <w:rFonts w:ascii="Times New Roman" w:hAnsi="Times New Roman" w:cs="Times New Roman"/>
                <w:sz w:val="24"/>
                <w:szCs w:val="24"/>
              </w:rPr>
              <w:t xml:space="preserve">. Metodele bioanalitice sunt capabile să detecteze compușii-țintă ca sumă de PCDD/F-uri și/sau de PCB-uri de tipul dioxinelor. Curățarea probelor are drept scop </w:t>
            </w:r>
            <w:r w:rsidRPr="001D4791">
              <w:rPr>
                <w:rFonts w:ascii="Times New Roman" w:hAnsi="Times New Roman" w:cs="Times New Roman"/>
                <w:sz w:val="24"/>
                <w:szCs w:val="24"/>
              </w:rPr>
              <w:lastRenderedPageBreak/>
              <w:t>eliminarea compușilor care duc la rezultate fals neconforme sau a compușilor care pot atenua răspunsul, ducând la rezultate fals conforme.</w:t>
            </w:r>
          </w:p>
          <w:p w:rsidR="00160606" w:rsidRPr="001D4791" w:rsidRDefault="00160606" w:rsidP="006534C2">
            <w:pPr>
              <w:jc w:val="both"/>
              <w:rPr>
                <w:rFonts w:ascii="Times New Roman" w:hAnsi="Times New Roman" w:cs="Times New Roman"/>
                <w:sz w:val="24"/>
                <w:szCs w:val="24"/>
              </w:rPr>
            </w:pP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49. </w:t>
            </w:r>
            <w:r w:rsidRPr="001D4791">
              <w:rPr>
                <w:rFonts w:ascii="Times New Roman" w:hAnsi="Times New Roman" w:cs="Times New Roman"/>
                <w:bCs/>
                <w:sz w:val="24"/>
                <w:szCs w:val="24"/>
              </w:rPr>
              <w:t>Pentru metodele GC-MS, determinarea oferă o estimare valabilă a concentrației reale dintr-o probă. Acuratețea mare (acuratețea măsurătorii: concordanța cât mai bună între rezultatul unei măsurători și valoarea reală sau alocată a mărimii măsurabile) este necesară pentru a evita respingerea rezultatului analizei unei probe în temeiul fiabilității slabe a nivelului TEQ determinat. Acuratețea se exprimă prin fidelitate (diferența dintre valoarea medie măsurată pentru un analit pe un material certificat și valoarea sa certificată, exprimată ca procent din această valoare) și precizie (deviația standard relativă RSDR calculată pe baza rezultatelor generate în condiții de reproductibilitate).</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50.</w:t>
            </w:r>
            <w:r w:rsidRPr="001D4791">
              <w:rPr>
                <w:rFonts w:ascii="Times New Roman" w:hAnsi="Times New Roman" w:cs="Times New Roman"/>
                <w:bCs/>
                <w:sz w:val="24"/>
                <w:szCs w:val="24"/>
              </w:rPr>
              <w:t xml:space="preserve"> </w:t>
            </w:r>
            <w:r w:rsidRPr="001D4791">
              <w:rPr>
                <w:rFonts w:ascii="Times New Roman" w:hAnsi="Times New Roman" w:cs="Times New Roman"/>
                <w:sz w:val="24"/>
                <w:szCs w:val="24"/>
              </w:rPr>
              <w:t>Pentru metodele bioanalitice, se determină recuperarea aparentă a testului biologic.</w:t>
            </w:r>
          </w:p>
          <w:p w:rsidR="00160606" w:rsidRPr="001D4791" w:rsidRDefault="00160606" w:rsidP="006534C2">
            <w:pPr>
              <w:jc w:val="both"/>
              <w:rPr>
                <w:rFonts w:ascii="Times New Roman" w:hAnsi="Times New Roman" w:cs="Times New Roman"/>
                <w:sz w:val="24"/>
                <w:szCs w:val="24"/>
              </w:rPr>
            </w:pPr>
          </w:p>
          <w:p w:rsidR="00160606" w:rsidRPr="001D4791" w:rsidRDefault="00160606" w:rsidP="006534C2">
            <w:pPr>
              <w:jc w:val="both"/>
              <w:rPr>
                <w:rFonts w:ascii="Times New Roman" w:hAnsi="Times New Roman" w:cs="Times New Roman"/>
                <w:sz w:val="24"/>
                <w:szCs w:val="24"/>
              </w:rPr>
            </w:pP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51. </w:t>
            </w:r>
            <w:r w:rsidRPr="001D4791">
              <w:rPr>
                <w:rFonts w:ascii="Times New Roman" w:hAnsi="Times New Roman" w:cs="Times New Roman"/>
                <w:bCs/>
                <w:sz w:val="24"/>
                <w:szCs w:val="24"/>
              </w:rPr>
              <w:t xml:space="preserve">Validarea în intervalul nivelului </w:t>
            </w:r>
            <w:r w:rsidRPr="001D4791">
              <w:rPr>
                <w:rFonts w:ascii="Times New Roman" w:hAnsi="Times New Roman" w:cs="Times New Roman"/>
                <w:bCs/>
                <w:sz w:val="24"/>
                <w:szCs w:val="24"/>
              </w:rPr>
              <w:lastRenderedPageBreak/>
              <w:t>maxim și măsuri generale de control al calității:</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1) În timpul procedurii de validare și/sau în timpul analizei de rutină, laboratoarele demonstrează performanța unei metode în intervalul nivelului maxim, de exemplu, 0,5x, 1x și 2x nivelul maxim, cu un coeficient de variație acceptabil pentru analize repetate.</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2)</w:t>
            </w:r>
            <w:r w:rsidRPr="001D4791">
              <w:rPr>
                <w:rFonts w:ascii="Times New Roman" w:hAnsi="Times New Roman" w:cs="Times New Roman"/>
                <w:sz w:val="24"/>
                <w:szCs w:val="24"/>
              </w:rPr>
              <w:t xml:space="preserve"> Ca măsuri interne de control al calității, se efectuează periodic controale-martor, experimente cu îmbogățire sau analize ale unor probe de control (preferabil, dacă este posibil, cu material de referință certificat). Se înregistrează și se verifică grafice de control al calității (QC) pentru controalele-martor, experimentele cu îmbogățire sau analizele unor probe de control, pentru a se garanta că performanța analitică este conformă cerințelor.</w:t>
            </w:r>
          </w:p>
          <w:p w:rsidR="00160606" w:rsidRPr="001D4791" w:rsidRDefault="00160606"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52. </w:t>
            </w:r>
            <w:r w:rsidRPr="001D4791">
              <w:rPr>
                <w:rFonts w:ascii="Times New Roman" w:hAnsi="Times New Roman" w:cs="Times New Roman"/>
                <w:bCs/>
                <w:sz w:val="24"/>
                <w:szCs w:val="24"/>
              </w:rPr>
              <w:t xml:space="preserve">Limita de cuantificare pentru o metodă bioanalitică de screening, stabilirea LDC nu este o cerință indispensabilă, însă metoda trebuie să demonstreze că poate face distincție între valoarea-martor și valoarea de prag. Atunci când se furnizează un nivel BEQ, se stabilește un nivel de raportare pentru a se lua decizii legate de </w:t>
            </w:r>
            <w:r w:rsidRPr="001D4791">
              <w:rPr>
                <w:rFonts w:ascii="Times New Roman" w:hAnsi="Times New Roman" w:cs="Times New Roman"/>
                <w:bCs/>
                <w:sz w:val="24"/>
                <w:szCs w:val="24"/>
              </w:rPr>
              <w:lastRenderedPageBreak/>
              <w:t>probele care prezintă un răspuns sub acest nivel. Trebuie să se dovedească faptul că nivelul de raportare este diferit față de probele-martor din cadrul procedurii cu un factor de minimum trei, cu un răspuns inferior intervalului de lucru. Prin urmare, se calculează pornind de la probe care conțin compușii-țintă în concentrații din jurul nivelului minim prevăzut și nu de la un raport S/Z sau de la un test-martor.</w:t>
            </w: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53.</w:t>
            </w:r>
            <w:r w:rsidRPr="001D4791">
              <w:rPr>
                <w:rFonts w:ascii="Times New Roman" w:hAnsi="Times New Roman" w:cs="Times New Roman"/>
                <w:bCs/>
                <w:sz w:val="24"/>
                <w:szCs w:val="24"/>
              </w:rPr>
              <w:t xml:space="preserve"> </w:t>
            </w:r>
            <w:r w:rsidRPr="001D4791">
              <w:rPr>
                <w:rFonts w:ascii="Times New Roman" w:hAnsi="Times New Roman" w:cs="Times New Roman"/>
                <w:sz w:val="24"/>
                <w:szCs w:val="24"/>
              </w:rPr>
              <w:t>Limita de cuantificare (LDC) pentru o metodă de confirmare este aproximativ o cincime din nivelul maxim.</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54. </w:t>
            </w:r>
            <w:r w:rsidRPr="001D4791">
              <w:rPr>
                <w:rFonts w:ascii="Times New Roman" w:hAnsi="Times New Roman" w:cs="Times New Roman"/>
                <w:sz w:val="24"/>
                <w:szCs w:val="24"/>
              </w:rPr>
              <w:t>Pentru ca metodele de confirmare sau de screening să ofere rezultate fiabile, în intervalul nivelului maxim trebuie să fie respectate următoarele criterii pentru valoarea TEQ, respectiv BEQ, indiferent dacă aceasta este determinată ca TEQ total sau ca BEQ total (ca sumă de PCDD/F-uri și de PCB-uri de tipul dioxinelor) sau separat pentru PCDD/F-uri și pentru PCB-uri de tipul dioxinelor.</w:t>
            </w: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sz w:val="24"/>
                <w:szCs w:val="24"/>
              </w:rPr>
              <w:t>Tabelul nr. 6</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33"/>
              <w:gridCol w:w="1488"/>
              <w:gridCol w:w="874"/>
            </w:tblGrid>
            <w:tr w:rsidR="00257D72" w:rsidRPr="001D4791" w:rsidTr="00257D72">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Screening cu metode bioanalitice sau fizico-</w:t>
                  </w:r>
                  <w:r w:rsidRPr="001D4791">
                    <w:rPr>
                      <w:rFonts w:ascii="Times New Roman" w:hAnsi="Times New Roman" w:cs="Times New Roman"/>
                      <w:b/>
                      <w:bCs/>
                      <w:sz w:val="24"/>
                      <w:szCs w:val="24"/>
                    </w:rPr>
                    <w:lastRenderedPageBreak/>
                    <w:t>chimice</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Metode de confirmare</w:t>
                  </w:r>
                </w:p>
              </w:tc>
            </w:tr>
            <w:tr w:rsidR="00257D72" w:rsidRPr="001D4791" w:rsidTr="00257D72">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Rată a rezultatelor fals conforme</w:t>
                  </w:r>
                  <w:hyperlink r:id="rId8" w:anchor="ntr*1-L_2017092RO.01001901-E0002" w:history="1">
                    <w:r w:rsidRPr="001D4791">
                      <w:rPr>
                        <w:rStyle w:val="a5"/>
                        <w:rFonts w:ascii="Times New Roman" w:hAnsi="Times New Roman" w:cs="Times New Roman"/>
                        <w:b/>
                        <w:bCs/>
                        <w:color w:val="auto"/>
                        <w:sz w:val="24"/>
                        <w:szCs w:val="24"/>
                      </w:rPr>
                      <w:t xml:space="preserve"> (</w:t>
                    </w:r>
                    <w:r w:rsidRPr="001D4791">
                      <w:rPr>
                        <w:rStyle w:val="a5"/>
                        <w:rFonts w:ascii="Times New Roman" w:hAnsi="Times New Roman" w:cs="Times New Roman"/>
                        <w:b/>
                        <w:bCs/>
                        <w:color w:val="auto"/>
                        <w:sz w:val="24"/>
                        <w:szCs w:val="24"/>
                        <w:vertAlign w:val="superscript"/>
                      </w:rPr>
                      <w:t>*1</w:t>
                    </w:r>
                    <w:r w:rsidRPr="001D4791">
                      <w:rPr>
                        <w:rStyle w:val="a5"/>
                        <w:rFonts w:ascii="Times New Roman" w:hAnsi="Times New Roman" w:cs="Times New Roman"/>
                        <w:b/>
                        <w:bCs/>
                        <w:color w:val="auto"/>
                        <w:sz w:val="24"/>
                        <w:szCs w:val="24"/>
                      </w:rPr>
                      <w:t>)</w:t>
                    </w:r>
                  </w:hyperlink>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&lt; 5 %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r>
            <w:tr w:rsidR="00257D72" w:rsidRPr="001D4791" w:rsidTr="00257D72">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Fidelitate</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20 % și +20 %</w:t>
                  </w:r>
                </w:p>
              </w:tc>
            </w:tr>
            <w:tr w:rsidR="00257D72" w:rsidRPr="001D4791" w:rsidTr="00257D72">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Repetabilitate (RSD</w:t>
                  </w:r>
                  <w:r w:rsidRPr="001D4791">
                    <w:rPr>
                      <w:rFonts w:ascii="Times New Roman" w:hAnsi="Times New Roman" w:cs="Times New Roman"/>
                      <w:b/>
                      <w:bCs/>
                      <w:sz w:val="24"/>
                      <w:szCs w:val="24"/>
                      <w:vertAlign w:val="subscript"/>
                    </w:rPr>
                    <w:t>r</w:t>
                  </w:r>
                  <w:r w:rsidRPr="001D4791">
                    <w:rPr>
                      <w:rFonts w:ascii="Times New Roman" w:hAnsi="Times New Roman" w:cs="Times New Roman"/>
                      <w:b/>
                      <w:bCs/>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&lt; 20 %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r>
            <w:tr w:rsidR="00257D72" w:rsidRPr="001D4791" w:rsidTr="00257D72">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Precizie intermediară (RSD</w:t>
                  </w:r>
                  <w:r w:rsidRPr="001D4791">
                    <w:rPr>
                      <w:rFonts w:ascii="Times New Roman" w:hAnsi="Times New Roman" w:cs="Times New Roman"/>
                      <w:b/>
                      <w:bCs/>
                      <w:sz w:val="24"/>
                      <w:szCs w:val="24"/>
                      <w:vertAlign w:val="subscript"/>
                    </w:rPr>
                    <w:t>R</w:t>
                  </w:r>
                  <w:r w:rsidRPr="001D4791">
                    <w:rPr>
                      <w:rFonts w:ascii="Times New Roman" w:hAnsi="Times New Roman" w:cs="Times New Roman"/>
                      <w:b/>
                      <w:bCs/>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&lt; 25 %</w:t>
                  </w:r>
                </w:p>
              </w:t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257D72" w:rsidRPr="001D4791" w:rsidRDefault="00257D72"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&lt; 15 %</w:t>
                  </w:r>
                </w:p>
              </w:tc>
            </w:tr>
          </w:tbl>
          <w:p w:rsidR="00257D72" w:rsidRPr="001D4791" w:rsidRDefault="00257D72"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C40C63" w:rsidRPr="001D4791" w:rsidRDefault="00C40C63" w:rsidP="006534C2">
            <w:pPr>
              <w:jc w:val="both"/>
              <w:rPr>
                <w:rFonts w:ascii="Times New Roman" w:hAnsi="Times New Roman" w:cs="Times New Roman"/>
                <w:b/>
                <w:sz w:val="24"/>
                <w:szCs w:val="24"/>
              </w:rPr>
            </w:pP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5.7.   Cerințe specifice pentru metodele de screening</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—Atât GC-MS, cât și metodele bioanalitice pot fi folosite pentru screening. Pentru metodele GC-MS, trebuie utilizate cerințele prevăzute la punctul 6. Pentru metodele bioanalitice bazate pe celule, sunt prevăzute cerințe specifice la punctul 7.</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—Laboratoarele care aplică metode de screening pentru controlul de rutină al probelor stabilesc o cooperare strânsă cu laboratoarele </w:t>
            </w:r>
            <w:r w:rsidRPr="001D4791">
              <w:rPr>
                <w:rFonts w:ascii="Times New Roman" w:hAnsi="Times New Roman" w:cs="Times New Roman"/>
                <w:sz w:val="24"/>
                <w:szCs w:val="24"/>
              </w:rPr>
              <w:lastRenderedPageBreak/>
              <w:t>care aplică metoda de confirmare.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—Performanța metodei de screening trebuie verificată în timpul analizei de rutină, printr-un control al calității analizelor și printr-o validare continuă a metodei. Trebuie să existe un program continuu pentru controlul rezultatelor conforme.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—Verificarea posibilei suprimări a răspunsului celular și a citotoxicității</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20 % din extractele de probe se măsoară în screeningul de rutină cu și fără TCDD care se adaugă în funcție de nivelul maxim sau de acțiune, pentru a verifica dacă răspunsul este, eventual, suprimat de către substanțele interferente prezente în extractul de probă. Concentrația măsurată a probei îmbogățite se compară cu suma dintre concentrația extractului neîmbogățit și concentrația cu îmbogățire. Dacă această concentrație măsurată este mai mică cu mai mult de 25 % față de concentrația (suma) calculată, aceasta indică posibilitatea eliminării semnalului, iar proba respectivă trebuie supusă analizei de confirmare. Rezultatele sunt monitorizate prin grafice de control al calității.</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—Controlul calității probelor </w:t>
            </w:r>
            <w:r w:rsidRPr="001D4791">
              <w:rPr>
                <w:rFonts w:ascii="Times New Roman" w:hAnsi="Times New Roman" w:cs="Times New Roman"/>
                <w:sz w:val="24"/>
                <w:szCs w:val="24"/>
              </w:rPr>
              <w:lastRenderedPageBreak/>
              <w:t>conforme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Aproximativ 2-10 % din probele conforme, în funcție de matricea probei și de experiența laboratorului, se supun analizei de confirmare.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—Determinarea ratelor de rezultate fals conforme pornind de la datele QC</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Se determină rata rezultatelor fals conforme care rezultă din screeningul probelor sub și peste nivelul maxim sau de acțiune. Ratele reale de rezultate fals conforme trebuie să fie sub 5 %.</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Atunci când, în urma controlului de calitate al probelor conforme, sunt disponibile cel puțin 20 de rezultate confirmate per matrice/grup de matrice, concluziile privind rata de rezultate fals conforme trebuie să fie desprinse din această bază de date. Rezultatele probelor analizate prin intermediul testărilor interlaboratoare sau în timpul incidentelor de contaminare, care acoperă un interval de concentrații de până la, de exemplu, 2x nivelul maxim (NM), pot fi, de asemenea, incluse în cele minimum 20 de rezultate pentru evaluarea ratei de rezultate fals conforme. Probele acoperă cele mai frecvente modele de congeneri, reprezentând diverse </w:t>
            </w:r>
            <w:r w:rsidRPr="001D4791">
              <w:rPr>
                <w:rFonts w:ascii="Times New Roman" w:hAnsi="Times New Roman" w:cs="Times New Roman"/>
                <w:sz w:val="24"/>
                <w:szCs w:val="24"/>
              </w:rPr>
              <w:lastRenderedPageBreak/>
              <w:t>surse.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Deși testele de screening urmăresc în mod preferențial să detecteze probele care depășesc nivelul de acțiune, criteriul de determinare a ratelor de rezultate fals conforme este nivelul maxim, ținând seama de incertitudinea de măsurare extinsă a metodei de confirmare.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—Probele potențial neconforme care rezultă în urma screeningului trebuie să fie întotdeauna verificate printr-o nouă analiză completă a probei originale printr-o metodă de confirmare. Aceste probe pot fi, de asemenea, folosite pentru a evalua rata rezultatelor fals neconforme. Pentru metodele de screening, rata rezultatelor fals neconforme este procentul rezultatelor confirmate ca fiind conforme în urma analizei de confirmare, în timp ce, în screeningul anterior, s-a declarat că proba este suspectată de a fi neconformă. În schimb, evaluarea caracterului avantajos al metodei de screening se bazează pe compararea probelor fals neconforme cu numărul total de probe verificate. Această rată trebuie să fie suficient de mică pentru a face ca utilizarea unui instrument de screening să fie avantajoasă.</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—Cel puțin în condiții de validare, metodele bioanalitice oferă o indicație valabilă a nivelului TEQ, calculat și exprimat ca BEQ.</w:t>
            </w:r>
          </w:p>
          <w:p w:rsidR="008D7B1E"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—De asemenea, pentru metodele bioanalitice aplicate în condiții de repetabilitate, valoarea RSDr intralaborator ar fi, de regulă, mai mică decât RSDR (reproductibilitate).</w:t>
            </w:r>
          </w:p>
        </w:tc>
        <w:tc>
          <w:tcPr>
            <w:tcW w:w="3827" w:type="dxa"/>
          </w:tcPr>
          <w:p w:rsidR="008D7B1E" w:rsidRPr="001D4791" w:rsidRDefault="008D7B1E" w:rsidP="006534C2">
            <w:pPr>
              <w:rPr>
                <w:rFonts w:ascii="Times New Roman" w:hAnsi="Times New Roman" w:cs="Times New Roman"/>
                <w:sz w:val="24"/>
                <w:szCs w:val="24"/>
              </w:rPr>
            </w:pPr>
          </w:p>
          <w:p w:rsidR="00257D72" w:rsidRPr="001D4791" w:rsidRDefault="00257D72"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55.</w:t>
            </w:r>
            <w:r w:rsidRPr="001D4791">
              <w:rPr>
                <w:rFonts w:ascii="Times New Roman" w:hAnsi="Times New Roman" w:cs="Times New Roman"/>
                <w:bCs/>
                <w:sz w:val="24"/>
                <w:szCs w:val="24"/>
              </w:rPr>
              <w:t>Cerințe specifice pentru metodele de screening:</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bCs/>
                <w:sz w:val="24"/>
                <w:szCs w:val="24"/>
              </w:rPr>
              <w:t xml:space="preserve">1) </w:t>
            </w:r>
            <w:r w:rsidRPr="001D4791">
              <w:rPr>
                <w:rFonts w:ascii="Times New Roman" w:hAnsi="Times New Roman" w:cs="Times New Roman"/>
                <w:sz w:val="24"/>
                <w:szCs w:val="24"/>
              </w:rPr>
              <w:t>Atât GC-MS, cât și metodele bioanalitice pot fi folosite pentru screening. Pentru metodele GC-MS, trebuie utilizate cerințele prevăzute la secțiunea 4. Pentru metodele bioanalitice bazate pe celule, sunt prevăzute cerințe specifice la secțiunea 5.</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2) Laboratoarele care aplică metode de screening pentru controlul de rutină al probelor stabilesc o cooperare strânsă cu laboratoarele </w:t>
            </w:r>
            <w:r w:rsidRPr="001D4791">
              <w:rPr>
                <w:rFonts w:ascii="Times New Roman" w:hAnsi="Times New Roman" w:cs="Times New Roman"/>
                <w:sz w:val="24"/>
                <w:szCs w:val="24"/>
              </w:rPr>
              <w:lastRenderedPageBreak/>
              <w:t>care aplică metoda de confirmare.</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3) Performanța metodei de screening trebuie verificată în timpul analizei de rutină, printr-un control al calității analizelor și printr-o validare continuă a metodei. Trebuie să existe un program continuu pentru controlul rezultatelor conforme.</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4) 20 % din extractele de probe se măsoară în screeningul de rutină cu și fără TCDD care se adaugă în funcție de nivelul maxim sau de acțiune, pentru a verifica dacă răspunsul este, eventual, suprimat de către substanțele interferente prezente în extractul de probă. Concentrația măsurată a probei îmbogățite se compară cu suma dintre concentrația extractului neîmbogățit și concentrația cu îmbogățire. Dacă această concentrație măsurată este mai mică cu mai mult de 25 % față de concentrația (suma) calculată, aceasta indică posibilitatea eliminării semnalului, iar proba respectivă trebuie supusă analizei de confirmare. Rezultatele sunt monitorizate prin grafice de control al calității.</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5) Aproximativ 2-10 % din probele conforme, în funcție de matricea probei și de experiența laboratorului, </w:t>
            </w:r>
            <w:r w:rsidRPr="001D4791">
              <w:rPr>
                <w:rFonts w:ascii="Times New Roman" w:hAnsi="Times New Roman" w:cs="Times New Roman"/>
                <w:sz w:val="24"/>
                <w:szCs w:val="24"/>
              </w:rPr>
              <w:lastRenderedPageBreak/>
              <w:t>se supun analizei de confirmare.</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6) Se determină rata rezultatelor fals conforme care rezultă din screeningul probelor sub și peste nivelul maxim sau de acțiune. Ratele reale de rezultate fals conforme trebuie să fie sub 5 %. Atunci când, în urma controlului de calitate al probelor conforme, sunt disponibile cel puțin 20 de rezultate confirmate per matrice/grup de matrice, concluziile privind rata de rezultate fals conforme trebuie să fie desprinse din această bază de date. Rezultatele probelor analizate prin intermediul testărilor interlaboratoare sau în timpul incidentelor de contaminare, care acoperă un interval de concentrații de până la, de exemplu, 2x nivelul maxim (NM), pot fi, de asemenea, incluse în cele minimum 20 de rezultate pentru evaluarea ratei de rezultate fals conforme. Probele acoperă cele mai frecvente modele de congeneri, reprezentând diverse surse. Deși testele de screening urmăresc în mod preferențial să detecteze probele care depășesc nivelul de acțiune, criteriul de determinare a ratelor de rezultate fals conforme este nivelul maxim, ținând seama de incertitudinea de măsurare extinsă a metodei de confirmare.</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7) Probele potențial neconforme care rezultă în urma screeningului trebuie să fie întotdeauna verificate printr-o nouă analiză completă a probei originale printr-o metodă de confirmare. Aceste probe pot fi, de asemenea, folosite pentru a evalua rata rezultatelor fals neconforme. Pentru metodele de screening, rata rezultatelor fals neconforme este procentul rezultatelor confirmate ca fiind conforme în urma analizei de confirmare, în timp ce, în screeningul anterior, s-a declarat că proba este suspectată de a fi neconformă. În schimb, evaluarea caracterului avantajos al metodei de screening se bazează pe compararea probelor fals neconforme cu numărul total de probe verificate. Această rată trebuie să fie suficient de mică pentru a face ca utilizarea unui instrument de screening să fie avantajoasă.</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8) În condiții de validare, metodele bioanalitice oferă o indicație valabilă a nivelului TEQ, calculat și exprimat ca BEQ.</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9) Pentru metodele bioanalitice aplicate în condiții de repetabilitate, valoarea RSD</w:t>
            </w:r>
            <w:r w:rsidRPr="001D4791">
              <w:rPr>
                <w:rFonts w:ascii="Times New Roman" w:hAnsi="Times New Roman" w:cs="Times New Roman"/>
                <w:sz w:val="24"/>
                <w:szCs w:val="24"/>
                <w:vertAlign w:val="subscript"/>
              </w:rPr>
              <w:t>r</w:t>
            </w:r>
            <w:r w:rsidRPr="001D4791">
              <w:rPr>
                <w:rFonts w:ascii="Times New Roman" w:hAnsi="Times New Roman" w:cs="Times New Roman"/>
                <w:sz w:val="24"/>
                <w:szCs w:val="24"/>
              </w:rPr>
              <w:t xml:space="preserve"> intralaborator ar fi, de regulă, mai mică decât RSD</w:t>
            </w:r>
            <w:r w:rsidRPr="001D4791">
              <w:rPr>
                <w:rFonts w:ascii="Times New Roman" w:hAnsi="Times New Roman" w:cs="Times New Roman"/>
                <w:sz w:val="24"/>
                <w:szCs w:val="24"/>
                <w:vertAlign w:val="subscript"/>
              </w:rPr>
              <w:t>R</w:t>
            </w:r>
            <w:r w:rsidRPr="001D4791">
              <w:rPr>
                <w:rFonts w:ascii="Times New Roman" w:hAnsi="Times New Roman" w:cs="Times New Roman"/>
                <w:sz w:val="24"/>
                <w:szCs w:val="24"/>
              </w:rPr>
              <w:t xml:space="preserve"> (reproductibilitate). </w:t>
            </w:r>
          </w:p>
          <w:p w:rsidR="00257D72" w:rsidRPr="001D4791" w:rsidRDefault="00257D72"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6.   CERINȚE SPECIFICE PRIVIND METODELE GC-MS CARE TREBUIE RESPECTATE ÎN SCOP DE SCREENING SAU DE CONFIRMARE</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6.1.   Diferențe acceptabile între estimarea superioară și estimarea inferioară a nivelurilor OMS-TEQ</w:t>
            </w:r>
          </w:p>
          <w:p w:rsidR="008D7B1E"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—Diferența dintre nivelurile de la limita superioară și cele de la limita inferioară nu trebuie să fie mai mare de 20 % pentru confirmarea unei depășiri a nivelului maxim sau, în caz de nevoie, a nivelurilor de acțiune.</w:t>
            </w:r>
          </w:p>
          <w:p w:rsidR="00FC2D22" w:rsidRPr="001D4791" w:rsidRDefault="00FC2D22" w:rsidP="006534C2">
            <w:pPr>
              <w:jc w:val="both"/>
              <w:rPr>
                <w:rFonts w:ascii="Times New Roman" w:hAnsi="Times New Roman" w:cs="Times New Roman"/>
                <w:b/>
                <w:sz w:val="24"/>
                <w:szCs w:val="24"/>
              </w:rPr>
            </w:pPr>
            <w:r w:rsidRPr="001D4791">
              <w:rPr>
                <w:rFonts w:ascii="Times New Roman" w:hAnsi="Times New Roman" w:cs="Times New Roman"/>
                <w:b/>
                <w:sz w:val="24"/>
                <w:szCs w:val="24"/>
              </w:rPr>
              <w:t>6.2.   Controlul recuperărilor</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—Pentru a se valida procedura analitică, la începutul efectuării analizei, de exemplu, înaintea fazei de extracție, trebuie să se adauge etaloane interne de PCDD/F-uri substituite cu clor la pozițiile 2,3,7,8 și marcate cu 13C, precum și </w:t>
            </w:r>
            <w:r w:rsidRPr="001D4791">
              <w:rPr>
                <w:rFonts w:ascii="Times New Roman" w:hAnsi="Times New Roman" w:cs="Times New Roman"/>
                <w:sz w:val="24"/>
                <w:szCs w:val="24"/>
              </w:rPr>
              <w:lastRenderedPageBreak/>
              <w:t>etaloane interne de PCB-uri de tipul dioxinelor marcate cu 13C. Trebuie adăugat cel puțin un congener pentru fiecare din grupele omoloage tetra- până la octo-clorurate de PCDD/F-uri și cel puțin un congener pentru fiecare dintre grupele omoloage de PCB-uri de tipul dioxinelor (alternativ, cel puțin un congener pentru fiecare funcție de înregistrare a ionului selecționat prin spectrometrie de masă, utilizat pentru monitorizarea PCDD/F-urilor și a PCB-urilor de tipul dioxinelor). În cazul metodelor de confirmare, trebuie să fie utilizate toate cele 17 etaloane interne de PCDD/F-uri substituite la pozițiile 2,3,7,8 și marcate cu 13C, precum și toate cele 12 etaloane interne de PCB-uri de tipul dioxinelor marcate cu 13C.</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—De asemenea, se determină factorii de răspuns relativ pentru acei congeneri pentru care nu se adaugă niciun analog marcat cu 13C, utilizându-se soluții de calibrare corespunzătoare.</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—Pentru produsele alimentare de origine vegetală și cele de origine animală care conțin mai puțin de 10 % grăsime, este obligatorie adăugarea etaloanelor interne înainte de extracție. Pentru produsele </w:t>
            </w:r>
            <w:r w:rsidRPr="001D4791">
              <w:rPr>
                <w:rFonts w:ascii="Times New Roman" w:hAnsi="Times New Roman" w:cs="Times New Roman"/>
                <w:sz w:val="24"/>
                <w:szCs w:val="24"/>
              </w:rPr>
              <w:lastRenderedPageBreak/>
              <w:t>alimentare de origine animală care conțin mai mult de 10 % grăsime, etaloanele interne se pot adăuga fie înainte, fie după extracția grăsimii. Se procedează la o validare corespunzătoare a eficacității extracției, în funcție de etapa în care se introduc etaloanele interne și de modul în care sunt prezentate rezultatele (pe bază de produs sau de grăsimi).</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—Înaintea analizei GC-MS, trebuie să se adauge unul sau două etaloane de recuperare (surogat).</w:t>
            </w:r>
          </w:p>
          <w:p w:rsidR="00FC2D22" w:rsidRPr="001D4791" w:rsidRDefault="00FC2D22" w:rsidP="006534C2">
            <w:pPr>
              <w:jc w:val="both"/>
              <w:rPr>
                <w:rFonts w:ascii="Times New Roman" w:hAnsi="Times New Roman" w:cs="Times New Roman"/>
                <w:sz w:val="24"/>
                <w:szCs w:val="24"/>
              </w:rPr>
            </w:pPr>
            <w:r w:rsidRPr="001D4791">
              <w:rPr>
                <w:rFonts w:ascii="Times New Roman" w:hAnsi="Times New Roman" w:cs="Times New Roman"/>
                <w:sz w:val="24"/>
                <w:szCs w:val="24"/>
              </w:rPr>
              <w:t>—Este necesar controlul recuperării. Pentru metodele de confirmare, recuperările de etaloane interne individuale trebuie să se situeze în intervalul 60-120 %. Sunt acceptabile recuperări inferioare sau superioare pentru congeneri individuali, în special pentru unele dibenzo-p-dioxine și unii dibenzofurani hepta- și octo-clorurați, atât timp cât contribuția acestora la valoarea TEQ nu depășește 10 % din valoarea TEQ totală (bazată pe suma dintre PCDD/F-uri și PCB-uri de tipul dioxinelor). Pentru metodele de screening GC-MS, recuperarea trebuie să se situeze în intervalul 30-140 %.</w:t>
            </w:r>
          </w:p>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6.3.   Eliminarea substanțelor interferente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—Separarea PCDD/F-urilor de compușii clorurați interferenți, cum sunt PCB-urile care nu sunt de tipul dioxinelor și bifenileterii clorurați, se realizează prin tehnici cromatografice adecvate (de preferință pe coloană de florisil, alumină și/sau cărbune).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—Separarea izomerilor prin gaz-cromatografie trebuie să fie suficientă (&lt; 25 % de la pic la pic între 1,2,3,4,7,8-HxCDF și 1,2,3,6,7,8-HxCDF).</w:t>
            </w:r>
          </w:p>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t>6.4.   Calibrarea cu curba standard</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—Intervalul curbei de calibrare trebuie să acopere intervalul relevant de niveluri maxime sau de acțiune.</w:t>
            </w:r>
          </w:p>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t>6.5.   Cerințe specifice pentru metodele de confirmare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—Pentru GC-HRMS:</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—În HRMS, rezoluția caracteristică trebuie să fie mai mare sau egală cu 10 000 pentru toată plaja maselor, cu o concavitate de 10 %.</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—Îndeplinirea altor cerințe în materie de identificare și confirmare, astfel cum sunt descrise în standardele internațional recunoscute, de exemplu, în standardul EN 16215:2012 (Hrană </w:t>
            </w:r>
            <w:r w:rsidRPr="001D4791">
              <w:rPr>
                <w:rFonts w:ascii="Times New Roman" w:hAnsi="Times New Roman" w:cs="Times New Roman"/>
                <w:sz w:val="24"/>
                <w:szCs w:val="24"/>
              </w:rPr>
              <w:lastRenderedPageBreak/>
              <w:t>pentru animale – Determinarea dioxinelor și a PCB-urilor de tipul dioxinelor prin GC-HRMS și a PCB-urilor indicatori prin GC-HRMS) și/sau în metodele EPA 1613 și 1668 revizuite.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—Pentru GC-MS/MS:</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—Monitorizarea a cel puțin 2 ioni precursori specifici, fiecare cu un anumit ion de tranziție corespunzător produs pentru toți analiții marcați și nemarcați în domeniul de aplicare al analizei.</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—Toleranța maximă admisă a intensității relative de ± 15 % pentru anumiți ioni de tranziție selecționați produși în comparație cu valorile calculate sau măsurate (media din standardele de calibrare), aplicând condiții MS/MS identice, în special energia coliziunii și presiunea gazului de coliziune, pentru fiecare tranziție a unui analit.</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—Rezoluția pentru fiecare cuadrupol trebuie să fie setată ca egală sau mai mare decât rezoluția unității de masă (rezoluția unității de masă: o rezoluție suficientă pentru a separa două picuri la distanță de o unitate de masă), pentru a se minimiza interferențele posibile cu analiții de interes.</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—Îndeplinirea altor cerințe astfel </w:t>
            </w:r>
            <w:r w:rsidRPr="001D4791">
              <w:rPr>
                <w:rFonts w:ascii="Times New Roman" w:hAnsi="Times New Roman" w:cs="Times New Roman"/>
                <w:sz w:val="24"/>
                <w:szCs w:val="24"/>
              </w:rPr>
              <w:lastRenderedPageBreak/>
              <w:t>cum sunt descrise în standardele internațional recunoscute, de exemplu, în standardul EN 16215:2012 (Hrană pentru animale – Determinarea dioxinelor și a PCB-urilor de tipul dioxinelor prin GC-HRMS și a PCB-urilor indicatori prin GC-HRMS) și/sau în metodele EPA 1613 și 1668 revizuite, cu excepția obligației de a utiliza GC-HRMS.</w:t>
            </w:r>
          </w:p>
        </w:tc>
        <w:tc>
          <w:tcPr>
            <w:tcW w:w="3827" w:type="dxa"/>
          </w:tcPr>
          <w:p w:rsidR="00257D72" w:rsidRPr="001D4791" w:rsidRDefault="00257D72"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 xml:space="preserve">Secțiunea 4 </w:t>
            </w:r>
          </w:p>
          <w:p w:rsidR="00257D72" w:rsidRPr="001D4791" w:rsidRDefault="00257D72"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Cerințe specifice privind metodele GC-MS care trebuie respectate </w:t>
            </w:r>
          </w:p>
          <w:p w:rsidR="00257D72" w:rsidRPr="001D4791" w:rsidRDefault="00257D72"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în scop de screening sau de confirmare</w:t>
            </w: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56. </w:t>
            </w:r>
            <w:r w:rsidRPr="001D4791">
              <w:rPr>
                <w:rFonts w:ascii="Times New Roman" w:hAnsi="Times New Roman" w:cs="Times New Roman"/>
                <w:bCs/>
                <w:sz w:val="24"/>
                <w:szCs w:val="24"/>
              </w:rPr>
              <w:t>Diferența dintre nivelurile de la limita superioară și cele de la limita inferioară nu trebuie să fie mai mare de 20 % pentru confirmarea unei depășiri a nivelului maxim sau, în caz de nevoie, a nivelurilor de acțiune.</w:t>
            </w: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57. </w:t>
            </w:r>
            <w:r w:rsidRPr="001D4791">
              <w:rPr>
                <w:rFonts w:ascii="Times New Roman" w:hAnsi="Times New Roman" w:cs="Times New Roman"/>
                <w:bCs/>
                <w:sz w:val="24"/>
                <w:szCs w:val="24"/>
              </w:rPr>
              <w:t>Controlul recuperărilor:</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1) Pentru a se valida procedura analitică, la începutul efectuării analizei, de exemplu, înaintea fazei de extracție, trebuie să se adauge etaloane interne de PCDD/F-uri substituite cu clor la pozițiile 2,3,7,8 și marcate cu </w:t>
            </w:r>
            <w:r w:rsidRPr="001D4791">
              <w:rPr>
                <w:rFonts w:ascii="Times New Roman" w:hAnsi="Times New Roman" w:cs="Times New Roman"/>
                <w:b/>
                <w:sz w:val="24"/>
                <w:szCs w:val="24"/>
                <w:vertAlign w:val="superscript"/>
              </w:rPr>
              <w:t>13</w:t>
            </w:r>
            <w:r w:rsidRPr="001D4791">
              <w:rPr>
                <w:rFonts w:ascii="Times New Roman" w:hAnsi="Times New Roman" w:cs="Times New Roman"/>
                <w:sz w:val="24"/>
                <w:szCs w:val="24"/>
              </w:rPr>
              <w:t xml:space="preserve">C, precum și etaloane interne de PCB-uri de tipul dioxinelor marcate cu </w:t>
            </w:r>
            <w:r w:rsidRPr="001D4791">
              <w:rPr>
                <w:rFonts w:ascii="Times New Roman" w:hAnsi="Times New Roman" w:cs="Times New Roman"/>
                <w:sz w:val="24"/>
                <w:szCs w:val="24"/>
                <w:vertAlign w:val="superscript"/>
              </w:rPr>
              <w:t>13</w:t>
            </w:r>
            <w:r w:rsidRPr="001D4791">
              <w:rPr>
                <w:rFonts w:ascii="Times New Roman" w:hAnsi="Times New Roman" w:cs="Times New Roman"/>
                <w:sz w:val="24"/>
                <w:szCs w:val="24"/>
              </w:rPr>
              <w:t xml:space="preserve">C. Trebuie adăugat cel puțin un congener pentru </w:t>
            </w:r>
            <w:r w:rsidRPr="001D4791">
              <w:rPr>
                <w:rFonts w:ascii="Times New Roman" w:hAnsi="Times New Roman" w:cs="Times New Roman"/>
                <w:sz w:val="24"/>
                <w:szCs w:val="24"/>
              </w:rPr>
              <w:lastRenderedPageBreak/>
              <w:t xml:space="preserve">fiecare din grupele omoloage tetra- până la octo-clorurate de PCDD/F-uri și cel puțin un congener pentru fiecare dintre grupele omoloage de PCB-uri de tipul dioxinelor (alternativ, cel puțin un congener pentru fiecare funcție de înregistrare a ionului selecționat prin spectrometrie de masă, utilizat pentru monitorizarea PCDD/F-urilor și a PCB-urilor de tipul dioxinelor). În cazul metodelor de confirmare, trebuie să fie utilizate toate cele 17 etaloane interne de PCDD/F-uri substituite la pozițiile 2,3,7,8 și marcate cu </w:t>
            </w:r>
            <w:r w:rsidRPr="001D4791">
              <w:rPr>
                <w:rFonts w:ascii="Times New Roman" w:hAnsi="Times New Roman" w:cs="Times New Roman"/>
                <w:sz w:val="24"/>
                <w:szCs w:val="24"/>
                <w:vertAlign w:val="superscript"/>
              </w:rPr>
              <w:t>13</w:t>
            </w:r>
            <w:r w:rsidRPr="001D4791">
              <w:rPr>
                <w:rFonts w:ascii="Times New Roman" w:hAnsi="Times New Roman" w:cs="Times New Roman"/>
                <w:sz w:val="24"/>
                <w:szCs w:val="24"/>
              </w:rPr>
              <w:t xml:space="preserve">C, precum și toate cele 12 etaloane interne de PCB-uri de tipul dioxinelor marcate cu </w:t>
            </w:r>
            <w:r w:rsidRPr="001D4791">
              <w:rPr>
                <w:rFonts w:ascii="Times New Roman" w:hAnsi="Times New Roman" w:cs="Times New Roman"/>
                <w:sz w:val="24"/>
                <w:szCs w:val="24"/>
                <w:vertAlign w:val="superscript"/>
              </w:rPr>
              <w:t>13</w:t>
            </w:r>
            <w:r w:rsidRPr="001D4791">
              <w:rPr>
                <w:rFonts w:ascii="Times New Roman" w:hAnsi="Times New Roman" w:cs="Times New Roman"/>
                <w:sz w:val="24"/>
                <w:szCs w:val="24"/>
              </w:rPr>
              <w:t>C.</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2) Se determină factorii de răspuns relativ pentru acei congeneri pentru care nu se adaugă niciun analog marcat cu </w:t>
            </w:r>
            <w:r w:rsidRPr="001D4791">
              <w:rPr>
                <w:rFonts w:ascii="Times New Roman" w:hAnsi="Times New Roman" w:cs="Times New Roman"/>
                <w:sz w:val="24"/>
                <w:szCs w:val="24"/>
                <w:vertAlign w:val="superscript"/>
              </w:rPr>
              <w:t>13</w:t>
            </w:r>
            <w:r w:rsidRPr="001D4791">
              <w:rPr>
                <w:rFonts w:ascii="Times New Roman" w:hAnsi="Times New Roman" w:cs="Times New Roman"/>
                <w:sz w:val="24"/>
                <w:szCs w:val="24"/>
              </w:rPr>
              <w:t>C, utilizându-se soluții de calibrare corespunzătoare.</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3) Pentru produsele alimentare de origine vegetală și cele de origine animală care conțin mai puțin de 10 % grăsime, este obligatorie adăugarea etaloanelor interne înainte de extracție. Pentru produsele alimentare de origine animală care conțin mai mult de 10 % grăsime, etaloanele interne se pot adăuga fie înainte, fie după extracția grăsimii. </w:t>
            </w:r>
            <w:r w:rsidRPr="001D4791">
              <w:rPr>
                <w:rFonts w:ascii="Times New Roman" w:hAnsi="Times New Roman" w:cs="Times New Roman"/>
                <w:sz w:val="24"/>
                <w:szCs w:val="24"/>
              </w:rPr>
              <w:lastRenderedPageBreak/>
              <w:t>Se procedează la o validare corespunzătoare a eficacității extracției, în funcție de etapa în care se introduc etaloanele interne și de modul în care sunt prezentate rezultatele (pe bază de produs sau de grăsimi).</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bCs/>
                <w:sz w:val="24"/>
                <w:szCs w:val="24"/>
              </w:rPr>
              <w:t xml:space="preserve">4) </w:t>
            </w:r>
            <w:r w:rsidRPr="001D4791">
              <w:rPr>
                <w:rFonts w:ascii="Times New Roman" w:hAnsi="Times New Roman" w:cs="Times New Roman"/>
                <w:sz w:val="24"/>
                <w:szCs w:val="24"/>
              </w:rPr>
              <w:t>Înaintea analizei GC-MS, trebuie să se adauge unul sau două etaloane de recuperare (surogat).</w:t>
            </w: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5) </w:t>
            </w:r>
            <w:r w:rsidRPr="001D4791">
              <w:rPr>
                <w:rFonts w:ascii="Times New Roman" w:hAnsi="Times New Roman" w:cs="Times New Roman"/>
                <w:sz w:val="24"/>
                <w:szCs w:val="24"/>
              </w:rPr>
              <w:t>Pentru metodele de confirmare, recuperările de etaloane interne individuale trebuie să se situeze în intervalul 60-120 %. Sunt acceptabile recuperări inferioare sau superioare pentru congeneri individuali, în special pentru unele dibenzo-p-dioxine și unii dibenzofurani hepta- și octo-clorurați, atât timp cât contribuția acestora la valoarea TEQ nu depășește 10 % din valoarea TEQ totală (bazată pe suma dintre PCDD/F-uri și PCB-uri de tipul dioxinelor). Pentru metodele de screening GC-MS, recuperarea trebuie să se situeze în intervalul 30-140 %.</w:t>
            </w:r>
          </w:p>
          <w:p w:rsidR="008D7B1E" w:rsidRPr="001D4791" w:rsidRDefault="008D7B1E" w:rsidP="006534C2">
            <w:pPr>
              <w:jc w:val="both"/>
              <w:rPr>
                <w:rFonts w:ascii="Times New Roman" w:hAnsi="Times New Roman" w:cs="Times New Roman"/>
                <w:sz w:val="24"/>
                <w:szCs w:val="24"/>
              </w:rPr>
            </w:pPr>
          </w:p>
          <w:p w:rsidR="00257D72" w:rsidRPr="001D4791" w:rsidRDefault="00257D72" w:rsidP="006534C2">
            <w:pPr>
              <w:jc w:val="both"/>
              <w:rPr>
                <w:rFonts w:ascii="Times New Roman" w:hAnsi="Times New Roman" w:cs="Times New Roman"/>
                <w:sz w:val="24"/>
                <w:szCs w:val="24"/>
              </w:rPr>
            </w:pPr>
          </w:p>
          <w:p w:rsidR="00257D72" w:rsidRPr="001D4791" w:rsidRDefault="00257D72" w:rsidP="006534C2">
            <w:pPr>
              <w:jc w:val="both"/>
              <w:rPr>
                <w:rFonts w:ascii="Times New Roman" w:hAnsi="Times New Roman" w:cs="Times New Roman"/>
                <w:sz w:val="24"/>
                <w:szCs w:val="24"/>
              </w:rPr>
            </w:pPr>
          </w:p>
          <w:p w:rsidR="00257D72" w:rsidRPr="001D4791" w:rsidRDefault="00257D72" w:rsidP="006534C2">
            <w:pPr>
              <w:jc w:val="both"/>
              <w:rPr>
                <w:rFonts w:ascii="Times New Roman" w:hAnsi="Times New Roman" w:cs="Times New Roman"/>
                <w:sz w:val="24"/>
                <w:szCs w:val="24"/>
              </w:rPr>
            </w:pPr>
          </w:p>
          <w:p w:rsidR="00257D72" w:rsidRPr="001D4791" w:rsidRDefault="00257D72" w:rsidP="006534C2">
            <w:pPr>
              <w:jc w:val="both"/>
              <w:rPr>
                <w:rFonts w:ascii="Times New Roman" w:hAnsi="Times New Roman" w:cs="Times New Roman"/>
                <w:sz w:val="24"/>
                <w:szCs w:val="24"/>
              </w:rPr>
            </w:pP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lastRenderedPageBreak/>
              <w:t xml:space="preserve">58. </w:t>
            </w:r>
            <w:r w:rsidRPr="001D4791">
              <w:rPr>
                <w:rFonts w:ascii="Times New Roman" w:hAnsi="Times New Roman" w:cs="Times New Roman"/>
                <w:bCs/>
                <w:sz w:val="24"/>
                <w:szCs w:val="24"/>
              </w:rPr>
              <w:t>Eliminarea substanțelor interferente se face prin:</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bCs/>
                <w:sz w:val="24"/>
                <w:szCs w:val="24"/>
              </w:rPr>
              <w:t>1)</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Separarea PCDD/F-urilor de compușii clorurați interferenți, cum sunt PCB-urile care nu sunt de tipul dioxinelor și bifenileterii clorurați, se realizează prin tehnici cromatografice adecvate (de preferință pe coloană de florisil, alumină și/sau cărbune).</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2) Separarea izomerilor prin gaz-cromatografie trebuie să fie suficientă (&lt; 25 % de la pic la pic între 1,2,3,4,7,8-HxCDF și 1,2,3,6,7,8-HxCDF).</w:t>
            </w:r>
          </w:p>
          <w:p w:rsidR="00257D72" w:rsidRPr="001D4791" w:rsidRDefault="00257D72" w:rsidP="006534C2">
            <w:pPr>
              <w:jc w:val="both"/>
              <w:rPr>
                <w:rFonts w:ascii="Times New Roman" w:hAnsi="Times New Roman" w:cs="Times New Roman"/>
                <w:sz w:val="24"/>
                <w:szCs w:val="24"/>
              </w:rPr>
            </w:pP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59. </w:t>
            </w:r>
            <w:r w:rsidRPr="001D4791">
              <w:rPr>
                <w:rFonts w:ascii="Times New Roman" w:hAnsi="Times New Roman" w:cs="Times New Roman"/>
                <w:bCs/>
                <w:sz w:val="24"/>
                <w:szCs w:val="24"/>
              </w:rPr>
              <w:t>Intervalul curbei de calibrare trebuie să acopere intervalul relevant de niveluri maxime sau de acțiune.</w:t>
            </w:r>
          </w:p>
          <w:p w:rsidR="00257D72" w:rsidRPr="001D4791" w:rsidRDefault="00257D72" w:rsidP="006534C2">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60. </w:t>
            </w:r>
            <w:r w:rsidRPr="001D4791">
              <w:rPr>
                <w:rFonts w:ascii="Times New Roman" w:hAnsi="Times New Roman" w:cs="Times New Roman"/>
                <w:bCs/>
                <w:sz w:val="24"/>
                <w:szCs w:val="24"/>
              </w:rPr>
              <w:t xml:space="preserve">Cerințe specifice pentru metodele de confirmare </w:t>
            </w:r>
          </w:p>
          <w:p w:rsidR="00257D72" w:rsidRPr="001D4791" w:rsidRDefault="00257D72" w:rsidP="006534C2">
            <w:pPr>
              <w:jc w:val="both"/>
              <w:rPr>
                <w:rFonts w:ascii="Times New Roman" w:hAnsi="Times New Roman" w:cs="Times New Roman"/>
                <w:b/>
                <w:sz w:val="24"/>
                <w:szCs w:val="24"/>
              </w:rPr>
            </w:pPr>
            <w:r w:rsidRPr="001D4791">
              <w:rPr>
                <w:rFonts w:ascii="Times New Roman" w:hAnsi="Times New Roman" w:cs="Times New Roman"/>
                <w:bCs/>
                <w:sz w:val="24"/>
                <w:szCs w:val="24"/>
              </w:rPr>
              <w:t>1) p</w:t>
            </w:r>
            <w:r w:rsidRPr="001D4791">
              <w:rPr>
                <w:rFonts w:ascii="Times New Roman" w:hAnsi="Times New Roman" w:cs="Times New Roman"/>
                <w:sz w:val="24"/>
                <w:szCs w:val="24"/>
              </w:rPr>
              <w:t>entru GC-HRMS:</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bCs/>
                <w:sz w:val="24"/>
                <w:szCs w:val="24"/>
              </w:rPr>
              <w:t>a)</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În HRMS, rezoluția caracteristică trebuie să fie mai mare sau egală cu 10 000 pentru toată plaja maselor, cu o concavitate de 10 %.</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b) Îndeplinirea altor cerințe în materie de identificare și confirmare, astfel cum sunt descrise în standardele internațional recunoscute. </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2) pentru GC-MS/MS:</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a) Monitorizarea a cel puțin 2 ioni </w:t>
            </w:r>
            <w:r w:rsidRPr="001D4791">
              <w:rPr>
                <w:rFonts w:ascii="Times New Roman" w:hAnsi="Times New Roman" w:cs="Times New Roman"/>
                <w:sz w:val="24"/>
                <w:szCs w:val="24"/>
              </w:rPr>
              <w:lastRenderedPageBreak/>
              <w:t>precursori specifici, fiecare cu un anumit ion de tranziție corespunzător produs pentru toți analiții marcați și nemarcați în domeniul de aplicare al analizei.</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b) Toleranța maximă admisă a intensității relative de ± 15 % pentru anumiți ioni de tranziție selecționați produși în comparație cu valorile calculate sau măsurate (media din standardele de calibrare), aplicând condiții MS/MS identice, în special energia coliziunii și presiunea gazului de coliziune, pentru fiecare tranziție a unui analit.</w:t>
            </w:r>
          </w:p>
          <w:p w:rsidR="00257D72" w:rsidRPr="001D4791" w:rsidRDefault="00257D72" w:rsidP="006534C2">
            <w:pPr>
              <w:jc w:val="both"/>
              <w:rPr>
                <w:rFonts w:ascii="Times New Roman" w:hAnsi="Times New Roman" w:cs="Times New Roman"/>
                <w:sz w:val="24"/>
                <w:szCs w:val="24"/>
              </w:rPr>
            </w:pPr>
            <w:r w:rsidRPr="001D4791">
              <w:rPr>
                <w:rFonts w:ascii="Times New Roman" w:hAnsi="Times New Roman" w:cs="Times New Roman"/>
                <w:sz w:val="24"/>
                <w:szCs w:val="24"/>
              </w:rPr>
              <w:t>c) Rezoluția pentru fiecare cuadrupol trebuie să fie setată ca egală sau mai mare decât rezoluția unității de masă (rezoluția unității de masă: o rezoluție suficientă pentru a separa două picuri la distanță de o unitate de masă), pentru a se minimiza interferențele posibile cu analiții de interes.</w:t>
            </w:r>
          </w:p>
          <w:p w:rsidR="00257D72" w:rsidRPr="001D4791" w:rsidRDefault="00257D72" w:rsidP="006534C2">
            <w:pPr>
              <w:jc w:val="both"/>
              <w:rPr>
                <w:rFonts w:ascii="Times New Roman" w:hAnsi="Times New Roman" w:cs="Times New Roman"/>
                <w:b/>
                <w:bCs/>
                <w:sz w:val="24"/>
                <w:szCs w:val="24"/>
              </w:rPr>
            </w:pPr>
            <w:r w:rsidRPr="001D4791">
              <w:rPr>
                <w:rFonts w:ascii="Times New Roman" w:hAnsi="Times New Roman" w:cs="Times New Roman"/>
                <w:sz w:val="24"/>
                <w:szCs w:val="24"/>
              </w:rPr>
              <w:t xml:space="preserve">d) Îndeplinirea altor cerințe descrise în standardele internațional recunoscute. </w:t>
            </w:r>
          </w:p>
          <w:p w:rsidR="00257D72" w:rsidRPr="001D4791" w:rsidRDefault="00257D72"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7.   CERINȚE SPECIFICE PENTRU METODELE BIOANALITICE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Metodele bioanalitice sunt metode bazate pe utilizarea de principii biologice precum bioanalizele celulare, testele bazate pe receptori sau imunoanalizele. Prezentul punct stabilește cerințe pentru metodele bioanalitice în general.</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O metodă de screening, în principiu, clasifică o probă ca fiind conformă sau suspectată a fi neconformă. În acest scop, nivelul BEQ calculat este comparat cu valoarea de prag (a se vedea punctul 7.3). Probele sub valoarea de prag sunt declarate conforme, iar probele egale sau peste valoarea de prag sunt declarate ca fiind suspectate a fi neconforme, necesitând analizarea printr-o metodă de confirmare. În practică, </w:t>
            </w:r>
            <w:r w:rsidRPr="001D4791">
              <w:rPr>
                <w:rFonts w:ascii="Times New Roman" w:hAnsi="Times New Roman" w:cs="Times New Roman"/>
                <w:sz w:val="24"/>
                <w:szCs w:val="24"/>
              </w:rPr>
              <w:lastRenderedPageBreak/>
              <w:t>un nivel BEQ corespunzând la două treimi din nivelul maxim poate servi drept valoare de prag cu condiția să se asigure o rată de rezultate fals conforme sub 5 % și o rată acceptabilă pentru rezultatele fals neconforme. Cu niveluri maxime diferite pentru PCDD/F-uri și pentru suma dintre PCDD/F-uri și PCB-uri de tipul dioxinelor, verificarea conformității probelor fără fracționare necesită valori de prag corespunzătoare ale testelor biologice pentru PCDD/F-uri. Pentru verificarea probelor care depășesc nivelurile de acțiune, ar conveni ca valoare de prag un procentaj corespunzător al nivelului de acțiune respectiv.</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În cazul în care nivelul indicativ este exprimat în BEQ, rezultatele pentru probă trebuie să fie furnizate în intervalul de lucru și să depășească limita de raportare (a se vedea punctele 7.1.1 și 7.1.6).</w:t>
            </w:r>
          </w:p>
          <w:p w:rsidR="008D7B1E"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t>7.1.   Evaluarea răspunsului la test</w:t>
            </w:r>
          </w:p>
          <w:p w:rsidR="00F02789" w:rsidRPr="001D4791" w:rsidRDefault="00F02789"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7.1.1.   Cerințe generale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—Atunci când se calculează concentrațiile pornind de la o curbă de calibrare a TCDD, valorile la extremitatea superioară a curbei vor prezenta o variație importantă [coeficient de variație (CV) ridicat]. </w:t>
            </w:r>
            <w:r w:rsidRPr="001D4791">
              <w:rPr>
                <w:rFonts w:ascii="Times New Roman" w:hAnsi="Times New Roman" w:cs="Times New Roman"/>
                <w:sz w:val="24"/>
                <w:szCs w:val="24"/>
              </w:rPr>
              <w:lastRenderedPageBreak/>
              <w:t>Intervalul de lucru este aria în care acest CV este mai mic de 15 %. Extremitatea inferioară a intervalului de lucru (limita de raportare) trebuie să fie fixată semnificativ (cel puțin cu un factor de trei) peste probele-martor din cadrul procedurii. Extremitatea superioară a intervalului de lucru este, de obicei, reprezentată de valoarea EC70 (70 % din concentrația maximă efectivă), dar mai scăzută dacă CV este mai mare de 15 % în acest interval. Intervalul de lucru este stabilit în timpul validării. Valorile de prag (a se vedea punctul 7.3) trebuie să se situeze în intervalul de lucru.</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—Soluțiile etalon și extractele de probe trebuie să fie testate în triplicat sau cel puțin în duplicat. Atunci când se utilizează duplicate, o soluție etalon sau un extract de control testat(ă) în patru până la șase godeuri repartizate pe placă produce un răspuns sau o concentrație (posibilă doar în intervalul de lucru) pe baza unui CV &lt; 15 %.</w:t>
            </w:r>
          </w:p>
          <w:p w:rsidR="00F02789" w:rsidRPr="001D4791" w:rsidRDefault="00F02789"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7.1.2.   Calibrarea</w:t>
            </w:r>
          </w:p>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t>7.1.2.1.   Calibrarea cu curba standard</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—Nivelurile din probe pot fi estimate prin compararea </w:t>
            </w:r>
            <w:r w:rsidRPr="001D4791">
              <w:rPr>
                <w:rFonts w:ascii="Times New Roman" w:hAnsi="Times New Roman" w:cs="Times New Roman"/>
                <w:sz w:val="24"/>
                <w:szCs w:val="24"/>
              </w:rPr>
              <w:lastRenderedPageBreak/>
              <w:t>răspunsului la test cu o curbă de calibrare a TCDD (sau a PCB 126 sau a unui amestec etalon de PCDD/F-uri/PCB-uri de tipul dioxinelor) pentru a se calcula nivelul BEQ din extract și, prin urmare, din probă.</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—Curbele de calibrare conțin între opt și 12 concentrații (cel puțin în duplicat), cu un număr suficient de concentrații în partea inferioară a curbei (intervalul de lucru). Se acordă o atenție specială calității ajustării curbei în intervalul de lucru. Valoarea R2 ca atare are valoare redusă sau nicio valoare în estimarea calității ajustării în regresia nelineară. Se ajunge la o ajustare mai bună prin reducerea la minimum a diferenței dintre nivelurile calculate și cele observate în intervalul de lucru al curbei (de exemplu, prin reducerea la minimum a sumei pătratelor reziduurilor).</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—Nivelul estimat în extractul de probă este corectat ulterior cu nivelul BEQ calculat pentru o probă-martor de matrice sau de solvent (pentru a ține seama de impuritățile din solvenți și din substanțele chimice utilizate) și cu recuperarea aparentă (calculată pornind de la nivelul BEQ al unor probe de </w:t>
            </w:r>
            <w:r w:rsidRPr="001D4791">
              <w:rPr>
                <w:rFonts w:ascii="Times New Roman" w:hAnsi="Times New Roman" w:cs="Times New Roman"/>
                <w:sz w:val="24"/>
                <w:szCs w:val="24"/>
              </w:rPr>
              <w:lastRenderedPageBreak/>
              <w:t>referință adecvate, cu modele reprezentative de congeneri în jurul nivelului maxim sau al nivelului de acțiune). Pentru a efectua o corecție cu recuperarea, recuperarea aparentă trebuie să fie situată întotdeauna în intervalul necesar (a se vedea punctul 7.1.4). Probele de referință utilizate pentru corecția cu recuperarea trebuie să respecte cerințele de la punctul 7.2.</w:t>
            </w:r>
          </w:p>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t>7.1.2.2.   Calibrarea cu probe de referință</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Alternativ, poate fi utilizată o curbă de calibrare realizată pe baza a cel puțin 4 probe de referință (a se vedea punctul 7.2): o matrice-martor, plus trei probe de referință de 0,5x, 1x și 2x nivelul maxim sau nivelul de acțiune, eliminând necesitatea de a aplica o corecție cu proba-martor și cu recuperarea, dacă proprietățile matricei probelor de referință corespund celor ale probelor necunoscute. În acest caz, răspunsul la test corespunzând la două treimi din nivelul maxim (a se vedea punctul 7.3) poate fi calculat direct din aceste probe și utilizat ca valoare de prag. Pentru verificarea probelor care depășesc nivelurile de acțiune, un procentaj corespunzător al acestor niveluri de acțiune ar corespunde ca </w:t>
            </w:r>
            <w:r w:rsidRPr="001D4791">
              <w:rPr>
                <w:rFonts w:ascii="Times New Roman" w:hAnsi="Times New Roman" w:cs="Times New Roman"/>
                <w:sz w:val="24"/>
                <w:szCs w:val="24"/>
              </w:rPr>
              <w:lastRenderedPageBreak/>
              <w:t>valoare de prag.</w:t>
            </w:r>
          </w:p>
          <w:p w:rsidR="00F02789" w:rsidRPr="001D4791" w:rsidRDefault="00F02789"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7.1.3.   Determinarea separată a PCDD/F-urilor și a PCB-urilor de tipul dioxinelor</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Extractele pot fi divizate în fracțiuni care conțin PCDD/F-uri și PCB-uri de tipul dioxinelor, permițând o indicare separată a nivelurilor TEQ pentru PCDD/F-uri și pentru PCB-uri de tipul dioxinelor (în BEQ). Se utilizează, de preferință, o curbă de calibrare standard a PCB 126 pentru evaluarea rezultatelor fracțiunii care conține PCB-uri de tipul dioxinelor.</w:t>
            </w:r>
          </w:p>
          <w:p w:rsidR="00F02789" w:rsidRPr="001D4791" w:rsidRDefault="00F02789"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7.1.4.   Recuperările aparente ale testului biologic</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„Recuperarea aparentă a testului biologic” se calculează pornind de la probe de referință adecvate cu modele reprezentative de congeneri în jurul nivelului maxim sau al nivelului de acțiune și exprimate ca procentaj al nivelului BEQ în comparație cu nivelul TEQ. În funcție de tipul de test și de TEF (2) utilizate, diferențele între factorii TEF și REP pentru PCB-urile de tipul dioxinelor pot cauza recuperări aparente mici pentru PCB-urile de tipul dioxinelor în comparație cu PCDD/F-urile. Prin urmare, în cazul în care se efectuează o determinare separată a PCDD/F-urilor și a PCB-</w:t>
            </w:r>
            <w:r w:rsidRPr="001D4791">
              <w:rPr>
                <w:rFonts w:ascii="Times New Roman" w:hAnsi="Times New Roman" w:cs="Times New Roman"/>
                <w:sz w:val="24"/>
                <w:szCs w:val="24"/>
              </w:rPr>
              <w:lastRenderedPageBreak/>
              <w:t>urilor de tipul dioxinelor, recuperările aparente ale testului biologic sunt: pentru PCB-uri de tipul dioxinelor, între 20 % și 60 %, pentru PCDD/F-uri – între 50 % și 130 % (intervalele se aplică pentru curba de calibrare a TCDD). Deoarece contribuția PCB-urilor de tipul dioxinelor la suma dintre PCDD/F-uri și PCB-uri de tipul dioxinelor poate varia între diferite matrice și probe, recuperările aparente ale testului biologic pentru parametrul sumă reflectă aceste intervale și se situează între 30 % și 130 %.</w:t>
            </w:r>
          </w:p>
          <w:p w:rsidR="00F02789" w:rsidRPr="001D4791" w:rsidRDefault="00F02789"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7.1.5.   Controlul recuperărilor pentru curățare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Pierderea de compuși în timpul curățării se verifică în timpul validării. O probă-martor îmbogățită cu un amestec de congeneri diferiți face obiectul curățării (n = 3 cel puțin), iar recuperarea și variabilitatea sunt verificate printr-o metodă de confirmare. Recuperarea se situează între 60 % și 120 %, mai ales pentru congenerii care contribuie cu mai mult de 10 % la nivelul TEQ în diverse amestecuri.</w:t>
            </w:r>
          </w:p>
          <w:p w:rsidR="00F02789" w:rsidRPr="001D4791" w:rsidRDefault="00F02789"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7.1.6.   Limita de raportare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Atunci când se raportează nivelurile BEQ, se determină o limită de </w:t>
            </w:r>
            <w:r w:rsidRPr="001D4791">
              <w:rPr>
                <w:rFonts w:ascii="Times New Roman" w:hAnsi="Times New Roman" w:cs="Times New Roman"/>
                <w:sz w:val="24"/>
                <w:szCs w:val="24"/>
              </w:rPr>
              <w:lastRenderedPageBreak/>
              <w:t>raportare pornind de la probele de matrice relevante care implică modele tipice de congeneri, dar nu pornind de la curba de calibrare a etaloanelor, din cauza preciziei mici în intervalul inferior al curbei. Efectele extracției și ale curățării trebuie luate în considerare. Limita de raportare se fixează semnificativ (cel puțin cu un factor de trei) peste martorii procedurii.</w:t>
            </w:r>
          </w:p>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t>7.2.   Utilizarea probelor de referință</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—Probele de referință reprezintă matricea probei, modelele de congeneri și intervalele de concentrație pentru PCDD/F-uri și PCB-uri de tipul dioxinelor în jurul nivelului maxim sau al nivelului de acțiune.</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 fiecare serie de teste, se include un martor pentru procedură sau, de preferință, un martor pentru matrice, precum și o probă de referință la nivelul maxim sau la nivelul de acțiune. Aceste probe trebuie extrase și testate în același timp și în condiții identice. Proba de referință trebuie să prezinte un răspuns clar mai puternic în comparație cu proba-martor, asigurând astfel caracterul adecvat al testului. Probele respective pot fi utilizate pentru </w:t>
            </w:r>
            <w:r w:rsidRPr="001D4791">
              <w:rPr>
                <w:rFonts w:ascii="Times New Roman" w:hAnsi="Times New Roman" w:cs="Times New Roman"/>
                <w:sz w:val="24"/>
                <w:szCs w:val="24"/>
              </w:rPr>
              <w:lastRenderedPageBreak/>
              <w:t>corecțiile cu proba-martor și cu recuperarea.</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—Probele de referință alese pentru a efectua o corecție cu recuperarea sunt reprezentative pentru probele testate, în sensul că modelele de congeneri nu conduc la o subestimare a nivelurilor.</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—Se pot include probe de referință suplimentare, de exemplu de 0,5x și 2x nivelul maxim sau nivelul de acțiune, pentru a se demonstra eficacitatea testului în intervalul de interes pentru controlul nivelului maxim sau al nivelului de acțiune. Combinate, aceste probe pot fi utilizate pentru calcularea nivelurilor BEQ în probele de testare (a se vedea punctul 7.1.2.2).</w:t>
            </w:r>
          </w:p>
        </w:tc>
        <w:tc>
          <w:tcPr>
            <w:tcW w:w="3827" w:type="dxa"/>
          </w:tcPr>
          <w:p w:rsidR="00A76FB2" w:rsidRPr="001D4791" w:rsidRDefault="00A76FB2"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Secțiunea 5</w:t>
            </w:r>
          </w:p>
          <w:p w:rsidR="00A76FB2" w:rsidRPr="001D4791" w:rsidRDefault="00A76FB2"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Cerințe specifice pentru metodele bioanalitice</w:t>
            </w:r>
          </w:p>
          <w:p w:rsidR="00A76FB2" w:rsidRPr="001D4791" w:rsidRDefault="00A76FB2" w:rsidP="006534C2">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61. </w:t>
            </w:r>
            <w:r w:rsidRPr="001D4791">
              <w:rPr>
                <w:rFonts w:ascii="Times New Roman" w:hAnsi="Times New Roman" w:cs="Times New Roman"/>
                <w:sz w:val="24"/>
                <w:szCs w:val="24"/>
              </w:rPr>
              <w:t>Metodele bioanalitice sunt metode bazate pe utilizarea de principii biologice precum bioanalizele celulare, testele bazate pe receptori sau imunoanalizele. Prezenta secțiune stabilește cerințe pentru metodele bioanalitice în general.</w:t>
            </w:r>
          </w:p>
          <w:p w:rsidR="00A76FB2" w:rsidRPr="001D4791" w:rsidRDefault="00A76FB2"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O metodă de screening, clasifică o probă ca fiind conformă sau suspectată a fi neconformă. În acest scop, nivelul BEQ calculat este comparat cu valoarea de prag (a se vedea punctul 69). Probele sub valoarea de prag sunt declarate conforme, iar probele egale sau peste valoarea de prag sunt declarate ca fiind suspectate a fi neconforme, necesitând analizarea printr-o metodă </w:t>
            </w:r>
            <w:r w:rsidRPr="001D4791">
              <w:rPr>
                <w:rFonts w:ascii="Times New Roman" w:hAnsi="Times New Roman" w:cs="Times New Roman"/>
                <w:sz w:val="24"/>
                <w:szCs w:val="24"/>
              </w:rPr>
              <w:lastRenderedPageBreak/>
              <w:t>de confirmare. În practică, un nivel BEQ corespunzând la două treimi din nivelul maxim poate servi drept valoare de prag cu condiția să se asigure o rată de rezultate fals conforme sub 5 % și o rată acceptabilă pentru rezultatele fals neconforme. Cu niveluri maxime diferite pentru PCDD/F-uri și pentru suma dintre PCDD/F-uri și PCB-uri de tipul dioxinelor, verificarea conformității probelor fără fracționare necesită valori de prag corespunzătoare ale testelor biologice pentru PCDD/F-uri. Pentru verificarea probelor care depășesc nivelurile de acțiune, ar conveni ca valoare de prag un procentaj corespunzător al nivelului de acțiune respectiv.</w:t>
            </w:r>
          </w:p>
          <w:p w:rsidR="00A76FB2" w:rsidRPr="001D4791" w:rsidRDefault="00A76FB2" w:rsidP="006534C2">
            <w:pPr>
              <w:jc w:val="both"/>
              <w:rPr>
                <w:rFonts w:ascii="Times New Roman" w:hAnsi="Times New Roman" w:cs="Times New Roman"/>
                <w:sz w:val="24"/>
                <w:szCs w:val="24"/>
              </w:rPr>
            </w:pPr>
            <w:r w:rsidRPr="001D4791">
              <w:rPr>
                <w:rFonts w:ascii="Times New Roman" w:hAnsi="Times New Roman" w:cs="Times New Roman"/>
                <w:sz w:val="24"/>
                <w:szCs w:val="24"/>
              </w:rPr>
              <w:t>În cazul în care nivelul indicativ este exprimat în BEQ, rezultatele pentru probă trebuie să fie furnizate în intervalul de lucru și să depășească limita de raportare (a se vedea punctele 62 și 67).</w:t>
            </w:r>
          </w:p>
          <w:p w:rsidR="00A76FB2" w:rsidRPr="001D4791" w:rsidRDefault="00A76FB2"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62. </w:t>
            </w:r>
            <w:r w:rsidRPr="001D4791">
              <w:rPr>
                <w:rFonts w:ascii="Times New Roman" w:hAnsi="Times New Roman" w:cs="Times New Roman"/>
                <w:bCs/>
                <w:sz w:val="24"/>
                <w:szCs w:val="24"/>
              </w:rPr>
              <w:t xml:space="preserve">Evaluarea răspunsului la test - </w:t>
            </w:r>
            <w:r w:rsidRPr="001D4791">
              <w:rPr>
                <w:rFonts w:ascii="Times New Roman" w:hAnsi="Times New Roman" w:cs="Times New Roman"/>
                <w:bCs/>
                <w:iCs/>
                <w:sz w:val="24"/>
                <w:szCs w:val="24"/>
              </w:rPr>
              <w:t>Cerințe generale</w:t>
            </w:r>
          </w:p>
          <w:p w:rsidR="00A76FB2" w:rsidRPr="001D4791" w:rsidRDefault="00A76FB2" w:rsidP="006534C2">
            <w:pPr>
              <w:jc w:val="both"/>
              <w:rPr>
                <w:rFonts w:ascii="Times New Roman" w:hAnsi="Times New Roman" w:cs="Times New Roman"/>
                <w:bCs/>
                <w:iCs/>
                <w:sz w:val="24"/>
                <w:szCs w:val="24"/>
              </w:rPr>
            </w:pPr>
            <w:r w:rsidRPr="001D4791">
              <w:rPr>
                <w:rFonts w:ascii="Times New Roman" w:hAnsi="Times New Roman" w:cs="Times New Roman"/>
                <w:bCs/>
                <w:iCs/>
                <w:sz w:val="24"/>
                <w:szCs w:val="24"/>
              </w:rPr>
              <w:t xml:space="preserve">1) </w:t>
            </w:r>
            <w:r w:rsidRPr="001D4791">
              <w:rPr>
                <w:rFonts w:ascii="Times New Roman" w:hAnsi="Times New Roman" w:cs="Times New Roman"/>
                <w:sz w:val="24"/>
                <w:szCs w:val="24"/>
              </w:rPr>
              <w:t xml:space="preserve">Atunci când se calculează concentrațiile pornind de la o curbă de calibrare a TCDD, valorile la extremitatea superioară a curbei vor prezenta o variație importantă </w:t>
            </w:r>
            <w:r w:rsidRPr="001D4791">
              <w:rPr>
                <w:rFonts w:ascii="Times New Roman" w:hAnsi="Times New Roman" w:cs="Times New Roman"/>
                <w:sz w:val="24"/>
                <w:szCs w:val="24"/>
              </w:rPr>
              <w:lastRenderedPageBreak/>
              <w:t>[coeficient de variație (CV) ridicat]. Intervalul de lucru este aria în care acest CV este mai mic de 15 %. Extremitatea inferioară a intervalului de lucru (limita de raportare) trebuie să fie fixată semnificativ (cel puțin cu un factor de trei) peste probele-martor din cadrul procedurii. Extremitatea superioară a intervalului de lucru este, de obicei, reprezentată de valoarea EC</w:t>
            </w:r>
            <w:r w:rsidRPr="001D4791">
              <w:rPr>
                <w:rFonts w:ascii="Times New Roman" w:hAnsi="Times New Roman" w:cs="Times New Roman"/>
                <w:sz w:val="24"/>
                <w:szCs w:val="24"/>
                <w:vertAlign w:val="subscript"/>
              </w:rPr>
              <w:t>70</w:t>
            </w:r>
            <w:r w:rsidRPr="001D4791">
              <w:rPr>
                <w:rFonts w:ascii="Times New Roman" w:hAnsi="Times New Roman" w:cs="Times New Roman"/>
                <w:sz w:val="24"/>
                <w:szCs w:val="24"/>
              </w:rPr>
              <w:t xml:space="preserve"> (70 % din concentrația maximă efectivă), dar mai scăzută dacă CV este mai mare de 15 % în acest interval. Intervalul de lucru este stabilit în timpul validării. Valorile de prag (a se vedea punctul 69)  trebuie să se situeze în intervalul de lucru.</w:t>
            </w:r>
          </w:p>
          <w:p w:rsidR="00A76FB2" w:rsidRPr="001D4791" w:rsidRDefault="00A76FB2"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2) </w:t>
            </w:r>
            <w:r w:rsidRPr="001D4791">
              <w:rPr>
                <w:rFonts w:ascii="Times New Roman" w:hAnsi="Times New Roman" w:cs="Times New Roman"/>
                <w:sz w:val="24"/>
                <w:szCs w:val="24"/>
              </w:rPr>
              <w:t>Soluțiile etalon și extractele de probe trebuie să fie testate în triplicat sau cel puțin în duplicat. Atunci când se utilizează duplicate, o soluție etalon sau un extract de control testat(ă) în patru până la șase godeuri repartizate pe placă produce un răspuns sau o concentrație (posibilă doar în intervalul de lucru) pe baza unui CV &lt; 15 %.</w:t>
            </w:r>
          </w:p>
          <w:p w:rsidR="008D7B1E" w:rsidRPr="001D4791" w:rsidRDefault="008D7B1E" w:rsidP="006534C2">
            <w:pPr>
              <w:jc w:val="both"/>
              <w:rPr>
                <w:rFonts w:ascii="Times New Roman" w:hAnsi="Times New Roman" w:cs="Times New Roman"/>
                <w:sz w:val="24"/>
                <w:szCs w:val="24"/>
              </w:rPr>
            </w:pPr>
          </w:p>
          <w:p w:rsidR="00A76FB2" w:rsidRPr="001D4791" w:rsidRDefault="00A76FB2" w:rsidP="006534C2">
            <w:pPr>
              <w:jc w:val="both"/>
              <w:rPr>
                <w:rFonts w:ascii="Times New Roman" w:hAnsi="Times New Roman" w:cs="Times New Roman"/>
                <w:bCs/>
                <w:iCs/>
                <w:sz w:val="24"/>
                <w:szCs w:val="24"/>
              </w:rPr>
            </w:pPr>
            <w:r w:rsidRPr="001D4791">
              <w:rPr>
                <w:rFonts w:ascii="Times New Roman" w:hAnsi="Times New Roman" w:cs="Times New Roman"/>
                <w:b/>
                <w:bCs/>
                <w:sz w:val="24"/>
                <w:szCs w:val="24"/>
              </w:rPr>
              <w:t>63.</w:t>
            </w:r>
            <w:r w:rsidRPr="001D4791">
              <w:rPr>
                <w:rFonts w:ascii="Times New Roman" w:hAnsi="Times New Roman" w:cs="Times New Roman"/>
                <w:bCs/>
                <w:sz w:val="24"/>
                <w:szCs w:val="24"/>
              </w:rPr>
              <w:t xml:space="preserve"> Evaluarea răspunsului la test - </w:t>
            </w:r>
            <w:r w:rsidRPr="001D4791">
              <w:rPr>
                <w:rFonts w:ascii="Times New Roman" w:hAnsi="Times New Roman" w:cs="Times New Roman"/>
                <w:bCs/>
                <w:iCs/>
                <w:sz w:val="24"/>
                <w:szCs w:val="24"/>
              </w:rPr>
              <w:t>Calibrare</w:t>
            </w:r>
          </w:p>
          <w:p w:rsidR="00A76FB2" w:rsidRPr="001D4791" w:rsidRDefault="00A76FB2"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1) Calibrarea cu curba standard</w:t>
            </w:r>
          </w:p>
          <w:p w:rsidR="00A76FB2" w:rsidRPr="001D4791" w:rsidRDefault="00A76FB2" w:rsidP="006534C2">
            <w:pPr>
              <w:jc w:val="both"/>
              <w:rPr>
                <w:rFonts w:ascii="Times New Roman" w:hAnsi="Times New Roman" w:cs="Times New Roman"/>
                <w:sz w:val="24"/>
                <w:szCs w:val="24"/>
              </w:rPr>
            </w:pPr>
            <w:r w:rsidRPr="001D4791">
              <w:rPr>
                <w:rFonts w:ascii="Times New Roman" w:hAnsi="Times New Roman" w:cs="Times New Roman"/>
                <w:bCs/>
                <w:sz w:val="24"/>
                <w:szCs w:val="24"/>
              </w:rPr>
              <w:t>a)</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 xml:space="preserve">Nivelurile din probe pot fi </w:t>
            </w:r>
            <w:r w:rsidRPr="001D4791">
              <w:rPr>
                <w:rFonts w:ascii="Times New Roman" w:hAnsi="Times New Roman" w:cs="Times New Roman"/>
                <w:sz w:val="24"/>
                <w:szCs w:val="24"/>
              </w:rPr>
              <w:lastRenderedPageBreak/>
              <w:t>estimate prin compararea răspunsului la test cu o curbă de calibrare a TCDD (sau a PCB 126 sau a unui amestec etalon de PCDD/F-uri/PCB-uri de tipul dioxinelor) pentru a se calcula nivelul BEQ din extract și, prin urmare, din probă.</w:t>
            </w:r>
          </w:p>
          <w:p w:rsidR="00A76FB2" w:rsidRPr="001D4791" w:rsidRDefault="00A76FB2" w:rsidP="006534C2">
            <w:pPr>
              <w:jc w:val="both"/>
              <w:rPr>
                <w:rFonts w:ascii="Times New Roman" w:hAnsi="Times New Roman" w:cs="Times New Roman"/>
                <w:sz w:val="24"/>
                <w:szCs w:val="24"/>
              </w:rPr>
            </w:pPr>
            <w:r w:rsidRPr="001D4791">
              <w:rPr>
                <w:rFonts w:ascii="Times New Roman" w:hAnsi="Times New Roman" w:cs="Times New Roman"/>
                <w:bCs/>
                <w:sz w:val="24"/>
                <w:szCs w:val="24"/>
              </w:rPr>
              <w:t xml:space="preserve">b) </w:t>
            </w:r>
            <w:r w:rsidRPr="001D4791">
              <w:rPr>
                <w:rFonts w:ascii="Times New Roman" w:hAnsi="Times New Roman" w:cs="Times New Roman"/>
                <w:sz w:val="24"/>
                <w:szCs w:val="24"/>
              </w:rPr>
              <w:t>Curbele de calibrare conțin între opt și 12 concentrații (cel puțin în duplicat), cu un număr suficient de concentrații în partea inferioară a curbei (intervalul de lucru). Se acordă o atenție specială calității ajustării curbei în intervalul de lucru. Valoarea R</w:t>
            </w:r>
            <w:r w:rsidRPr="001D4791">
              <w:rPr>
                <w:rFonts w:ascii="Times New Roman" w:hAnsi="Times New Roman" w:cs="Times New Roman"/>
                <w:sz w:val="24"/>
                <w:szCs w:val="24"/>
                <w:vertAlign w:val="superscript"/>
              </w:rPr>
              <w:t>2</w:t>
            </w:r>
            <w:r w:rsidRPr="001D4791">
              <w:rPr>
                <w:rFonts w:ascii="Times New Roman" w:hAnsi="Times New Roman" w:cs="Times New Roman"/>
                <w:sz w:val="24"/>
                <w:szCs w:val="24"/>
              </w:rPr>
              <w:t xml:space="preserve"> ca atare are valoare redusă sau nicio valoare în estimarea calității ajustării în regresia nelineară. Se ajunge la o ajustare mai bună prin reducerea la minimum a diferenței dintre nivelurile calculate și cele observate în intervalul de lucru al curbei (de exemplu, prin reducerea la minimum a sumei pătratelor reziduurilor).</w:t>
            </w:r>
          </w:p>
          <w:p w:rsidR="00A76FB2" w:rsidRPr="001D4791" w:rsidRDefault="00A76FB2"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c) </w:t>
            </w:r>
            <w:r w:rsidRPr="001D4791">
              <w:rPr>
                <w:rFonts w:ascii="Times New Roman" w:hAnsi="Times New Roman" w:cs="Times New Roman"/>
                <w:sz w:val="24"/>
                <w:szCs w:val="24"/>
              </w:rPr>
              <w:t xml:space="preserve">Nivelul estimat în extractul de probă este corectat ulterior cu nivelul BEQ calculat pentru o probă-martor de matrice sau de solvent (pentru a ține seama de impuritățile din solvenți și din substanțele chimice utilizate) și cu recuperarea aparentă (calculată pornind de la nivelul BEQ al unor probe de referință adecvate, </w:t>
            </w:r>
            <w:r w:rsidRPr="001D4791">
              <w:rPr>
                <w:rFonts w:ascii="Times New Roman" w:hAnsi="Times New Roman" w:cs="Times New Roman"/>
                <w:sz w:val="24"/>
                <w:szCs w:val="24"/>
              </w:rPr>
              <w:lastRenderedPageBreak/>
              <w:t>cu modele reprezentative de congeneri în jurul nivelului maxim sau al nivelului de acțiune). Pentru a efectua o corecție cu recuperarea, recuperarea aparentă trebuie să fie situată întotdeauna în intervalul necesar (a se vedea punctul 65). Probele de referință utilizate pentru corecția cu recuperarea trebuie să respecte cerințele de la punctul 68).</w:t>
            </w:r>
          </w:p>
          <w:p w:rsidR="00A76FB2" w:rsidRPr="001D4791" w:rsidRDefault="00A76FB2"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2) Calibrarea cu probe de referință</w:t>
            </w:r>
          </w:p>
          <w:p w:rsidR="00A76FB2" w:rsidRPr="001D4791" w:rsidRDefault="00A76FB2" w:rsidP="006534C2">
            <w:pPr>
              <w:jc w:val="both"/>
              <w:rPr>
                <w:rFonts w:ascii="Times New Roman" w:hAnsi="Times New Roman" w:cs="Times New Roman"/>
                <w:sz w:val="24"/>
                <w:szCs w:val="24"/>
              </w:rPr>
            </w:pPr>
            <w:r w:rsidRPr="001D4791">
              <w:rPr>
                <w:rFonts w:ascii="Times New Roman" w:hAnsi="Times New Roman" w:cs="Times New Roman"/>
                <w:sz w:val="24"/>
                <w:szCs w:val="24"/>
              </w:rPr>
              <w:t>Alternativ, poate fi utilizată o curbă de calibrare realizată pe baza a cel puțin 4 probe de referință (a se vedea punctul 68): o matrice-martor, plus trei probe de referință de 0,5x, 1x și 2x nivelul maxim sau nivelul de acțiune, eliminând necesitatea de a aplica o corecție cu proba-martor și cu recuperarea, dacă proprietățile matricei probelor de referință corespund celor ale probelor necunoscute. În acest caz, răspunsul la test corespunzând la două treimi din nivelul maxim (a se vedea punctul 69) poate fi calculat direct din aceste probe și utilizat ca valoare de prag. Pentru verificarea probelor care depășesc nivelurile de acțiune, un procentaj corespunzător al acestor niveluri de acțiune ar corespunde ca valoare de prag.</w:t>
            </w:r>
          </w:p>
          <w:p w:rsidR="00A76FB2" w:rsidRPr="001D4791" w:rsidRDefault="00A76FB2" w:rsidP="006534C2">
            <w:pPr>
              <w:jc w:val="both"/>
              <w:rPr>
                <w:rFonts w:ascii="Times New Roman" w:hAnsi="Times New Roman" w:cs="Times New Roman"/>
                <w:sz w:val="24"/>
                <w:szCs w:val="24"/>
              </w:rPr>
            </w:pPr>
          </w:p>
          <w:p w:rsidR="00CF2B11" w:rsidRPr="001D4791" w:rsidRDefault="00CF2B11"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 xml:space="preserve">64. </w:t>
            </w:r>
            <w:r w:rsidRPr="001D4791">
              <w:rPr>
                <w:rFonts w:ascii="Times New Roman" w:hAnsi="Times New Roman" w:cs="Times New Roman"/>
                <w:bCs/>
                <w:sz w:val="24"/>
                <w:szCs w:val="24"/>
              </w:rPr>
              <w:t xml:space="preserve">Evaluarea răspunsului la test - </w:t>
            </w:r>
            <w:r w:rsidRPr="001D4791">
              <w:rPr>
                <w:rFonts w:ascii="Times New Roman" w:hAnsi="Times New Roman" w:cs="Times New Roman"/>
                <w:bCs/>
                <w:iCs/>
                <w:sz w:val="24"/>
                <w:szCs w:val="24"/>
              </w:rPr>
              <w:t>Determinarea separată a PCDD/F-urilor și a PCB-urilor de tipul dioxinelor.</w:t>
            </w:r>
          </w:p>
          <w:p w:rsidR="00CF2B11" w:rsidRPr="001D4791" w:rsidRDefault="00CF2B11" w:rsidP="006534C2">
            <w:pPr>
              <w:jc w:val="both"/>
              <w:rPr>
                <w:rFonts w:ascii="Times New Roman" w:hAnsi="Times New Roman" w:cs="Times New Roman"/>
                <w:sz w:val="24"/>
                <w:szCs w:val="24"/>
              </w:rPr>
            </w:pPr>
            <w:r w:rsidRPr="001D4791">
              <w:rPr>
                <w:rFonts w:ascii="Times New Roman" w:hAnsi="Times New Roman" w:cs="Times New Roman"/>
                <w:sz w:val="24"/>
                <w:szCs w:val="24"/>
              </w:rPr>
              <w:t>Extractele pot fi divizate în fracțiuni care conțin PCDD/F-uri și PCB-uri de tipul dioxinelor, permițând o indicare separată a nivelurilor TEQ pentru PCDD/F-uri și pentru PCB-uri de tipul dioxinelor (în BEQ). Se utilizează, de preferință, o curbă de calibrare standard a PCB 126 pentru evaluarea rezultatelor fracțiunii care conține PCB-uri de tipul dioxinelor.</w:t>
            </w:r>
          </w:p>
          <w:p w:rsidR="00CF2B11" w:rsidRPr="001D4791" w:rsidRDefault="00CF2B11"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65. </w:t>
            </w:r>
            <w:r w:rsidRPr="001D4791">
              <w:rPr>
                <w:rFonts w:ascii="Times New Roman" w:hAnsi="Times New Roman" w:cs="Times New Roman"/>
                <w:bCs/>
                <w:sz w:val="24"/>
                <w:szCs w:val="24"/>
              </w:rPr>
              <w:t xml:space="preserve">Evaluarea răspunsului la test - </w:t>
            </w:r>
            <w:r w:rsidRPr="001D4791">
              <w:rPr>
                <w:rFonts w:ascii="Times New Roman" w:hAnsi="Times New Roman" w:cs="Times New Roman"/>
                <w:bCs/>
                <w:iCs/>
                <w:sz w:val="24"/>
                <w:szCs w:val="24"/>
              </w:rPr>
              <w:t>Recuperările aparente ale testului biologic.</w:t>
            </w:r>
          </w:p>
          <w:p w:rsidR="00CF2B11" w:rsidRPr="001D4791" w:rsidRDefault="00CF2B1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Recuperarea aparentă a testului biologic” se calculează pornind de la probe de referință adecvate cu modele reprezentative de congeneri în jurul nivelului maxim sau al nivelului de acțiune și exprimate ca procentaj al nivelului BEQ în comparație cu nivelul TEQ. În funcție de tipul de test și de TEF utilizate, diferențele între factorii TEF și REP pentru PCB-urile de tipul dioxinelor pot cauza recuperări aparente mici pentru PCB-urile de tipul dioxinelor în comparație cu PCDD/F-urile. Prin urmare, în cazul în care se efectuează o determinare </w:t>
            </w:r>
            <w:r w:rsidRPr="001D4791">
              <w:rPr>
                <w:rFonts w:ascii="Times New Roman" w:hAnsi="Times New Roman" w:cs="Times New Roman"/>
                <w:sz w:val="24"/>
                <w:szCs w:val="24"/>
              </w:rPr>
              <w:lastRenderedPageBreak/>
              <w:t>separată a PCDD/F-urilor și a PCB-urilor de tipul dioxinelor, recuperările aparente ale testului biologic sunt: pentru PCB-uri de tipul dioxinelor, între 20 % și 60 %, pentru PCDD/F-uri – între 50 % și 130 % (intervalele se aplică pentru curba de calibrare a TCDD). Deoarece contribuția PCB-urilor de tipul dioxinelor la suma dintre PCDD/F-uri și PCB-uri de tipul dioxinelor poate varia între diferite matrice și probe, recuperările aparente ale testului biologic pentru parametrul sumă reflectă aceste intervale și se situează între 30 % și 130 %.</w:t>
            </w:r>
          </w:p>
          <w:p w:rsidR="00CF2B11" w:rsidRPr="001D4791" w:rsidRDefault="00CF2B11"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66. </w:t>
            </w:r>
            <w:r w:rsidRPr="001D4791">
              <w:rPr>
                <w:rFonts w:ascii="Times New Roman" w:hAnsi="Times New Roman" w:cs="Times New Roman"/>
                <w:bCs/>
                <w:sz w:val="24"/>
                <w:szCs w:val="24"/>
              </w:rPr>
              <w:t xml:space="preserve">Evaluarea răspunsului la test - </w:t>
            </w:r>
            <w:r w:rsidRPr="001D4791">
              <w:rPr>
                <w:rFonts w:ascii="Times New Roman" w:hAnsi="Times New Roman" w:cs="Times New Roman"/>
                <w:bCs/>
                <w:iCs/>
                <w:sz w:val="24"/>
                <w:szCs w:val="24"/>
              </w:rPr>
              <w:t>Controlul recuperărilor pentru curățare</w:t>
            </w:r>
          </w:p>
          <w:p w:rsidR="00CF2B11" w:rsidRPr="001D4791" w:rsidRDefault="00CF2B11" w:rsidP="006534C2">
            <w:pPr>
              <w:jc w:val="both"/>
              <w:rPr>
                <w:rFonts w:ascii="Times New Roman" w:hAnsi="Times New Roman" w:cs="Times New Roman"/>
                <w:sz w:val="24"/>
                <w:szCs w:val="24"/>
              </w:rPr>
            </w:pPr>
            <w:r w:rsidRPr="001D4791">
              <w:rPr>
                <w:rFonts w:ascii="Times New Roman" w:hAnsi="Times New Roman" w:cs="Times New Roman"/>
                <w:sz w:val="24"/>
                <w:szCs w:val="24"/>
              </w:rPr>
              <w:t>Pierderea de compuși în timpul curățării se verifică în timpul validării. O probă-martor îmbogățită cu un amestec de congeneri diferiți face obiectul curățării (n = 3 cel puțin), iar recuperarea și variabilitatea sunt verificate printr-o metodă de confirmare. Recuperarea se situează între 60 % și 120 %, mai ales pentru congenerii care contribuie cu mai mult de 10 % la nivelul TEQ în diverse amestecuri.</w:t>
            </w:r>
          </w:p>
          <w:p w:rsidR="00CF2B11" w:rsidRPr="001D4791" w:rsidRDefault="00CF2B11"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67. </w:t>
            </w:r>
            <w:r w:rsidRPr="001D4791">
              <w:rPr>
                <w:rFonts w:ascii="Times New Roman" w:hAnsi="Times New Roman" w:cs="Times New Roman"/>
                <w:bCs/>
                <w:sz w:val="24"/>
                <w:szCs w:val="24"/>
              </w:rPr>
              <w:t xml:space="preserve">Evaluarea răspunsului la test - </w:t>
            </w:r>
            <w:r w:rsidRPr="001D4791">
              <w:rPr>
                <w:rFonts w:ascii="Times New Roman" w:hAnsi="Times New Roman" w:cs="Times New Roman"/>
                <w:bCs/>
                <w:iCs/>
                <w:sz w:val="24"/>
                <w:szCs w:val="24"/>
              </w:rPr>
              <w:lastRenderedPageBreak/>
              <w:t>Limita de raportare</w:t>
            </w:r>
          </w:p>
          <w:p w:rsidR="00CF2B11" w:rsidRPr="001D4791" w:rsidRDefault="00CF2B11" w:rsidP="006534C2">
            <w:pPr>
              <w:jc w:val="both"/>
              <w:rPr>
                <w:rFonts w:ascii="Times New Roman" w:hAnsi="Times New Roman" w:cs="Times New Roman"/>
                <w:sz w:val="24"/>
                <w:szCs w:val="24"/>
              </w:rPr>
            </w:pPr>
            <w:r w:rsidRPr="001D4791">
              <w:rPr>
                <w:rFonts w:ascii="Times New Roman" w:hAnsi="Times New Roman" w:cs="Times New Roman"/>
                <w:sz w:val="24"/>
                <w:szCs w:val="24"/>
              </w:rPr>
              <w:t>Atunci când se raportează nivelurile BEQ, se determină o limită de raportare pornind de la probele de matrice relevante care implică modele tipice de congeneri, dar nu pornind de la curba de calibrare a etaloanelor, din cauza preciziei mici în intervalul inferior al curbei. Efectele extracției și ale curățării trebuie luate în considerare. Limita de raportare se fixează semnificativ (cel puțin cu un factor de trei) peste martorii procedurii.</w:t>
            </w:r>
          </w:p>
          <w:p w:rsidR="00CF2B11" w:rsidRPr="001D4791" w:rsidRDefault="00CF2B11"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68. </w:t>
            </w:r>
            <w:r w:rsidRPr="001D4791">
              <w:rPr>
                <w:rFonts w:ascii="Times New Roman" w:hAnsi="Times New Roman" w:cs="Times New Roman"/>
                <w:bCs/>
                <w:sz w:val="24"/>
                <w:szCs w:val="24"/>
              </w:rPr>
              <w:t>Utilizarea probelor de referință:</w:t>
            </w:r>
          </w:p>
          <w:p w:rsidR="00CF2B11" w:rsidRPr="001D4791" w:rsidRDefault="00CF2B11" w:rsidP="006534C2">
            <w:pPr>
              <w:jc w:val="both"/>
              <w:rPr>
                <w:rFonts w:ascii="Times New Roman" w:hAnsi="Times New Roman" w:cs="Times New Roman"/>
                <w:sz w:val="24"/>
                <w:szCs w:val="24"/>
              </w:rPr>
            </w:pPr>
            <w:r w:rsidRPr="001D4791">
              <w:rPr>
                <w:rFonts w:ascii="Times New Roman" w:hAnsi="Times New Roman" w:cs="Times New Roman"/>
                <w:bCs/>
                <w:sz w:val="24"/>
                <w:szCs w:val="24"/>
              </w:rPr>
              <w:t xml:space="preserve">1) </w:t>
            </w:r>
            <w:r w:rsidRPr="001D4791">
              <w:rPr>
                <w:rFonts w:ascii="Times New Roman" w:hAnsi="Times New Roman" w:cs="Times New Roman"/>
                <w:sz w:val="24"/>
                <w:szCs w:val="24"/>
              </w:rPr>
              <w:t>Probele de referință reprezintă matricea probei, modelele de congeneri și intervalele de concentrație pentru PCDD/F-uri și PCB-uri de tipul dioxinelor în jurul nivelului maxim sau al nivelului de acțiune.</w:t>
            </w:r>
          </w:p>
          <w:p w:rsidR="00CF2B11" w:rsidRPr="001D4791" w:rsidRDefault="00CF2B1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2) În fiecare serie de teste, se include un martor pentru procedură sau, de preferință, un martor pentru matrice, precum și o probă de referință la nivelul maxim sau la nivelul de acțiune. Aceste probe trebuie extrase și testate în același timp și în condiții identice. Proba de referință trebuie să prezinte un răspuns clar mai puternic în comparație cu proba-martor, asigurând astfel caracterul adecvat al </w:t>
            </w:r>
            <w:r w:rsidRPr="001D4791">
              <w:rPr>
                <w:rFonts w:ascii="Times New Roman" w:hAnsi="Times New Roman" w:cs="Times New Roman"/>
                <w:sz w:val="24"/>
                <w:szCs w:val="24"/>
              </w:rPr>
              <w:lastRenderedPageBreak/>
              <w:t>testului. Probele respective pot fi utilizate pentru corecțiile cu proba-martor și cu recuperarea.</w:t>
            </w:r>
          </w:p>
          <w:p w:rsidR="00CF2B11" w:rsidRPr="001D4791" w:rsidRDefault="00CF2B11" w:rsidP="006534C2">
            <w:pPr>
              <w:jc w:val="both"/>
              <w:rPr>
                <w:rFonts w:ascii="Times New Roman" w:hAnsi="Times New Roman" w:cs="Times New Roman"/>
                <w:bCs/>
                <w:sz w:val="24"/>
                <w:szCs w:val="24"/>
              </w:rPr>
            </w:pPr>
            <w:r w:rsidRPr="001D4791">
              <w:rPr>
                <w:rFonts w:ascii="Times New Roman" w:hAnsi="Times New Roman" w:cs="Times New Roman"/>
                <w:sz w:val="24"/>
                <w:szCs w:val="24"/>
              </w:rPr>
              <w:t>3) Probele de referință alese pentru a efectua o corecție cu recuperarea sunt reprezentative pentru probele testate, în sensul că modelele de congeneri nu conduc la o subestimare a nivelurilor.</w:t>
            </w:r>
          </w:p>
          <w:p w:rsidR="00CF2B11" w:rsidRPr="001D4791" w:rsidRDefault="00CF2B11" w:rsidP="006534C2">
            <w:pPr>
              <w:jc w:val="both"/>
              <w:rPr>
                <w:rFonts w:ascii="Times New Roman" w:hAnsi="Times New Roman" w:cs="Times New Roman"/>
                <w:b/>
                <w:bCs/>
                <w:sz w:val="24"/>
                <w:szCs w:val="24"/>
              </w:rPr>
            </w:pPr>
            <w:r w:rsidRPr="001D4791">
              <w:rPr>
                <w:rFonts w:ascii="Times New Roman" w:hAnsi="Times New Roman" w:cs="Times New Roman"/>
                <w:bCs/>
                <w:sz w:val="24"/>
                <w:szCs w:val="24"/>
              </w:rPr>
              <w:t>4)</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Se pot include probe de referință suplimentare, de exemplu de 0,5x și 2x nivelul maxim sau nivelul de acțiune, pentru a se demonstra eficacitatea testului în intervalul de interes pentru controlul nivelului maxim sau al nivelului de acțiune. Combinate, aceste probe pot fi utilizate pentru calcularea nivelurilor BEQ în probele de testare (a se vedea punctul 63, subpunctul 2).</w:t>
            </w:r>
          </w:p>
          <w:p w:rsidR="00CF2B11" w:rsidRPr="001D4791" w:rsidRDefault="00CF2B11"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02789" w:rsidRPr="001D4791" w:rsidRDefault="00F02789"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7.3.   Determinarea valorilor de prag</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Se stabilește relația dintre rezultatele bioanalitice în BEQ și rezultatele obținute prin metodele de confirmare în TEQ [de exemplu, prin experimente de calibrare în raport cu matricea, care implică probe de referință îmbogățite la 0, 0,5x, 1x și 2x față de nivelul maxim (NM), cu 6 repetări la fiecare nivel (n = 24)]. Factorii de corecție (martor și </w:t>
            </w:r>
            <w:r w:rsidRPr="001D4791">
              <w:rPr>
                <w:rFonts w:ascii="Times New Roman" w:hAnsi="Times New Roman" w:cs="Times New Roman"/>
                <w:sz w:val="24"/>
                <w:szCs w:val="24"/>
              </w:rPr>
              <w:lastRenderedPageBreak/>
              <w:t>recuperare) pot fi estimați pornind de la această relație, dar trebuie să fie verificați în fiecare serie de teste prin includerea probelor-martor pentru procedură/matrice și a probelor de recuperare (a se vedea punctul 7.2).</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Valorile de prag se stabilesc pentru deciziile privind conformitatea probelor cu nivelurile maxime sau pentru controlul nivelurilor de acțiune, în cazul în care prezintă interes, nivelurile maxime sau de acțiune respective fiind stabilite fie numai pentru PCDD/F-uri și PCB-uri de tipul dioxinelor, fie pentru suma dintre PCDD/F-uri și PCB-uri de tipul dioxinelor. Ele sunt reprezentate de limita inferioară a curbei de distribuție a rezultatelor bioanalitice (corectate pentru martor și recuperare) corespunzând limitei de decizie aferente metodei de confirmare pe baza unui nivel de încredere de 95 %, implicând o rată de rezultate fals conforme &lt; 5 %, și pe baza unei valori a RSDR &lt; 25 %. Limita de decizie aferentă metodei de confirmare este nivelul maxim, ținând seama de incertitudinea de măsurare extinsă.</w:t>
            </w: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În practică, valoarea de prag (în BEQ) poate fi calculată prin </w:t>
            </w:r>
            <w:r w:rsidRPr="001D4791">
              <w:rPr>
                <w:rFonts w:ascii="Times New Roman" w:hAnsi="Times New Roman" w:cs="Times New Roman"/>
                <w:sz w:val="24"/>
                <w:szCs w:val="24"/>
              </w:rPr>
              <w:lastRenderedPageBreak/>
              <w:t>următoarele metode (a se vedea figura 1):</w:t>
            </w:r>
          </w:p>
          <w:p w:rsidR="008D7B1E" w:rsidRPr="001D4791" w:rsidRDefault="00F02789"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7.3.1.   Utilizarea sectorului inferior al intervalului de predicție de 95 % la limita de decizie aferentă metodei de confirmare</w:t>
            </w:r>
          </w:p>
          <w:p w:rsidR="00E72464" w:rsidRPr="001D4791" w:rsidRDefault="00E72464" w:rsidP="006534C2">
            <w:pPr>
              <w:rPr>
                <w:rFonts w:ascii="Times New Roman" w:hAnsi="Times New Roman" w:cs="Times New Roman"/>
                <w:b/>
                <w:sz w:val="24"/>
                <w:szCs w:val="24"/>
              </w:rPr>
            </w:pPr>
            <w:r w:rsidRPr="001D4791">
              <w:rPr>
                <w:rFonts w:ascii="Times New Roman" w:hAnsi="Times New Roman" w:cs="Times New Roman"/>
                <w:b/>
                <w:sz w:val="24"/>
                <w:szCs w:val="24"/>
              </w:rPr>
              <w:t>Valoarea de prag = BEQ</w:t>
            </w:r>
            <w:r w:rsidRPr="001D4791">
              <w:rPr>
                <w:rFonts w:ascii="Times New Roman" w:hAnsi="Times New Roman" w:cs="Times New Roman"/>
                <w:b/>
                <w:sz w:val="24"/>
                <w:szCs w:val="24"/>
                <w:vertAlign w:val="subscript"/>
              </w:rPr>
              <w:t>DL</w:t>
            </w:r>
            <w:r w:rsidRPr="001D4791">
              <w:rPr>
                <w:rFonts w:ascii="Times New Roman" w:hAnsi="Times New Roman" w:cs="Times New Roman"/>
                <w:b/>
                <w:sz w:val="24"/>
                <w:szCs w:val="24"/>
              </w:rPr>
              <w:t>-S</w:t>
            </w:r>
            <w:r w:rsidRPr="001D4791">
              <w:rPr>
                <w:rFonts w:ascii="Times New Roman" w:hAnsi="Times New Roman" w:cs="Times New Roman"/>
                <w:b/>
                <w:sz w:val="24"/>
                <w:szCs w:val="24"/>
                <w:vertAlign w:val="subscript"/>
              </w:rPr>
              <w:t>y,x</w:t>
            </w:r>
            <w:r w:rsidRPr="001D4791">
              <w:rPr>
                <w:rFonts w:ascii="Times New Roman" w:hAnsi="Times New Roman" w:cs="Times New Roman"/>
                <w:b/>
                <w:sz w:val="24"/>
                <w:szCs w:val="24"/>
              </w:rPr>
              <w:t>× t</w:t>
            </w:r>
            <w:r w:rsidRPr="001D4791">
              <w:rPr>
                <w:rFonts w:ascii="Times New Roman" w:hAnsi="Times New Roman" w:cs="Times New Roman"/>
                <w:b/>
                <w:sz w:val="24"/>
                <w:szCs w:val="24"/>
                <w:vertAlign w:val="subscript"/>
              </w:rPr>
              <w:t xml:space="preserve">a,f </w:t>
            </w:r>
            <w:r w:rsidRPr="001D4791">
              <w:rPr>
                <w:rFonts w:ascii="Times New Roman" w:hAnsi="Times New Roman" w:cs="Times New Roman"/>
                <w:b/>
                <w:sz w:val="24"/>
                <w:szCs w:val="24"/>
              </w:rPr>
              <w:t>= m-2</w:t>
            </w:r>
            <m:oMath>
              <m:rad>
                <m:radPr>
                  <m:degHide m:val="1"/>
                  <m:ctrlPr>
                    <w:rPr>
                      <w:rFonts w:ascii="Cambria Math" w:hAnsi="Cambria Math" w:cs="Times New Roman"/>
                      <w:b/>
                      <w:i/>
                      <w:sz w:val="24"/>
                      <w:szCs w:val="24"/>
                    </w:rPr>
                  </m:ctrlPr>
                </m:radPr>
                <m:deg/>
                <m:e>
                  <m:f>
                    <m:fPr>
                      <m:type m:val="lin"/>
                      <m:ctrlPr>
                        <w:rPr>
                          <w:rFonts w:ascii="Cambria Math" w:hAnsi="Cambria Math" w:cs="Times New Roman"/>
                          <w:b/>
                          <w:i/>
                          <w:sz w:val="24"/>
                          <w:szCs w:val="24"/>
                        </w:rPr>
                      </m:ctrlPr>
                    </m:fPr>
                    <m:num>
                      <m:f>
                        <m:fPr>
                          <m:type m:val="lin"/>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n</m:t>
                          </m:r>
                        </m:den>
                      </m:f>
                      <m:r>
                        <m:rPr>
                          <m:sty m:val="bi"/>
                        </m:rPr>
                        <w:rPr>
                          <w:rFonts w:ascii="Cambria Math" w:hAnsi="Cambria Math" w:cs="Times New Roman"/>
                          <w:sz w:val="24"/>
                          <w:szCs w:val="24"/>
                        </w:rPr>
                        <m:t>+</m:t>
                      </m:r>
                      <m:f>
                        <m:fPr>
                          <m:type m:val="lin"/>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m</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 xml:space="preserve">i </m:t>
                          </m:r>
                        </m:sub>
                      </m:sSub>
                      <m:r>
                        <m:rPr>
                          <m:sty m:val="bi"/>
                        </m:rPr>
                        <w:rPr>
                          <w:rFonts w:ascii="Cambria Math" w:hAnsi="Cambria Math" w:cs="Times New Roman"/>
                          <w:sz w:val="24"/>
                          <w:szCs w:val="24"/>
                        </w:rPr>
                        <m:t>-</m:t>
                      </m:r>
                      <m:bar>
                        <m:barPr>
                          <m:pos m:val="top"/>
                          <m:ctrlPr>
                            <w:rPr>
                              <w:rFonts w:ascii="Cambria Math" w:hAnsi="Cambria Math" w:cs="Times New Roman"/>
                              <w:b/>
                              <w:i/>
                              <w:sz w:val="24"/>
                              <w:szCs w:val="24"/>
                            </w:rPr>
                          </m:ctrlPr>
                        </m:barPr>
                        <m:e>
                          <m:r>
                            <m:rPr>
                              <m:sty m:val="bi"/>
                            </m:rPr>
                            <w:rPr>
                              <w:rFonts w:ascii="Cambria Math" w:hAnsi="Cambria Math" w:cs="Times New Roman"/>
                              <w:sz w:val="24"/>
                              <w:szCs w:val="24"/>
                            </w:rPr>
                            <m:t>x</m:t>
                          </m:r>
                        </m:e>
                      </m:bar>
                      <m:sSup>
                        <m:sSupPr>
                          <m:ctrlPr>
                            <w:rPr>
                              <w:rFonts w:ascii="Cambria Math" w:hAnsi="Cambria Math" w:cs="Times New Roman"/>
                              <w:b/>
                              <w:i/>
                              <w:sz w:val="24"/>
                              <w:szCs w:val="24"/>
                            </w:rPr>
                          </m:ctrlPr>
                        </m:sSupPr>
                        <m:e>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xx</m:t>
                          </m:r>
                        </m:sub>
                      </m:sSub>
                    </m:den>
                  </m:f>
                </m:e>
              </m:rad>
            </m:oMath>
          </w:p>
          <w:p w:rsidR="00E72464" w:rsidRPr="001D4791" w:rsidRDefault="00E72464" w:rsidP="006534C2">
            <w:pPr>
              <w:jc w:val="both"/>
              <w:rPr>
                <w:rFonts w:ascii="Times New Roman" w:hAnsi="Times New Roman" w:cs="Times New Roman"/>
                <w:b/>
                <w:i/>
                <w:sz w:val="24"/>
                <w:szCs w:val="24"/>
              </w:rPr>
            </w:pPr>
          </w:p>
          <w:p w:rsidR="00F02789" w:rsidRPr="001D4791" w:rsidRDefault="00F02789" w:rsidP="006534C2">
            <w:pPr>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unde: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70"/>
              <w:gridCol w:w="3192"/>
            </w:tblGrid>
            <w:tr w:rsidR="00F02789" w:rsidRPr="001D4791" w:rsidTr="00F02789">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BEQ</w:t>
                  </w:r>
                  <w:r w:rsidRPr="001D4791">
                    <w:rPr>
                      <w:rFonts w:ascii="Times New Roman" w:hAnsi="Times New Roman" w:cs="Times New Roman"/>
                      <w:sz w:val="24"/>
                      <w:szCs w:val="24"/>
                      <w:vertAlign w:val="subscript"/>
                      <w:lang w:val="ru-RU"/>
                    </w:rPr>
                    <w:t>DL</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BEQ care corespunde limitei de decizie aferente metodei de confirmare, fiind nivelul maxim care ține seama de incertitudinea de măsurare extinsă</w:t>
                  </w:r>
                </w:p>
              </w:tc>
            </w:tr>
            <w:tr w:rsidR="00F02789" w:rsidRPr="001D4791" w:rsidTr="00F02789">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s</w:t>
                  </w:r>
                  <w:r w:rsidRPr="001D4791">
                    <w:rPr>
                      <w:rFonts w:ascii="Times New Roman" w:hAnsi="Times New Roman" w:cs="Times New Roman"/>
                      <w:sz w:val="24"/>
                      <w:szCs w:val="24"/>
                      <w:vertAlign w:val="subscript"/>
                      <w:lang w:val="ru-RU"/>
                    </w:rPr>
                    <w:t>y,x</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deviația standard reziduală</w:t>
                  </w:r>
                </w:p>
              </w:tc>
            </w:tr>
            <w:tr w:rsidR="00F02789" w:rsidRPr="001D4791" w:rsidTr="00F02789">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t </w:t>
                  </w:r>
                  <w:r w:rsidRPr="001D4791">
                    <w:rPr>
                      <w:rFonts w:ascii="Times New Roman" w:hAnsi="Times New Roman" w:cs="Times New Roman"/>
                      <w:sz w:val="24"/>
                      <w:szCs w:val="24"/>
                      <w:vertAlign w:val="subscript"/>
                      <w:lang w:val="ru-RU"/>
                    </w:rPr>
                    <w:t>α,f = m-2</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factor student (α = 5 %, f = grade de libertate, o singură parte)</w:t>
                  </w:r>
                </w:p>
              </w:tc>
            </w:tr>
            <w:tr w:rsidR="00F02789" w:rsidRPr="001D4791" w:rsidTr="00F02789">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m</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numărul total de puncte de calibrare (indice j)</w:t>
                  </w:r>
                </w:p>
              </w:tc>
            </w:tr>
            <w:tr w:rsidR="00F02789" w:rsidRPr="001D4791" w:rsidTr="00F02789">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n</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t>numărul de repetări la fiecare nivel</w:t>
                  </w:r>
                </w:p>
              </w:tc>
            </w:tr>
            <w:tr w:rsidR="00F02789" w:rsidRPr="001D4791" w:rsidTr="00F02789">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x</w:t>
                  </w:r>
                  <w:r w:rsidRPr="001D4791">
                    <w:rPr>
                      <w:rFonts w:ascii="Times New Roman" w:hAnsi="Times New Roman" w:cs="Times New Roman"/>
                      <w:sz w:val="24"/>
                      <w:szCs w:val="24"/>
                      <w:vertAlign w:val="subscript"/>
                      <w:lang w:val="ru-RU"/>
                    </w:rPr>
                    <w:t>i</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it-IT"/>
                    </w:rPr>
                  </w:pPr>
                  <w:r w:rsidRPr="001D4791">
                    <w:rPr>
                      <w:rFonts w:ascii="Times New Roman" w:hAnsi="Times New Roman" w:cs="Times New Roman"/>
                      <w:sz w:val="24"/>
                      <w:szCs w:val="24"/>
                      <w:lang w:val="it-IT"/>
                    </w:rPr>
                    <w:t>concentrația probei (în TEQ) în punctul de calibrare I determinată printr-o metodă de confirmare</w:t>
                  </w:r>
                </w:p>
              </w:tc>
            </w:tr>
            <w:tr w:rsidR="00F02789" w:rsidRPr="001D4791" w:rsidTr="00F02789">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noProof/>
                      <w:sz w:val="24"/>
                      <w:szCs w:val="24"/>
                      <w:lang w:val="ru-RU" w:eastAsia="ru-RU"/>
                    </w:rPr>
                    <w:drawing>
                      <wp:inline distT="0" distB="0" distL="0" distR="0" wp14:anchorId="27310F66" wp14:editId="202889E8">
                        <wp:extent cx="207010" cy="207010"/>
                        <wp:effectExtent l="0" t="0" r="2540" b="2540"/>
                        <wp:docPr id="2" name="Рисунок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 xml:space="preserve">media concentrațiilor (în TEQ) </w:t>
                  </w:r>
                  <w:r w:rsidRPr="001D4791">
                    <w:rPr>
                      <w:rFonts w:ascii="Times New Roman" w:hAnsi="Times New Roman" w:cs="Times New Roman"/>
                      <w:sz w:val="24"/>
                      <w:szCs w:val="24"/>
                      <w:lang w:val="ru-RU"/>
                    </w:rPr>
                    <w:lastRenderedPageBreak/>
                    <w:t>a tuturor probelor de calibrare</w:t>
                  </w:r>
                </w:p>
              </w:tc>
            </w:tr>
          </w:tbl>
          <w:p w:rsidR="00F02789" w:rsidRPr="001D4791" w:rsidRDefault="00F02789" w:rsidP="006534C2">
            <w:pPr>
              <w:jc w:val="both"/>
              <w:rPr>
                <w:rFonts w:ascii="Times New Roman" w:hAnsi="Times New Roman" w:cs="Times New Roman"/>
                <w:sz w:val="24"/>
                <w:szCs w:val="24"/>
              </w:rPr>
            </w:pPr>
          </w:p>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noProof/>
                <w:sz w:val="24"/>
                <w:szCs w:val="24"/>
                <w:lang w:val="ru-RU" w:eastAsia="ru-RU"/>
              </w:rPr>
              <w:drawing>
                <wp:inline distT="0" distB="0" distL="0" distR="0" wp14:anchorId="393A107F" wp14:editId="0397A1CC">
                  <wp:extent cx="1939925" cy="763270"/>
                  <wp:effectExtent l="0" t="0" r="3175" b="0"/>
                  <wp:docPr id="3" name="Рисунок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9925" cy="763270"/>
                          </a:xfrm>
                          <a:prstGeom prst="rect">
                            <a:avLst/>
                          </a:prstGeom>
                          <a:noFill/>
                          <a:ln>
                            <a:noFill/>
                          </a:ln>
                        </pic:spPr>
                      </pic:pic>
                    </a:graphicData>
                  </a:graphic>
                </wp:inline>
              </w:drawing>
            </w:r>
          </w:p>
          <w:p w:rsidR="00F02789" w:rsidRPr="001D4791" w:rsidRDefault="00F02789" w:rsidP="006534C2">
            <w:pPr>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parametrul sumei pătratelor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0"/>
              <w:gridCol w:w="280"/>
              <w:gridCol w:w="3062"/>
            </w:tblGrid>
            <w:tr w:rsidR="00F02789" w:rsidRPr="001D4791" w:rsidTr="00F02789">
              <w:tc>
                <w:tcPr>
                  <w:tcW w:w="3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i</w:t>
                  </w:r>
                </w:p>
              </w:tc>
              <w:tc>
                <w:tcPr>
                  <w:tcW w:w="5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w:t>
                  </w:r>
                </w:p>
              </w:tc>
              <w:tc>
                <w:tcPr>
                  <w:tcW w:w="84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F7A2C" w:rsidRPr="001D4791" w:rsidRDefault="00F02789" w:rsidP="001D4791">
                  <w:pPr>
                    <w:framePr w:hSpace="180" w:wrap="around" w:vAnchor="text" w:hAnchor="text" w:y="1"/>
                    <w:spacing w:after="0" w:line="240" w:lineRule="auto"/>
                    <w:suppressOverlap/>
                    <w:jc w:val="both"/>
                    <w:rPr>
                      <w:rFonts w:ascii="Times New Roman" w:hAnsi="Times New Roman" w:cs="Times New Roman"/>
                      <w:sz w:val="24"/>
                      <w:szCs w:val="24"/>
                      <w:lang w:val="it-IT"/>
                    </w:rPr>
                  </w:pPr>
                  <w:r w:rsidRPr="001D4791">
                    <w:rPr>
                      <w:rFonts w:ascii="Times New Roman" w:hAnsi="Times New Roman" w:cs="Times New Roman"/>
                      <w:sz w:val="24"/>
                      <w:szCs w:val="24"/>
                      <w:lang w:val="it-IT"/>
                    </w:rPr>
                    <w:t>indice pentru punctul de calibrare i</w:t>
                  </w:r>
                </w:p>
              </w:tc>
            </w:tr>
          </w:tbl>
          <w:p w:rsidR="00F02789" w:rsidRPr="001D4791" w:rsidRDefault="00F02789" w:rsidP="006534C2">
            <w:pPr>
              <w:jc w:val="both"/>
              <w:rPr>
                <w:rFonts w:ascii="Times New Roman" w:hAnsi="Times New Roman" w:cs="Times New Roman"/>
                <w:sz w:val="24"/>
                <w:szCs w:val="24"/>
              </w:rPr>
            </w:pPr>
            <w:r w:rsidRPr="001D4791">
              <w:rPr>
                <w:rFonts w:ascii="Times New Roman" w:hAnsi="Times New Roman" w:cs="Times New Roman"/>
                <w:b/>
                <w:i/>
                <w:sz w:val="24"/>
                <w:szCs w:val="24"/>
              </w:rPr>
              <w:t>7.3.2.   Calculul pornind de la rezultatele bioanalitice</w:t>
            </w:r>
            <w:r w:rsidRPr="001D4791">
              <w:rPr>
                <w:rFonts w:ascii="Times New Roman" w:hAnsi="Times New Roman" w:cs="Times New Roman"/>
                <w:sz w:val="24"/>
                <w:szCs w:val="24"/>
              </w:rPr>
              <w:t xml:space="preserve"> (corectate pentru martor și recuperare) ale analizelor multiple ale probelor (n ≥ 6) contaminate la limita de decizie aferentă metodei de confirmare, ca extremitate inferioară a distribuției datelor la valoarea medie BEQ corespunzătoare:</w:t>
            </w:r>
          </w:p>
          <w:p w:rsidR="00F02789" w:rsidRPr="001D4791" w:rsidRDefault="00F02789" w:rsidP="006534C2">
            <w:pPr>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t>Valoarea de prag = BEQDL – 1,64 × SDR</w:t>
            </w:r>
          </w:p>
          <w:p w:rsidR="00F02789" w:rsidRPr="001D4791" w:rsidRDefault="00F02789" w:rsidP="006534C2">
            <w:pPr>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t>unde</w:t>
            </w:r>
          </w:p>
          <w:p w:rsidR="00F02789" w:rsidRPr="001D4791" w:rsidRDefault="00F02789" w:rsidP="006534C2">
            <w:pPr>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t>SDR</w:t>
            </w:r>
            <w:r w:rsidR="00F073D1" w:rsidRPr="001D4791">
              <w:rPr>
                <w:rFonts w:ascii="Times New Roman" w:hAnsi="Times New Roman" w:cs="Times New Roman"/>
                <w:sz w:val="24"/>
                <w:szCs w:val="24"/>
                <w:lang w:val="es-AR"/>
              </w:rPr>
              <w:t xml:space="preserve"> </w:t>
            </w:r>
            <w:r w:rsidRPr="001D4791">
              <w:rPr>
                <w:rFonts w:ascii="Times New Roman" w:hAnsi="Times New Roman" w:cs="Times New Roman"/>
                <w:sz w:val="24"/>
                <w:szCs w:val="24"/>
                <w:lang w:val="es-AR"/>
              </w:rPr>
              <w:t>deviația standard a rezultatelor testului biologic la BEQDL, măsurată în condiții de reproductibilitate intralaborator</w:t>
            </w:r>
          </w:p>
          <w:p w:rsidR="00F02789" w:rsidRPr="001D4791" w:rsidRDefault="00F02789" w:rsidP="006534C2">
            <w:pPr>
              <w:jc w:val="both"/>
              <w:rPr>
                <w:rFonts w:ascii="Times New Roman" w:hAnsi="Times New Roman" w:cs="Times New Roman"/>
                <w:sz w:val="24"/>
                <w:szCs w:val="24"/>
                <w:lang w:val="es-AR"/>
              </w:rPr>
            </w:pPr>
            <w:r w:rsidRPr="001D4791">
              <w:rPr>
                <w:rFonts w:ascii="Times New Roman" w:hAnsi="Times New Roman" w:cs="Times New Roman"/>
                <w:b/>
                <w:i/>
                <w:sz w:val="24"/>
                <w:szCs w:val="24"/>
                <w:lang w:val="es-AR"/>
              </w:rPr>
              <w:t>7.3.3.   Calculul ca valoare medie</w:t>
            </w:r>
            <w:r w:rsidRPr="001D4791">
              <w:rPr>
                <w:rFonts w:ascii="Times New Roman" w:hAnsi="Times New Roman" w:cs="Times New Roman"/>
                <w:sz w:val="24"/>
                <w:szCs w:val="24"/>
                <w:lang w:val="es-AR"/>
              </w:rPr>
              <w:t xml:space="preserve"> a rezultatelor bioanalitice (în BEQ, corectate pentru martor și recuperare) din mai multe analize ale probelor (n ≥ 6) contaminate la două treimi din nivelul maxim sau din nivelul de acțiune. Acesta se bazează </w:t>
            </w:r>
            <w:r w:rsidRPr="001D4791">
              <w:rPr>
                <w:rFonts w:ascii="Times New Roman" w:hAnsi="Times New Roman" w:cs="Times New Roman"/>
                <w:sz w:val="24"/>
                <w:szCs w:val="24"/>
                <w:lang w:val="es-AR"/>
              </w:rPr>
              <w:lastRenderedPageBreak/>
              <w:t>pe observația că acest nivel va fi în jurul valorii de prag determinate conform punctului 7.3.1 sau 7.3.2.</w:t>
            </w:r>
          </w:p>
          <w:p w:rsidR="00F02789" w:rsidRPr="001D4791" w:rsidRDefault="00F02789" w:rsidP="006534C2">
            <w:pPr>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t>Calculul valorilor de prag, bazat pe un nivel de încredere de 95 %, implicând o rată a rezultatelor fals conforme &lt; 5 % și o valoare a RSDR &lt; 25 %:</w:t>
            </w:r>
          </w:p>
          <w:p w:rsidR="00F02789" w:rsidRPr="001D4791" w:rsidRDefault="00F02789" w:rsidP="006534C2">
            <w:pPr>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t>1.pornind de la sectorul inferior al intervalului de predicție de 95 % la limita de decizie aferentă metodei de confirmare;</w:t>
            </w:r>
          </w:p>
          <w:p w:rsidR="00F02789" w:rsidRPr="001D4791" w:rsidRDefault="00F02789" w:rsidP="006534C2">
            <w:pPr>
              <w:jc w:val="both"/>
              <w:rPr>
                <w:rFonts w:ascii="Times New Roman" w:hAnsi="Times New Roman" w:cs="Times New Roman"/>
                <w:sz w:val="24"/>
                <w:szCs w:val="24"/>
                <w:lang w:val="es-AR"/>
              </w:rPr>
            </w:pPr>
            <w:proofErr w:type="gramStart"/>
            <w:r w:rsidRPr="001D4791">
              <w:rPr>
                <w:rFonts w:ascii="Times New Roman" w:hAnsi="Times New Roman" w:cs="Times New Roman"/>
                <w:sz w:val="24"/>
                <w:szCs w:val="24"/>
                <w:lang w:val="es-AR"/>
              </w:rPr>
              <w:t>2.pornind</w:t>
            </w:r>
            <w:proofErr w:type="gramEnd"/>
            <w:r w:rsidRPr="001D4791">
              <w:rPr>
                <w:rFonts w:ascii="Times New Roman" w:hAnsi="Times New Roman" w:cs="Times New Roman"/>
                <w:sz w:val="24"/>
                <w:szCs w:val="24"/>
                <w:lang w:val="es-AR"/>
              </w:rPr>
              <w:t xml:space="preserve"> de la analize multiple ale probelor (n ≥ 6) contaminate la limita de decizie aferentă metodei de confirmare, ca limită inferioară a distribuției datelor (reprezentată în figură printr-o curbă sub formă de clopot) la valoarea medie BEQ corespunzătoare.</w:t>
            </w:r>
          </w:p>
          <w:p w:rsidR="00F073D1" w:rsidRPr="001D4791" w:rsidRDefault="00F073D1" w:rsidP="006534C2">
            <w:pPr>
              <w:jc w:val="both"/>
              <w:rPr>
                <w:rFonts w:ascii="Times New Roman" w:hAnsi="Times New Roman" w:cs="Times New Roman"/>
                <w:b/>
                <w:sz w:val="24"/>
                <w:szCs w:val="24"/>
                <w:lang w:val="es-AR"/>
              </w:rPr>
            </w:pPr>
            <w:r w:rsidRPr="001D4791">
              <w:rPr>
                <w:rFonts w:ascii="Times New Roman" w:hAnsi="Times New Roman" w:cs="Times New Roman"/>
                <w:b/>
                <w:sz w:val="24"/>
                <w:szCs w:val="24"/>
                <w:lang w:val="es-AR"/>
              </w:rPr>
              <w:t>Figura 1</w:t>
            </w:r>
          </w:p>
          <w:p w:rsidR="00F02789" w:rsidRPr="001D4791" w:rsidRDefault="00F073D1" w:rsidP="006534C2">
            <w:pPr>
              <w:jc w:val="both"/>
              <w:rPr>
                <w:rFonts w:ascii="Times New Roman" w:hAnsi="Times New Roman" w:cs="Times New Roman"/>
                <w:sz w:val="24"/>
                <w:szCs w:val="24"/>
                <w:lang w:val="es-AR"/>
              </w:rPr>
            </w:pPr>
            <w:r w:rsidRPr="001D4791">
              <w:rPr>
                <w:rFonts w:ascii="Times New Roman" w:hAnsi="Times New Roman" w:cs="Times New Roman"/>
                <w:noProof/>
                <w:sz w:val="24"/>
                <w:szCs w:val="24"/>
                <w:lang w:val="ru-RU" w:eastAsia="ru-RU"/>
              </w:rPr>
              <w:drawing>
                <wp:inline distT="0" distB="0" distL="0" distR="0" wp14:anchorId="6F98470B" wp14:editId="3FEA6283">
                  <wp:extent cx="2242268" cy="1594799"/>
                  <wp:effectExtent l="0" t="0" r="5715" b="5715"/>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014" cy="1598885"/>
                          </a:xfrm>
                          <a:prstGeom prst="rect">
                            <a:avLst/>
                          </a:prstGeom>
                          <a:noFill/>
                          <a:ln>
                            <a:noFill/>
                          </a:ln>
                        </pic:spPr>
                      </pic:pic>
                    </a:graphicData>
                  </a:graphic>
                </wp:inline>
              </w:drawing>
            </w:r>
          </w:p>
          <w:p w:rsidR="00F02789" w:rsidRPr="001D4791" w:rsidRDefault="00F02789" w:rsidP="006534C2">
            <w:pPr>
              <w:jc w:val="both"/>
              <w:rPr>
                <w:rFonts w:ascii="Times New Roman" w:hAnsi="Times New Roman" w:cs="Times New Roman"/>
                <w:sz w:val="24"/>
                <w:szCs w:val="24"/>
                <w:lang w:val="es-AR"/>
              </w:rPr>
            </w:pPr>
          </w:p>
          <w:p w:rsidR="00F073D1" w:rsidRPr="001D4791" w:rsidRDefault="00F073D1" w:rsidP="006534C2">
            <w:pPr>
              <w:jc w:val="both"/>
              <w:rPr>
                <w:rFonts w:ascii="Times New Roman" w:hAnsi="Times New Roman" w:cs="Times New Roman"/>
                <w:b/>
                <w:i/>
                <w:sz w:val="24"/>
                <w:szCs w:val="24"/>
                <w:lang w:val="es-AR"/>
              </w:rPr>
            </w:pPr>
            <w:r w:rsidRPr="001D4791">
              <w:rPr>
                <w:rFonts w:ascii="Times New Roman" w:hAnsi="Times New Roman" w:cs="Times New Roman"/>
                <w:b/>
                <w:i/>
                <w:sz w:val="24"/>
                <w:szCs w:val="24"/>
                <w:lang w:val="es-AR"/>
              </w:rPr>
              <w:t>7.3.4.   Restricții ale valorilor de prag</w:t>
            </w:r>
          </w:p>
          <w:p w:rsidR="00F073D1" w:rsidRPr="001D4791" w:rsidRDefault="00F073D1" w:rsidP="006534C2">
            <w:pPr>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lastRenderedPageBreak/>
              <w:t>Valorile de prag bazate pe BEQ, calculate pornind de la RSDR obținut în cursul validării, utilizând un număr limitat de probe cu modele de matrice/congeneri diferite, pot fi mai mari decât nivelurile maxime sau de acțiune bazate pe TEQ datorită unei precizii mai mari decât cea realizabilă în analizele de rutină atunci când trebuie controlat un spectru necunoscut de posibile modele de congeneri. În astfel de cazuri, valorile de prag se calculează pornind de la RSDR = 25 % sau se preferă două treimi din nivelul maxim sau din nivelul de acțiune.</w:t>
            </w:r>
          </w:p>
          <w:p w:rsidR="00F073D1" w:rsidRPr="001D4791" w:rsidRDefault="00F073D1" w:rsidP="006534C2">
            <w:pPr>
              <w:jc w:val="both"/>
              <w:rPr>
                <w:rFonts w:ascii="Times New Roman" w:hAnsi="Times New Roman" w:cs="Times New Roman"/>
                <w:b/>
                <w:sz w:val="24"/>
                <w:szCs w:val="24"/>
              </w:rPr>
            </w:pPr>
            <w:r w:rsidRPr="001D4791">
              <w:rPr>
                <w:rFonts w:ascii="Times New Roman" w:hAnsi="Times New Roman" w:cs="Times New Roman"/>
                <w:b/>
                <w:sz w:val="24"/>
                <w:szCs w:val="24"/>
              </w:rPr>
              <w:t>7.4.   Caracteristici de performanță</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—Având în vedere faptul că nu se pot utiliza etaloane interne în metodele bioanalitice, se efectuează teste cu privire la repetabilitate pentru obținerea de informații privind deviația standard în cadrul unei serii de teste și între serii de teste. Repetabilitatea trebuie să fie sub 20 %, iar reproductibilitatea intralaborator sub 25 %. Aceasta se bazează pe nivelurile calculate în BEQ după corecția cu proba-martor și cu recuperarea.</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—Ca parte din procesul de validare, testul trebuie să permită diferențierea </w:t>
            </w:r>
            <w:r w:rsidRPr="001D4791">
              <w:rPr>
                <w:rFonts w:ascii="Times New Roman" w:hAnsi="Times New Roman" w:cs="Times New Roman"/>
                <w:sz w:val="24"/>
                <w:szCs w:val="24"/>
              </w:rPr>
              <w:lastRenderedPageBreak/>
              <w:t>între o probă-martor și un nivel la valoarea de prag, permițând identificarea probelor peste valoarea de prag corespunzătoare (a se vedea punctul 7.1.2).</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—Se definesc compușii-țintă, interferențele potențiale și nivelurile maxime tolerabile ale probei-martor.</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—Deviația standard în procente a răspunsului sau a concentrației calculate pornind de la răspuns (posibilă numai în intervalul de lucru) a unei determinări triple a unui extract de probă nu trebuie să fie mai mare de 15 %.</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—Rezultatele necorectate ale probei (probelor) de referință exprimată (exprimate) în BEQ-uri (martor și la nivelul maxim sau la nivelul de acțiune) sunt utilizate pentru evaluarea performanței metodei bioanalitice pe o perioadă de timp constantă.</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—Graficele de control al calității (QC) pentru probele-martor ale procedurii și fiecare tip de probă de referință se înregistrează și se verifică pentru a se garanta că performanța analitică este în conformitate cu cerințele, în special pentru probele-mator ale procedurii cu privire la diferența minimă impusă la limita inferioară a </w:t>
            </w:r>
            <w:r w:rsidRPr="001D4791">
              <w:rPr>
                <w:rFonts w:ascii="Times New Roman" w:hAnsi="Times New Roman" w:cs="Times New Roman"/>
                <w:sz w:val="24"/>
                <w:szCs w:val="24"/>
              </w:rPr>
              <w:lastRenderedPageBreak/>
              <w:t>intervalului de lucru și pentru probele de referință cu privire la reproductibilitatea intralaborator. Probele-martor din cadrul procedurii trebuie să fie atent controlate pentru a evita rezultatele fals conforme atunci când se efectuează operațiunea de scădere.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—Rezultatele analizelor realizate prin metodele de confirmare pentru probele suspectate și pentru 2-10 % din probele conforme (minimum 20 de probe pentru fiecare matrice) sunt colectate și folosite pentru a evalua performanța metodei de screening și relația dintre BEQ-uri și TEQ-uri. Această bază de date ar putea fi utilizată pentru reevaluarea valorilor de prag aplicabile probelor de rutină pentru matricele validate.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—Buna performanță a metodelor poate fi, de asemenea, demonstrată prin participarea la testările interlaboratoare. Rezultatele probelor analizate în testările interlaboratoare, care acoperă un interval de concentrații care ajunge până la, de exemplu, 2x nivelul maxim, pot fi, de asemenea, incluse în evaluarea ratei de rezultate fals conforme, în cazul în care un laborator este în măsură să demonstreze buna sa performanță. </w:t>
            </w:r>
            <w:r w:rsidRPr="001D4791">
              <w:rPr>
                <w:rFonts w:ascii="Times New Roman" w:hAnsi="Times New Roman" w:cs="Times New Roman"/>
                <w:sz w:val="24"/>
                <w:szCs w:val="24"/>
              </w:rPr>
              <w:lastRenderedPageBreak/>
              <w:t>Probele acoperă cele mai frecvente modele de congeneri, reprezentând diverse surse.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—În timpul incidentelor, valorile de prag pot fi reevaluate, reflectând matricea specifică și modelele de congeneri doar ale acelui incident individual.</w:t>
            </w:r>
          </w:p>
        </w:tc>
        <w:tc>
          <w:tcPr>
            <w:tcW w:w="3827" w:type="dxa"/>
          </w:tcPr>
          <w:p w:rsidR="00E72464" w:rsidRPr="001D4791" w:rsidRDefault="00E72464" w:rsidP="006534C2">
            <w:pPr>
              <w:jc w:val="both"/>
              <w:rPr>
                <w:rFonts w:ascii="Times New Roman" w:hAnsi="Times New Roman" w:cs="Times New Roman"/>
                <w:sz w:val="24"/>
                <w:szCs w:val="24"/>
              </w:rPr>
            </w:pPr>
            <w:r w:rsidRPr="001D4791">
              <w:rPr>
                <w:rFonts w:ascii="Times New Roman" w:hAnsi="Times New Roman" w:cs="Times New Roman"/>
                <w:b/>
                <w:bCs/>
                <w:sz w:val="24"/>
                <w:szCs w:val="24"/>
              </w:rPr>
              <w:lastRenderedPageBreak/>
              <w:t xml:space="preserve">69. </w:t>
            </w:r>
            <w:r w:rsidRPr="001D4791">
              <w:rPr>
                <w:rFonts w:ascii="Times New Roman" w:hAnsi="Times New Roman" w:cs="Times New Roman"/>
                <w:bCs/>
                <w:sz w:val="24"/>
                <w:szCs w:val="24"/>
              </w:rPr>
              <w:t xml:space="preserve">Pentru determinarea valorilor de prag </w:t>
            </w:r>
            <w:r w:rsidRPr="001D4791">
              <w:rPr>
                <w:rFonts w:ascii="Times New Roman" w:hAnsi="Times New Roman" w:cs="Times New Roman"/>
                <w:sz w:val="24"/>
                <w:szCs w:val="24"/>
              </w:rPr>
              <w:t xml:space="preserve">se stabilește relația dintre rezultatele bioanalitice în BEQ și rezultatele obținute prin metodele de confirmare în TEQ (de exemplu, prin experimente de calibrare în raport cu matricea, care implică probe de referință îmbogățite la 0, 0,5x, 1x și 2x față de nivelul maxim (NM), cu 6 repetări la fiecare nivel (n = 24)). Factorii de corecție (martor și recuperare) pot fi estimați pornind de </w:t>
            </w:r>
            <w:r w:rsidRPr="001D4791">
              <w:rPr>
                <w:rFonts w:ascii="Times New Roman" w:hAnsi="Times New Roman" w:cs="Times New Roman"/>
                <w:sz w:val="24"/>
                <w:szCs w:val="24"/>
              </w:rPr>
              <w:lastRenderedPageBreak/>
              <w:t>la această relație, dar trebuie să fie verificați în fiecare serie de teste prin includerea probelor-martor pentru procedură/matrice și a probelor de recuperare (a se vedea punctul 68).</w:t>
            </w:r>
          </w:p>
          <w:p w:rsidR="00E72464" w:rsidRPr="001D4791" w:rsidRDefault="00E72464"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Valorile de prag se stabilesc pentru deciziile privind conformitatea probelor cu nivelurile maxime sau pentru controlul nivelurilor de acțiune, în cazul în care prezintă interes, nivelurile maxime sau de acțiune respective fiind stabilite fie numai pentru PCDD/F-uri și PCB-uri de tipul dioxinelor, fie pentru suma dintre PCDD/F-uri și PCB-uri de tipul dioxinelor. Ele sunt reprezentate de limita </w:t>
            </w:r>
            <w:r w:rsidRPr="001D4791">
              <w:rPr>
                <w:rFonts w:ascii="Times New Roman" w:hAnsi="Times New Roman" w:cs="Times New Roman"/>
                <w:i/>
                <w:iCs/>
                <w:sz w:val="24"/>
                <w:szCs w:val="24"/>
              </w:rPr>
              <w:t>inferioară</w:t>
            </w:r>
            <w:r w:rsidRPr="001D4791">
              <w:rPr>
                <w:rFonts w:ascii="Times New Roman" w:hAnsi="Times New Roman" w:cs="Times New Roman"/>
                <w:sz w:val="24"/>
                <w:szCs w:val="24"/>
              </w:rPr>
              <w:t xml:space="preserve"> a curbei de distribuție a rezultatelor bioanalitice (corectate pentru martor și recuperare) corespunzând limitei de decizie aferente metodei de confirmare pe baza unui nivel de încredere de 95 %, implicând o rată de rezultate fals conforme &lt; 5 %, și pe baza unei valori a RSD</w:t>
            </w:r>
            <w:r w:rsidRPr="001D4791">
              <w:rPr>
                <w:rFonts w:ascii="Times New Roman" w:hAnsi="Times New Roman" w:cs="Times New Roman"/>
                <w:sz w:val="24"/>
                <w:szCs w:val="24"/>
                <w:vertAlign w:val="subscript"/>
              </w:rPr>
              <w:t>R</w:t>
            </w:r>
            <w:r w:rsidRPr="001D4791">
              <w:rPr>
                <w:rFonts w:ascii="Times New Roman" w:hAnsi="Times New Roman" w:cs="Times New Roman"/>
                <w:sz w:val="24"/>
                <w:szCs w:val="24"/>
              </w:rPr>
              <w:t xml:space="preserve"> &lt; 25 %. Limita de decizie aferentă metodei de confirmare este nivelul maxim, ținând seama de incertitudinea de măsurare extinsă.</w:t>
            </w:r>
          </w:p>
          <w:p w:rsidR="00E72464" w:rsidRPr="001D4791" w:rsidRDefault="00E72464" w:rsidP="006534C2">
            <w:pPr>
              <w:jc w:val="both"/>
              <w:rPr>
                <w:rFonts w:ascii="Times New Roman" w:hAnsi="Times New Roman" w:cs="Times New Roman"/>
                <w:sz w:val="24"/>
                <w:szCs w:val="24"/>
              </w:rPr>
            </w:pPr>
            <w:r w:rsidRPr="001D4791">
              <w:rPr>
                <w:rFonts w:ascii="Times New Roman" w:hAnsi="Times New Roman" w:cs="Times New Roman"/>
                <w:sz w:val="24"/>
                <w:szCs w:val="24"/>
              </w:rPr>
              <w:t>Valoarea de prag (în BEQ) poate fi calculată prin următoarele metode (a se vedea figura 1):</w:t>
            </w:r>
          </w:p>
          <w:p w:rsidR="00E72464" w:rsidRPr="001D4791" w:rsidRDefault="00E72464"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1) </w:t>
            </w:r>
            <w:r w:rsidRPr="001D4791">
              <w:rPr>
                <w:rFonts w:ascii="Times New Roman" w:hAnsi="Times New Roman" w:cs="Times New Roman"/>
                <w:bCs/>
                <w:iCs/>
                <w:sz w:val="24"/>
                <w:szCs w:val="24"/>
              </w:rPr>
              <w:t xml:space="preserve">Utilizarea sectorului inferior al </w:t>
            </w:r>
            <w:r w:rsidRPr="001D4791">
              <w:rPr>
                <w:rFonts w:ascii="Times New Roman" w:hAnsi="Times New Roman" w:cs="Times New Roman"/>
                <w:bCs/>
                <w:iCs/>
                <w:sz w:val="24"/>
                <w:szCs w:val="24"/>
              </w:rPr>
              <w:lastRenderedPageBreak/>
              <w:t>intervalului de predicție de 95 % la limita de decizie aferentă metodei de confirmare</w:t>
            </w:r>
          </w:p>
          <w:p w:rsidR="00E72464" w:rsidRPr="001D4791" w:rsidRDefault="00E72464" w:rsidP="006534C2">
            <w:pPr>
              <w:jc w:val="both"/>
              <w:rPr>
                <w:rFonts w:ascii="Times New Roman" w:hAnsi="Times New Roman" w:cs="Times New Roman"/>
                <w:sz w:val="24"/>
                <w:szCs w:val="24"/>
              </w:rPr>
            </w:pPr>
          </w:p>
          <w:p w:rsidR="00E72464" w:rsidRPr="001D4791" w:rsidRDefault="00E72464" w:rsidP="006534C2">
            <w:pPr>
              <w:ind w:firstLine="708"/>
              <w:jc w:val="both"/>
              <w:rPr>
                <w:rFonts w:ascii="Times New Roman" w:hAnsi="Times New Roman" w:cs="Times New Roman"/>
                <w:b/>
                <w:sz w:val="24"/>
                <w:szCs w:val="24"/>
              </w:rPr>
            </w:pPr>
            <w:r w:rsidRPr="001D4791">
              <w:rPr>
                <w:rFonts w:ascii="Times New Roman" w:hAnsi="Times New Roman" w:cs="Times New Roman"/>
                <w:b/>
                <w:sz w:val="24"/>
                <w:szCs w:val="24"/>
              </w:rPr>
              <w:t>Valoarea de prag = BEQ</w:t>
            </w:r>
            <w:r w:rsidRPr="001D4791">
              <w:rPr>
                <w:rFonts w:ascii="Times New Roman" w:hAnsi="Times New Roman" w:cs="Times New Roman"/>
                <w:b/>
                <w:sz w:val="24"/>
                <w:szCs w:val="24"/>
                <w:vertAlign w:val="subscript"/>
              </w:rPr>
              <w:t>DL</w:t>
            </w:r>
            <w:r w:rsidRPr="001D4791">
              <w:rPr>
                <w:rFonts w:ascii="Times New Roman" w:hAnsi="Times New Roman" w:cs="Times New Roman"/>
                <w:b/>
                <w:sz w:val="24"/>
                <w:szCs w:val="24"/>
              </w:rPr>
              <w:t>-S</w:t>
            </w:r>
            <w:r w:rsidRPr="001D4791">
              <w:rPr>
                <w:rFonts w:ascii="Times New Roman" w:hAnsi="Times New Roman" w:cs="Times New Roman"/>
                <w:b/>
                <w:sz w:val="24"/>
                <w:szCs w:val="24"/>
                <w:vertAlign w:val="subscript"/>
              </w:rPr>
              <w:t>y,x</w:t>
            </w:r>
            <w:r w:rsidRPr="001D4791">
              <w:rPr>
                <w:rFonts w:ascii="Times New Roman" w:hAnsi="Times New Roman" w:cs="Times New Roman"/>
                <w:b/>
                <w:sz w:val="24"/>
                <w:szCs w:val="24"/>
              </w:rPr>
              <w:t>× t</w:t>
            </w:r>
            <w:r w:rsidRPr="001D4791">
              <w:rPr>
                <w:rFonts w:ascii="Times New Roman" w:hAnsi="Times New Roman" w:cs="Times New Roman"/>
                <w:b/>
                <w:sz w:val="24"/>
                <w:szCs w:val="24"/>
                <w:vertAlign w:val="subscript"/>
              </w:rPr>
              <w:t xml:space="preserve">a,f </w:t>
            </w:r>
            <w:r w:rsidRPr="001D4791">
              <w:rPr>
                <w:rFonts w:ascii="Times New Roman" w:hAnsi="Times New Roman" w:cs="Times New Roman"/>
                <w:b/>
                <w:sz w:val="24"/>
                <w:szCs w:val="24"/>
              </w:rPr>
              <w:t>= m-2</w:t>
            </w:r>
            <m:oMath>
              <m:rad>
                <m:radPr>
                  <m:degHide m:val="1"/>
                  <m:ctrlPr>
                    <w:rPr>
                      <w:rFonts w:ascii="Cambria Math" w:hAnsi="Cambria Math" w:cs="Times New Roman"/>
                      <w:b/>
                      <w:i/>
                      <w:sz w:val="24"/>
                      <w:szCs w:val="24"/>
                    </w:rPr>
                  </m:ctrlPr>
                </m:radPr>
                <m:deg/>
                <m:e>
                  <m:f>
                    <m:fPr>
                      <m:type m:val="lin"/>
                      <m:ctrlPr>
                        <w:rPr>
                          <w:rFonts w:ascii="Cambria Math" w:hAnsi="Cambria Math" w:cs="Times New Roman"/>
                          <w:b/>
                          <w:i/>
                          <w:sz w:val="24"/>
                          <w:szCs w:val="24"/>
                        </w:rPr>
                      </m:ctrlPr>
                    </m:fPr>
                    <m:num>
                      <m:f>
                        <m:fPr>
                          <m:type m:val="lin"/>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n</m:t>
                          </m:r>
                        </m:den>
                      </m:f>
                      <m:r>
                        <m:rPr>
                          <m:sty m:val="bi"/>
                        </m:rPr>
                        <w:rPr>
                          <w:rFonts w:ascii="Cambria Math" w:hAnsi="Cambria Math" w:cs="Times New Roman"/>
                          <w:sz w:val="24"/>
                          <w:szCs w:val="24"/>
                        </w:rPr>
                        <m:t>+</m:t>
                      </m:r>
                      <m:f>
                        <m:fPr>
                          <m:type m:val="lin"/>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m</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 xml:space="preserve">i </m:t>
                          </m:r>
                        </m:sub>
                      </m:sSub>
                      <m:r>
                        <m:rPr>
                          <m:sty m:val="bi"/>
                        </m:rPr>
                        <w:rPr>
                          <w:rFonts w:ascii="Cambria Math" w:hAnsi="Cambria Math" w:cs="Times New Roman"/>
                          <w:sz w:val="24"/>
                          <w:szCs w:val="24"/>
                        </w:rPr>
                        <m:t>-</m:t>
                      </m:r>
                      <m:bar>
                        <m:barPr>
                          <m:pos m:val="top"/>
                          <m:ctrlPr>
                            <w:rPr>
                              <w:rFonts w:ascii="Cambria Math" w:hAnsi="Cambria Math" w:cs="Times New Roman"/>
                              <w:b/>
                              <w:i/>
                              <w:sz w:val="24"/>
                              <w:szCs w:val="24"/>
                            </w:rPr>
                          </m:ctrlPr>
                        </m:barPr>
                        <m:e>
                          <m:r>
                            <m:rPr>
                              <m:sty m:val="bi"/>
                            </m:rPr>
                            <w:rPr>
                              <w:rFonts w:ascii="Cambria Math" w:hAnsi="Cambria Math" w:cs="Times New Roman"/>
                              <w:sz w:val="24"/>
                              <w:szCs w:val="24"/>
                            </w:rPr>
                            <m:t>x</m:t>
                          </m:r>
                        </m:e>
                      </m:bar>
                      <m:sSup>
                        <m:sSupPr>
                          <m:ctrlPr>
                            <w:rPr>
                              <w:rFonts w:ascii="Cambria Math" w:hAnsi="Cambria Math" w:cs="Times New Roman"/>
                              <w:b/>
                              <w:i/>
                              <w:sz w:val="24"/>
                              <w:szCs w:val="24"/>
                            </w:rPr>
                          </m:ctrlPr>
                        </m:sSupPr>
                        <m:e>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xx</m:t>
                          </m:r>
                        </m:sub>
                      </m:sSub>
                    </m:den>
                  </m:f>
                </m:e>
              </m:rad>
            </m:oMath>
          </w:p>
          <w:p w:rsidR="008D7B1E" w:rsidRPr="001D4791" w:rsidRDefault="008D7B1E" w:rsidP="006534C2">
            <w:pPr>
              <w:jc w:val="both"/>
              <w:rPr>
                <w:rFonts w:ascii="Times New Roman" w:hAnsi="Times New Roman" w:cs="Times New Roman"/>
                <w:sz w:val="24"/>
                <w:szCs w:val="24"/>
              </w:rPr>
            </w:pPr>
          </w:p>
          <w:p w:rsidR="00E72464" w:rsidRPr="001D4791" w:rsidRDefault="00E72464" w:rsidP="006534C2">
            <w:pPr>
              <w:jc w:val="both"/>
              <w:rPr>
                <w:rFonts w:ascii="Times New Roman" w:hAnsi="Times New Roman" w:cs="Times New Roman"/>
                <w:sz w:val="24"/>
                <w:szCs w:val="24"/>
              </w:rPr>
            </w:pPr>
            <w:r w:rsidRPr="001D4791">
              <w:rPr>
                <w:rFonts w:ascii="Times New Roman" w:hAnsi="Times New Roman" w:cs="Times New Roman"/>
                <w:sz w:val="24"/>
                <w:szCs w:val="24"/>
              </w:rPr>
              <w:t>Unde: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72"/>
              <w:gridCol w:w="3223"/>
            </w:tblGrid>
            <w:tr w:rsidR="00E72464" w:rsidRPr="001D4791" w:rsidTr="005F06DB">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BEQ</w:t>
                  </w:r>
                  <w:r w:rsidRPr="001D4791">
                    <w:rPr>
                      <w:rFonts w:ascii="Times New Roman" w:hAnsi="Times New Roman" w:cs="Times New Roman"/>
                      <w:sz w:val="24"/>
                      <w:szCs w:val="24"/>
                      <w:vertAlign w:val="subscript"/>
                      <w:lang w:val="ru-RU"/>
                    </w:rPr>
                    <w:t>DL</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BEQ care corespunde limitei de decizie aferente metodei de confirmare, fiind nivelul maxim care ține seama de incertitudinea de măsurare extinsă</w:t>
                  </w:r>
                </w:p>
              </w:tc>
            </w:tr>
            <w:tr w:rsidR="00E72464" w:rsidRPr="001D4791" w:rsidTr="005F06DB">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s</w:t>
                  </w:r>
                  <w:r w:rsidRPr="001D4791">
                    <w:rPr>
                      <w:rFonts w:ascii="Times New Roman" w:hAnsi="Times New Roman" w:cs="Times New Roman"/>
                      <w:sz w:val="24"/>
                      <w:szCs w:val="24"/>
                      <w:vertAlign w:val="subscript"/>
                      <w:lang w:val="ru-RU"/>
                    </w:rPr>
                    <w:t>y,x</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deviația standard reziduală</w:t>
                  </w:r>
                </w:p>
              </w:tc>
            </w:tr>
            <w:tr w:rsidR="00E72464" w:rsidRPr="001D4791" w:rsidTr="005F06DB">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t </w:t>
                  </w:r>
                  <w:r w:rsidRPr="001D4791">
                    <w:rPr>
                      <w:rFonts w:ascii="Times New Roman" w:hAnsi="Times New Roman" w:cs="Times New Roman"/>
                      <w:sz w:val="24"/>
                      <w:szCs w:val="24"/>
                      <w:vertAlign w:val="subscript"/>
                      <w:lang w:val="ru-RU"/>
                    </w:rPr>
                    <w:t>α,f = m-2</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factor student (α = 5 %, f = grade de libertate, o singură parte)</w:t>
                  </w:r>
                </w:p>
              </w:tc>
            </w:tr>
            <w:tr w:rsidR="00E72464" w:rsidRPr="001D4791" w:rsidTr="005F06DB">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m</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numărul total de puncte de calibrare (indice j)</w:t>
                  </w:r>
                </w:p>
              </w:tc>
            </w:tr>
            <w:tr w:rsidR="00E72464" w:rsidRPr="001D4791" w:rsidTr="005F06DB">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n</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es-AR"/>
                    </w:rPr>
                  </w:pPr>
                  <w:r w:rsidRPr="001D4791">
                    <w:rPr>
                      <w:rFonts w:ascii="Times New Roman" w:hAnsi="Times New Roman" w:cs="Times New Roman"/>
                      <w:sz w:val="24"/>
                      <w:szCs w:val="24"/>
                      <w:lang w:val="es-AR"/>
                    </w:rPr>
                    <w:t>numărul de repetări la fiecare nivel</w:t>
                  </w:r>
                </w:p>
              </w:tc>
            </w:tr>
            <w:tr w:rsidR="00E72464" w:rsidRPr="001D4791" w:rsidTr="005F06DB">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x</w:t>
                  </w:r>
                  <w:r w:rsidRPr="001D4791">
                    <w:rPr>
                      <w:rFonts w:ascii="Times New Roman" w:hAnsi="Times New Roman" w:cs="Times New Roman"/>
                      <w:sz w:val="24"/>
                      <w:szCs w:val="24"/>
                      <w:vertAlign w:val="subscript"/>
                      <w:lang w:val="ru-RU"/>
                    </w:rPr>
                    <w:t>i</w:t>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it-IT"/>
                    </w:rPr>
                  </w:pPr>
                  <w:r w:rsidRPr="001D4791">
                    <w:rPr>
                      <w:rFonts w:ascii="Times New Roman" w:hAnsi="Times New Roman" w:cs="Times New Roman"/>
                      <w:sz w:val="24"/>
                      <w:szCs w:val="24"/>
                      <w:lang w:val="it-IT"/>
                    </w:rPr>
                    <w:t>concentrația probei (în TEQ) în punctul de calibrare I determinată printr-o metodă de confirmare</w:t>
                  </w:r>
                </w:p>
              </w:tc>
            </w:tr>
            <w:tr w:rsidR="00E72464" w:rsidRPr="001D4791" w:rsidTr="005F06DB">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noProof/>
                      <w:sz w:val="24"/>
                      <w:szCs w:val="24"/>
                      <w:lang w:val="ru-RU" w:eastAsia="ru-RU"/>
                    </w:rPr>
                    <w:drawing>
                      <wp:inline distT="0" distB="0" distL="0" distR="0" wp14:anchorId="58053ED0" wp14:editId="5C47997D">
                        <wp:extent cx="207010" cy="207010"/>
                        <wp:effectExtent l="0" t="0" r="2540" b="2540"/>
                        <wp:docPr id="8" name="Рисунок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c>
              <w:tc>
                <w:tcPr>
                  <w:tcW w:w="86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72464" w:rsidRPr="001D4791" w:rsidRDefault="00E72464" w:rsidP="001D4791">
                  <w:pPr>
                    <w:framePr w:hSpace="180" w:wrap="around" w:vAnchor="text" w:hAnchor="text" w:y="1"/>
                    <w:spacing w:after="0" w:line="240" w:lineRule="auto"/>
                    <w:suppressOverlap/>
                    <w:jc w:val="both"/>
                    <w:rPr>
                      <w:rFonts w:ascii="Times New Roman" w:hAnsi="Times New Roman" w:cs="Times New Roman"/>
                      <w:sz w:val="24"/>
                      <w:szCs w:val="24"/>
                      <w:lang w:val="ru-RU"/>
                    </w:rPr>
                  </w:pPr>
                  <w:r w:rsidRPr="001D4791">
                    <w:rPr>
                      <w:rFonts w:ascii="Times New Roman" w:hAnsi="Times New Roman" w:cs="Times New Roman"/>
                      <w:sz w:val="24"/>
                      <w:szCs w:val="24"/>
                      <w:lang w:val="ru-RU"/>
                    </w:rPr>
                    <w:t>media concentrațiilor (în TEQ) a tuturor probelor de calibrare</w:t>
                  </w:r>
                </w:p>
              </w:tc>
            </w:tr>
          </w:tbl>
          <w:p w:rsidR="00E72464" w:rsidRPr="001D4791" w:rsidRDefault="00E72464" w:rsidP="006534C2">
            <w:pPr>
              <w:jc w:val="both"/>
              <w:rPr>
                <w:rFonts w:ascii="Times New Roman" w:hAnsi="Times New Roman" w:cs="Times New Roman"/>
                <w:sz w:val="24"/>
                <w:szCs w:val="24"/>
              </w:rPr>
            </w:pPr>
          </w:p>
          <w:p w:rsidR="00573B0E" w:rsidRPr="001D4791" w:rsidRDefault="00573B0E" w:rsidP="006534C2">
            <w:pPr>
              <w:ind w:firstLine="34"/>
              <w:jc w:val="both"/>
              <w:rPr>
                <w:rFonts w:ascii="Times New Roman" w:hAnsi="Times New Roman" w:cs="Times New Roman"/>
                <w:sz w:val="24"/>
                <w:szCs w:val="24"/>
              </w:rPr>
            </w:pPr>
          </w:p>
          <w:p w:rsidR="00E72464" w:rsidRPr="001D4791" w:rsidRDefault="00E72464" w:rsidP="006534C2">
            <w:pPr>
              <w:ind w:firstLine="34"/>
              <w:jc w:val="both"/>
              <w:rPr>
                <w:rFonts w:ascii="Times New Roman" w:hAnsi="Times New Roman" w:cs="Times New Roman"/>
                <w:sz w:val="24"/>
                <w:szCs w:val="24"/>
              </w:rPr>
            </w:pPr>
            <w:r w:rsidRPr="001D4791">
              <w:rPr>
                <w:rFonts w:ascii="Times New Roman" w:hAnsi="Times New Roman" w:cs="Times New Roman"/>
                <w:noProof/>
                <w:sz w:val="24"/>
                <w:szCs w:val="24"/>
                <w:lang w:val="ru-RU" w:eastAsia="ru-RU"/>
              </w:rPr>
              <w:drawing>
                <wp:inline distT="0" distB="0" distL="0" distR="0" wp14:anchorId="06E9B75A" wp14:editId="4F2B9A3D">
                  <wp:extent cx="1939925" cy="763270"/>
                  <wp:effectExtent l="0" t="0" r="3175" b="0"/>
                  <wp:docPr id="10" name="Рисунок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9925" cy="763270"/>
                          </a:xfrm>
                          <a:prstGeom prst="rect">
                            <a:avLst/>
                          </a:prstGeom>
                          <a:noFill/>
                          <a:ln>
                            <a:noFill/>
                          </a:ln>
                        </pic:spPr>
                      </pic:pic>
                    </a:graphicData>
                  </a:graphic>
                </wp:inline>
              </w:drawing>
            </w:r>
          </w:p>
          <w:p w:rsidR="00573B0E" w:rsidRPr="001D4791" w:rsidRDefault="00573B0E" w:rsidP="006534C2">
            <w:pPr>
              <w:ind w:firstLine="34"/>
              <w:jc w:val="both"/>
              <w:rPr>
                <w:rFonts w:ascii="Times New Roman" w:hAnsi="Times New Roman" w:cs="Times New Roman"/>
                <w:sz w:val="24"/>
                <w:szCs w:val="24"/>
              </w:rPr>
            </w:pPr>
          </w:p>
          <w:p w:rsidR="00573B0E" w:rsidRPr="001D4791" w:rsidRDefault="00573B0E" w:rsidP="006534C2">
            <w:pPr>
              <w:ind w:firstLine="34"/>
              <w:jc w:val="both"/>
              <w:rPr>
                <w:rFonts w:ascii="Times New Roman" w:hAnsi="Times New Roman" w:cs="Times New Roman"/>
                <w:b/>
                <w:sz w:val="24"/>
                <w:szCs w:val="24"/>
              </w:rPr>
            </w:pPr>
            <w:r w:rsidRPr="001D4791">
              <w:rPr>
                <w:rFonts w:ascii="Times New Roman" w:hAnsi="Times New Roman" w:cs="Times New Roman"/>
                <w:b/>
                <w:sz w:val="24"/>
                <w:szCs w:val="24"/>
              </w:rPr>
              <w:t xml:space="preserve">- </w:t>
            </w:r>
            <w:r w:rsidRPr="001D4791">
              <w:rPr>
                <w:rFonts w:ascii="Times New Roman" w:hAnsi="Times New Roman" w:cs="Times New Roman"/>
                <w:sz w:val="24"/>
                <w:szCs w:val="24"/>
              </w:rPr>
              <w:t>parametrul sumei pătratelor,</w:t>
            </w: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 xml:space="preserve">i - </w:t>
            </w:r>
            <w:r w:rsidRPr="001D4791">
              <w:rPr>
                <w:rFonts w:ascii="Times New Roman" w:hAnsi="Times New Roman" w:cs="Times New Roman"/>
                <w:sz w:val="24"/>
                <w:szCs w:val="24"/>
              </w:rPr>
              <w:tab/>
            </w:r>
            <w:r w:rsidRPr="001D4791">
              <w:rPr>
                <w:rFonts w:ascii="Times New Roman" w:hAnsi="Times New Roman" w:cs="Times New Roman"/>
                <w:sz w:val="24"/>
                <w:szCs w:val="24"/>
              </w:rPr>
              <w:tab/>
            </w:r>
            <w:r w:rsidRPr="001D4791">
              <w:rPr>
                <w:rFonts w:ascii="Times New Roman" w:hAnsi="Times New Roman" w:cs="Times New Roman"/>
                <w:sz w:val="24"/>
                <w:szCs w:val="24"/>
              </w:rPr>
              <w:tab/>
              <w:t>indice pentru punctul de calibrare i.</w:t>
            </w: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2)</w:t>
            </w:r>
            <w:r w:rsidRPr="001D4791">
              <w:rPr>
                <w:rFonts w:ascii="Times New Roman" w:hAnsi="Times New Roman" w:cs="Times New Roman"/>
                <w:b/>
                <w:sz w:val="24"/>
                <w:szCs w:val="24"/>
              </w:rPr>
              <w:t xml:space="preserve"> </w:t>
            </w:r>
            <w:r w:rsidRPr="001D4791">
              <w:rPr>
                <w:rFonts w:ascii="Times New Roman" w:hAnsi="Times New Roman" w:cs="Times New Roman"/>
                <w:sz w:val="24"/>
                <w:szCs w:val="24"/>
              </w:rPr>
              <w:t xml:space="preserve">Calculul pornind de la rezultatele bioanalitice (corectate pentru martor și recuperare) ale analizelor multiple ale probelor (n ≥ 6) contaminate la limita de decizie aferentă metodei de confirmare, ca extremitate </w:t>
            </w:r>
            <w:r w:rsidRPr="001D4791">
              <w:rPr>
                <w:rFonts w:ascii="Times New Roman" w:hAnsi="Times New Roman" w:cs="Times New Roman"/>
                <w:i/>
                <w:iCs/>
                <w:sz w:val="24"/>
                <w:szCs w:val="24"/>
              </w:rPr>
              <w:t>inferioară</w:t>
            </w:r>
            <w:r w:rsidRPr="001D4791">
              <w:rPr>
                <w:rFonts w:ascii="Times New Roman" w:hAnsi="Times New Roman" w:cs="Times New Roman"/>
                <w:sz w:val="24"/>
                <w:szCs w:val="24"/>
              </w:rPr>
              <w:t xml:space="preserve"> a distribuției datelor la valoarea medie BEQ corespunzătoare:</w:t>
            </w: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Valoarea de prag = BEQ</w:t>
            </w:r>
            <w:r w:rsidRPr="001D4791">
              <w:rPr>
                <w:rFonts w:ascii="Times New Roman" w:hAnsi="Times New Roman" w:cs="Times New Roman"/>
                <w:sz w:val="24"/>
                <w:szCs w:val="24"/>
                <w:vertAlign w:val="subscript"/>
              </w:rPr>
              <w:t>DL</w:t>
            </w:r>
            <w:r w:rsidRPr="001D4791">
              <w:rPr>
                <w:rFonts w:ascii="Times New Roman" w:hAnsi="Times New Roman" w:cs="Times New Roman"/>
                <w:sz w:val="24"/>
                <w:szCs w:val="24"/>
              </w:rPr>
              <w:t xml:space="preserve"> – 1,64 × SD</w:t>
            </w:r>
            <w:r w:rsidRPr="001D4791">
              <w:rPr>
                <w:rFonts w:ascii="Times New Roman" w:hAnsi="Times New Roman" w:cs="Times New Roman"/>
                <w:sz w:val="24"/>
                <w:szCs w:val="24"/>
                <w:vertAlign w:val="subscript"/>
              </w:rPr>
              <w:t>R</w:t>
            </w: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Unde</w:t>
            </w: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SDR - deviația standard a rezultatelor testului biologic la BEQDL, măsurată în condiții de reproductibilitate intralaborator</w:t>
            </w:r>
          </w:p>
          <w:p w:rsidR="00573B0E" w:rsidRPr="001D4791" w:rsidRDefault="00573B0E" w:rsidP="006534C2">
            <w:pPr>
              <w:ind w:firstLine="34"/>
              <w:jc w:val="both"/>
              <w:rPr>
                <w:rFonts w:ascii="Times New Roman" w:hAnsi="Times New Roman" w:cs="Times New Roman"/>
                <w:sz w:val="24"/>
                <w:szCs w:val="24"/>
              </w:rPr>
            </w:pP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3)</w:t>
            </w:r>
            <w:r w:rsidRPr="001D4791">
              <w:rPr>
                <w:rFonts w:ascii="Times New Roman" w:hAnsi="Times New Roman" w:cs="Times New Roman"/>
                <w:b/>
                <w:sz w:val="24"/>
                <w:szCs w:val="24"/>
              </w:rPr>
              <w:t xml:space="preserve"> </w:t>
            </w:r>
            <w:r w:rsidRPr="001D4791">
              <w:rPr>
                <w:rFonts w:ascii="Times New Roman" w:hAnsi="Times New Roman" w:cs="Times New Roman"/>
                <w:sz w:val="24"/>
                <w:szCs w:val="24"/>
              </w:rPr>
              <w:t xml:space="preserve">Calculul ca valoare medie a rezultatelor bioanalitice (în BEQ, corectate pentru martor și recuperare) din mai multe analize ale probelor (n ≥ 6) contaminate la două treimi din nivelul maxim sau din nivelul de acțiune. Acesta se bazează pe observația că acest nivel va fi în </w:t>
            </w:r>
            <w:r w:rsidRPr="001D4791">
              <w:rPr>
                <w:rFonts w:ascii="Times New Roman" w:hAnsi="Times New Roman" w:cs="Times New Roman"/>
                <w:sz w:val="24"/>
                <w:szCs w:val="24"/>
              </w:rPr>
              <w:lastRenderedPageBreak/>
              <w:t>jurul valorii de prag determinate conform punctului 69, subpunctului 1) și 2). Calculul valorilor de prag, bazat pe un nivel de încredere de 95 %, implicând o rată a rezultatelor fals conforme &lt; 5 % și o valoare a RSD</w:t>
            </w:r>
            <w:r w:rsidRPr="001D4791">
              <w:rPr>
                <w:rFonts w:ascii="Times New Roman" w:hAnsi="Times New Roman" w:cs="Times New Roman"/>
                <w:sz w:val="24"/>
                <w:szCs w:val="24"/>
                <w:vertAlign w:val="subscript"/>
              </w:rPr>
              <w:t>R</w:t>
            </w:r>
            <w:r w:rsidRPr="001D4791">
              <w:rPr>
                <w:rFonts w:ascii="Times New Roman" w:hAnsi="Times New Roman" w:cs="Times New Roman"/>
                <w:sz w:val="24"/>
                <w:szCs w:val="24"/>
              </w:rPr>
              <w:t xml:space="preserve"> &lt; 25 %:</w:t>
            </w: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 xml:space="preserve">a) pornind de la sectorul </w:t>
            </w:r>
            <w:r w:rsidRPr="001D4791">
              <w:rPr>
                <w:rFonts w:ascii="Times New Roman" w:hAnsi="Times New Roman" w:cs="Times New Roman"/>
                <w:i/>
                <w:iCs/>
                <w:sz w:val="24"/>
                <w:szCs w:val="24"/>
              </w:rPr>
              <w:t>inferior</w:t>
            </w:r>
            <w:r w:rsidRPr="001D4791">
              <w:rPr>
                <w:rFonts w:ascii="Times New Roman" w:hAnsi="Times New Roman" w:cs="Times New Roman"/>
                <w:sz w:val="24"/>
                <w:szCs w:val="24"/>
              </w:rPr>
              <w:t xml:space="preserve"> al intervalului de predicție de 95 % la limita de decizie aferentă metodei de confirmare;</w:t>
            </w:r>
          </w:p>
          <w:p w:rsidR="00573B0E" w:rsidRPr="001D4791" w:rsidRDefault="00573B0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b) pornind de la analize multiple ale probelor (n ≥ 6) contaminate la limita de decizie aferentă metodei de confirmare, ca limită inferioară a distribuției datelor (reprezentată în figură printr-o curbă sub formă de clopot) la valoarea medie BEQ corespunzătoare.</w:t>
            </w:r>
          </w:p>
          <w:p w:rsidR="00573B0E" w:rsidRPr="001D4791" w:rsidRDefault="00573B0E" w:rsidP="006534C2">
            <w:pPr>
              <w:ind w:firstLine="34"/>
              <w:jc w:val="both"/>
              <w:rPr>
                <w:rFonts w:ascii="Times New Roman" w:hAnsi="Times New Roman" w:cs="Times New Roman"/>
                <w:b/>
                <w:bCs/>
                <w:sz w:val="24"/>
                <w:szCs w:val="24"/>
              </w:rPr>
            </w:pPr>
            <w:r w:rsidRPr="001D4791">
              <w:rPr>
                <w:rFonts w:ascii="Times New Roman" w:hAnsi="Times New Roman" w:cs="Times New Roman"/>
                <w:b/>
                <w:bCs/>
                <w:sz w:val="24"/>
                <w:szCs w:val="24"/>
              </w:rPr>
              <w:t>Figura 1</w:t>
            </w:r>
          </w:p>
          <w:p w:rsidR="0075146E" w:rsidRPr="001D4791" w:rsidRDefault="0075146E" w:rsidP="006534C2">
            <w:pPr>
              <w:ind w:firstLine="34"/>
              <w:jc w:val="both"/>
              <w:rPr>
                <w:rFonts w:ascii="Times New Roman" w:hAnsi="Times New Roman" w:cs="Times New Roman"/>
                <w:sz w:val="24"/>
                <w:szCs w:val="24"/>
              </w:rPr>
            </w:pPr>
          </w:p>
          <w:p w:rsidR="00573B0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noProof/>
                <w:sz w:val="24"/>
                <w:szCs w:val="24"/>
                <w:lang w:val="ru-RU" w:eastAsia="ru-RU"/>
              </w:rPr>
              <w:drawing>
                <wp:inline distT="0" distB="0" distL="0" distR="0" wp14:anchorId="7ADC4438" wp14:editId="6F3221FC">
                  <wp:extent cx="2242268" cy="1594799"/>
                  <wp:effectExtent l="0" t="0" r="5715" b="5715"/>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014" cy="1598885"/>
                          </a:xfrm>
                          <a:prstGeom prst="rect">
                            <a:avLst/>
                          </a:prstGeom>
                          <a:noFill/>
                          <a:ln>
                            <a:noFill/>
                          </a:ln>
                        </pic:spPr>
                      </pic:pic>
                    </a:graphicData>
                  </a:graphic>
                </wp:inline>
              </w:drawing>
            </w:r>
          </w:p>
          <w:p w:rsidR="0075146E" w:rsidRPr="001D4791" w:rsidRDefault="0075146E" w:rsidP="006534C2">
            <w:pPr>
              <w:ind w:firstLine="34"/>
              <w:jc w:val="both"/>
              <w:rPr>
                <w:rFonts w:ascii="Times New Roman" w:hAnsi="Times New Roman" w:cs="Times New Roman"/>
                <w:sz w:val="24"/>
                <w:szCs w:val="24"/>
              </w:rPr>
            </w:pPr>
          </w:p>
          <w:p w:rsidR="0075146E" w:rsidRPr="001D4791" w:rsidRDefault="0075146E" w:rsidP="006534C2">
            <w:pPr>
              <w:ind w:firstLine="34"/>
              <w:jc w:val="both"/>
              <w:rPr>
                <w:rFonts w:ascii="Times New Roman" w:hAnsi="Times New Roman" w:cs="Times New Roman"/>
                <w:bCs/>
                <w:sz w:val="24"/>
                <w:szCs w:val="24"/>
              </w:rPr>
            </w:pPr>
          </w:p>
          <w:p w:rsidR="0075146E" w:rsidRPr="001D4791" w:rsidRDefault="0075146E" w:rsidP="006534C2">
            <w:pPr>
              <w:ind w:firstLine="34"/>
              <w:jc w:val="both"/>
              <w:rPr>
                <w:rFonts w:ascii="Times New Roman" w:hAnsi="Times New Roman" w:cs="Times New Roman"/>
                <w:bCs/>
                <w:sz w:val="24"/>
                <w:szCs w:val="24"/>
              </w:rPr>
            </w:pPr>
          </w:p>
          <w:p w:rsidR="0075146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bCs/>
                <w:sz w:val="24"/>
                <w:szCs w:val="24"/>
              </w:rPr>
              <w:lastRenderedPageBreak/>
              <w:t>4)</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Valorile de prag bazate pe BEQ, calculate pornind de la RSD</w:t>
            </w:r>
            <w:r w:rsidRPr="001D4791">
              <w:rPr>
                <w:rFonts w:ascii="Times New Roman" w:hAnsi="Times New Roman" w:cs="Times New Roman"/>
                <w:sz w:val="24"/>
                <w:szCs w:val="24"/>
                <w:vertAlign w:val="subscript"/>
              </w:rPr>
              <w:t>R</w:t>
            </w:r>
            <w:r w:rsidRPr="001D4791">
              <w:rPr>
                <w:rFonts w:ascii="Times New Roman" w:hAnsi="Times New Roman" w:cs="Times New Roman"/>
                <w:sz w:val="24"/>
                <w:szCs w:val="24"/>
              </w:rPr>
              <w:t xml:space="preserve"> obținut în cursul validării, utilizând un număr limitat de probe cu modele de matrice/congeneri diferite, pot fi mai mari decât nivelurile maxime sau de acțiune bazate pe TEQ datorită unei precizii mai mari decât cea realizabilă în analizele de rutină atunci când trebuie controlat un spectru necunoscut de posibile modele de congeneri. În astfel de cazuri, valorile de prag se calculează pornind de la RSD</w:t>
            </w:r>
            <w:r w:rsidRPr="001D4791">
              <w:rPr>
                <w:rFonts w:ascii="Times New Roman" w:hAnsi="Times New Roman" w:cs="Times New Roman"/>
                <w:sz w:val="24"/>
                <w:szCs w:val="24"/>
                <w:vertAlign w:val="subscript"/>
              </w:rPr>
              <w:t>R</w:t>
            </w:r>
            <w:r w:rsidRPr="001D4791">
              <w:rPr>
                <w:rFonts w:ascii="Times New Roman" w:hAnsi="Times New Roman" w:cs="Times New Roman"/>
                <w:sz w:val="24"/>
                <w:szCs w:val="24"/>
              </w:rPr>
              <w:t xml:space="preserve"> = 25 % sau se preferă două treimi din nivelul maxim sau din nivelul de acțiune.</w:t>
            </w:r>
          </w:p>
          <w:p w:rsidR="0075146E" w:rsidRPr="001D4791" w:rsidRDefault="0075146E" w:rsidP="006534C2">
            <w:pPr>
              <w:ind w:firstLine="34"/>
              <w:jc w:val="both"/>
              <w:rPr>
                <w:rFonts w:ascii="Times New Roman" w:hAnsi="Times New Roman" w:cs="Times New Roman"/>
                <w:b/>
                <w:bCs/>
                <w:sz w:val="24"/>
                <w:szCs w:val="24"/>
              </w:rPr>
            </w:pPr>
            <w:r w:rsidRPr="001D4791">
              <w:rPr>
                <w:rFonts w:ascii="Times New Roman" w:hAnsi="Times New Roman" w:cs="Times New Roman"/>
                <w:b/>
                <w:bCs/>
                <w:sz w:val="24"/>
                <w:szCs w:val="24"/>
              </w:rPr>
              <w:t xml:space="preserve">70. </w:t>
            </w:r>
            <w:r w:rsidRPr="001D4791">
              <w:rPr>
                <w:rFonts w:ascii="Times New Roman" w:hAnsi="Times New Roman" w:cs="Times New Roman"/>
                <w:bCs/>
                <w:sz w:val="24"/>
                <w:szCs w:val="24"/>
              </w:rPr>
              <w:t>Caracteristici de performanță sunt:</w:t>
            </w:r>
          </w:p>
          <w:p w:rsidR="0075146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bCs/>
                <w:sz w:val="24"/>
                <w:szCs w:val="24"/>
              </w:rPr>
              <w:t xml:space="preserve">1) </w:t>
            </w:r>
            <w:r w:rsidRPr="001D4791">
              <w:rPr>
                <w:rFonts w:ascii="Times New Roman" w:hAnsi="Times New Roman" w:cs="Times New Roman"/>
                <w:sz w:val="24"/>
                <w:szCs w:val="24"/>
              </w:rPr>
              <w:t>Având în vedere faptul că nu se pot utiliza etaloane interne în metodele bioanalitice, se efectuează teste cu privire la repetabilitate pentru obținerea de informații privind deviația standard în cadrul unei serii de teste și între serii de teste. Repetabilitatea trebuie să fie sub 20 %, iar reproductibilitatea intralaborator sub 25 %. Aceasta se bazează pe nivelurile calculate în BEQ după corecția cu proba-martor și cu recuperarea.</w:t>
            </w:r>
          </w:p>
          <w:p w:rsidR="0075146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 xml:space="preserve">2) Ca parte din procesul de validare, testul trebuie să permită diferențierea </w:t>
            </w:r>
            <w:r w:rsidRPr="001D4791">
              <w:rPr>
                <w:rFonts w:ascii="Times New Roman" w:hAnsi="Times New Roman" w:cs="Times New Roman"/>
                <w:sz w:val="24"/>
                <w:szCs w:val="24"/>
              </w:rPr>
              <w:lastRenderedPageBreak/>
              <w:t>între o probă-martor și un nivel la valoarea de prag, permițând identificarea probelor peste valoarea de prag corespunzătoare (a se vedea punctul 63).</w:t>
            </w:r>
          </w:p>
          <w:p w:rsidR="0075146E" w:rsidRPr="001D4791" w:rsidRDefault="0075146E" w:rsidP="006534C2">
            <w:pPr>
              <w:ind w:firstLine="34"/>
              <w:jc w:val="both"/>
              <w:rPr>
                <w:rFonts w:ascii="Times New Roman" w:hAnsi="Times New Roman" w:cs="Times New Roman"/>
                <w:bCs/>
                <w:sz w:val="24"/>
                <w:szCs w:val="24"/>
              </w:rPr>
            </w:pPr>
            <w:r w:rsidRPr="001D4791">
              <w:rPr>
                <w:rFonts w:ascii="Times New Roman" w:hAnsi="Times New Roman" w:cs="Times New Roman"/>
                <w:sz w:val="24"/>
                <w:szCs w:val="24"/>
              </w:rPr>
              <w:t>3) Se definesc compușii-țintă, interferențele potențiale și nivelurile maxime tolerabile ale probei-martor.</w:t>
            </w:r>
          </w:p>
          <w:p w:rsidR="0075146E" w:rsidRPr="001D4791" w:rsidRDefault="0075146E" w:rsidP="006534C2">
            <w:pPr>
              <w:ind w:firstLine="34"/>
              <w:jc w:val="both"/>
              <w:rPr>
                <w:rFonts w:ascii="Times New Roman" w:hAnsi="Times New Roman" w:cs="Times New Roman"/>
                <w:bCs/>
                <w:sz w:val="24"/>
                <w:szCs w:val="24"/>
              </w:rPr>
            </w:pPr>
            <w:r w:rsidRPr="001D4791">
              <w:rPr>
                <w:rFonts w:ascii="Times New Roman" w:hAnsi="Times New Roman" w:cs="Times New Roman"/>
                <w:bCs/>
                <w:sz w:val="24"/>
                <w:szCs w:val="24"/>
              </w:rPr>
              <w:t>4) Deviația standard în procente a răspunsului sau a concentrației calculate pornind de la răspuns (posibilă numai în intervalul de lucru) a unei determinări triple a unui extract de probă nu trebuie să fie mai mare de 15 %.</w:t>
            </w:r>
          </w:p>
          <w:p w:rsidR="0075146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bCs/>
                <w:sz w:val="24"/>
                <w:szCs w:val="24"/>
              </w:rPr>
              <w:t xml:space="preserve">5) </w:t>
            </w:r>
            <w:r w:rsidRPr="001D4791">
              <w:rPr>
                <w:rFonts w:ascii="Times New Roman" w:hAnsi="Times New Roman" w:cs="Times New Roman"/>
                <w:sz w:val="24"/>
                <w:szCs w:val="24"/>
              </w:rPr>
              <w:t>Rezultatele necorectate ale probei (probelor) de referință exprimată (exprimate) în BEQ-uri (martor și la nivelul maxim sau la nivelul de acțiune) sunt utilizate pentru evaluarea performanței metodei bioanalitice pe o perioadă de timp constantă.</w:t>
            </w:r>
          </w:p>
          <w:p w:rsidR="0075146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 xml:space="preserve">6) Graficele de control al calității (QC) pentru probele-martor ale procedurii și fiecare tip de probă de referință se înregistrează și se verifică pentru a se garanta că performanța analitică este în conformitate cu cerințele, în special pentru probele-mator ale procedurii cu privire la diferența minimă impusă la limita inferioară a </w:t>
            </w:r>
            <w:r w:rsidRPr="001D4791">
              <w:rPr>
                <w:rFonts w:ascii="Times New Roman" w:hAnsi="Times New Roman" w:cs="Times New Roman"/>
                <w:sz w:val="24"/>
                <w:szCs w:val="24"/>
              </w:rPr>
              <w:lastRenderedPageBreak/>
              <w:t>intervalului de lucru și pentru probele de referință cu privire la reproductibilitatea intralaborator. Probele-martor din cadrul procedurii trebuie să fie atent controlate pentru a evita rezultatele fals conforme atunci când se efectuează operațiunea de scădere.</w:t>
            </w:r>
          </w:p>
          <w:p w:rsidR="0075146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7) Rezultatele analizelor realizate prin metodele de confirmare pentru probele suspectate și pentru 2-10 % din probele conforme (minimum 20 de probe pentru fiecare matrice) sunt colectate și folosite pentru a evalua performanța metodei de screening și relația dintre BEQ-uri și TEQ-uri. Această bază de date ar putea fi utilizată pentru reevaluarea valorilor de prag aplicabile probelor de rutină pentru matricele validate.</w:t>
            </w:r>
          </w:p>
          <w:p w:rsidR="0075146E" w:rsidRPr="001D4791" w:rsidRDefault="0075146E" w:rsidP="006534C2">
            <w:pPr>
              <w:ind w:firstLine="34"/>
              <w:jc w:val="both"/>
              <w:rPr>
                <w:rFonts w:ascii="Times New Roman" w:hAnsi="Times New Roman" w:cs="Times New Roman"/>
                <w:sz w:val="24"/>
                <w:szCs w:val="24"/>
              </w:rPr>
            </w:pPr>
            <w:r w:rsidRPr="001D4791">
              <w:rPr>
                <w:rFonts w:ascii="Times New Roman" w:hAnsi="Times New Roman" w:cs="Times New Roman"/>
                <w:sz w:val="24"/>
                <w:szCs w:val="24"/>
              </w:rPr>
              <w:t xml:space="preserve">8) Buna performanță a metodelor poate fi, de asemenea, demonstrată prin participarea la testările interlaboratoare. Rezultatele probelor analizate în testările interlaboratoare, care acoperă un interval de concentrații care ajunge până la, de exemplu, 2x nivelul maxim, pot fi, de asemenea, incluse în evaluarea ratei de rezultate fals conforme, în cazul în care un laborator este în măsură să demonstreze buna sa performanță. Probele acoperă cele </w:t>
            </w:r>
            <w:r w:rsidRPr="001D4791">
              <w:rPr>
                <w:rFonts w:ascii="Times New Roman" w:hAnsi="Times New Roman" w:cs="Times New Roman"/>
                <w:sz w:val="24"/>
                <w:szCs w:val="24"/>
              </w:rPr>
              <w:lastRenderedPageBreak/>
              <w:t>mai frecvente modele de congeneri, reprezentând diverse surse.</w:t>
            </w:r>
          </w:p>
          <w:p w:rsidR="0075146E" w:rsidRPr="001D4791" w:rsidRDefault="0075146E" w:rsidP="006534C2">
            <w:pPr>
              <w:ind w:firstLine="34"/>
              <w:jc w:val="both"/>
              <w:rPr>
                <w:rFonts w:ascii="Times New Roman" w:hAnsi="Times New Roman" w:cs="Times New Roman"/>
                <w:bCs/>
                <w:sz w:val="24"/>
                <w:szCs w:val="24"/>
              </w:rPr>
            </w:pPr>
            <w:r w:rsidRPr="001D4791">
              <w:rPr>
                <w:rFonts w:ascii="Times New Roman" w:hAnsi="Times New Roman" w:cs="Times New Roman"/>
                <w:sz w:val="24"/>
                <w:szCs w:val="24"/>
              </w:rPr>
              <w:t>9) În timpul incidentelor, valorile de prag pot fi reevaluate, reflectând matricea specifică și modelele de congeneri doar ale acelui incident individual.</w:t>
            </w:r>
          </w:p>
          <w:p w:rsidR="0075146E" w:rsidRPr="001D4791" w:rsidRDefault="0075146E" w:rsidP="006534C2">
            <w:pPr>
              <w:ind w:firstLine="34"/>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b/>
                <w:sz w:val="24"/>
                <w:szCs w:val="24"/>
              </w:rPr>
              <w:lastRenderedPageBreak/>
              <w:t>8.   RAPORTAREA</w:t>
            </w:r>
            <w:r w:rsidRPr="001D4791">
              <w:rPr>
                <w:rFonts w:ascii="Times New Roman" w:hAnsi="Times New Roman" w:cs="Times New Roman"/>
                <w:sz w:val="24"/>
                <w:szCs w:val="24"/>
              </w:rPr>
              <w:t xml:space="preserve"> </w:t>
            </w:r>
            <w:r w:rsidRPr="001D4791">
              <w:rPr>
                <w:rFonts w:ascii="Times New Roman" w:hAnsi="Times New Roman" w:cs="Times New Roman"/>
                <w:b/>
                <w:sz w:val="24"/>
                <w:szCs w:val="24"/>
              </w:rPr>
              <w:t>REZULTATULUI</w:t>
            </w:r>
          </w:p>
          <w:p w:rsidR="00F073D1" w:rsidRPr="001D4791" w:rsidRDefault="00F073D1" w:rsidP="006534C2">
            <w:pPr>
              <w:jc w:val="both"/>
              <w:rPr>
                <w:rFonts w:ascii="Times New Roman" w:hAnsi="Times New Roman" w:cs="Times New Roman"/>
                <w:sz w:val="24"/>
                <w:szCs w:val="24"/>
              </w:rPr>
            </w:pPr>
          </w:p>
          <w:p w:rsidR="00F073D1" w:rsidRPr="001D4791" w:rsidRDefault="00F073D1"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Metode de confirmare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—Rezultatele analitice includ nivelurile de congeneri individuali ai PCDD/F-urilor și ai PCB-urilor de tipul dioxinelor și valorile TEQ și se raportează ca estimare inferioară, estimare superioară și estimare mediană, pentru a include o cantitate maximă de informații în raportarea rezultatelor, ceea ce permite o interpretare a rezultatelor în conformitate cu cerințele specifice.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—Raportul include și metoda utilizată pentru extracția PCDD/F-urilor, a PCB-urilor de tipul dioxinelor și a lipidelor. Conținutul de lipide al probei se determină și se raportează pentru probe din produse alimentare cu niveluri maxime exprimate prin raportare la conținutul de grăsimi și cu o concentrație de grăsimi estimată în </w:t>
            </w:r>
            <w:r w:rsidRPr="001D4791">
              <w:rPr>
                <w:rFonts w:ascii="Times New Roman" w:hAnsi="Times New Roman" w:cs="Times New Roman"/>
                <w:sz w:val="24"/>
                <w:szCs w:val="24"/>
              </w:rPr>
              <w:lastRenderedPageBreak/>
              <w:t>intervalul 0-2 % (în concordanță cu legislația existentă). Pentru alte probe, determinarea conținutului de lipide este opțională.</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—Recuperările etaloanelor interne individuale trebuie să fie disponibile în cazul în care recuperările se situează în afara intervalului menționat la punctul 6.2, atunci când nivelul maxim este depășit (în acest caz, recuperările pentru una dintre cele două analize duplicat), iar în celelalte cazuri, la cerere.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—Întrucât, atunci când se decide conformitatea unei probe, se ține seama de incertitudinea de măsurare extinsă, și acest parametru trebuie să fie pus la dispoziție. De aceea, rezultatele analitice se raportează ca x ± U, unde x este rezultatul analitic și U este incertitudinea de măsurare extinsă, folosind un factor de acoperire 2, care conferă un nivel de încredere de aproximativ 95 %. În cazul unei determinări separate a PCDD/F-urilor și a PCB-urilor de tipul dioxinelor, suma incertitudinii extinse estimate a rezultatelor analitice separate ale PCDD/F-urilor și ale PCB-urilor de tipul dioxinelor se utilizează pentru suma PCDD/F-urilor și a PCB-urilor de tipul dioxinelor.</w:t>
            </w:r>
          </w:p>
          <w:p w:rsidR="008D7B1E"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—Rezultatele se exprimă în aceleași unități și prin același număr de cifre semnificative ca și nivelurile maxime prevăzute în Regulamentul (CE) nr. 1881/2006.</w:t>
            </w:r>
          </w:p>
          <w:p w:rsidR="00F073D1" w:rsidRPr="001D4791" w:rsidRDefault="00F073D1"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Metode bioanalitice de screening</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—Rezultatul screeningului se exprimă cu termenii „conform” sau „suspectat a fi neconform” („suspectat”).</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—În plus, se poate da un rezultat indicativ pentru PCDD/F-uri și/sau PCB-uri de tipul dioxinelor exprimat în BEQ, nu în TEQ (a se vedea punctul 1). Rezultatul probelor cu un răspuns sub limita de raportare se exprimă ca fiind „sub limita de raportare”. Rezultatul probelor cu un răspuns peste intervalul de lucru se raportează ca „depășind intervalul de lucru”, iar nivelul corespunzător extremității superioare a intervalului de lucru se furnizează în BEQ.</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—Pentru fiecare tip de matrice a probei, raportul menționează nivelul maxim sau nivelul de acțiune pe care se bazează evaluarea.</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—Raportul menționează tipul de test aplicat, principiul de bază al testului și tipul de calibrare.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—Raportul include și metoda utilizată pentru extracția PCDD/F-urilor, a PCB-urilor de tipul </w:t>
            </w:r>
            <w:r w:rsidRPr="001D4791">
              <w:rPr>
                <w:rFonts w:ascii="Times New Roman" w:hAnsi="Times New Roman" w:cs="Times New Roman"/>
                <w:sz w:val="24"/>
                <w:szCs w:val="24"/>
              </w:rPr>
              <w:lastRenderedPageBreak/>
              <w:t>dioxinelor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probe, determinarea conținutului de lipide este opțională.</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—În cazul probelor suspectate a fi neconforme, raportul trebuie să includă o notă privind măsurile care urmează a fi adoptate. Concentrația de PCDD/F-uri și suma dintre PCDD/F-uri și PCB-uri de tipul dioxinelor din probele cu niveluri ridicate trebuie determinată/confirmată printr-o metodă de confirmare.</w:t>
            </w:r>
          </w:p>
          <w:p w:rsidR="00F073D1" w:rsidRPr="001D4791" w:rsidRDefault="00F073D1" w:rsidP="006534C2">
            <w:pPr>
              <w:jc w:val="both"/>
              <w:rPr>
                <w:rFonts w:ascii="Times New Roman" w:hAnsi="Times New Roman" w:cs="Times New Roman"/>
                <w:sz w:val="24"/>
                <w:szCs w:val="24"/>
              </w:rPr>
            </w:pPr>
            <w:r w:rsidRPr="001D4791">
              <w:rPr>
                <w:rFonts w:ascii="Times New Roman" w:hAnsi="Times New Roman" w:cs="Times New Roman"/>
                <w:sz w:val="24"/>
                <w:szCs w:val="24"/>
              </w:rPr>
              <w:t>—Rezultatele neconforme se raportează numai în urma analizei de confirmare.</w:t>
            </w:r>
          </w:p>
          <w:p w:rsidR="003F7A2C" w:rsidRPr="001D4791" w:rsidRDefault="003F7A2C" w:rsidP="006534C2">
            <w:pPr>
              <w:jc w:val="both"/>
              <w:rPr>
                <w:rFonts w:ascii="Times New Roman" w:hAnsi="Times New Roman" w:cs="Times New Roman"/>
                <w:b/>
                <w:i/>
                <w:sz w:val="24"/>
                <w:szCs w:val="24"/>
              </w:rPr>
            </w:pPr>
            <w:r w:rsidRPr="001D4791">
              <w:rPr>
                <w:rFonts w:ascii="Times New Roman" w:hAnsi="Times New Roman" w:cs="Times New Roman"/>
                <w:b/>
                <w:i/>
                <w:sz w:val="24"/>
                <w:szCs w:val="24"/>
              </w:rPr>
              <w:t>Metode fizico-chimice de screening</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—Rezultatul screeningului se exprimă cu termenii „conform” sau „suspectat a fi neconform” („suspectat”).</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—Pentru fiecare tip de matrice a probei, raportul menționează nivelul maxim sau nivelul de acțiune pe care se bazează evaluarea.</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—În plus, nivelurile de congeneri individuali ai PCDD/F-urilor și/sau ai PCB-urilor de tipul dioxinelor și valorile TEQ se pot furniza ca estimare inferioară, estimare superioară și estimare mediană. Rezultatele se exprimă în aceleași unități și prin (cel puțin) același număr de cifre semnificative ca și nivelurile maxime menționate în Regulamentul (CE) nr. 1881/2006.</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—Recuperările etaloanelor interne individuale trebuie să fie puse la dispoziție în cazul în care recuperările se situează în afara intervalului menționat la punctul 6.2, iar în celelalte cazuri, la cerere.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—Raportul menționează și metoda GC-MS aplicată.</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—Raportul include și metoda utilizată pentru extracția PCDD/F-urilor, a PCB-urilor de tipul dioxinelor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probe, determinarea conținutului de lipide este opțională.</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—În cazul probelor suspectate a fi neconforme, raportul trebuie să includă o notă privind măsurile care urmează a fi adoptate. Concentrația de PCDD/F-uri și suma dintre PCDD/F-uri și PCB-uri de tipul dioxinelor din probele cu niveluri ridicate trebuie determinată/confirmată printr-o metodă de confirmare.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—Neconformitatea poate fi decisă numai în urma analizei de confirmare.</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Apendice</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Factorii de echivalență toxică ai OMS (OMS-TEF) pentru evaluarea riscurilor pentru sănătatea umană, bazați pe concluziile reuniunii de experți din cadrul Programului internațional pentru securitate chimică (IPCS) al Organizației Mondiale a Sănătății (OMS), care a avut loc la Geneva, în iunie 2005 (1)</w:t>
            </w:r>
          </w:p>
          <w:p w:rsidR="003F7A2C" w:rsidRPr="001D4791" w:rsidRDefault="003F7A2C" w:rsidP="006534C2">
            <w:pPr>
              <w:jc w:val="both"/>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77"/>
              <w:gridCol w:w="754"/>
              <w:gridCol w:w="971"/>
              <w:gridCol w:w="860"/>
            </w:tblGrid>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ind w:right="195"/>
                    <w:suppressOverlap/>
                    <w:jc w:val="center"/>
                    <w:textAlignment w:val="baseline"/>
                    <w:rPr>
                      <w:rFonts w:ascii="inherit" w:eastAsia="Times New Roman" w:hAnsi="inherit" w:cs="Times New Roman"/>
                      <w:b/>
                      <w:bCs/>
                      <w:sz w:val="24"/>
                      <w:szCs w:val="24"/>
                      <w:lang w:val="ru-RU" w:eastAsia="ru-RU"/>
                    </w:rPr>
                  </w:pPr>
                  <w:r w:rsidRPr="001D4791">
                    <w:rPr>
                      <w:rFonts w:ascii="inherit" w:eastAsia="Times New Roman" w:hAnsi="inherit" w:cs="Times New Roman"/>
                      <w:b/>
                      <w:bCs/>
                      <w:sz w:val="24"/>
                      <w:szCs w:val="24"/>
                      <w:lang w:val="ru-RU" w:eastAsia="ru-RU"/>
                    </w:rPr>
                    <w:t>Congener</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ind w:right="195"/>
                    <w:suppressOverlap/>
                    <w:jc w:val="center"/>
                    <w:textAlignment w:val="baseline"/>
                    <w:rPr>
                      <w:rFonts w:ascii="inherit" w:eastAsia="Times New Roman" w:hAnsi="inherit" w:cs="Times New Roman"/>
                      <w:b/>
                      <w:bCs/>
                      <w:sz w:val="24"/>
                      <w:szCs w:val="24"/>
                      <w:lang w:val="ru-RU" w:eastAsia="ru-RU"/>
                    </w:rPr>
                  </w:pPr>
                  <w:r w:rsidRPr="001D4791">
                    <w:rPr>
                      <w:rFonts w:ascii="inherit" w:eastAsia="Times New Roman" w:hAnsi="inherit" w:cs="Times New Roman"/>
                      <w:b/>
                      <w:bCs/>
                      <w:sz w:val="24"/>
                      <w:szCs w:val="24"/>
                      <w:lang w:val="ru-RU" w:eastAsia="ru-RU"/>
                    </w:rPr>
                    <w:t>Valoare TEF</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ind w:right="195"/>
                    <w:suppressOverlap/>
                    <w:jc w:val="center"/>
                    <w:textAlignment w:val="baseline"/>
                    <w:rPr>
                      <w:rFonts w:ascii="inherit" w:eastAsia="Times New Roman" w:hAnsi="inherit" w:cs="Times New Roman"/>
                      <w:b/>
                      <w:bCs/>
                      <w:sz w:val="24"/>
                      <w:szCs w:val="24"/>
                      <w:lang w:val="ru-RU" w:eastAsia="ru-RU"/>
                    </w:rPr>
                  </w:pPr>
                  <w:r w:rsidRPr="001D4791">
                    <w:rPr>
                      <w:rFonts w:ascii="inherit" w:eastAsia="Times New Roman" w:hAnsi="inherit" w:cs="Times New Roman"/>
                      <w:b/>
                      <w:bCs/>
                      <w:sz w:val="24"/>
                      <w:szCs w:val="24"/>
                      <w:lang w:val="ru-RU" w:eastAsia="ru-RU"/>
                    </w:rPr>
                    <w:t>Congener</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ind w:right="195"/>
                    <w:suppressOverlap/>
                    <w:jc w:val="center"/>
                    <w:textAlignment w:val="baseline"/>
                    <w:rPr>
                      <w:rFonts w:ascii="inherit" w:eastAsia="Times New Roman" w:hAnsi="inherit" w:cs="Times New Roman"/>
                      <w:b/>
                      <w:bCs/>
                      <w:sz w:val="24"/>
                      <w:szCs w:val="24"/>
                      <w:lang w:val="ru-RU" w:eastAsia="ru-RU"/>
                    </w:rPr>
                  </w:pPr>
                  <w:r w:rsidRPr="001D4791">
                    <w:rPr>
                      <w:rFonts w:ascii="inherit" w:eastAsia="Times New Roman" w:hAnsi="inherit" w:cs="Times New Roman"/>
                      <w:b/>
                      <w:bCs/>
                      <w:sz w:val="24"/>
                      <w:szCs w:val="24"/>
                      <w:lang w:val="ru-RU" w:eastAsia="ru-RU"/>
                    </w:rPr>
                    <w:t>Valoare TEF</w:t>
                  </w:r>
                </w:p>
              </w:tc>
            </w:tr>
            <w:tr w:rsidR="003F7A2C" w:rsidRPr="001D4791" w:rsidTr="003F7A2C">
              <w:tc>
                <w:tcPr>
                  <w:tcW w:w="458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after="0" w:line="312" w:lineRule="atLeast"/>
                    <w:suppressOverlap/>
                    <w:textAlignment w:val="baseline"/>
                    <w:rPr>
                      <w:rFonts w:ascii="inherit" w:eastAsia="Times New Roman" w:hAnsi="inherit" w:cs="Times New Roman"/>
                      <w:sz w:val="24"/>
                      <w:szCs w:val="24"/>
                      <w:lang w:val="it-IT" w:eastAsia="ru-RU"/>
                    </w:rPr>
                  </w:pPr>
                  <w:r w:rsidRPr="001D4791">
                    <w:rPr>
                      <w:rFonts w:ascii="inherit" w:eastAsia="Times New Roman" w:hAnsi="inherit" w:cs="Times New Roman"/>
                      <w:b/>
                      <w:bCs/>
                      <w:i/>
                      <w:iCs/>
                      <w:sz w:val="24"/>
                      <w:szCs w:val="24"/>
                      <w:bdr w:val="none" w:sz="0" w:space="0" w:color="auto" w:frame="1"/>
                      <w:lang w:val="it-IT" w:eastAsia="ru-RU"/>
                    </w:rPr>
                    <w:t xml:space="preserve">Dibenzo-p-dioxine </w:t>
                  </w:r>
                  <w:r w:rsidRPr="001D4791">
                    <w:rPr>
                      <w:rFonts w:ascii="inherit" w:eastAsia="Times New Roman" w:hAnsi="inherit" w:cs="Times New Roman"/>
                      <w:b/>
                      <w:bCs/>
                      <w:i/>
                      <w:iCs/>
                      <w:sz w:val="24"/>
                      <w:szCs w:val="24"/>
                      <w:bdr w:val="none" w:sz="0" w:space="0" w:color="auto" w:frame="1"/>
                      <w:lang w:val="it-IT" w:eastAsia="ru-RU"/>
                    </w:rPr>
                    <w:lastRenderedPageBreak/>
                    <w:t>(„PCDD-uri”)</w:t>
                  </w:r>
                </w:p>
              </w:tc>
              <w:tc>
                <w:tcPr>
                  <w:tcW w:w="4877"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after="0" w:line="312" w:lineRule="atLeast"/>
                    <w:suppressOverlap/>
                    <w:textAlignment w:val="baseline"/>
                    <w:rPr>
                      <w:rFonts w:ascii="inherit" w:eastAsia="Times New Roman" w:hAnsi="inherit" w:cs="Times New Roman"/>
                      <w:sz w:val="24"/>
                      <w:szCs w:val="24"/>
                      <w:lang w:val="es-AR" w:eastAsia="ru-RU"/>
                    </w:rPr>
                  </w:pPr>
                  <w:r w:rsidRPr="001D4791">
                    <w:rPr>
                      <w:rFonts w:ascii="inherit" w:eastAsia="Times New Roman" w:hAnsi="inherit" w:cs="Times New Roman"/>
                      <w:i/>
                      <w:iCs/>
                      <w:sz w:val="24"/>
                      <w:szCs w:val="24"/>
                      <w:bdr w:val="none" w:sz="0" w:space="0" w:color="auto" w:frame="1"/>
                      <w:lang w:val="es-AR" w:eastAsia="ru-RU"/>
                    </w:rPr>
                    <w:lastRenderedPageBreak/>
                    <w:t>PCB-uri „de tipul dioxinelor”</w:t>
                  </w:r>
                </w:p>
                <w:p w:rsidR="003F7A2C" w:rsidRPr="001D4791" w:rsidRDefault="003F7A2C" w:rsidP="001D4791">
                  <w:pPr>
                    <w:framePr w:hSpace="180" w:wrap="around" w:vAnchor="text" w:hAnchor="text" w:y="1"/>
                    <w:spacing w:after="0" w:line="312" w:lineRule="atLeast"/>
                    <w:suppressOverlap/>
                    <w:textAlignment w:val="baseline"/>
                    <w:rPr>
                      <w:rFonts w:ascii="inherit" w:eastAsia="Times New Roman" w:hAnsi="inherit" w:cs="Times New Roman"/>
                      <w:sz w:val="24"/>
                      <w:szCs w:val="24"/>
                      <w:lang w:val="it-IT" w:eastAsia="ru-RU"/>
                    </w:rPr>
                  </w:pPr>
                  <w:r w:rsidRPr="001D4791">
                    <w:rPr>
                      <w:rFonts w:ascii="inherit" w:eastAsia="Times New Roman" w:hAnsi="inherit" w:cs="Times New Roman"/>
                      <w:b/>
                      <w:bCs/>
                      <w:i/>
                      <w:iCs/>
                      <w:sz w:val="24"/>
                      <w:szCs w:val="24"/>
                      <w:bdr w:val="none" w:sz="0" w:space="0" w:color="auto" w:frame="1"/>
                      <w:lang w:val="it-IT" w:eastAsia="ru-RU"/>
                    </w:rPr>
                    <w:lastRenderedPageBreak/>
                    <w:t>PCB-uri non-orto + PCB-uri mono-orto</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lastRenderedPageBreak/>
                    <w:t>2,3,7,8-TCDD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1,2,3,7,8-PeCDD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after="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b/>
                      <w:bCs/>
                      <w:i/>
                      <w:iCs/>
                      <w:sz w:val="24"/>
                      <w:szCs w:val="24"/>
                      <w:bdr w:val="none" w:sz="0" w:space="0" w:color="auto" w:frame="1"/>
                      <w:lang w:val="ru-RU" w:eastAsia="ru-RU"/>
                    </w:rPr>
                    <w:t>PCB-uri non-orto</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1,2,3,4,7,8-HxCDD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77</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0,0001</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1,2,3,6,7,8-HxCDD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81</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1,2,3,7,8,9-HxCDD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126</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1,2,3,4,6,7,8-HpCDD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169</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OCDD</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0,0003</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r>
            <w:tr w:rsidR="003F7A2C" w:rsidRPr="001D4791" w:rsidTr="003F7A2C">
              <w:tc>
                <w:tcPr>
                  <w:tcW w:w="458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after="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b/>
                      <w:bCs/>
                      <w:i/>
                      <w:iCs/>
                      <w:sz w:val="24"/>
                      <w:szCs w:val="24"/>
                      <w:bdr w:val="none" w:sz="0" w:space="0" w:color="auto" w:frame="1"/>
                      <w:lang w:val="ru-RU" w:eastAsia="ru-RU"/>
                    </w:rPr>
                    <w:t>Dibenzofurani („PCDF-uri”)</w:t>
                  </w:r>
                </w:p>
              </w:tc>
              <w:tc>
                <w:tcPr>
                  <w:tcW w:w="4877"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after="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b/>
                      <w:bCs/>
                      <w:i/>
                      <w:iCs/>
                      <w:sz w:val="24"/>
                      <w:szCs w:val="24"/>
                      <w:bdr w:val="none" w:sz="0" w:space="0" w:color="auto" w:frame="1"/>
                      <w:lang w:val="ru-RU" w:eastAsia="ru-RU"/>
                    </w:rPr>
                    <w:t>PCB-uri mono-orto</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lastRenderedPageBreak/>
                    <w:t>2,3,7,8-TCDF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105</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1,2,3,7,8-PeCDF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0,03</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114</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2,3,4,7,8-PeCDF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0,3</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118</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1,2,3,4,7,8-HxCDF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123</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1,2,3,6,7,8-HxCDF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156</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1,2,3,7,8,9-HxCDF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157</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2,3,4,6,7,8-HxCDF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167</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1,2,3,4,6,7,8-HpCDF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PCB 189</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0,00003</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1,2,3,4,7,8,9-HpCDF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0,01</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r>
            <w:tr w:rsidR="003F7A2C" w:rsidRPr="001D4791" w:rsidTr="003F7A2C">
              <w:tc>
                <w:tcPr>
                  <w:tcW w:w="26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lastRenderedPageBreak/>
                    <w:t>OCDF</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60" w:after="60" w:line="312" w:lineRule="atLeast"/>
                    <w:suppressOverlap/>
                    <w:textAlignment w:val="baseline"/>
                    <w:rPr>
                      <w:rFonts w:ascii="inherit" w:eastAsia="Times New Roman" w:hAnsi="inherit" w:cs="Times New Roman"/>
                      <w:sz w:val="24"/>
                      <w:szCs w:val="24"/>
                      <w:lang w:val="ru-RU" w:eastAsia="ru-RU"/>
                    </w:rPr>
                  </w:pPr>
                  <w:r w:rsidRPr="001D4791">
                    <w:rPr>
                      <w:rFonts w:ascii="inherit" w:eastAsia="Times New Roman" w:hAnsi="inherit" w:cs="Times New Roman"/>
                      <w:sz w:val="24"/>
                      <w:szCs w:val="24"/>
                      <w:lang w:val="ru-RU" w:eastAsia="ru-RU"/>
                    </w:rPr>
                    <w:t>0,0003</w:t>
                  </w:r>
                </w:p>
              </w:tc>
              <w:tc>
                <w:tcPr>
                  <w:tcW w:w="26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F7A2C" w:rsidRPr="001D4791" w:rsidRDefault="003F7A2C" w:rsidP="001D4791">
                  <w:pPr>
                    <w:framePr w:hSpace="180" w:wrap="around" w:vAnchor="text" w:hAnchor="text" w:y="1"/>
                    <w:spacing w:before="120" w:after="0" w:line="312" w:lineRule="atLeast"/>
                    <w:suppressOverlap/>
                    <w:jc w:val="both"/>
                    <w:textAlignment w:val="baseline"/>
                    <w:rPr>
                      <w:rFonts w:ascii="inherit" w:eastAsia="Times New Roman" w:hAnsi="inherit" w:cs="Times New Roman"/>
                      <w:sz w:val="27"/>
                      <w:szCs w:val="27"/>
                      <w:lang w:val="ru-RU" w:eastAsia="ru-RU"/>
                    </w:rPr>
                  </w:pPr>
                  <w:r w:rsidRPr="001D4791">
                    <w:rPr>
                      <w:rFonts w:ascii="inherit" w:eastAsia="Times New Roman" w:hAnsi="inherit" w:cs="Times New Roman"/>
                      <w:sz w:val="27"/>
                      <w:szCs w:val="27"/>
                      <w:lang w:val="ru-RU" w:eastAsia="ru-RU"/>
                    </w:rPr>
                    <w:t> </w:t>
                  </w:r>
                </w:p>
              </w:tc>
            </w:tr>
          </w:tbl>
          <w:p w:rsidR="003F7A2C" w:rsidRPr="001D4791" w:rsidRDefault="003F7A2C" w:rsidP="006534C2">
            <w:pPr>
              <w:jc w:val="both"/>
              <w:rPr>
                <w:rFonts w:ascii="Times New Roman" w:hAnsi="Times New Roman" w:cs="Times New Roman"/>
                <w:sz w:val="24"/>
                <w:szCs w:val="24"/>
              </w:rPr>
            </w:pPr>
          </w:p>
          <w:p w:rsidR="003F7A2C" w:rsidRPr="001D4791" w:rsidRDefault="003F7A2C" w:rsidP="006534C2">
            <w:pPr>
              <w:jc w:val="both"/>
              <w:rPr>
                <w:rFonts w:ascii="Times New Roman" w:hAnsi="Times New Roman" w:cs="Times New Roman"/>
                <w:sz w:val="24"/>
                <w:szCs w:val="24"/>
              </w:rPr>
            </w:pPr>
          </w:p>
        </w:tc>
        <w:tc>
          <w:tcPr>
            <w:tcW w:w="3827" w:type="dxa"/>
          </w:tcPr>
          <w:p w:rsidR="0075146E" w:rsidRPr="001D4791" w:rsidRDefault="0075146E" w:rsidP="006534C2">
            <w:pPr>
              <w:jc w:val="both"/>
              <w:rPr>
                <w:rFonts w:ascii="Times New Roman" w:hAnsi="Times New Roman" w:cs="Times New Roman"/>
                <w:bCs/>
                <w:iCs/>
                <w:sz w:val="24"/>
                <w:szCs w:val="24"/>
              </w:rPr>
            </w:pPr>
            <w:r w:rsidRPr="001D4791">
              <w:rPr>
                <w:rFonts w:ascii="Times New Roman" w:hAnsi="Times New Roman" w:cs="Times New Roman"/>
                <w:b/>
                <w:sz w:val="24"/>
                <w:szCs w:val="24"/>
              </w:rPr>
              <w:lastRenderedPageBreak/>
              <w:t xml:space="preserve">71. </w:t>
            </w:r>
            <w:r w:rsidRPr="001D4791">
              <w:rPr>
                <w:rFonts w:ascii="Times New Roman" w:hAnsi="Times New Roman" w:cs="Times New Roman"/>
                <w:bCs/>
                <w:sz w:val="24"/>
                <w:szCs w:val="24"/>
              </w:rPr>
              <w:t xml:space="preserve">Raportarea rezultatului - </w:t>
            </w:r>
            <w:r w:rsidRPr="001D4791">
              <w:rPr>
                <w:rFonts w:ascii="Times New Roman" w:hAnsi="Times New Roman" w:cs="Times New Roman"/>
                <w:bCs/>
                <w:iCs/>
                <w:sz w:val="24"/>
                <w:szCs w:val="24"/>
              </w:rPr>
              <w:t>Metode de confirmare</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bCs/>
                <w:iCs/>
                <w:sz w:val="24"/>
                <w:szCs w:val="24"/>
              </w:rPr>
              <w:t xml:space="preserve">1) </w:t>
            </w:r>
            <w:r w:rsidRPr="001D4791">
              <w:rPr>
                <w:rFonts w:ascii="Times New Roman" w:hAnsi="Times New Roman" w:cs="Times New Roman"/>
                <w:sz w:val="24"/>
                <w:szCs w:val="24"/>
              </w:rPr>
              <w:t>Rezultatele analitice includ nivelurile de congeneri individuali ai PCDD/F-urilor și ai PCB-urilor de tipul dioxinelor și valorile TEQ și se raportează ca estimare inferioară, estimare superioară și estimare mediană, pentru a include o cantitate maximă de informații în raportarea rezultatelor, ceea ce permite o interpretare a rezultatelor în conformitate cu cerințele specifice.</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2) Raportul include și metoda utilizată pentru extracția PCDD/F-urilor, a PCB-urilor de tipul dioxinelor și a lipidelor. Conținutul de lipide al probei se determină și se raportează pentru probe din produse alimentare cu niveluri maxime exprimate prin raportare la conținutul de grăsimi și cu o concentrație de grăsimi estimată în intervalul 0-2 %. Pentru alte probe, determinarea conținutului de lipide este opțională.</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bCs/>
                <w:iCs/>
                <w:sz w:val="24"/>
                <w:szCs w:val="24"/>
              </w:rPr>
              <w:lastRenderedPageBreak/>
              <w:t xml:space="preserve">3) </w:t>
            </w:r>
            <w:r w:rsidRPr="001D4791">
              <w:rPr>
                <w:rFonts w:ascii="Times New Roman" w:hAnsi="Times New Roman" w:cs="Times New Roman"/>
                <w:sz w:val="24"/>
                <w:szCs w:val="24"/>
              </w:rPr>
              <w:t>Recuperările etaloanelor interne individuale trebuie să fie disponibile în cazul în care recuperările se situează în afara intervalului menționat la punctul 58, atunci când nivelul maxim este depășit (în acest caz, recuperările pentru una dintre cele două analize duplicat), iar în celelalte cazuri, la cerere.</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bCs/>
                <w:iCs/>
                <w:sz w:val="24"/>
                <w:szCs w:val="24"/>
              </w:rPr>
              <w:t>4) A</w:t>
            </w:r>
            <w:r w:rsidRPr="001D4791">
              <w:rPr>
                <w:rFonts w:ascii="Times New Roman" w:hAnsi="Times New Roman" w:cs="Times New Roman"/>
                <w:sz w:val="24"/>
                <w:szCs w:val="24"/>
              </w:rPr>
              <w:t>tunci când se decide conformitatea unei probe, se ține seama de incertitudinea de măsurare extinsă, și acest parametru trebuie să fie pus la dispoziție. De aceea, rezultatele analitice se raportează ca x ± U, unde x este rezultatul analitic și U este incertitudinea de măsurare extinsă, folosind un factor de acoperire 2, care conferă un nivel de încredere de aproximativ 95 %. În cazul unei determinări separate a PCDD/F-urilor și a PCB-urilor de tipul dioxinelor, suma incertitudinii extinse estimate a rezultatelor analitice separate ale PCDD/F-urilor și ale PCB-urilor de tipul dioxinelor se utilizează pentru suma PCDD/F-urilor și a PCB-urilor de tipul dioxinelor.</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5) Rezultatele se exprimă în aceleași unități și prin același număr de cifre semnificative ca și nivelurile maxime prevăzute în HG 520/2010. </w:t>
            </w:r>
          </w:p>
          <w:p w:rsidR="008D7B1E" w:rsidRPr="001D4791" w:rsidRDefault="008D7B1E" w:rsidP="006534C2">
            <w:pPr>
              <w:jc w:val="both"/>
              <w:rPr>
                <w:rFonts w:ascii="Times New Roman" w:hAnsi="Times New Roman" w:cs="Times New Roman"/>
                <w:sz w:val="24"/>
                <w:szCs w:val="24"/>
              </w:rPr>
            </w:pPr>
          </w:p>
          <w:p w:rsidR="0075146E" w:rsidRPr="001D4791" w:rsidRDefault="0075146E" w:rsidP="006534C2">
            <w:pPr>
              <w:jc w:val="both"/>
              <w:rPr>
                <w:rFonts w:ascii="Times New Roman" w:hAnsi="Times New Roman" w:cs="Times New Roman"/>
                <w:sz w:val="24"/>
                <w:szCs w:val="24"/>
              </w:rPr>
            </w:pPr>
          </w:p>
          <w:p w:rsidR="0075146E" w:rsidRPr="001D4791" w:rsidRDefault="0075146E" w:rsidP="006534C2">
            <w:pPr>
              <w:jc w:val="both"/>
              <w:rPr>
                <w:rFonts w:ascii="Times New Roman" w:hAnsi="Times New Roman" w:cs="Times New Roman"/>
                <w:b/>
                <w:bCs/>
                <w:iCs/>
                <w:sz w:val="24"/>
                <w:szCs w:val="24"/>
              </w:rPr>
            </w:pPr>
          </w:p>
          <w:p w:rsidR="0075146E" w:rsidRPr="001D4791" w:rsidRDefault="0075146E" w:rsidP="006534C2">
            <w:pPr>
              <w:jc w:val="both"/>
              <w:rPr>
                <w:rFonts w:ascii="Times New Roman" w:hAnsi="Times New Roman" w:cs="Times New Roman"/>
                <w:b/>
                <w:bCs/>
                <w:iCs/>
                <w:sz w:val="24"/>
                <w:szCs w:val="24"/>
              </w:rPr>
            </w:pPr>
          </w:p>
          <w:p w:rsidR="0075146E" w:rsidRPr="001D4791" w:rsidRDefault="0075146E" w:rsidP="006534C2">
            <w:pPr>
              <w:jc w:val="both"/>
              <w:rPr>
                <w:rFonts w:ascii="Times New Roman" w:hAnsi="Times New Roman" w:cs="Times New Roman"/>
                <w:b/>
                <w:bCs/>
                <w:i/>
                <w:iCs/>
                <w:sz w:val="24"/>
                <w:szCs w:val="24"/>
              </w:rPr>
            </w:pPr>
            <w:r w:rsidRPr="001D4791">
              <w:rPr>
                <w:rFonts w:ascii="Times New Roman" w:hAnsi="Times New Roman" w:cs="Times New Roman"/>
                <w:b/>
                <w:bCs/>
                <w:iCs/>
                <w:sz w:val="24"/>
                <w:szCs w:val="24"/>
              </w:rPr>
              <w:t xml:space="preserve">72. </w:t>
            </w:r>
            <w:r w:rsidRPr="001D4791">
              <w:rPr>
                <w:rFonts w:ascii="Times New Roman" w:hAnsi="Times New Roman" w:cs="Times New Roman"/>
                <w:bCs/>
                <w:sz w:val="24"/>
                <w:szCs w:val="24"/>
              </w:rPr>
              <w:t xml:space="preserve">Raportarea rezultatului - </w:t>
            </w:r>
            <w:r w:rsidRPr="001D4791">
              <w:rPr>
                <w:rFonts w:ascii="Times New Roman" w:hAnsi="Times New Roman" w:cs="Times New Roman"/>
                <w:bCs/>
                <w:iCs/>
                <w:sz w:val="24"/>
                <w:szCs w:val="24"/>
              </w:rPr>
              <w:t>Metode bioanalitice de screening</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bCs/>
                <w:iCs/>
                <w:sz w:val="24"/>
                <w:szCs w:val="24"/>
              </w:rPr>
              <w:t xml:space="preserve">1) </w:t>
            </w:r>
            <w:r w:rsidRPr="001D4791">
              <w:rPr>
                <w:rFonts w:ascii="Times New Roman" w:hAnsi="Times New Roman" w:cs="Times New Roman"/>
                <w:sz w:val="24"/>
                <w:szCs w:val="24"/>
              </w:rPr>
              <w:t>Rezultatul screeningului se exprimă cu termenii „conform” sau „suspectat a fi neconform” („suspectat”).</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2) În plus, se poate da un rezultat indicativ pentru PCDD/F-uri și/sau PCB-uri de tipul dioxinelor exprimat în BEQ, nu în TEQ (a se vedea punctele 31-32). Rezultatul probelor cu un răspuns sub limita de raportare se exprimă ca fiind „sub limita de raportare”. Rezultatul probelor cu un răspuns peste intervalul de lucru se raportează ca „depășind intervalul de lucru”, iar nivelul corespunzător extremității superioare a intervalului de lucru se furnizează în BEQ.</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3) Pentru fiecare tip de matrice a probei, raportul menționează nivelul maxim sau nivelul de acțiune pe care se bazează evaluarea.</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4) Raportul menționează tipul de test aplicat, principiul de bază al testului și tipul de calibrare.</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5) Raportul include și metoda utilizată pentru extracția PCDD/F-urilor, a PCB-urilor de tipul </w:t>
            </w:r>
            <w:r w:rsidRPr="001D4791">
              <w:rPr>
                <w:rFonts w:ascii="Times New Roman" w:hAnsi="Times New Roman" w:cs="Times New Roman"/>
                <w:sz w:val="24"/>
                <w:szCs w:val="24"/>
              </w:rPr>
              <w:lastRenderedPageBreak/>
              <w:t>dioxinelor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probe, determinarea conținutului de lipide este opțională</w:t>
            </w:r>
          </w:p>
          <w:p w:rsidR="0075146E" w:rsidRPr="001D4791" w:rsidRDefault="0075146E" w:rsidP="006534C2">
            <w:pPr>
              <w:jc w:val="both"/>
              <w:rPr>
                <w:rFonts w:ascii="Times New Roman" w:hAnsi="Times New Roman" w:cs="Times New Roman"/>
                <w:bCs/>
                <w:iCs/>
                <w:sz w:val="24"/>
                <w:szCs w:val="24"/>
              </w:rPr>
            </w:pPr>
            <w:r w:rsidRPr="001D4791">
              <w:rPr>
                <w:rFonts w:ascii="Times New Roman" w:hAnsi="Times New Roman" w:cs="Times New Roman"/>
                <w:sz w:val="24"/>
                <w:szCs w:val="24"/>
              </w:rPr>
              <w:t>6) În cazul probelor suspectate a fi neconforme, raportul trebuie să includă o notă privind măsurile care urmează a fi adoptate. Concentrația de PCDD/F-uri și suma dintre PCDD/F-uri și PCB-uri de tipul dioxinelor din probele cu niveluri ridicate trebuie determinată/confirmată printr-o metodă de confirmare.</w:t>
            </w:r>
          </w:p>
          <w:p w:rsidR="0075146E" w:rsidRPr="001D4791" w:rsidRDefault="0075146E" w:rsidP="006534C2">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7) </w:t>
            </w:r>
            <w:r w:rsidRPr="001D4791">
              <w:rPr>
                <w:rFonts w:ascii="Times New Roman" w:hAnsi="Times New Roman" w:cs="Times New Roman"/>
                <w:sz w:val="24"/>
                <w:szCs w:val="24"/>
              </w:rPr>
              <w:t>Rezultatele neconforme se raportează numai în urma analizei de confirmare.</w:t>
            </w:r>
          </w:p>
          <w:p w:rsidR="0075146E" w:rsidRPr="001D4791" w:rsidRDefault="0075146E" w:rsidP="006534C2">
            <w:pPr>
              <w:jc w:val="both"/>
              <w:rPr>
                <w:rFonts w:ascii="Times New Roman" w:hAnsi="Times New Roman" w:cs="Times New Roman"/>
                <w:b/>
                <w:bCs/>
                <w:i/>
                <w:iCs/>
                <w:sz w:val="24"/>
                <w:szCs w:val="24"/>
              </w:rPr>
            </w:pPr>
            <w:r w:rsidRPr="001D4791">
              <w:rPr>
                <w:rFonts w:ascii="Times New Roman" w:hAnsi="Times New Roman" w:cs="Times New Roman"/>
                <w:b/>
                <w:bCs/>
                <w:iCs/>
                <w:sz w:val="24"/>
                <w:szCs w:val="24"/>
              </w:rPr>
              <w:t xml:space="preserve">73. </w:t>
            </w:r>
            <w:r w:rsidRPr="001D4791">
              <w:rPr>
                <w:rFonts w:ascii="Times New Roman" w:hAnsi="Times New Roman" w:cs="Times New Roman"/>
                <w:bCs/>
                <w:sz w:val="24"/>
                <w:szCs w:val="24"/>
              </w:rPr>
              <w:t xml:space="preserve">Raportarea rezultatului - </w:t>
            </w:r>
            <w:r w:rsidRPr="001D4791">
              <w:rPr>
                <w:rFonts w:ascii="Times New Roman" w:hAnsi="Times New Roman" w:cs="Times New Roman"/>
                <w:bCs/>
                <w:iCs/>
                <w:sz w:val="24"/>
                <w:szCs w:val="24"/>
              </w:rPr>
              <w:t>Metode fizico-chimice de screening</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bCs/>
                <w:iCs/>
                <w:sz w:val="24"/>
                <w:szCs w:val="24"/>
              </w:rPr>
              <w:t xml:space="preserve">1) </w:t>
            </w:r>
            <w:r w:rsidRPr="001D4791">
              <w:rPr>
                <w:rFonts w:ascii="Times New Roman" w:hAnsi="Times New Roman" w:cs="Times New Roman"/>
                <w:sz w:val="24"/>
                <w:szCs w:val="24"/>
              </w:rPr>
              <w:t>Rezultatul screeningului se exprimă cu termenii „conform” sau „suspectat a fi neconform” („suspectat”).</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2) Pentru fiecare tip de matrice a probei, raportul menționează nivelul maxim sau nivelul de acțiune pe care </w:t>
            </w:r>
            <w:r w:rsidRPr="001D4791">
              <w:rPr>
                <w:rFonts w:ascii="Times New Roman" w:hAnsi="Times New Roman" w:cs="Times New Roman"/>
                <w:sz w:val="24"/>
                <w:szCs w:val="24"/>
              </w:rPr>
              <w:lastRenderedPageBreak/>
              <w:t>se bazează evaluarea.</w:t>
            </w:r>
          </w:p>
          <w:p w:rsidR="0075146E" w:rsidRPr="001D4791" w:rsidRDefault="0075146E" w:rsidP="006534C2">
            <w:pPr>
              <w:jc w:val="both"/>
              <w:rPr>
                <w:rFonts w:ascii="Times New Roman" w:hAnsi="Times New Roman" w:cs="Times New Roman"/>
                <w:bCs/>
                <w:iCs/>
                <w:sz w:val="24"/>
                <w:szCs w:val="24"/>
              </w:rPr>
            </w:pPr>
            <w:r w:rsidRPr="001D4791">
              <w:rPr>
                <w:rFonts w:ascii="Times New Roman" w:hAnsi="Times New Roman" w:cs="Times New Roman"/>
                <w:sz w:val="24"/>
                <w:szCs w:val="24"/>
              </w:rPr>
              <w:t xml:space="preserve">3) În plus, nivelurile de congeneri individuali ai PCDD/F-urilor și/sau ai PCB-urilor de tipul dioxinelor și valorile TEQ se pot furniza ca estimare inferioară, estimare superioară și estimare mediană. Rezultatele se exprimă în aceleași unități și prin (cel puțin) același număr de cifre semnificative ca și nivelurile maxime menționate în HG 520/2010. </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bCs/>
                <w:sz w:val="24"/>
                <w:szCs w:val="24"/>
              </w:rPr>
              <w:t xml:space="preserve">4) </w:t>
            </w:r>
            <w:r w:rsidRPr="001D4791">
              <w:rPr>
                <w:rFonts w:ascii="Times New Roman" w:hAnsi="Times New Roman" w:cs="Times New Roman"/>
                <w:sz w:val="24"/>
                <w:szCs w:val="24"/>
              </w:rPr>
              <w:t>Recuperările etaloanelor interne individuale trebuie să fie puse la dispoziție în cazul în care recuperările se situează în afara intervalului menționat la punctul 57, iar în celelalte cazuri, la cerere.</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5) Raportul menționează și metoda GC-MS aplicată.</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6) Raportul include și metoda utilizată pentru extracția PCDD/F-urilor, a PCB-urilor de tipul dioxinelor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probe, determinarea conținutului de lipide </w:t>
            </w:r>
            <w:r w:rsidRPr="001D4791">
              <w:rPr>
                <w:rFonts w:ascii="Times New Roman" w:hAnsi="Times New Roman" w:cs="Times New Roman"/>
                <w:sz w:val="24"/>
                <w:szCs w:val="24"/>
              </w:rPr>
              <w:lastRenderedPageBreak/>
              <w:t>este opțională.</w:t>
            </w:r>
          </w:p>
          <w:p w:rsidR="0075146E" w:rsidRPr="001D4791" w:rsidRDefault="0075146E" w:rsidP="006534C2">
            <w:pPr>
              <w:jc w:val="both"/>
              <w:rPr>
                <w:rFonts w:ascii="Times New Roman" w:hAnsi="Times New Roman" w:cs="Times New Roman"/>
                <w:bCs/>
                <w:sz w:val="24"/>
                <w:szCs w:val="24"/>
              </w:rPr>
            </w:pPr>
            <w:r w:rsidRPr="001D4791">
              <w:rPr>
                <w:rFonts w:ascii="Times New Roman" w:hAnsi="Times New Roman" w:cs="Times New Roman"/>
                <w:sz w:val="24"/>
                <w:szCs w:val="24"/>
              </w:rPr>
              <w:t>7) În cazul probelor suspectate a fi neconforme, raportul trebuie să includă o notă privind măsurile care urmează a fi adoptate. Concentrația de PCDD/F-uri și suma dintre PCDD/F-uri și PCB-uri de tipul dioxinelor din probele cu niveluri ridicate trebuie determinată/confirmată printr-o metodă de confirmare.</w:t>
            </w: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8) Neconformitatea poate fi decisă numai în urma analizei de confirmare</w:t>
            </w:r>
          </w:p>
          <w:p w:rsidR="0075146E" w:rsidRPr="001D4791" w:rsidRDefault="0075146E" w:rsidP="006534C2">
            <w:pPr>
              <w:jc w:val="both"/>
              <w:rPr>
                <w:rFonts w:ascii="Times New Roman" w:hAnsi="Times New Roman" w:cs="Times New Roman"/>
                <w:sz w:val="24"/>
                <w:szCs w:val="24"/>
              </w:rPr>
            </w:pPr>
          </w:p>
          <w:p w:rsidR="0075146E" w:rsidRPr="001D4791" w:rsidRDefault="0075146E" w:rsidP="006534C2">
            <w:pPr>
              <w:jc w:val="both"/>
              <w:rPr>
                <w:rFonts w:ascii="Times New Roman" w:hAnsi="Times New Roman" w:cs="Times New Roman"/>
                <w:sz w:val="24"/>
                <w:szCs w:val="24"/>
              </w:rPr>
            </w:pPr>
            <w:r w:rsidRPr="001D4791">
              <w:rPr>
                <w:rFonts w:ascii="Times New Roman" w:hAnsi="Times New Roman" w:cs="Times New Roman"/>
                <w:sz w:val="24"/>
                <w:szCs w:val="24"/>
              </w:rPr>
              <w:t>Ape</w:t>
            </w:r>
            <w:r w:rsidR="00C30C66" w:rsidRPr="001D4791">
              <w:rPr>
                <w:rFonts w:ascii="Times New Roman" w:hAnsi="Times New Roman" w:cs="Times New Roman"/>
                <w:sz w:val="24"/>
                <w:szCs w:val="24"/>
              </w:rPr>
              <w:t>ndicele este transpus în tabelul nr.5</w:t>
            </w:r>
          </w:p>
          <w:p w:rsidR="00C30C66" w:rsidRPr="001D4791" w:rsidRDefault="00C30C66"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Tabelul nr. 5</w:t>
            </w:r>
          </w:p>
          <w:p w:rsidR="00C30C66" w:rsidRPr="001D4791" w:rsidRDefault="00C30C66"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Factorii de echivalență toxică OMS-TEF pentru evaluarea riscurilor pentru sănătatea umană</w:t>
            </w:r>
          </w:p>
          <w:p w:rsidR="00C30C66" w:rsidRPr="001D4791" w:rsidRDefault="00C30C66" w:rsidP="006534C2">
            <w:pPr>
              <w:jc w:val="both"/>
              <w:rPr>
                <w:rFonts w:ascii="Times New Roman" w:hAnsi="Times New Roman" w:cs="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89"/>
              <w:gridCol w:w="749"/>
              <w:gridCol w:w="992"/>
              <w:gridCol w:w="865"/>
            </w:tblGrid>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Congener</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Valoare TEF</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Congener</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b/>
                      <w:bCs/>
                      <w:sz w:val="24"/>
                      <w:szCs w:val="24"/>
                    </w:rPr>
                  </w:pPr>
                  <w:r w:rsidRPr="001D4791">
                    <w:rPr>
                      <w:rFonts w:ascii="Times New Roman" w:hAnsi="Times New Roman" w:cs="Times New Roman"/>
                      <w:b/>
                      <w:bCs/>
                      <w:sz w:val="24"/>
                      <w:szCs w:val="24"/>
                    </w:rPr>
                    <w:t>Valoare TEF</w:t>
                  </w:r>
                </w:p>
              </w:tc>
            </w:tr>
            <w:tr w:rsidR="00C30C66" w:rsidRPr="001D4791" w:rsidTr="00C30C66">
              <w:tc>
                <w:tcPr>
                  <w:tcW w:w="471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b/>
                      <w:bCs/>
                      <w:i/>
                      <w:iCs/>
                      <w:sz w:val="24"/>
                      <w:szCs w:val="24"/>
                    </w:rPr>
                    <w:t>Dibenzo-p-dioxine („PCDD-uri”)</w:t>
                  </w:r>
                </w:p>
              </w:tc>
              <w:tc>
                <w:tcPr>
                  <w:tcW w:w="507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i/>
                      <w:iCs/>
                      <w:sz w:val="24"/>
                      <w:szCs w:val="24"/>
                    </w:rPr>
                    <w:t>PCB-uri „de tipul dioxinelor”</w:t>
                  </w:r>
                </w:p>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b/>
                      <w:bCs/>
                      <w:i/>
                      <w:iCs/>
                      <w:sz w:val="24"/>
                      <w:szCs w:val="24"/>
                    </w:rPr>
                    <w:t>PCB-uri non-orto + PCB-uri mono-orto</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2,3,7,8-TCDD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1,2,3,7,8</w:t>
                  </w:r>
                  <w:r w:rsidRPr="001D4791">
                    <w:rPr>
                      <w:rFonts w:ascii="Times New Roman" w:hAnsi="Times New Roman" w:cs="Times New Roman"/>
                      <w:sz w:val="24"/>
                      <w:szCs w:val="24"/>
                    </w:rPr>
                    <w:lastRenderedPageBreak/>
                    <w:t>-PeCDD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lastRenderedPageBreak/>
                    <w:t>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b/>
                      <w:bCs/>
                      <w:i/>
                      <w:iCs/>
                      <w:sz w:val="24"/>
                      <w:szCs w:val="24"/>
                    </w:rPr>
                    <w:t xml:space="preserve">PCB-uri </w:t>
                  </w:r>
                  <w:r w:rsidRPr="001D4791">
                    <w:rPr>
                      <w:rFonts w:ascii="Times New Roman" w:hAnsi="Times New Roman" w:cs="Times New Roman"/>
                      <w:b/>
                      <w:bCs/>
                      <w:i/>
                      <w:iCs/>
                      <w:sz w:val="24"/>
                      <w:szCs w:val="24"/>
                    </w:rPr>
                    <w:lastRenderedPageBreak/>
                    <w:t>non-orto</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lastRenderedPageBreak/>
                    <w:t> </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lastRenderedPageBreak/>
                    <w:t>1,2,3,4,7,8-HxCDD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77</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0,0001</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1,2,3,6,7,8-HxCDD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81</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1,2,3,7,8,9-HxCDD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126</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1,2,3,4,6,7,8-HpCDD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169</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OCDD</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r>
            <w:tr w:rsidR="00C30C66" w:rsidRPr="001D4791" w:rsidTr="00C30C66">
              <w:tc>
                <w:tcPr>
                  <w:tcW w:w="471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b/>
                      <w:bCs/>
                      <w:i/>
                      <w:iCs/>
                      <w:sz w:val="24"/>
                      <w:szCs w:val="24"/>
                    </w:rPr>
                    <w:t>Dibenzofurani („PCDF-uri”)</w:t>
                  </w:r>
                </w:p>
              </w:tc>
              <w:tc>
                <w:tcPr>
                  <w:tcW w:w="5077"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b/>
                      <w:bCs/>
                      <w:i/>
                      <w:iCs/>
                      <w:sz w:val="24"/>
                      <w:szCs w:val="24"/>
                    </w:rPr>
                    <w:t>PCB-uri mono-orto</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2,3,7,8-TCDF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105</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1,2,3,7,8-PeCDF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114</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2,3,4,7,8-PeCDF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118</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1,2,3,4,7,8-HxCDF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123</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1,2,3,6,7,8-HxCDF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156</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1,2,3,7,8</w:t>
                  </w:r>
                  <w:r w:rsidRPr="001D4791">
                    <w:rPr>
                      <w:rFonts w:ascii="Times New Roman" w:hAnsi="Times New Roman" w:cs="Times New Roman"/>
                      <w:sz w:val="24"/>
                      <w:szCs w:val="24"/>
                    </w:rPr>
                    <w:lastRenderedPageBreak/>
                    <w:t>,9-HxCDF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lastRenderedPageBreak/>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157</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w:t>
                  </w:r>
                  <w:r w:rsidRPr="001D4791">
                    <w:rPr>
                      <w:rFonts w:ascii="Times New Roman" w:hAnsi="Times New Roman" w:cs="Times New Roman"/>
                      <w:sz w:val="24"/>
                      <w:szCs w:val="24"/>
                    </w:rPr>
                    <w:lastRenderedPageBreak/>
                    <w:t>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lastRenderedPageBreak/>
                    <w:t>2,3,4,6,7,8-HxCDF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167</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1,2,3,4,6,7,8-HpCDF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PCB 189</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0,00003</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1,2,3,4,7,8,9-HpCDF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0,01</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r>
            <w:tr w:rsidR="00C30C66" w:rsidRPr="001D4791" w:rsidTr="00C30C66">
              <w:tc>
                <w:tcPr>
                  <w:tcW w:w="271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OCDF</w:t>
                  </w:r>
                </w:p>
              </w:tc>
              <w:tc>
                <w:tcPr>
                  <w:tcW w:w="20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0,0003</w:t>
                  </w:r>
                </w:p>
              </w:tc>
              <w:tc>
                <w:tcPr>
                  <w:tcW w:w="27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c>
                <w:tcPr>
                  <w:tcW w:w="234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30C66" w:rsidRPr="001D4791" w:rsidRDefault="00C30C66" w:rsidP="001D4791">
                  <w:pPr>
                    <w:framePr w:hSpace="180" w:wrap="around" w:vAnchor="text" w:hAnchor="text" w:y="1"/>
                    <w:spacing w:after="0" w:line="240" w:lineRule="auto"/>
                    <w:suppressOverlap/>
                    <w:jc w:val="both"/>
                    <w:rPr>
                      <w:rFonts w:ascii="Times New Roman" w:hAnsi="Times New Roman" w:cs="Times New Roman"/>
                      <w:sz w:val="24"/>
                      <w:szCs w:val="24"/>
                    </w:rPr>
                  </w:pPr>
                  <w:r w:rsidRPr="001D4791">
                    <w:rPr>
                      <w:rFonts w:ascii="Times New Roman" w:hAnsi="Times New Roman" w:cs="Times New Roman"/>
                      <w:sz w:val="24"/>
                      <w:szCs w:val="24"/>
                    </w:rPr>
                    <w:t> </w:t>
                  </w:r>
                </w:p>
              </w:tc>
            </w:tr>
          </w:tbl>
          <w:p w:rsidR="00C30C66" w:rsidRPr="001D4791" w:rsidRDefault="00C30C66"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B57CC6"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Abrevieri utilizate:</w:t>
            </w:r>
          </w:p>
          <w:p w:rsidR="003F7A2C" w:rsidRPr="001D4791" w:rsidRDefault="003F7A2C" w:rsidP="006534C2">
            <w:pPr>
              <w:jc w:val="both"/>
              <w:rPr>
                <w:rFonts w:ascii="Times New Roman" w:hAnsi="Times New Roman" w:cs="Times New Roman"/>
                <w:sz w:val="24"/>
                <w:szCs w:val="24"/>
              </w:rPr>
            </w:pPr>
          </w:p>
          <w:p w:rsidR="008D7B1E"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„T” = tetra; „Pe” = penta; „Hx” = hexa; „Hp” = hepta; „O” = octa; „CDD” = clorodibenzodioxină; „CDF” = clorodibenzofuran; „CB” = clorobifenil.</w:t>
            </w:r>
          </w:p>
        </w:tc>
        <w:tc>
          <w:tcPr>
            <w:tcW w:w="3827" w:type="dxa"/>
          </w:tcPr>
          <w:p w:rsidR="008D7B1E" w:rsidRPr="001D4791" w:rsidRDefault="00C30C66" w:rsidP="006534C2">
            <w:pPr>
              <w:rPr>
                <w:rFonts w:ascii="Times New Roman" w:hAnsi="Times New Roman" w:cs="Times New Roman"/>
                <w:sz w:val="24"/>
                <w:szCs w:val="24"/>
              </w:rPr>
            </w:pPr>
            <w:r w:rsidRPr="001D4791">
              <w:rPr>
                <w:rFonts w:ascii="Times New Roman" w:hAnsi="Times New Roman" w:cs="Times New Roman"/>
                <w:sz w:val="24"/>
                <w:szCs w:val="24"/>
              </w:rPr>
              <w:t>Abrevierile sunt transpuse la punctul 3.</w:t>
            </w: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47633F"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ANEXA IV</w:t>
            </w:r>
          </w:p>
          <w:p w:rsidR="003F7A2C" w:rsidRPr="001D4791" w:rsidRDefault="003F7A2C" w:rsidP="006534C2">
            <w:pPr>
              <w:jc w:val="both"/>
              <w:rPr>
                <w:rFonts w:ascii="Times New Roman" w:hAnsi="Times New Roman" w:cs="Times New Roman"/>
                <w:sz w:val="24"/>
                <w:szCs w:val="24"/>
              </w:rPr>
            </w:pP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PREGĂTIREA PROBELOR ȘI CERINȚE PRIVIND METODELE DE ANALIZĂ UTILIZATE ÎN CADRUL CONTROLULUI NIVELURILOR DE PCB-uri CARE NU SUNT DE TIPUL DIOXINELOR DIN ANUMITE PRODUSE ALIMENTARE</w:t>
            </w:r>
          </w:p>
          <w:p w:rsidR="003F7A2C" w:rsidRPr="001D4791" w:rsidRDefault="003F7A2C" w:rsidP="006534C2">
            <w:pPr>
              <w:jc w:val="both"/>
              <w:rPr>
                <w:rFonts w:ascii="Times New Roman" w:hAnsi="Times New Roman" w:cs="Times New Roman"/>
                <w:sz w:val="24"/>
                <w:szCs w:val="24"/>
              </w:rPr>
            </w:pP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Cerințele stabilite în prezenta anexă se aplică atunci când produsele alimentare sunt analizate în cadrul controlului oficial al nivelurilor de PCB-uri care nu sunt de tipul dioxinelor, precum și în ceea ce privește pregătirea probelor și cerințele analitice în alte scopuri de reglementare, inclusiv în scopul </w:t>
            </w:r>
            <w:r w:rsidRPr="001D4791">
              <w:rPr>
                <w:rFonts w:ascii="Times New Roman" w:hAnsi="Times New Roman" w:cs="Times New Roman"/>
                <w:sz w:val="24"/>
                <w:szCs w:val="24"/>
              </w:rPr>
              <w:lastRenderedPageBreak/>
              <w:t>controalelor efectuate de operatorul din sectorul alimentar pentru a asigura respectarea dispozițiilor de la articolul 4 din Regulamentul (CE) nr. 852/2004.</w:t>
            </w:r>
          </w:p>
          <w:p w:rsidR="008D7B1E"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Dispozițiile referitoare la pregătirea probelor de la punctul 3 din anexa III la prezentul regulament se aplică și pentru controlul nivelurilor de PCB-uri care nu sunt de tipul dioxinelor din produsele alimentare.</w:t>
            </w:r>
          </w:p>
          <w:p w:rsidR="003F7A2C" w:rsidRPr="001D4791" w:rsidRDefault="003F7A2C" w:rsidP="006534C2">
            <w:pPr>
              <w:jc w:val="both"/>
              <w:rPr>
                <w:rFonts w:ascii="Times New Roman" w:hAnsi="Times New Roman" w:cs="Times New Roman"/>
                <w:sz w:val="24"/>
                <w:szCs w:val="24"/>
              </w:rPr>
            </w:pPr>
          </w:p>
        </w:tc>
        <w:tc>
          <w:tcPr>
            <w:tcW w:w="3827" w:type="dxa"/>
          </w:tcPr>
          <w:p w:rsidR="00C30C66" w:rsidRPr="001D4791" w:rsidRDefault="00C30C66"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Capitolul IV</w:t>
            </w:r>
          </w:p>
          <w:p w:rsidR="00C30C66" w:rsidRPr="001D4791" w:rsidRDefault="00C30C66" w:rsidP="006534C2">
            <w:pPr>
              <w:jc w:val="both"/>
              <w:rPr>
                <w:rFonts w:ascii="Times New Roman" w:hAnsi="Times New Roman" w:cs="Times New Roman"/>
                <w:b/>
                <w:bCs/>
                <w:sz w:val="24"/>
                <w:szCs w:val="24"/>
              </w:rPr>
            </w:pPr>
          </w:p>
          <w:p w:rsidR="00C30C66" w:rsidRPr="001D4791" w:rsidRDefault="00C30C66" w:rsidP="006534C2">
            <w:pPr>
              <w:jc w:val="both"/>
              <w:rPr>
                <w:rFonts w:ascii="Times New Roman" w:hAnsi="Times New Roman" w:cs="Times New Roman"/>
                <w:b/>
                <w:bCs/>
                <w:sz w:val="24"/>
                <w:szCs w:val="24"/>
              </w:rPr>
            </w:pPr>
            <w:r w:rsidRPr="001D4791">
              <w:rPr>
                <w:rFonts w:ascii="Times New Roman" w:hAnsi="Times New Roman" w:cs="Times New Roman"/>
                <w:b/>
                <w:bCs/>
                <w:sz w:val="24"/>
                <w:szCs w:val="24"/>
              </w:rPr>
              <w:t>PREGĂTIREA PROBELOR ȘI CERINȚE PRIVIND METODELE DE ANALIZĂ UTILIZATE ÎN CADRUL CONTROLULUI NIVELURILOR DE PCB-uri CARE NU SUNT DE TIPUL DIOXINELOR DIN ANUMITE PRODUSE ALIMENTARE</w:t>
            </w:r>
          </w:p>
          <w:p w:rsidR="008D7B1E" w:rsidRPr="001D4791" w:rsidRDefault="008D7B1E" w:rsidP="006534C2">
            <w:pPr>
              <w:rPr>
                <w:rFonts w:ascii="Times New Roman" w:hAnsi="Times New Roman" w:cs="Times New Roman"/>
                <w:sz w:val="24"/>
                <w:szCs w:val="24"/>
              </w:rPr>
            </w:pPr>
          </w:p>
          <w:p w:rsidR="00C30C66" w:rsidRPr="001D4791" w:rsidRDefault="00C30C66" w:rsidP="006534C2">
            <w:pPr>
              <w:jc w:val="both"/>
              <w:rPr>
                <w:rFonts w:ascii="Times New Roman" w:hAnsi="Times New Roman" w:cs="Times New Roman"/>
                <w:sz w:val="24"/>
                <w:szCs w:val="24"/>
              </w:rPr>
            </w:pPr>
            <w:r w:rsidRPr="001D4791">
              <w:rPr>
                <w:rFonts w:ascii="Times New Roman" w:hAnsi="Times New Roman" w:cs="Times New Roman"/>
                <w:b/>
                <w:sz w:val="24"/>
                <w:szCs w:val="24"/>
              </w:rPr>
              <w:t xml:space="preserve">74. </w:t>
            </w:r>
            <w:r w:rsidRPr="001D4791">
              <w:rPr>
                <w:rFonts w:ascii="Times New Roman" w:hAnsi="Times New Roman" w:cs="Times New Roman"/>
                <w:sz w:val="24"/>
                <w:szCs w:val="24"/>
              </w:rPr>
              <w:t xml:space="preserve">Cerințele stabilite în prezentul capitol se aplică atunci când produsele alimentare sunt analizate în cadrul controlului oficial al nivelurilor de PCB-uri care nu sunt de tipul dioxinelor, precum și în ceea ce privește pregătirea probelor și cerințele analitice, în scopul controalelor efectuate pentru a </w:t>
            </w:r>
            <w:r w:rsidRPr="001D4791">
              <w:rPr>
                <w:rFonts w:ascii="Times New Roman" w:hAnsi="Times New Roman" w:cs="Times New Roman"/>
                <w:sz w:val="24"/>
                <w:szCs w:val="24"/>
              </w:rPr>
              <w:lastRenderedPageBreak/>
              <w:t xml:space="preserve">asigura respectarea dispozițiilor de la articolul 3, alineatul 2-6, din Legea nr. 296 privind cerințele generale de igienă a produselor alimentare din 21 decembrie 2017. </w:t>
            </w:r>
          </w:p>
          <w:p w:rsidR="00C30C66" w:rsidRPr="001D4791" w:rsidRDefault="00C30C66" w:rsidP="006534C2">
            <w:pPr>
              <w:jc w:val="both"/>
              <w:rPr>
                <w:rFonts w:ascii="Times New Roman" w:hAnsi="Times New Roman" w:cs="Times New Roman"/>
                <w:sz w:val="24"/>
                <w:szCs w:val="24"/>
              </w:rPr>
            </w:pPr>
            <w:r w:rsidRPr="001D4791">
              <w:rPr>
                <w:rFonts w:ascii="Times New Roman" w:hAnsi="Times New Roman" w:cs="Times New Roman"/>
                <w:sz w:val="24"/>
                <w:szCs w:val="24"/>
              </w:rPr>
              <w:t>Dispozițiile referitoare la pregătirea probelor de la punctele 35 - 44, la prezentele metode se aplică și pentru controlul nivelurilor de PCB-uri care nu sunt de tipul dioxinelor din produsele alimentare.</w:t>
            </w:r>
          </w:p>
          <w:p w:rsidR="00C30C66" w:rsidRPr="001D4791" w:rsidRDefault="00C30C66" w:rsidP="006534C2">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47633F"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1.   Metode de detectare aplicabile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Gaz-cromatografie/detectare prin captură de electroni (GC-ECD), GC-LRMS, GC-MS/MS, GC-HRMS sau metode echivalente.</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2.   Identificarea și confirmarea analiților de interes</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—Timpul de retenție relativ în raport cu etaloanele interne sau cu etaloanele de referință (deviație acceptabilă ± 0,25 %).</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—Separarea gaz-cromatografică a PCB-urilor care nu sunt de tipul dioxinelor de substanțele interferente, în special PCB-uri coeluante, mai ales în cazul în care nivelurile probelor sunt în limite legale și neconformitatea trebuie să fie confirmată (1).</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—Pentru tehnicile GC-MS:</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—Monitorizarea cel puțin a </w:t>
            </w:r>
            <w:r w:rsidRPr="001D4791">
              <w:rPr>
                <w:rFonts w:ascii="Times New Roman" w:hAnsi="Times New Roman" w:cs="Times New Roman"/>
                <w:sz w:val="24"/>
                <w:szCs w:val="24"/>
              </w:rPr>
              <w:lastRenderedPageBreak/>
              <w:t>următorului număr de ioni moleculari sau de ioni caracteristici din clusterul molecular:</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—doi ioni specifici pentru HRMS;</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—trei ioni specifici pentru LRMS;</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—doi ioni precursori specifici, fiecare cu un ion de tranziție corespunzător produs pentru MS-MS.</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—Toleranțele maxime admisibile pentru abundențele izotopice relative pentru fragmentele de masă selecționate: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Deviația relativă a abundenței izotopice relative pentru fragmentele de masă selecționate în raport cu valoarea teoretică a abundenței izotopice sau cu etalonul de calibrare pentru ionul de cuantificare (ionul monitorizat cu cea mai ridicată abundență izotopică) și ionul (ionii) de diagnostic: ± 15 %.</w:t>
            </w:r>
          </w:p>
          <w:p w:rsidR="003F7A2C" w:rsidRPr="001D4791" w:rsidRDefault="003F7A2C" w:rsidP="006534C2">
            <w:pPr>
              <w:jc w:val="both"/>
              <w:rPr>
                <w:rFonts w:ascii="Times New Roman" w:hAnsi="Times New Roman" w:cs="Times New Roman"/>
                <w:sz w:val="24"/>
                <w:szCs w:val="24"/>
              </w:rPr>
            </w:pP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—Pentru GC-ECD:</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Confirmarea rezultatelor care depășesc nivelul maxim cu două coloane de GC cu fază staționară cu o polaritate diferită.</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3.   Demonstrarea performanței metodei</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Validare în intervalul nivelului maxim (0,5 până la de 2 ori nivelul maxim), cu un coeficient de variație </w:t>
            </w:r>
            <w:r w:rsidRPr="001D4791">
              <w:rPr>
                <w:rFonts w:ascii="Times New Roman" w:hAnsi="Times New Roman" w:cs="Times New Roman"/>
                <w:sz w:val="24"/>
                <w:szCs w:val="24"/>
              </w:rPr>
              <w:lastRenderedPageBreak/>
              <w:t>acceptabil pentru analiza repetată (a se vedea cerințele pentru precizia intermediară de la punctul 8).</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4.   Limita de cuantificare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Suma limitelor de cuantificare (LDC) (2) ale PCB-urilor care nu sunt de tipul dioxinelor nu trebuie să fie mai mare de o treime din nivelul maxim (3).</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5.   Controlul calității</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Controale periodice ale probelor-martor, analiza probelor îmbogățite, probe pentru controlul calității, participarea la studii interlaboratoare pe matrice relevante.</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6.   Controlul recuperărilor</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—Utilizarea de etaloane interne corespunzătoare, cu proprietăți fizico-chimice comparabile cu cele ale analiților de interes.</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—Adăugarea de etaloane interne: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—adăugare la produse (înaintea procesului de extracție și de curățare);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—adăugare posibilă și pentru a extrage grăsimea (înainte de procesul de curățare), în cazul în care nivelul maxim este exprimat prin raportare la conținutul de grăsimi.</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—Cerințe privind metodele care utilizează toți cei șase congeneri ai PCB-urilor care nu sunt de tipul </w:t>
            </w:r>
            <w:r w:rsidRPr="001D4791">
              <w:rPr>
                <w:rFonts w:ascii="Times New Roman" w:hAnsi="Times New Roman" w:cs="Times New Roman"/>
                <w:sz w:val="24"/>
                <w:szCs w:val="24"/>
              </w:rPr>
              <w:lastRenderedPageBreak/>
              <w:t>dioxinelor marcați cu un izotop:</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—corecția rezultatelor pentru recuperările etaloanelor interne;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—recuperările general acceptabile ale etaloanelor interne marcate cu un izotop sunt între 60 % și 120 %;</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—sunt acceptabile recuperări inferioare sau superioare pentru congenerii individuali cu o contribuție la suma de PCB-uri care nu sunt de tipul dioxinelor mai mică de 10 %.</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—Cerințe privind metodele care nu utilizează toate cele șase etaloane interne marcate cu un izotop sau alte etaloane interne: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—controlul recuperării etalonului (etaloanelor) intern(e) pentru fiecare probă;</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—recuperări acceptabile ale etalonului (etaloanelor) intern(e) între 60 % și 120 %;</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—corecția rezultatelor pentru recuperările etaloanelor interne.</w:t>
            </w:r>
          </w:p>
          <w:p w:rsidR="003F7A2C"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t>—Recuperările congenerilor nemarcați se verifică prin probe îmbogățite sau probe pentru controlul calității cu concentrații în intervalul nivelului maxim. Recuperările acceptabile pentru acești congeneri sunt între 60 % și 120 %.</w:t>
            </w:r>
          </w:p>
          <w:p w:rsidR="003F7A2C" w:rsidRPr="001D4791" w:rsidRDefault="003F7A2C" w:rsidP="006534C2">
            <w:pPr>
              <w:jc w:val="both"/>
              <w:rPr>
                <w:rFonts w:ascii="Times New Roman" w:hAnsi="Times New Roman" w:cs="Times New Roman"/>
                <w:b/>
                <w:sz w:val="24"/>
                <w:szCs w:val="24"/>
              </w:rPr>
            </w:pPr>
            <w:r w:rsidRPr="001D4791">
              <w:rPr>
                <w:rFonts w:ascii="Times New Roman" w:hAnsi="Times New Roman" w:cs="Times New Roman"/>
                <w:b/>
                <w:sz w:val="24"/>
                <w:szCs w:val="24"/>
              </w:rPr>
              <w:t>7.   Cerințe pentru laboratoare</w:t>
            </w:r>
          </w:p>
          <w:p w:rsidR="008D7B1E" w:rsidRPr="001D4791" w:rsidRDefault="003F7A2C" w:rsidP="006534C2">
            <w:pPr>
              <w:jc w:val="both"/>
              <w:rPr>
                <w:rFonts w:ascii="Times New Roman" w:hAnsi="Times New Roman" w:cs="Times New Roman"/>
                <w:sz w:val="24"/>
                <w:szCs w:val="24"/>
              </w:rPr>
            </w:pPr>
            <w:r w:rsidRPr="001D4791">
              <w:rPr>
                <w:rFonts w:ascii="Times New Roman" w:hAnsi="Times New Roman" w:cs="Times New Roman"/>
                <w:sz w:val="24"/>
                <w:szCs w:val="24"/>
              </w:rPr>
              <w:lastRenderedPageBreak/>
              <w:t>În conformitate cu dispozițiile Regulamentului (CE) nr. 882/2004, laboratoarele sunt acreditate de un organism recunoscut care funcționează în conformitate cu Ghidul ISO 58, pentru a se asigura aplicarea de către acestea a procedurilor de asigurare a calității analizelor. Laboratoarele sunt acreditate conform standardului EN ISO/IEC 17025. În plus, dacă este cazul, trebuie respectate principiile descrise în Orientările tehnice pentru estimarea incertitudinii de măsurare și a limitelor de cuantificare pentru analiza PCB-urilor (4).</w:t>
            </w:r>
          </w:p>
        </w:tc>
        <w:tc>
          <w:tcPr>
            <w:tcW w:w="3827" w:type="dxa"/>
          </w:tcPr>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
                <w:bCs/>
                <w:sz w:val="24"/>
                <w:szCs w:val="24"/>
              </w:rPr>
              <w:lastRenderedPageBreak/>
              <w:t xml:space="preserve">75. </w:t>
            </w:r>
            <w:r w:rsidRPr="001D4791">
              <w:rPr>
                <w:rFonts w:ascii="Times New Roman" w:hAnsi="Times New Roman" w:cs="Times New Roman"/>
                <w:bCs/>
                <w:sz w:val="24"/>
                <w:szCs w:val="24"/>
              </w:rPr>
              <w:t xml:space="preserve">Metode de detectare aplicabile - </w:t>
            </w:r>
            <w:r w:rsidRPr="001D4791">
              <w:rPr>
                <w:rFonts w:ascii="Times New Roman" w:hAnsi="Times New Roman" w:cs="Times New Roman"/>
                <w:sz w:val="24"/>
                <w:szCs w:val="24"/>
              </w:rPr>
              <w:t>Gaz-cromatografie/detectare prin captură de electroni (GC-ECD), GC-LRMS, GC-MS/MS, GC-HRMS sau metode echivalente.</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76. </w:t>
            </w:r>
            <w:r w:rsidRPr="001D4791">
              <w:rPr>
                <w:rFonts w:ascii="Times New Roman" w:hAnsi="Times New Roman" w:cs="Times New Roman"/>
                <w:bCs/>
                <w:sz w:val="24"/>
                <w:szCs w:val="24"/>
              </w:rPr>
              <w:t>Identificarea și confirmarea analiților de interes</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1)</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Timpul de retenție relativ în raport cu etaloanele interne sau cu etaloanele de referință (deviație acceptabilă ± 0,25 %).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2)</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Separarea gaz-cromatografică a PCB-urilor care nu sunt de tipul dioxinelor de substanțele interferente, în special PCB-uri coeluante, mai ales în cazul în care nivelurile probelor sunt în limite legale și neconformitatea trebuie să fie confirmată.</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3)</w:t>
            </w:r>
            <w:r w:rsidRPr="001D4791">
              <w:rPr>
                <w:rFonts w:ascii="Times New Roman" w:hAnsi="Times New Roman" w:cs="Times New Roman"/>
                <w:b/>
                <w:bCs/>
                <w:sz w:val="24"/>
                <w:szCs w:val="24"/>
              </w:rPr>
              <w:t xml:space="preserve"> </w:t>
            </w:r>
            <w:r w:rsidRPr="001D4791">
              <w:rPr>
                <w:rFonts w:ascii="Times New Roman" w:hAnsi="Times New Roman" w:cs="Times New Roman"/>
                <w:sz w:val="24"/>
                <w:szCs w:val="24"/>
              </w:rPr>
              <w:t>Pentru tehnicile GC-MS:</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 xml:space="preserve">a) monitorizarea cel puțin a </w:t>
            </w:r>
            <w:r w:rsidRPr="001D4791">
              <w:rPr>
                <w:rFonts w:ascii="Times New Roman" w:hAnsi="Times New Roman" w:cs="Times New Roman"/>
                <w:sz w:val="24"/>
                <w:szCs w:val="24"/>
              </w:rPr>
              <w:lastRenderedPageBreak/>
              <w:t xml:space="preserve">următorului număr de ioni moleculari sau de ioni caracteristici din clusterul molecular: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 xml:space="preserve">- doi ioni specifici pentru HRMS;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 xml:space="preserve">- trei ioni specifici pentru LRMS;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 doi ioni precursori specifici, fiecare cu un ion de tranziție corespunzător produs pentru MS-MS.</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b) toleranțele maxime admisibile pentru abundențele izotopice relative pentru fragmentele de masă selecționate: Deviația relativă a abundenței izotopice relative pentru fragmentele de masă selecționate în raport cu valoarea teoretică a abundenței izotopice sau cu etalonul de calibrare pentru ionul de cuantificare (ionul monitorizat cu cea mai ridicată abundență izotopică) și ionul (ionii) de diagnostic: ± 15 %.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4) Pentru GC-ECD:</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Confirmarea rezultatelor care depășesc nivelul maxim cu două coloane de GC cu fază staționară cu o polaritate diferită.</w:t>
            </w:r>
          </w:p>
          <w:p w:rsidR="004F5B73" w:rsidRPr="001D4791" w:rsidRDefault="004F5B73" w:rsidP="00E21C68">
            <w:pPr>
              <w:jc w:val="both"/>
              <w:rPr>
                <w:rFonts w:ascii="Times New Roman" w:hAnsi="Times New Roman" w:cs="Times New Roman"/>
                <w:b/>
                <w:bCs/>
                <w:sz w:val="24"/>
                <w:szCs w:val="24"/>
              </w:rPr>
            </w:pPr>
          </w:p>
          <w:p w:rsidR="004F5B73" w:rsidRPr="001D4791" w:rsidRDefault="004F5B73" w:rsidP="00E21C68">
            <w:pPr>
              <w:jc w:val="both"/>
              <w:rPr>
                <w:rFonts w:ascii="Times New Roman" w:hAnsi="Times New Roman" w:cs="Times New Roman"/>
                <w:b/>
                <w:bCs/>
                <w:sz w:val="24"/>
                <w:szCs w:val="24"/>
              </w:rPr>
            </w:pPr>
          </w:p>
          <w:p w:rsidR="004F5B73" w:rsidRPr="001D4791" w:rsidRDefault="004F5B73" w:rsidP="00E21C68">
            <w:pPr>
              <w:jc w:val="both"/>
              <w:rPr>
                <w:rFonts w:ascii="Times New Roman" w:hAnsi="Times New Roman" w:cs="Times New Roman"/>
                <w:b/>
                <w:bCs/>
                <w:sz w:val="24"/>
                <w:szCs w:val="24"/>
              </w:rPr>
            </w:pP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77. </w:t>
            </w:r>
            <w:r w:rsidRPr="001D4791">
              <w:rPr>
                <w:rFonts w:ascii="Times New Roman" w:hAnsi="Times New Roman" w:cs="Times New Roman"/>
                <w:bCs/>
                <w:sz w:val="24"/>
                <w:szCs w:val="24"/>
              </w:rPr>
              <w:t>Performanța metodei se demonstrează prin v</w:t>
            </w:r>
            <w:r w:rsidRPr="001D4791">
              <w:rPr>
                <w:rFonts w:ascii="Times New Roman" w:hAnsi="Times New Roman" w:cs="Times New Roman"/>
                <w:sz w:val="24"/>
                <w:szCs w:val="24"/>
              </w:rPr>
              <w:t xml:space="preserve">alidare în intervalul nivelului maxim (0,5 până la de 2 ori nivelul maxim), cu un coeficient de variație acceptabil </w:t>
            </w:r>
            <w:r w:rsidRPr="001D4791">
              <w:rPr>
                <w:rFonts w:ascii="Times New Roman" w:hAnsi="Times New Roman" w:cs="Times New Roman"/>
                <w:sz w:val="24"/>
                <w:szCs w:val="24"/>
              </w:rPr>
              <w:lastRenderedPageBreak/>
              <w:t>pentru analiza repetată (a se vedea cerințele pentru precizia intermediară de la punctul 82).</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78. </w:t>
            </w:r>
            <w:r w:rsidRPr="001D4791">
              <w:rPr>
                <w:rFonts w:ascii="Times New Roman" w:hAnsi="Times New Roman" w:cs="Times New Roman"/>
                <w:sz w:val="24"/>
                <w:szCs w:val="24"/>
              </w:rPr>
              <w:t>Suma limitelor de cuantificare (LDC) ale PCB-urilor care nu sunt de tipul dioxinelor nu trebuie să fie mai mare de o treime din nivelul maxim.</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
                <w:bCs/>
                <w:sz w:val="24"/>
                <w:szCs w:val="24"/>
              </w:rPr>
              <w:t xml:space="preserve">79. </w:t>
            </w:r>
            <w:r w:rsidRPr="001D4791">
              <w:rPr>
                <w:rFonts w:ascii="Times New Roman" w:hAnsi="Times New Roman" w:cs="Times New Roman"/>
                <w:bCs/>
                <w:sz w:val="24"/>
                <w:szCs w:val="24"/>
              </w:rPr>
              <w:t>Controlul calității se face prin efectuarea c</w:t>
            </w:r>
            <w:r w:rsidRPr="001D4791">
              <w:rPr>
                <w:rFonts w:ascii="Times New Roman" w:hAnsi="Times New Roman" w:cs="Times New Roman"/>
                <w:sz w:val="24"/>
                <w:szCs w:val="24"/>
              </w:rPr>
              <w:t>ontroale periodice ale probelor-martor, analiza probelor îmbogățite, probe pentru controlul calității, participarea la studii interlaboratoare pe matrice relevante.</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80. </w:t>
            </w:r>
            <w:r w:rsidRPr="001D4791">
              <w:rPr>
                <w:rFonts w:ascii="Times New Roman" w:hAnsi="Times New Roman" w:cs="Times New Roman"/>
                <w:bCs/>
                <w:sz w:val="24"/>
                <w:szCs w:val="24"/>
              </w:rPr>
              <w:t>Controlul recuperărilor:</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1) </w:t>
            </w:r>
            <w:r w:rsidRPr="001D4791">
              <w:rPr>
                <w:rFonts w:ascii="Times New Roman" w:hAnsi="Times New Roman" w:cs="Times New Roman"/>
                <w:sz w:val="24"/>
                <w:szCs w:val="24"/>
              </w:rPr>
              <w:t>Utilizarea de etaloane interne corespunzătoare, cu proprietăți fizico-chimice comparabile cu cele ale analiților de interes</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Cs/>
                <w:sz w:val="24"/>
                <w:szCs w:val="24"/>
              </w:rPr>
              <w:t>2) Adăugarea de etaloane interne:</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a) </w:t>
            </w:r>
            <w:r w:rsidRPr="001D4791">
              <w:rPr>
                <w:rFonts w:ascii="Times New Roman" w:hAnsi="Times New Roman" w:cs="Times New Roman"/>
                <w:sz w:val="24"/>
                <w:szCs w:val="24"/>
              </w:rPr>
              <w:t>adăugare la produse (înaintea procesului de extracție și de curățare);</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b) </w:t>
            </w:r>
            <w:r w:rsidRPr="001D4791">
              <w:rPr>
                <w:rFonts w:ascii="Times New Roman" w:hAnsi="Times New Roman" w:cs="Times New Roman"/>
                <w:sz w:val="24"/>
                <w:szCs w:val="24"/>
              </w:rPr>
              <w:t>adăugare posibilă și pentru a extrage grăsimea (înainte de procesul de curățare), în cazul în care nivelul maxim este exprimat prin raportare la conținutul de grăsimi.</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3) </w:t>
            </w:r>
            <w:r w:rsidRPr="001D4791">
              <w:rPr>
                <w:rFonts w:ascii="Times New Roman" w:hAnsi="Times New Roman" w:cs="Times New Roman"/>
                <w:sz w:val="24"/>
                <w:szCs w:val="24"/>
              </w:rPr>
              <w:t>Cerințe privind metodele care utilizează toți cei șase congeneri ai PCB-urilor care nu sunt de tipul dioxinelor marcați cu un izotop:</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 xml:space="preserve">a) corecția rezultatelor pentru </w:t>
            </w:r>
            <w:r w:rsidRPr="001D4791">
              <w:rPr>
                <w:rFonts w:ascii="Times New Roman" w:hAnsi="Times New Roman" w:cs="Times New Roman"/>
                <w:sz w:val="24"/>
                <w:szCs w:val="24"/>
              </w:rPr>
              <w:lastRenderedPageBreak/>
              <w:t>recuperările etaloanelor interne;</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b) recuperările general acceptabile ale etaloanelor interne marcate cu un izotop sunt între 60 % și 120 %;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c) </w:t>
            </w:r>
            <w:r w:rsidRPr="001D4791">
              <w:rPr>
                <w:rFonts w:ascii="Times New Roman" w:hAnsi="Times New Roman" w:cs="Times New Roman"/>
                <w:sz w:val="24"/>
                <w:szCs w:val="24"/>
              </w:rPr>
              <w:t>sunt acceptabile recuperări inferioare sau superioare pentru congenerii individuali cu o contribuție la suma de PCB-uri care nu sunt de tipul dioxinelor mai mică de 10 %.</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Cs/>
                <w:sz w:val="24"/>
                <w:szCs w:val="24"/>
              </w:rPr>
              <w:t>4) Cerințe privind metodele care nu utilizează toate cele șase etaloane interne marcate cu un izotop sau alte etaloane interne:</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a) </w:t>
            </w:r>
            <w:r w:rsidRPr="001D4791">
              <w:rPr>
                <w:rFonts w:ascii="Times New Roman" w:hAnsi="Times New Roman" w:cs="Times New Roman"/>
                <w:sz w:val="24"/>
                <w:szCs w:val="24"/>
              </w:rPr>
              <w:t>controlul recuperării etalonului (etaloanelor) intern(e) pentru fiecare probă;</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b) recuperări acceptabile ale etalonului (etaloanelor) intern(e) între 60 % și 120 %;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sz w:val="24"/>
                <w:szCs w:val="24"/>
              </w:rPr>
              <w:t>c) corecția rezultatelor pentru recuperările etaloanelor interne.</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sz w:val="24"/>
                <w:szCs w:val="24"/>
              </w:rPr>
              <w:t>5) Recuperările congenerilor nemarcați se verifică prin probe îmbogățite sau probe pentru controlul calității cu concentrații în intervalul nivelului maxim. Recuperările acceptabile pentru acești congeneri sunt între 60 % și 120 %.</w:t>
            </w:r>
          </w:p>
          <w:p w:rsidR="004F5B73" w:rsidRPr="001D4791" w:rsidRDefault="004F5B73" w:rsidP="00E21C68">
            <w:pPr>
              <w:jc w:val="both"/>
              <w:rPr>
                <w:rFonts w:ascii="Times New Roman" w:hAnsi="Times New Roman" w:cs="Times New Roman"/>
                <w:b/>
                <w:bCs/>
                <w:sz w:val="24"/>
                <w:szCs w:val="24"/>
              </w:rPr>
            </w:pPr>
          </w:p>
          <w:p w:rsidR="004F5B73" w:rsidRPr="001D4791" w:rsidRDefault="004F5B73" w:rsidP="00E21C68">
            <w:pPr>
              <w:jc w:val="both"/>
              <w:rPr>
                <w:rFonts w:ascii="Times New Roman" w:hAnsi="Times New Roman" w:cs="Times New Roman"/>
                <w:b/>
                <w:bCs/>
                <w:sz w:val="24"/>
                <w:szCs w:val="24"/>
              </w:rPr>
            </w:pP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
                <w:bCs/>
                <w:sz w:val="24"/>
                <w:szCs w:val="24"/>
              </w:rPr>
              <w:t xml:space="preserve">81. </w:t>
            </w:r>
            <w:r w:rsidRPr="001D4791">
              <w:rPr>
                <w:rFonts w:ascii="Times New Roman" w:hAnsi="Times New Roman" w:cs="Times New Roman"/>
                <w:sz w:val="24"/>
                <w:szCs w:val="24"/>
              </w:rPr>
              <w:t xml:space="preserve">În conformitate cu dispozițiile </w:t>
            </w:r>
            <w:r w:rsidRPr="001D4791">
              <w:rPr>
                <w:rFonts w:ascii="Times New Roman" w:hAnsi="Times New Roman" w:cs="Times New Roman"/>
                <w:sz w:val="24"/>
                <w:szCs w:val="24"/>
              </w:rPr>
              <w:lastRenderedPageBreak/>
              <w:t>Legii nr. 50 din  28.03.2013cu privire la controalele oficiale pentru verificarea conformităţii cu legislaţia privind hrana pentru animale şi produsele alimentare şi cu normele de sănătate şi de bunăstare a animalelor laboratoarele trebuie să fie acreditate conform standardului naţional SM SR EN ISO/IEC 17025:2018 „Cerinţe generale pentru competenţa laboratoarelor de încercări şi etalonări”</w:t>
            </w:r>
            <w:r w:rsidRPr="001D4791">
              <w:rPr>
                <w:rFonts w:ascii="Times New Roman" w:hAnsi="Times New Roman" w:cs="Times New Roman"/>
                <w:bCs/>
                <w:sz w:val="24"/>
                <w:szCs w:val="24"/>
              </w:rPr>
              <w:t>.</w:t>
            </w:r>
          </w:p>
          <w:p w:rsidR="008D7B1E" w:rsidRPr="001D4791" w:rsidRDefault="008D7B1E" w:rsidP="00E21C68">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47633F"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C40C63" w:rsidRPr="001D4791" w:rsidRDefault="00C40C63" w:rsidP="006534C2">
            <w:pPr>
              <w:rPr>
                <w:rFonts w:ascii="Times New Roman" w:hAnsi="Times New Roman" w:cs="Times New Roman"/>
                <w:b/>
                <w:bCs/>
                <w:sz w:val="24"/>
                <w:szCs w:val="24"/>
              </w:rPr>
            </w:pPr>
            <w:r w:rsidRPr="001D4791">
              <w:rPr>
                <w:rFonts w:ascii="Times New Roman" w:hAnsi="Times New Roman" w:cs="Times New Roman"/>
                <w:b/>
                <w:bCs/>
                <w:sz w:val="24"/>
                <w:szCs w:val="24"/>
                <w:lang w:val="ru-RU"/>
              </w:rPr>
              <w:lastRenderedPageBreak/>
              <w:t>8.   Caracteristici de performanță: criterii pentru suma PCB-urilor care nu sunt de tipul dioxinelor la nivelul maxim</w:t>
            </w:r>
          </w:p>
          <w:p w:rsidR="004F5B73" w:rsidRPr="001D4791" w:rsidRDefault="004F5B73" w:rsidP="006534C2">
            <w:pPr>
              <w:rPr>
                <w:rFonts w:ascii="Times New Roman" w:hAnsi="Times New Roman" w:cs="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74"/>
              <w:gridCol w:w="1413"/>
              <w:gridCol w:w="575"/>
            </w:tblGrid>
            <w:tr w:rsidR="00C40C63" w:rsidRPr="001D4791" w:rsidTr="00C40C63">
              <w:tc>
                <w:tcPr>
                  <w:tcW w:w="42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sz w:val="24"/>
                      <w:szCs w:val="24"/>
                      <w:lang w:val="ru-RU"/>
                    </w:rPr>
                  </w:pPr>
                  <w:r w:rsidRPr="001D4791">
                    <w:rPr>
                      <w:rFonts w:ascii="Times New Roman" w:hAnsi="Times New Roman" w:cs="Times New Roman"/>
                      <w:sz w:val="24"/>
                      <w:szCs w:val="24"/>
                      <w:lang w:val="ru-RU"/>
                    </w:rPr>
                    <w:t> </w:t>
                  </w:r>
                </w:p>
              </w:tc>
              <w:tc>
                <w:tcPr>
                  <w:tcW w:w="379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b/>
                      <w:bCs/>
                      <w:sz w:val="24"/>
                      <w:szCs w:val="24"/>
                      <w:lang w:val="es-AR"/>
                    </w:rPr>
                  </w:pPr>
                  <w:r w:rsidRPr="001D4791">
                    <w:rPr>
                      <w:rFonts w:ascii="Times New Roman" w:hAnsi="Times New Roman" w:cs="Times New Roman"/>
                      <w:b/>
                      <w:bCs/>
                      <w:sz w:val="24"/>
                      <w:szCs w:val="24"/>
                      <w:lang w:val="es-AR"/>
                    </w:rPr>
                    <w:t>Spectrometria de masă prin metoda de diluție a izotopilor</w:t>
                  </w:r>
                  <w:hyperlink r:id="rId12" w:anchor="ntr*1-L_2017092RO.01003201-E0005" w:history="1">
                    <w:r w:rsidRPr="001D4791">
                      <w:rPr>
                        <w:rStyle w:val="a5"/>
                        <w:rFonts w:ascii="Times New Roman" w:hAnsi="Times New Roman" w:cs="Times New Roman"/>
                        <w:b/>
                        <w:bCs/>
                        <w:color w:val="auto"/>
                        <w:sz w:val="24"/>
                        <w:szCs w:val="24"/>
                        <w:lang w:val="es-AR"/>
                      </w:rPr>
                      <w:t> (</w:t>
                    </w:r>
                    <w:r w:rsidRPr="001D4791">
                      <w:rPr>
                        <w:rStyle w:val="a5"/>
                        <w:rFonts w:ascii="Times New Roman" w:hAnsi="Times New Roman" w:cs="Times New Roman"/>
                        <w:b/>
                        <w:bCs/>
                        <w:color w:val="auto"/>
                        <w:sz w:val="24"/>
                        <w:szCs w:val="24"/>
                        <w:vertAlign w:val="superscript"/>
                        <w:lang w:val="es-AR"/>
                      </w:rPr>
                      <w:t>*1</w:t>
                    </w:r>
                    <w:r w:rsidRPr="001D4791">
                      <w:rPr>
                        <w:rStyle w:val="a5"/>
                        <w:rFonts w:ascii="Times New Roman" w:hAnsi="Times New Roman" w:cs="Times New Roman"/>
                        <w:b/>
                        <w:bCs/>
                        <w:color w:val="auto"/>
                        <w:sz w:val="24"/>
                        <w:szCs w:val="24"/>
                        <w:lang w:val="es-AR"/>
                      </w:rPr>
                      <w:t>)</w:t>
                    </w:r>
                  </w:hyperlink>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t>Alte tehnici</w:t>
                  </w:r>
                </w:p>
              </w:tc>
            </w:tr>
            <w:tr w:rsidR="00C40C63" w:rsidRPr="001D4791" w:rsidTr="00C40C63">
              <w:tc>
                <w:tcPr>
                  <w:tcW w:w="42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t>Fidelitate</w:t>
                  </w:r>
                </w:p>
              </w:tc>
              <w:tc>
                <w:tcPr>
                  <w:tcW w:w="379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sz w:val="24"/>
                      <w:szCs w:val="24"/>
                      <w:lang w:val="ru-RU"/>
                    </w:rPr>
                  </w:pPr>
                  <w:r w:rsidRPr="001D4791">
                    <w:rPr>
                      <w:rFonts w:ascii="Times New Roman" w:hAnsi="Times New Roman" w:cs="Times New Roman"/>
                      <w:sz w:val="24"/>
                      <w:szCs w:val="24"/>
                      <w:lang w:val="ru-RU"/>
                    </w:rPr>
                    <w:t>– 20 până la +20 %</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sz w:val="24"/>
                      <w:szCs w:val="24"/>
                      <w:lang w:val="ru-RU"/>
                    </w:rPr>
                  </w:pPr>
                  <w:r w:rsidRPr="001D4791">
                    <w:rPr>
                      <w:rFonts w:ascii="Times New Roman" w:hAnsi="Times New Roman" w:cs="Times New Roman"/>
                      <w:sz w:val="24"/>
                      <w:szCs w:val="24"/>
                      <w:lang w:val="ru-RU"/>
                    </w:rPr>
                    <w:t>– 30 până la +30 %</w:t>
                  </w:r>
                </w:p>
              </w:tc>
            </w:tr>
            <w:tr w:rsidR="00C40C63" w:rsidRPr="001D4791" w:rsidTr="00C40C63">
              <w:tc>
                <w:tcPr>
                  <w:tcW w:w="42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b/>
                      <w:bCs/>
                      <w:sz w:val="24"/>
                      <w:szCs w:val="24"/>
                      <w:lang w:val="ru-RU"/>
                    </w:rPr>
                  </w:pPr>
                  <w:r w:rsidRPr="001D4791">
                    <w:rPr>
                      <w:rFonts w:ascii="Times New Roman" w:hAnsi="Times New Roman" w:cs="Times New Roman"/>
                      <w:b/>
                      <w:bCs/>
                      <w:sz w:val="24"/>
                      <w:szCs w:val="24"/>
                      <w:lang w:val="ru-RU"/>
                    </w:rPr>
                    <w:lastRenderedPageBreak/>
                    <w:t>Precizie intermediară (RSD</w:t>
                  </w:r>
                  <w:r w:rsidRPr="001D4791">
                    <w:rPr>
                      <w:rFonts w:ascii="Times New Roman" w:hAnsi="Times New Roman" w:cs="Times New Roman"/>
                      <w:b/>
                      <w:bCs/>
                      <w:sz w:val="24"/>
                      <w:szCs w:val="24"/>
                      <w:vertAlign w:val="subscript"/>
                      <w:lang w:val="ru-RU"/>
                    </w:rPr>
                    <w:t>R</w:t>
                  </w:r>
                  <w:r w:rsidRPr="001D4791">
                    <w:rPr>
                      <w:rFonts w:ascii="Times New Roman" w:hAnsi="Times New Roman" w:cs="Times New Roman"/>
                      <w:b/>
                      <w:bCs/>
                      <w:sz w:val="24"/>
                      <w:szCs w:val="24"/>
                      <w:lang w:val="ru-RU"/>
                    </w:rPr>
                    <w:t>)</w:t>
                  </w:r>
                </w:p>
              </w:tc>
              <w:tc>
                <w:tcPr>
                  <w:tcW w:w="379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sz w:val="24"/>
                      <w:szCs w:val="24"/>
                      <w:lang w:val="ru-RU"/>
                    </w:rPr>
                  </w:pPr>
                  <w:r w:rsidRPr="001D4791">
                    <w:rPr>
                      <w:rFonts w:ascii="Times New Roman" w:hAnsi="Times New Roman" w:cs="Times New Roman"/>
                      <w:sz w:val="24"/>
                      <w:szCs w:val="24"/>
                      <w:lang w:val="ru-RU"/>
                    </w:rPr>
                    <w:t>≤ 15 %</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sz w:val="24"/>
                      <w:szCs w:val="24"/>
                      <w:lang w:val="ru-RU"/>
                    </w:rPr>
                  </w:pPr>
                  <w:r w:rsidRPr="001D4791">
                    <w:rPr>
                      <w:rFonts w:ascii="Times New Roman" w:hAnsi="Times New Roman" w:cs="Times New Roman"/>
                      <w:sz w:val="24"/>
                      <w:szCs w:val="24"/>
                      <w:lang w:val="ru-RU"/>
                    </w:rPr>
                    <w:t>≤ 20 %</w:t>
                  </w:r>
                </w:p>
              </w:tc>
            </w:tr>
            <w:tr w:rsidR="00C40C63" w:rsidRPr="001D4791" w:rsidTr="00C40C63">
              <w:tc>
                <w:tcPr>
                  <w:tcW w:w="42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b/>
                      <w:bCs/>
                      <w:sz w:val="24"/>
                      <w:szCs w:val="24"/>
                      <w:lang w:val="it-IT"/>
                    </w:rPr>
                  </w:pPr>
                  <w:r w:rsidRPr="001D4791">
                    <w:rPr>
                      <w:rFonts w:ascii="Times New Roman" w:hAnsi="Times New Roman" w:cs="Times New Roman"/>
                      <w:b/>
                      <w:bCs/>
                      <w:sz w:val="24"/>
                      <w:szCs w:val="24"/>
                      <w:lang w:val="it-IT"/>
                    </w:rPr>
                    <w:t>Diferența dintre estimarea superioară și estimarea inferioară a calculului</w:t>
                  </w:r>
                </w:p>
              </w:tc>
              <w:tc>
                <w:tcPr>
                  <w:tcW w:w="379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sz w:val="24"/>
                      <w:szCs w:val="24"/>
                      <w:lang w:val="ru-RU"/>
                    </w:rPr>
                  </w:pPr>
                  <w:r w:rsidRPr="001D4791">
                    <w:rPr>
                      <w:rFonts w:ascii="Times New Roman" w:hAnsi="Times New Roman" w:cs="Times New Roman"/>
                      <w:sz w:val="24"/>
                      <w:szCs w:val="24"/>
                      <w:lang w:val="ru-RU"/>
                    </w:rPr>
                    <w:t>≤ 20 %</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160606" w:rsidRPr="001D4791" w:rsidRDefault="00C40C63" w:rsidP="001D4791">
                  <w:pPr>
                    <w:framePr w:hSpace="180" w:wrap="around" w:vAnchor="text" w:hAnchor="text" w:y="1"/>
                    <w:spacing w:after="0" w:line="240" w:lineRule="auto"/>
                    <w:suppressOverlap/>
                    <w:rPr>
                      <w:rFonts w:ascii="Times New Roman" w:hAnsi="Times New Roman" w:cs="Times New Roman"/>
                      <w:sz w:val="24"/>
                      <w:szCs w:val="24"/>
                      <w:lang w:val="ru-RU"/>
                    </w:rPr>
                  </w:pPr>
                  <w:r w:rsidRPr="001D4791">
                    <w:rPr>
                      <w:rFonts w:ascii="Times New Roman" w:hAnsi="Times New Roman" w:cs="Times New Roman"/>
                      <w:sz w:val="24"/>
                      <w:szCs w:val="24"/>
                      <w:lang w:val="ru-RU"/>
                    </w:rPr>
                    <w:t>≤ 20 %</w:t>
                  </w:r>
                </w:p>
              </w:tc>
            </w:tr>
          </w:tbl>
          <w:p w:rsidR="008D7B1E" w:rsidRPr="001D4791" w:rsidRDefault="008D7B1E" w:rsidP="006534C2">
            <w:pPr>
              <w:rPr>
                <w:rFonts w:ascii="Times New Roman" w:hAnsi="Times New Roman" w:cs="Times New Roman"/>
                <w:sz w:val="24"/>
                <w:szCs w:val="24"/>
              </w:rPr>
            </w:pPr>
          </w:p>
        </w:tc>
        <w:tc>
          <w:tcPr>
            <w:tcW w:w="3827" w:type="dxa"/>
          </w:tcPr>
          <w:p w:rsidR="004F5B73" w:rsidRPr="001D4791" w:rsidRDefault="004F5B73" w:rsidP="006534C2">
            <w:pPr>
              <w:rPr>
                <w:rFonts w:ascii="Times New Roman" w:hAnsi="Times New Roman" w:cs="Times New Roman"/>
                <w:b/>
                <w:bCs/>
                <w:sz w:val="24"/>
                <w:szCs w:val="24"/>
              </w:rPr>
            </w:pPr>
            <w:r w:rsidRPr="001D4791">
              <w:rPr>
                <w:rFonts w:ascii="Times New Roman" w:hAnsi="Times New Roman" w:cs="Times New Roman"/>
                <w:b/>
                <w:bCs/>
                <w:sz w:val="24"/>
                <w:szCs w:val="24"/>
              </w:rPr>
              <w:lastRenderedPageBreak/>
              <w:t xml:space="preserve">82 </w:t>
            </w:r>
            <w:r w:rsidRPr="001D4791">
              <w:rPr>
                <w:rFonts w:ascii="Times New Roman" w:hAnsi="Times New Roman" w:cs="Times New Roman"/>
                <w:bCs/>
                <w:sz w:val="24"/>
                <w:szCs w:val="24"/>
              </w:rPr>
              <w:t>Caracteristici de performanță: criterii pentru suma PCB-urilor care nu sunt de tipul dioxinelor la nivelul maxim</w:t>
            </w:r>
          </w:p>
          <w:p w:rsidR="004F5B73" w:rsidRPr="001D4791" w:rsidRDefault="004F5B73" w:rsidP="006534C2">
            <w:pPr>
              <w:rPr>
                <w:rFonts w:ascii="Times New Roman" w:hAnsi="Times New Roman" w:cs="Times New Roman"/>
                <w:bCs/>
                <w:sz w:val="24"/>
                <w:szCs w:val="24"/>
              </w:rPr>
            </w:pPr>
            <w:r w:rsidRPr="001D4791">
              <w:rPr>
                <w:rFonts w:ascii="Times New Roman" w:hAnsi="Times New Roman" w:cs="Times New Roman"/>
                <w:bCs/>
                <w:sz w:val="24"/>
                <w:szCs w:val="24"/>
              </w:rPr>
              <w:t>Tabelul nr. 7</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64"/>
              <w:gridCol w:w="1432"/>
              <w:gridCol w:w="599"/>
            </w:tblGrid>
            <w:tr w:rsidR="004F5B73" w:rsidRPr="001D4791" w:rsidTr="004F5B73">
              <w:tc>
                <w:tcPr>
                  <w:tcW w:w="43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w:t>
                  </w:r>
                </w:p>
              </w:tc>
              <w:tc>
                <w:tcPr>
                  <w:tcW w:w="3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Spectrometria de masă prin metoda de diluție a izotopilor</w:t>
                  </w:r>
                  <w:hyperlink r:id="rId13" w:anchor="ntr*1-L_2017092RO.01003201-E0005" w:history="1">
                    <w:r w:rsidRPr="001D4791">
                      <w:rPr>
                        <w:rStyle w:val="a5"/>
                        <w:rFonts w:ascii="Times New Roman" w:hAnsi="Times New Roman" w:cs="Times New Roman"/>
                        <w:b/>
                        <w:bCs/>
                        <w:color w:val="auto"/>
                        <w:sz w:val="24"/>
                        <w:szCs w:val="24"/>
                      </w:rPr>
                      <w:t> (</w:t>
                    </w:r>
                    <w:r w:rsidRPr="001D4791">
                      <w:rPr>
                        <w:rStyle w:val="a5"/>
                        <w:rFonts w:ascii="Times New Roman" w:hAnsi="Times New Roman" w:cs="Times New Roman"/>
                        <w:b/>
                        <w:bCs/>
                        <w:color w:val="auto"/>
                        <w:sz w:val="24"/>
                        <w:szCs w:val="24"/>
                        <w:vertAlign w:val="superscript"/>
                      </w:rPr>
                      <w:t>*1</w:t>
                    </w:r>
                    <w:r w:rsidRPr="001D4791">
                      <w:rPr>
                        <w:rStyle w:val="a5"/>
                        <w:rFonts w:ascii="Times New Roman" w:hAnsi="Times New Roman" w:cs="Times New Roman"/>
                        <w:b/>
                        <w:bCs/>
                        <w:color w:val="auto"/>
                        <w:sz w:val="24"/>
                        <w:szCs w:val="24"/>
                      </w:rPr>
                      <w:t>)</w:t>
                    </w:r>
                  </w:hyperlink>
                </w:p>
              </w:tc>
              <w:tc>
                <w:tcPr>
                  <w:tcW w:w="151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Alte tehnici</w:t>
                  </w:r>
                </w:p>
              </w:tc>
            </w:tr>
            <w:tr w:rsidR="004F5B73" w:rsidRPr="001D4791" w:rsidTr="004F5B73">
              <w:tc>
                <w:tcPr>
                  <w:tcW w:w="43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Fidelitate</w:t>
                  </w:r>
                </w:p>
              </w:tc>
              <w:tc>
                <w:tcPr>
                  <w:tcW w:w="3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20 până la +20 %</w:t>
                  </w:r>
                </w:p>
              </w:tc>
              <w:tc>
                <w:tcPr>
                  <w:tcW w:w="151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30 până la +30 %</w:t>
                  </w:r>
                </w:p>
              </w:tc>
            </w:tr>
            <w:tr w:rsidR="004F5B73" w:rsidRPr="001D4791" w:rsidTr="004F5B73">
              <w:tc>
                <w:tcPr>
                  <w:tcW w:w="43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t xml:space="preserve">Precizie </w:t>
                  </w:r>
                  <w:r w:rsidRPr="001D4791">
                    <w:rPr>
                      <w:rFonts w:ascii="Times New Roman" w:hAnsi="Times New Roman" w:cs="Times New Roman"/>
                      <w:b/>
                      <w:bCs/>
                      <w:sz w:val="24"/>
                      <w:szCs w:val="24"/>
                    </w:rPr>
                    <w:lastRenderedPageBreak/>
                    <w:t>intermediară (RSD</w:t>
                  </w:r>
                  <w:r w:rsidRPr="001D4791">
                    <w:rPr>
                      <w:rFonts w:ascii="Times New Roman" w:hAnsi="Times New Roman" w:cs="Times New Roman"/>
                      <w:b/>
                      <w:bCs/>
                      <w:sz w:val="24"/>
                      <w:szCs w:val="24"/>
                      <w:vertAlign w:val="subscript"/>
                    </w:rPr>
                    <w:t>R</w:t>
                  </w:r>
                  <w:r w:rsidRPr="001D4791">
                    <w:rPr>
                      <w:rFonts w:ascii="Times New Roman" w:hAnsi="Times New Roman" w:cs="Times New Roman"/>
                      <w:b/>
                      <w:bCs/>
                      <w:sz w:val="24"/>
                      <w:szCs w:val="24"/>
                    </w:rPr>
                    <w:t>)</w:t>
                  </w:r>
                </w:p>
              </w:tc>
              <w:tc>
                <w:tcPr>
                  <w:tcW w:w="3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lastRenderedPageBreak/>
                    <w:t>≤ 15 %</w:t>
                  </w:r>
                </w:p>
              </w:tc>
              <w:tc>
                <w:tcPr>
                  <w:tcW w:w="151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xml:space="preserve">≤ 20 </w:t>
                  </w:r>
                  <w:r w:rsidRPr="001D4791">
                    <w:rPr>
                      <w:rFonts w:ascii="Times New Roman" w:hAnsi="Times New Roman" w:cs="Times New Roman"/>
                      <w:sz w:val="24"/>
                      <w:szCs w:val="24"/>
                    </w:rPr>
                    <w:lastRenderedPageBreak/>
                    <w:t>%</w:t>
                  </w:r>
                </w:p>
              </w:tc>
            </w:tr>
            <w:tr w:rsidR="004F5B73" w:rsidRPr="001D4791" w:rsidTr="004F5B73">
              <w:tc>
                <w:tcPr>
                  <w:tcW w:w="43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b/>
                      <w:bCs/>
                      <w:sz w:val="24"/>
                      <w:szCs w:val="24"/>
                    </w:rPr>
                  </w:pPr>
                  <w:r w:rsidRPr="001D4791">
                    <w:rPr>
                      <w:rFonts w:ascii="Times New Roman" w:hAnsi="Times New Roman" w:cs="Times New Roman"/>
                      <w:b/>
                      <w:bCs/>
                      <w:sz w:val="24"/>
                      <w:szCs w:val="24"/>
                    </w:rPr>
                    <w:lastRenderedPageBreak/>
                    <w:t>Diferența dintre estimarea superioară și estimarea inferioară a calculului</w:t>
                  </w:r>
                </w:p>
              </w:tc>
              <w:tc>
                <w:tcPr>
                  <w:tcW w:w="3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20 %</w:t>
                  </w:r>
                </w:p>
              </w:tc>
              <w:tc>
                <w:tcPr>
                  <w:tcW w:w="151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4F5B73" w:rsidRPr="001D4791" w:rsidRDefault="004F5B73" w:rsidP="001D4791">
                  <w:pPr>
                    <w:framePr w:hSpace="180" w:wrap="around" w:vAnchor="text" w:hAnchor="text" w:y="1"/>
                    <w:spacing w:after="0" w:line="240" w:lineRule="auto"/>
                    <w:suppressOverlap/>
                    <w:rPr>
                      <w:rFonts w:ascii="Times New Roman" w:hAnsi="Times New Roman" w:cs="Times New Roman"/>
                      <w:sz w:val="24"/>
                      <w:szCs w:val="24"/>
                    </w:rPr>
                  </w:pPr>
                  <w:r w:rsidRPr="001D4791">
                    <w:rPr>
                      <w:rFonts w:ascii="Times New Roman" w:hAnsi="Times New Roman" w:cs="Times New Roman"/>
                      <w:sz w:val="24"/>
                      <w:szCs w:val="24"/>
                    </w:rPr>
                    <w:t>≤ 20 %</w:t>
                  </w:r>
                </w:p>
              </w:tc>
            </w:tr>
          </w:tbl>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47633F"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C40C63" w:rsidRPr="001D4791" w:rsidRDefault="00C40C63" w:rsidP="006534C2">
            <w:pPr>
              <w:jc w:val="both"/>
              <w:rPr>
                <w:rFonts w:ascii="Times New Roman" w:hAnsi="Times New Roman" w:cs="Times New Roman"/>
                <w:b/>
                <w:sz w:val="24"/>
                <w:szCs w:val="24"/>
              </w:rPr>
            </w:pPr>
            <w:r w:rsidRPr="001D4791">
              <w:rPr>
                <w:rFonts w:ascii="Times New Roman" w:hAnsi="Times New Roman" w:cs="Times New Roman"/>
                <w:b/>
                <w:sz w:val="24"/>
                <w:szCs w:val="24"/>
              </w:rPr>
              <w:lastRenderedPageBreak/>
              <w:t>9.   Raportarea rezultatelor</w:t>
            </w:r>
          </w:p>
          <w:p w:rsidR="00C40C63" w:rsidRPr="001D4791" w:rsidRDefault="00C40C63" w:rsidP="006534C2">
            <w:pPr>
              <w:jc w:val="both"/>
              <w:rPr>
                <w:rFonts w:ascii="Times New Roman" w:hAnsi="Times New Roman" w:cs="Times New Roman"/>
                <w:sz w:val="24"/>
                <w:szCs w:val="24"/>
              </w:rPr>
            </w:pPr>
            <w:r w:rsidRPr="001D4791">
              <w:rPr>
                <w:rFonts w:ascii="Times New Roman" w:hAnsi="Times New Roman" w:cs="Times New Roman"/>
                <w:sz w:val="24"/>
                <w:szCs w:val="24"/>
              </w:rPr>
              <w:t>—Rezultatele analitice cuprind nivelurile de congeneri individuali ai PCB-urilor care nu sunt de tipul dioxinelor și suma PCB-urilor care nu sunt de tipul dioxinelor, raportate ca estimare inferioară, estimare superioară și estimare mediană, pentru a include o cantitate maximă de informații în raportarea rezultatelor, ceea ce permite o interpretare a rezultatelor în conformitate cu cerințele specifice.</w:t>
            </w:r>
          </w:p>
          <w:p w:rsidR="00C40C63" w:rsidRPr="001D4791" w:rsidRDefault="00C40C63" w:rsidP="006534C2">
            <w:pPr>
              <w:jc w:val="both"/>
              <w:rPr>
                <w:rFonts w:ascii="Times New Roman" w:hAnsi="Times New Roman" w:cs="Times New Roman"/>
                <w:sz w:val="24"/>
                <w:szCs w:val="24"/>
              </w:rPr>
            </w:pPr>
            <w:r w:rsidRPr="001D4791">
              <w:rPr>
                <w:rFonts w:ascii="Times New Roman" w:hAnsi="Times New Roman" w:cs="Times New Roman"/>
                <w:sz w:val="24"/>
                <w:szCs w:val="24"/>
              </w:rPr>
              <w:t xml:space="preserve">—Raportul include și metoda utilizată pentru extracția PCB-urilor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w:t>
            </w:r>
            <w:r w:rsidRPr="001D4791">
              <w:rPr>
                <w:rFonts w:ascii="Times New Roman" w:hAnsi="Times New Roman" w:cs="Times New Roman"/>
                <w:sz w:val="24"/>
                <w:szCs w:val="24"/>
              </w:rPr>
              <w:lastRenderedPageBreak/>
              <w:t>probe, determinarea conținutului de lipide este opțională.</w:t>
            </w:r>
          </w:p>
          <w:p w:rsidR="00C40C63" w:rsidRPr="001D4791" w:rsidRDefault="00C40C63" w:rsidP="006534C2">
            <w:pPr>
              <w:jc w:val="both"/>
              <w:rPr>
                <w:rFonts w:ascii="Times New Roman" w:hAnsi="Times New Roman" w:cs="Times New Roman"/>
                <w:sz w:val="24"/>
                <w:szCs w:val="24"/>
              </w:rPr>
            </w:pPr>
            <w:r w:rsidRPr="001D4791">
              <w:rPr>
                <w:rFonts w:ascii="Times New Roman" w:hAnsi="Times New Roman" w:cs="Times New Roman"/>
                <w:sz w:val="24"/>
                <w:szCs w:val="24"/>
              </w:rPr>
              <w:t>—Recuperările etaloanelor interne individuale trebuie să fie disponibile în cazul în care recuperările se situează în afara intervalului menționat la punctul 6 și în cazul în care nivelul maxim este depășit, iar în celelalte cazuri, la cerere.</w:t>
            </w:r>
          </w:p>
          <w:p w:rsidR="00C40C63" w:rsidRPr="001D4791" w:rsidRDefault="00C40C63" w:rsidP="006534C2">
            <w:pPr>
              <w:jc w:val="both"/>
              <w:rPr>
                <w:rFonts w:ascii="Times New Roman" w:hAnsi="Times New Roman" w:cs="Times New Roman"/>
                <w:sz w:val="24"/>
                <w:szCs w:val="24"/>
              </w:rPr>
            </w:pPr>
            <w:r w:rsidRPr="001D4791">
              <w:rPr>
                <w:rFonts w:ascii="Times New Roman" w:hAnsi="Times New Roman" w:cs="Times New Roman"/>
                <w:sz w:val="24"/>
                <w:szCs w:val="24"/>
              </w:rPr>
              <w:t>—Întrucât, atunci când se decide conformitatea unei probe, se ține seama de incertitudinea de măsurare extinsă, și parametrul respectiv trebuie să fie pus la dispoziție. De aceea, rezultatele analitice se raportează ca x ± U, unde x este rezultatul analitic și U este incertitudinea de măsurare extinsă, folosind un factor de acoperire 2, care conferă un nivel de încredere de aproximativ 95 %.</w:t>
            </w:r>
          </w:p>
          <w:p w:rsidR="008D7B1E" w:rsidRPr="001D4791" w:rsidRDefault="00C40C63" w:rsidP="006534C2">
            <w:pPr>
              <w:jc w:val="both"/>
              <w:rPr>
                <w:rFonts w:ascii="Times New Roman" w:hAnsi="Times New Roman" w:cs="Times New Roman"/>
                <w:sz w:val="24"/>
                <w:szCs w:val="24"/>
              </w:rPr>
            </w:pPr>
            <w:r w:rsidRPr="001D4791">
              <w:rPr>
                <w:rFonts w:ascii="Times New Roman" w:hAnsi="Times New Roman" w:cs="Times New Roman"/>
                <w:sz w:val="24"/>
                <w:szCs w:val="24"/>
              </w:rPr>
              <w:t>—Rezultatele se exprimă în aceleași unități și prin același număr de cifre semnificative ca și nivelurile maxime prevăzute în Regulamentul (CE) nr. 1881/2006.</w:t>
            </w:r>
          </w:p>
        </w:tc>
        <w:tc>
          <w:tcPr>
            <w:tcW w:w="3827" w:type="dxa"/>
          </w:tcPr>
          <w:p w:rsidR="004F5B73" w:rsidRPr="001D4791" w:rsidRDefault="004F5B73" w:rsidP="00E21C68">
            <w:pPr>
              <w:jc w:val="both"/>
              <w:rPr>
                <w:rFonts w:ascii="Times New Roman" w:hAnsi="Times New Roman" w:cs="Times New Roman"/>
                <w:b/>
                <w:bCs/>
                <w:sz w:val="24"/>
                <w:szCs w:val="24"/>
              </w:rPr>
            </w:pPr>
            <w:r w:rsidRPr="001D4791">
              <w:rPr>
                <w:rFonts w:ascii="Times New Roman" w:hAnsi="Times New Roman" w:cs="Times New Roman"/>
                <w:b/>
                <w:bCs/>
                <w:sz w:val="24"/>
                <w:szCs w:val="24"/>
              </w:rPr>
              <w:lastRenderedPageBreak/>
              <w:t xml:space="preserve">83. </w:t>
            </w:r>
            <w:r w:rsidRPr="001D4791">
              <w:rPr>
                <w:rFonts w:ascii="Times New Roman" w:hAnsi="Times New Roman" w:cs="Times New Roman"/>
                <w:bCs/>
                <w:sz w:val="24"/>
                <w:szCs w:val="24"/>
              </w:rPr>
              <w:t>Raportarea rezultatelor</w:t>
            </w:r>
          </w:p>
          <w:p w:rsidR="004F5B73" w:rsidRPr="001D4791" w:rsidRDefault="004F5B73" w:rsidP="00E21C68">
            <w:pPr>
              <w:jc w:val="both"/>
              <w:rPr>
                <w:rFonts w:ascii="Times New Roman" w:hAnsi="Times New Roman" w:cs="Times New Roman"/>
                <w:bCs/>
                <w:sz w:val="24"/>
                <w:szCs w:val="24"/>
              </w:rPr>
            </w:pPr>
            <w:r w:rsidRPr="001D4791">
              <w:rPr>
                <w:rFonts w:ascii="Times New Roman" w:hAnsi="Times New Roman" w:cs="Times New Roman"/>
                <w:bCs/>
                <w:sz w:val="24"/>
                <w:szCs w:val="24"/>
              </w:rPr>
              <w:t xml:space="preserve">1) </w:t>
            </w:r>
            <w:r w:rsidRPr="001D4791">
              <w:rPr>
                <w:rFonts w:ascii="Times New Roman" w:hAnsi="Times New Roman" w:cs="Times New Roman"/>
                <w:sz w:val="24"/>
                <w:szCs w:val="24"/>
              </w:rPr>
              <w:t>Rezultatele analitice cuprind nivelurile de congeneri individuali ai PCB-urilor care nu sunt de tipul dioxinelor și suma PCB-urilor care nu sunt de tipul dioxinelor, raportate ca estimare inferioară, estimare superioară și estimare mediană, pentru a include o cantitate maximă de informații în raportarea rezultatelor, ceea ce permite o interpretare a rezultatelor în conformitate cu cerințele specifice.</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2) </w:t>
            </w:r>
            <w:r w:rsidRPr="001D4791">
              <w:rPr>
                <w:rFonts w:ascii="Times New Roman" w:hAnsi="Times New Roman" w:cs="Times New Roman"/>
                <w:sz w:val="24"/>
                <w:szCs w:val="24"/>
              </w:rPr>
              <w:t xml:space="preserve">Raportul include și metoda utilizată pentru extracția PCB-urilor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w:t>
            </w:r>
            <w:r w:rsidRPr="001D4791">
              <w:rPr>
                <w:rFonts w:ascii="Times New Roman" w:hAnsi="Times New Roman" w:cs="Times New Roman"/>
                <w:sz w:val="24"/>
                <w:szCs w:val="24"/>
              </w:rPr>
              <w:lastRenderedPageBreak/>
              <w:t>probe, determinarea conținutului de lipide este opțională.</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3) </w:t>
            </w:r>
            <w:r w:rsidRPr="001D4791">
              <w:rPr>
                <w:rFonts w:ascii="Times New Roman" w:hAnsi="Times New Roman" w:cs="Times New Roman"/>
                <w:sz w:val="24"/>
                <w:szCs w:val="24"/>
              </w:rPr>
              <w:t>Recuperările etaloanelor interne individuale trebuie să fie disponibile în cazul în care recuperările se situează în afara intervalului menționat la punctul 6 și în cazul în care nivelul maxim este depășit, iar în celelalte cazuri, la cerere.</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4) </w:t>
            </w:r>
            <w:r w:rsidRPr="001D4791">
              <w:rPr>
                <w:rFonts w:ascii="Times New Roman" w:hAnsi="Times New Roman" w:cs="Times New Roman"/>
                <w:sz w:val="24"/>
                <w:szCs w:val="24"/>
              </w:rPr>
              <w:t>Întrucât, atunci când se decide conformitatea unei probe, se ține seama de incertitudinea de măsurare extinsă, și parametrul respectiv trebuie să fie pus la dispoziție. De aceea, rezultatele analitice se raportează ca x ± U, unde x este rezultatul analitic și U este incertitudinea de măsurare extinsă, folosind un factor de acoperire 2, care conferă un nivel de încredere de aproximativ 95 %.</w:t>
            </w:r>
          </w:p>
          <w:p w:rsidR="004F5B73" w:rsidRPr="001D4791" w:rsidRDefault="004F5B73" w:rsidP="00E21C68">
            <w:pPr>
              <w:jc w:val="both"/>
              <w:rPr>
                <w:rFonts w:ascii="Times New Roman" w:hAnsi="Times New Roman" w:cs="Times New Roman"/>
                <w:sz w:val="24"/>
                <w:szCs w:val="24"/>
              </w:rPr>
            </w:pPr>
            <w:r w:rsidRPr="001D4791">
              <w:rPr>
                <w:rFonts w:ascii="Times New Roman" w:hAnsi="Times New Roman" w:cs="Times New Roman"/>
                <w:bCs/>
                <w:sz w:val="24"/>
                <w:szCs w:val="24"/>
              </w:rPr>
              <w:t xml:space="preserve">5) </w:t>
            </w:r>
            <w:r w:rsidRPr="001D4791">
              <w:rPr>
                <w:rFonts w:ascii="Times New Roman" w:hAnsi="Times New Roman" w:cs="Times New Roman"/>
                <w:sz w:val="24"/>
                <w:szCs w:val="24"/>
              </w:rPr>
              <w:t xml:space="preserve">Rezultatele se exprimă în aceleași unități și prin același număr de cifre semnificative ca și nivelurile maxime prevăzute în HG 520/2010. </w:t>
            </w:r>
          </w:p>
          <w:p w:rsidR="008D7B1E" w:rsidRPr="001D4791" w:rsidRDefault="008D7B1E" w:rsidP="00E21C68">
            <w:pPr>
              <w:jc w:val="both"/>
              <w:rPr>
                <w:rFonts w:ascii="Times New Roman" w:hAnsi="Times New Roman" w:cs="Times New Roman"/>
                <w:sz w:val="24"/>
                <w:szCs w:val="24"/>
              </w:rPr>
            </w:pPr>
          </w:p>
        </w:tc>
        <w:tc>
          <w:tcPr>
            <w:tcW w:w="1843" w:type="dxa"/>
          </w:tcPr>
          <w:p w:rsidR="008D7B1E" w:rsidRPr="001D4791" w:rsidRDefault="006534C2" w:rsidP="006534C2">
            <w:pPr>
              <w:rPr>
                <w:rFonts w:ascii="Times New Roman" w:hAnsi="Times New Roman" w:cs="Times New Roman"/>
                <w:sz w:val="24"/>
                <w:szCs w:val="24"/>
              </w:rPr>
            </w:pPr>
            <w:r w:rsidRPr="001D4791">
              <w:rPr>
                <w:rFonts w:ascii="Times New Roman" w:hAnsi="Times New Roman" w:cs="Times New Roman"/>
                <w:sz w:val="24"/>
                <w:szCs w:val="24"/>
              </w:rPr>
              <w:lastRenderedPageBreak/>
              <w:t>compatibil</w:t>
            </w: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47633F" w:rsidP="006534C2">
            <w:pPr>
              <w:rPr>
                <w:rFonts w:ascii="Times New Roman" w:hAnsi="Times New Roman" w:cs="Times New Roman"/>
                <w:sz w:val="24"/>
                <w:szCs w:val="24"/>
              </w:rPr>
            </w:pPr>
            <w:r w:rsidRPr="001D4791">
              <w:rPr>
                <w:rFonts w:ascii="Times New Roman" w:hAnsi="Times New Roman" w:cs="Times New Roman"/>
                <w:sz w:val="24"/>
                <w:szCs w:val="24"/>
              </w:rPr>
              <w:t>Agenţia Naţională pentru Siguranţa Alimentelor</w:t>
            </w:r>
          </w:p>
        </w:tc>
        <w:tc>
          <w:tcPr>
            <w:tcW w:w="1778" w:type="dxa"/>
          </w:tcPr>
          <w:p w:rsidR="008D7B1E" w:rsidRPr="001D4791" w:rsidRDefault="008D7B1E" w:rsidP="006534C2">
            <w:pPr>
              <w:rPr>
                <w:rFonts w:ascii="Times New Roman" w:hAnsi="Times New Roman" w:cs="Times New Roman"/>
                <w:sz w:val="24"/>
                <w:szCs w:val="24"/>
              </w:rPr>
            </w:pPr>
          </w:p>
        </w:tc>
      </w:tr>
      <w:tr w:rsidR="008D7B1E" w:rsidRPr="001D4791" w:rsidTr="006534C2">
        <w:tc>
          <w:tcPr>
            <w:tcW w:w="3794" w:type="dxa"/>
          </w:tcPr>
          <w:p w:rsidR="008D7B1E" w:rsidRPr="001D4791" w:rsidRDefault="008D7B1E" w:rsidP="006534C2">
            <w:pPr>
              <w:rPr>
                <w:rFonts w:ascii="Times New Roman" w:hAnsi="Times New Roman" w:cs="Times New Roman"/>
                <w:sz w:val="24"/>
                <w:szCs w:val="24"/>
              </w:rPr>
            </w:pPr>
          </w:p>
        </w:tc>
        <w:tc>
          <w:tcPr>
            <w:tcW w:w="3827" w:type="dxa"/>
          </w:tcPr>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8D7B1E" w:rsidP="006534C2">
            <w:pPr>
              <w:rPr>
                <w:rFonts w:ascii="Times New Roman" w:hAnsi="Times New Roman" w:cs="Times New Roman"/>
                <w:sz w:val="24"/>
                <w:szCs w:val="24"/>
              </w:rPr>
            </w:pPr>
          </w:p>
        </w:tc>
        <w:tc>
          <w:tcPr>
            <w:tcW w:w="1843" w:type="dxa"/>
          </w:tcPr>
          <w:p w:rsidR="008D7B1E" w:rsidRPr="001D4791" w:rsidRDefault="008D7B1E" w:rsidP="006534C2">
            <w:pPr>
              <w:rPr>
                <w:rFonts w:ascii="Times New Roman" w:hAnsi="Times New Roman" w:cs="Times New Roman"/>
                <w:sz w:val="24"/>
                <w:szCs w:val="24"/>
              </w:rPr>
            </w:pPr>
          </w:p>
        </w:tc>
        <w:tc>
          <w:tcPr>
            <w:tcW w:w="1701" w:type="dxa"/>
          </w:tcPr>
          <w:p w:rsidR="008D7B1E" w:rsidRPr="001D4791" w:rsidRDefault="008D7B1E" w:rsidP="006534C2">
            <w:pPr>
              <w:rPr>
                <w:rFonts w:ascii="Times New Roman" w:hAnsi="Times New Roman" w:cs="Times New Roman"/>
                <w:sz w:val="24"/>
                <w:szCs w:val="24"/>
              </w:rPr>
            </w:pPr>
          </w:p>
        </w:tc>
        <w:tc>
          <w:tcPr>
            <w:tcW w:w="1778" w:type="dxa"/>
          </w:tcPr>
          <w:p w:rsidR="008D7B1E" w:rsidRPr="001D4791" w:rsidRDefault="008D7B1E" w:rsidP="006534C2">
            <w:pPr>
              <w:rPr>
                <w:rFonts w:ascii="Times New Roman" w:hAnsi="Times New Roman" w:cs="Times New Roman"/>
                <w:sz w:val="24"/>
                <w:szCs w:val="24"/>
              </w:rPr>
            </w:pPr>
          </w:p>
        </w:tc>
      </w:tr>
    </w:tbl>
    <w:p w:rsidR="000C7828" w:rsidRPr="001D4791" w:rsidRDefault="006534C2" w:rsidP="000C7828">
      <w:pPr>
        <w:spacing w:after="0"/>
        <w:rPr>
          <w:rFonts w:ascii="Times New Roman" w:hAnsi="Times New Roman" w:cs="Times New Roman"/>
          <w:sz w:val="24"/>
          <w:szCs w:val="24"/>
        </w:rPr>
      </w:pPr>
      <w:r w:rsidRPr="001D4791">
        <w:rPr>
          <w:rFonts w:ascii="Times New Roman" w:hAnsi="Times New Roman" w:cs="Times New Roman"/>
          <w:sz w:val="24"/>
          <w:szCs w:val="24"/>
        </w:rPr>
        <w:br w:type="textWrapping" w:clear="all"/>
      </w:r>
      <w:bookmarkEnd w:id="0"/>
    </w:p>
    <w:sectPr w:rsidR="000C7828" w:rsidRPr="001D4791" w:rsidSect="000C782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22E"/>
    <w:multiLevelType w:val="hybridMultilevel"/>
    <w:tmpl w:val="AF90B31C"/>
    <w:lvl w:ilvl="0" w:tplc="28080B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28"/>
    <w:rsid w:val="000C7828"/>
    <w:rsid w:val="00112C00"/>
    <w:rsid w:val="00160606"/>
    <w:rsid w:val="001C112E"/>
    <w:rsid w:val="001D4791"/>
    <w:rsid w:val="00257D72"/>
    <w:rsid w:val="00277BDB"/>
    <w:rsid w:val="00331281"/>
    <w:rsid w:val="003472A9"/>
    <w:rsid w:val="00374588"/>
    <w:rsid w:val="003C4340"/>
    <w:rsid w:val="003F7A2C"/>
    <w:rsid w:val="0040059A"/>
    <w:rsid w:val="00432250"/>
    <w:rsid w:val="0047633F"/>
    <w:rsid w:val="004F5B73"/>
    <w:rsid w:val="004F61FA"/>
    <w:rsid w:val="005577E0"/>
    <w:rsid w:val="00573B0E"/>
    <w:rsid w:val="005801E4"/>
    <w:rsid w:val="005F06DB"/>
    <w:rsid w:val="006074DA"/>
    <w:rsid w:val="006534C2"/>
    <w:rsid w:val="00670CB3"/>
    <w:rsid w:val="006B03D6"/>
    <w:rsid w:val="006D5C5C"/>
    <w:rsid w:val="0075146E"/>
    <w:rsid w:val="007F27A7"/>
    <w:rsid w:val="008D7B1E"/>
    <w:rsid w:val="008E3990"/>
    <w:rsid w:val="00A76FB2"/>
    <w:rsid w:val="00B57CC6"/>
    <w:rsid w:val="00B8195C"/>
    <w:rsid w:val="00C03CA5"/>
    <w:rsid w:val="00C30C66"/>
    <w:rsid w:val="00C40C63"/>
    <w:rsid w:val="00C52164"/>
    <w:rsid w:val="00CF2B11"/>
    <w:rsid w:val="00D2636D"/>
    <w:rsid w:val="00E21C68"/>
    <w:rsid w:val="00E72464"/>
    <w:rsid w:val="00E774C0"/>
    <w:rsid w:val="00ED4C74"/>
    <w:rsid w:val="00F02789"/>
    <w:rsid w:val="00F073D1"/>
    <w:rsid w:val="00F21DF1"/>
    <w:rsid w:val="00F63E90"/>
    <w:rsid w:val="00F85C15"/>
    <w:rsid w:val="00FC2D22"/>
    <w:rsid w:val="00FE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BDB"/>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340"/>
    <w:pPr>
      <w:ind w:left="720"/>
      <w:contextualSpacing/>
    </w:pPr>
  </w:style>
  <w:style w:type="paragraph" w:customStyle="1" w:styleId="1">
    <w:name w:val="Обычный1"/>
    <w:basedOn w:val="a"/>
    <w:rsid w:val="00112C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331281"/>
    <w:rPr>
      <w:color w:val="0000FF" w:themeColor="hyperlink"/>
      <w:u w:val="single"/>
    </w:rPr>
  </w:style>
  <w:style w:type="paragraph" w:styleId="a6">
    <w:name w:val="Normal (Web)"/>
    <w:basedOn w:val="a"/>
    <w:uiPriority w:val="99"/>
    <w:semiHidden/>
    <w:unhideWhenUsed/>
    <w:rsid w:val="00F027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F027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789"/>
    <w:rPr>
      <w:rFonts w:ascii="Tahoma" w:hAnsi="Tahoma" w:cs="Tahoma"/>
      <w:sz w:val="16"/>
      <w:szCs w:val="16"/>
      <w:lang w:val="ro-RO"/>
    </w:rPr>
  </w:style>
  <w:style w:type="paragraph" w:customStyle="1" w:styleId="tbl-hdr">
    <w:name w:val="tbl-hdr"/>
    <w:basedOn w:val="a"/>
    <w:rsid w:val="003F7A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txt">
    <w:name w:val="tbl-txt"/>
    <w:basedOn w:val="a"/>
    <w:rsid w:val="003F7A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a0"/>
    <w:rsid w:val="003F7A2C"/>
  </w:style>
  <w:style w:type="paragraph" w:customStyle="1" w:styleId="2">
    <w:name w:val="Обычный2"/>
    <w:basedOn w:val="a"/>
    <w:rsid w:val="003F7A2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BDB"/>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340"/>
    <w:pPr>
      <w:ind w:left="720"/>
      <w:contextualSpacing/>
    </w:pPr>
  </w:style>
  <w:style w:type="paragraph" w:customStyle="1" w:styleId="1">
    <w:name w:val="Обычный1"/>
    <w:basedOn w:val="a"/>
    <w:rsid w:val="00112C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331281"/>
    <w:rPr>
      <w:color w:val="0000FF" w:themeColor="hyperlink"/>
      <w:u w:val="single"/>
    </w:rPr>
  </w:style>
  <w:style w:type="paragraph" w:styleId="a6">
    <w:name w:val="Normal (Web)"/>
    <w:basedOn w:val="a"/>
    <w:uiPriority w:val="99"/>
    <w:semiHidden/>
    <w:unhideWhenUsed/>
    <w:rsid w:val="00F027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F027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789"/>
    <w:rPr>
      <w:rFonts w:ascii="Tahoma" w:hAnsi="Tahoma" w:cs="Tahoma"/>
      <w:sz w:val="16"/>
      <w:szCs w:val="16"/>
      <w:lang w:val="ro-RO"/>
    </w:rPr>
  </w:style>
  <w:style w:type="paragraph" w:customStyle="1" w:styleId="tbl-hdr">
    <w:name w:val="tbl-hdr"/>
    <w:basedOn w:val="a"/>
    <w:rsid w:val="003F7A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txt">
    <w:name w:val="tbl-txt"/>
    <w:basedOn w:val="a"/>
    <w:rsid w:val="003F7A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a0"/>
    <w:rsid w:val="003F7A2C"/>
  </w:style>
  <w:style w:type="paragraph" w:customStyle="1" w:styleId="2">
    <w:name w:val="Обычный2"/>
    <w:basedOn w:val="a"/>
    <w:rsid w:val="003F7A2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32">
      <w:bodyDiv w:val="1"/>
      <w:marLeft w:val="0"/>
      <w:marRight w:val="0"/>
      <w:marTop w:val="0"/>
      <w:marBottom w:val="0"/>
      <w:divBdr>
        <w:top w:val="none" w:sz="0" w:space="0" w:color="auto"/>
        <w:left w:val="none" w:sz="0" w:space="0" w:color="auto"/>
        <w:bottom w:val="none" w:sz="0" w:space="0" w:color="auto"/>
        <w:right w:val="none" w:sz="0" w:space="0" w:color="auto"/>
      </w:divBdr>
    </w:div>
    <w:div w:id="20863821">
      <w:bodyDiv w:val="1"/>
      <w:marLeft w:val="0"/>
      <w:marRight w:val="0"/>
      <w:marTop w:val="0"/>
      <w:marBottom w:val="0"/>
      <w:divBdr>
        <w:top w:val="none" w:sz="0" w:space="0" w:color="auto"/>
        <w:left w:val="none" w:sz="0" w:space="0" w:color="auto"/>
        <w:bottom w:val="none" w:sz="0" w:space="0" w:color="auto"/>
        <w:right w:val="none" w:sz="0" w:space="0" w:color="auto"/>
      </w:divBdr>
    </w:div>
    <w:div w:id="38170346">
      <w:bodyDiv w:val="1"/>
      <w:marLeft w:val="0"/>
      <w:marRight w:val="0"/>
      <w:marTop w:val="0"/>
      <w:marBottom w:val="0"/>
      <w:divBdr>
        <w:top w:val="none" w:sz="0" w:space="0" w:color="auto"/>
        <w:left w:val="none" w:sz="0" w:space="0" w:color="auto"/>
        <w:bottom w:val="none" w:sz="0" w:space="0" w:color="auto"/>
        <w:right w:val="none" w:sz="0" w:space="0" w:color="auto"/>
      </w:divBdr>
    </w:div>
    <w:div w:id="49037909">
      <w:bodyDiv w:val="1"/>
      <w:marLeft w:val="0"/>
      <w:marRight w:val="0"/>
      <w:marTop w:val="0"/>
      <w:marBottom w:val="0"/>
      <w:divBdr>
        <w:top w:val="none" w:sz="0" w:space="0" w:color="auto"/>
        <w:left w:val="none" w:sz="0" w:space="0" w:color="auto"/>
        <w:bottom w:val="none" w:sz="0" w:space="0" w:color="auto"/>
        <w:right w:val="none" w:sz="0" w:space="0" w:color="auto"/>
      </w:divBdr>
    </w:div>
    <w:div w:id="87235624">
      <w:bodyDiv w:val="1"/>
      <w:marLeft w:val="0"/>
      <w:marRight w:val="0"/>
      <w:marTop w:val="0"/>
      <w:marBottom w:val="0"/>
      <w:divBdr>
        <w:top w:val="none" w:sz="0" w:space="0" w:color="auto"/>
        <w:left w:val="none" w:sz="0" w:space="0" w:color="auto"/>
        <w:bottom w:val="none" w:sz="0" w:space="0" w:color="auto"/>
        <w:right w:val="none" w:sz="0" w:space="0" w:color="auto"/>
      </w:divBdr>
    </w:div>
    <w:div w:id="172184901">
      <w:bodyDiv w:val="1"/>
      <w:marLeft w:val="0"/>
      <w:marRight w:val="0"/>
      <w:marTop w:val="0"/>
      <w:marBottom w:val="0"/>
      <w:divBdr>
        <w:top w:val="none" w:sz="0" w:space="0" w:color="auto"/>
        <w:left w:val="none" w:sz="0" w:space="0" w:color="auto"/>
        <w:bottom w:val="none" w:sz="0" w:space="0" w:color="auto"/>
        <w:right w:val="none" w:sz="0" w:space="0" w:color="auto"/>
      </w:divBdr>
    </w:div>
    <w:div w:id="191038149">
      <w:bodyDiv w:val="1"/>
      <w:marLeft w:val="0"/>
      <w:marRight w:val="0"/>
      <w:marTop w:val="0"/>
      <w:marBottom w:val="0"/>
      <w:divBdr>
        <w:top w:val="none" w:sz="0" w:space="0" w:color="auto"/>
        <w:left w:val="none" w:sz="0" w:space="0" w:color="auto"/>
        <w:bottom w:val="none" w:sz="0" w:space="0" w:color="auto"/>
        <w:right w:val="none" w:sz="0" w:space="0" w:color="auto"/>
      </w:divBdr>
    </w:div>
    <w:div w:id="191453652">
      <w:bodyDiv w:val="1"/>
      <w:marLeft w:val="0"/>
      <w:marRight w:val="0"/>
      <w:marTop w:val="0"/>
      <w:marBottom w:val="0"/>
      <w:divBdr>
        <w:top w:val="none" w:sz="0" w:space="0" w:color="auto"/>
        <w:left w:val="none" w:sz="0" w:space="0" w:color="auto"/>
        <w:bottom w:val="none" w:sz="0" w:space="0" w:color="auto"/>
        <w:right w:val="none" w:sz="0" w:space="0" w:color="auto"/>
      </w:divBdr>
    </w:div>
    <w:div w:id="228154792">
      <w:bodyDiv w:val="1"/>
      <w:marLeft w:val="0"/>
      <w:marRight w:val="0"/>
      <w:marTop w:val="0"/>
      <w:marBottom w:val="0"/>
      <w:divBdr>
        <w:top w:val="none" w:sz="0" w:space="0" w:color="auto"/>
        <w:left w:val="none" w:sz="0" w:space="0" w:color="auto"/>
        <w:bottom w:val="none" w:sz="0" w:space="0" w:color="auto"/>
        <w:right w:val="none" w:sz="0" w:space="0" w:color="auto"/>
      </w:divBdr>
    </w:div>
    <w:div w:id="241450905">
      <w:bodyDiv w:val="1"/>
      <w:marLeft w:val="0"/>
      <w:marRight w:val="0"/>
      <w:marTop w:val="0"/>
      <w:marBottom w:val="0"/>
      <w:divBdr>
        <w:top w:val="none" w:sz="0" w:space="0" w:color="auto"/>
        <w:left w:val="none" w:sz="0" w:space="0" w:color="auto"/>
        <w:bottom w:val="none" w:sz="0" w:space="0" w:color="auto"/>
        <w:right w:val="none" w:sz="0" w:space="0" w:color="auto"/>
      </w:divBdr>
    </w:div>
    <w:div w:id="243298622">
      <w:bodyDiv w:val="1"/>
      <w:marLeft w:val="0"/>
      <w:marRight w:val="0"/>
      <w:marTop w:val="0"/>
      <w:marBottom w:val="0"/>
      <w:divBdr>
        <w:top w:val="none" w:sz="0" w:space="0" w:color="auto"/>
        <w:left w:val="none" w:sz="0" w:space="0" w:color="auto"/>
        <w:bottom w:val="none" w:sz="0" w:space="0" w:color="auto"/>
        <w:right w:val="none" w:sz="0" w:space="0" w:color="auto"/>
      </w:divBdr>
    </w:div>
    <w:div w:id="262883009">
      <w:bodyDiv w:val="1"/>
      <w:marLeft w:val="0"/>
      <w:marRight w:val="0"/>
      <w:marTop w:val="0"/>
      <w:marBottom w:val="0"/>
      <w:divBdr>
        <w:top w:val="none" w:sz="0" w:space="0" w:color="auto"/>
        <w:left w:val="none" w:sz="0" w:space="0" w:color="auto"/>
        <w:bottom w:val="none" w:sz="0" w:space="0" w:color="auto"/>
        <w:right w:val="none" w:sz="0" w:space="0" w:color="auto"/>
      </w:divBdr>
    </w:div>
    <w:div w:id="286551123">
      <w:bodyDiv w:val="1"/>
      <w:marLeft w:val="0"/>
      <w:marRight w:val="0"/>
      <w:marTop w:val="0"/>
      <w:marBottom w:val="0"/>
      <w:divBdr>
        <w:top w:val="none" w:sz="0" w:space="0" w:color="auto"/>
        <w:left w:val="none" w:sz="0" w:space="0" w:color="auto"/>
        <w:bottom w:val="none" w:sz="0" w:space="0" w:color="auto"/>
        <w:right w:val="none" w:sz="0" w:space="0" w:color="auto"/>
      </w:divBdr>
    </w:div>
    <w:div w:id="335815329">
      <w:bodyDiv w:val="1"/>
      <w:marLeft w:val="0"/>
      <w:marRight w:val="0"/>
      <w:marTop w:val="0"/>
      <w:marBottom w:val="0"/>
      <w:divBdr>
        <w:top w:val="none" w:sz="0" w:space="0" w:color="auto"/>
        <w:left w:val="none" w:sz="0" w:space="0" w:color="auto"/>
        <w:bottom w:val="none" w:sz="0" w:space="0" w:color="auto"/>
        <w:right w:val="none" w:sz="0" w:space="0" w:color="auto"/>
      </w:divBdr>
    </w:div>
    <w:div w:id="346054876">
      <w:bodyDiv w:val="1"/>
      <w:marLeft w:val="0"/>
      <w:marRight w:val="0"/>
      <w:marTop w:val="0"/>
      <w:marBottom w:val="0"/>
      <w:divBdr>
        <w:top w:val="none" w:sz="0" w:space="0" w:color="auto"/>
        <w:left w:val="none" w:sz="0" w:space="0" w:color="auto"/>
        <w:bottom w:val="none" w:sz="0" w:space="0" w:color="auto"/>
        <w:right w:val="none" w:sz="0" w:space="0" w:color="auto"/>
      </w:divBdr>
    </w:div>
    <w:div w:id="347870515">
      <w:bodyDiv w:val="1"/>
      <w:marLeft w:val="0"/>
      <w:marRight w:val="0"/>
      <w:marTop w:val="0"/>
      <w:marBottom w:val="0"/>
      <w:divBdr>
        <w:top w:val="none" w:sz="0" w:space="0" w:color="auto"/>
        <w:left w:val="none" w:sz="0" w:space="0" w:color="auto"/>
        <w:bottom w:val="none" w:sz="0" w:space="0" w:color="auto"/>
        <w:right w:val="none" w:sz="0" w:space="0" w:color="auto"/>
      </w:divBdr>
    </w:div>
    <w:div w:id="386609723">
      <w:bodyDiv w:val="1"/>
      <w:marLeft w:val="0"/>
      <w:marRight w:val="0"/>
      <w:marTop w:val="0"/>
      <w:marBottom w:val="0"/>
      <w:divBdr>
        <w:top w:val="none" w:sz="0" w:space="0" w:color="auto"/>
        <w:left w:val="none" w:sz="0" w:space="0" w:color="auto"/>
        <w:bottom w:val="none" w:sz="0" w:space="0" w:color="auto"/>
        <w:right w:val="none" w:sz="0" w:space="0" w:color="auto"/>
      </w:divBdr>
    </w:div>
    <w:div w:id="393507745">
      <w:bodyDiv w:val="1"/>
      <w:marLeft w:val="0"/>
      <w:marRight w:val="0"/>
      <w:marTop w:val="0"/>
      <w:marBottom w:val="0"/>
      <w:divBdr>
        <w:top w:val="none" w:sz="0" w:space="0" w:color="auto"/>
        <w:left w:val="none" w:sz="0" w:space="0" w:color="auto"/>
        <w:bottom w:val="none" w:sz="0" w:space="0" w:color="auto"/>
        <w:right w:val="none" w:sz="0" w:space="0" w:color="auto"/>
      </w:divBdr>
    </w:div>
    <w:div w:id="400837117">
      <w:bodyDiv w:val="1"/>
      <w:marLeft w:val="0"/>
      <w:marRight w:val="0"/>
      <w:marTop w:val="0"/>
      <w:marBottom w:val="0"/>
      <w:divBdr>
        <w:top w:val="none" w:sz="0" w:space="0" w:color="auto"/>
        <w:left w:val="none" w:sz="0" w:space="0" w:color="auto"/>
        <w:bottom w:val="none" w:sz="0" w:space="0" w:color="auto"/>
        <w:right w:val="none" w:sz="0" w:space="0" w:color="auto"/>
      </w:divBdr>
    </w:div>
    <w:div w:id="443308359">
      <w:bodyDiv w:val="1"/>
      <w:marLeft w:val="0"/>
      <w:marRight w:val="0"/>
      <w:marTop w:val="0"/>
      <w:marBottom w:val="0"/>
      <w:divBdr>
        <w:top w:val="none" w:sz="0" w:space="0" w:color="auto"/>
        <w:left w:val="none" w:sz="0" w:space="0" w:color="auto"/>
        <w:bottom w:val="none" w:sz="0" w:space="0" w:color="auto"/>
        <w:right w:val="none" w:sz="0" w:space="0" w:color="auto"/>
      </w:divBdr>
    </w:div>
    <w:div w:id="448285693">
      <w:bodyDiv w:val="1"/>
      <w:marLeft w:val="0"/>
      <w:marRight w:val="0"/>
      <w:marTop w:val="0"/>
      <w:marBottom w:val="0"/>
      <w:divBdr>
        <w:top w:val="none" w:sz="0" w:space="0" w:color="auto"/>
        <w:left w:val="none" w:sz="0" w:space="0" w:color="auto"/>
        <w:bottom w:val="none" w:sz="0" w:space="0" w:color="auto"/>
        <w:right w:val="none" w:sz="0" w:space="0" w:color="auto"/>
      </w:divBdr>
    </w:div>
    <w:div w:id="474026975">
      <w:bodyDiv w:val="1"/>
      <w:marLeft w:val="0"/>
      <w:marRight w:val="0"/>
      <w:marTop w:val="0"/>
      <w:marBottom w:val="0"/>
      <w:divBdr>
        <w:top w:val="none" w:sz="0" w:space="0" w:color="auto"/>
        <w:left w:val="none" w:sz="0" w:space="0" w:color="auto"/>
        <w:bottom w:val="none" w:sz="0" w:space="0" w:color="auto"/>
        <w:right w:val="none" w:sz="0" w:space="0" w:color="auto"/>
      </w:divBdr>
    </w:div>
    <w:div w:id="500390300">
      <w:bodyDiv w:val="1"/>
      <w:marLeft w:val="0"/>
      <w:marRight w:val="0"/>
      <w:marTop w:val="0"/>
      <w:marBottom w:val="0"/>
      <w:divBdr>
        <w:top w:val="none" w:sz="0" w:space="0" w:color="auto"/>
        <w:left w:val="none" w:sz="0" w:space="0" w:color="auto"/>
        <w:bottom w:val="none" w:sz="0" w:space="0" w:color="auto"/>
        <w:right w:val="none" w:sz="0" w:space="0" w:color="auto"/>
      </w:divBdr>
    </w:div>
    <w:div w:id="506752801">
      <w:bodyDiv w:val="1"/>
      <w:marLeft w:val="0"/>
      <w:marRight w:val="0"/>
      <w:marTop w:val="0"/>
      <w:marBottom w:val="0"/>
      <w:divBdr>
        <w:top w:val="none" w:sz="0" w:space="0" w:color="auto"/>
        <w:left w:val="none" w:sz="0" w:space="0" w:color="auto"/>
        <w:bottom w:val="none" w:sz="0" w:space="0" w:color="auto"/>
        <w:right w:val="none" w:sz="0" w:space="0" w:color="auto"/>
      </w:divBdr>
    </w:div>
    <w:div w:id="511531560">
      <w:bodyDiv w:val="1"/>
      <w:marLeft w:val="0"/>
      <w:marRight w:val="0"/>
      <w:marTop w:val="0"/>
      <w:marBottom w:val="0"/>
      <w:divBdr>
        <w:top w:val="none" w:sz="0" w:space="0" w:color="auto"/>
        <w:left w:val="none" w:sz="0" w:space="0" w:color="auto"/>
        <w:bottom w:val="none" w:sz="0" w:space="0" w:color="auto"/>
        <w:right w:val="none" w:sz="0" w:space="0" w:color="auto"/>
      </w:divBdr>
    </w:div>
    <w:div w:id="595820105">
      <w:bodyDiv w:val="1"/>
      <w:marLeft w:val="0"/>
      <w:marRight w:val="0"/>
      <w:marTop w:val="0"/>
      <w:marBottom w:val="0"/>
      <w:divBdr>
        <w:top w:val="none" w:sz="0" w:space="0" w:color="auto"/>
        <w:left w:val="none" w:sz="0" w:space="0" w:color="auto"/>
        <w:bottom w:val="none" w:sz="0" w:space="0" w:color="auto"/>
        <w:right w:val="none" w:sz="0" w:space="0" w:color="auto"/>
      </w:divBdr>
    </w:div>
    <w:div w:id="608200971">
      <w:bodyDiv w:val="1"/>
      <w:marLeft w:val="0"/>
      <w:marRight w:val="0"/>
      <w:marTop w:val="0"/>
      <w:marBottom w:val="0"/>
      <w:divBdr>
        <w:top w:val="none" w:sz="0" w:space="0" w:color="auto"/>
        <w:left w:val="none" w:sz="0" w:space="0" w:color="auto"/>
        <w:bottom w:val="none" w:sz="0" w:space="0" w:color="auto"/>
        <w:right w:val="none" w:sz="0" w:space="0" w:color="auto"/>
      </w:divBdr>
    </w:div>
    <w:div w:id="641157921">
      <w:bodyDiv w:val="1"/>
      <w:marLeft w:val="0"/>
      <w:marRight w:val="0"/>
      <w:marTop w:val="0"/>
      <w:marBottom w:val="0"/>
      <w:divBdr>
        <w:top w:val="none" w:sz="0" w:space="0" w:color="auto"/>
        <w:left w:val="none" w:sz="0" w:space="0" w:color="auto"/>
        <w:bottom w:val="none" w:sz="0" w:space="0" w:color="auto"/>
        <w:right w:val="none" w:sz="0" w:space="0" w:color="auto"/>
      </w:divBdr>
    </w:div>
    <w:div w:id="645816465">
      <w:bodyDiv w:val="1"/>
      <w:marLeft w:val="0"/>
      <w:marRight w:val="0"/>
      <w:marTop w:val="0"/>
      <w:marBottom w:val="0"/>
      <w:divBdr>
        <w:top w:val="none" w:sz="0" w:space="0" w:color="auto"/>
        <w:left w:val="none" w:sz="0" w:space="0" w:color="auto"/>
        <w:bottom w:val="none" w:sz="0" w:space="0" w:color="auto"/>
        <w:right w:val="none" w:sz="0" w:space="0" w:color="auto"/>
      </w:divBdr>
    </w:div>
    <w:div w:id="645859493">
      <w:bodyDiv w:val="1"/>
      <w:marLeft w:val="0"/>
      <w:marRight w:val="0"/>
      <w:marTop w:val="0"/>
      <w:marBottom w:val="0"/>
      <w:divBdr>
        <w:top w:val="none" w:sz="0" w:space="0" w:color="auto"/>
        <w:left w:val="none" w:sz="0" w:space="0" w:color="auto"/>
        <w:bottom w:val="none" w:sz="0" w:space="0" w:color="auto"/>
        <w:right w:val="none" w:sz="0" w:space="0" w:color="auto"/>
      </w:divBdr>
    </w:div>
    <w:div w:id="665866267">
      <w:bodyDiv w:val="1"/>
      <w:marLeft w:val="0"/>
      <w:marRight w:val="0"/>
      <w:marTop w:val="0"/>
      <w:marBottom w:val="0"/>
      <w:divBdr>
        <w:top w:val="none" w:sz="0" w:space="0" w:color="auto"/>
        <w:left w:val="none" w:sz="0" w:space="0" w:color="auto"/>
        <w:bottom w:val="none" w:sz="0" w:space="0" w:color="auto"/>
        <w:right w:val="none" w:sz="0" w:space="0" w:color="auto"/>
      </w:divBdr>
    </w:div>
    <w:div w:id="726144282">
      <w:bodyDiv w:val="1"/>
      <w:marLeft w:val="0"/>
      <w:marRight w:val="0"/>
      <w:marTop w:val="0"/>
      <w:marBottom w:val="0"/>
      <w:divBdr>
        <w:top w:val="none" w:sz="0" w:space="0" w:color="auto"/>
        <w:left w:val="none" w:sz="0" w:space="0" w:color="auto"/>
        <w:bottom w:val="none" w:sz="0" w:space="0" w:color="auto"/>
        <w:right w:val="none" w:sz="0" w:space="0" w:color="auto"/>
      </w:divBdr>
    </w:div>
    <w:div w:id="746422192">
      <w:bodyDiv w:val="1"/>
      <w:marLeft w:val="0"/>
      <w:marRight w:val="0"/>
      <w:marTop w:val="0"/>
      <w:marBottom w:val="0"/>
      <w:divBdr>
        <w:top w:val="none" w:sz="0" w:space="0" w:color="auto"/>
        <w:left w:val="none" w:sz="0" w:space="0" w:color="auto"/>
        <w:bottom w:val="none" w:sz="0" w:space="0" w:color="auto"/>
        <w:right w:val="none" w:sz="0" w:space="0" w:color="auto"/>
      </w:divBdr>
    </w:div>
    <w:div w:id="765078563">
      <w:bodyDiv w:val="1"/>
      <w:marLeft w:val="0"/>
      <w:marRight w:val="0"/>
      <w:marTop w:val="0"/>
      <w:marBottom w:val="0"/>
      <w:divBdr>
        <w:top w:val="none" w:sz="0" w:space="0" w:color="auto"/>
        <w:left w:val="none" w:sz="0" w:space="0" w:color="auto"/>
        <w:bottom w:val="none" w:sz="0" w:space="0" w:color="auto"/>
        <w:right w:val="none" w:sz="0" w:space="0" w:color="auto"/>
      </w:divBdr>
    </w:div>
    <w:div w:id="812916912">
      <w:bodyDiv w:val="1"/>
      <w:marLeft w:val="0"/>
      <w:marRight w:val="0"/>
      <w:marTop w:val="0"/>
      <w:marBottom w:val="0"/>
      <w:divBdr>
        <w:top w:val="none" w:sz="0" w:space="0" w:color="auto"/>
        <w:left w:val="none" w:sz="0" w:space="0" w:color="auto"/>
        <w:bottom w:val="none" w:sz="0" w:space="0" w:color="auto"/>
        <w:right w:val="none" w:sz="0" w:space="0" w:color="auto"/>
      </w:divBdr>
    </w:div>
    <w:div w:id="813520336">
      <w:bodyDiv w:val="1"/>
      <w:marLeft w:val="0"/>
      <w:marRight w:val="0"/>
      <w:marTop w:val="0"/>
      <w:marBottom w:val="0"/>
      <w:divBdr>
        <w:top w:val="none" w:sz="0" w:space="0" w:color="auto"/>
        <w:left w:val="none" w:sz="0" w:space="0" w:color="auto"/>
        <w:bottom w:val="none" w:sz="0" w:space="0" w:color="auto"/>
        <w:right w:val="none" w:sz="0" w:space="0" w:color="auto"/>
      </w:divBdr>
    </w:div>
    <w:div w:id="830215062">
      <w:bodyDiv w:val="1"/>
      <w:marLeft w:val="0"/>
      <w:marRight w:val="0"/>
      <w:marTop w:val="0"/>
      <w:marBottom w:val="0"/>
      <w:divBdr>
        <w:top w:val="none" w:sz="0" w:space="0" w:color="auto"/>
        <w:left w:val="none" w:sz="0" w:space="0" w:color="auto"/>
        <w:bottom w:val="none" w:sz="0" w:space="0" w:color="auto"/>
        <w:right w:val="none" w:sz="0" w:space="0" w:color="auto"/>
      </w:divBdr>
    </w:div>
    <w:div w:id="835148284">
      <w:bodyDiv w:val="1"/>
      <w:marLeft w:val="0"/>
      <w:marRight w:val="0"/>
      <w:marTop w:val="0"/>
      <w:marBottom w:val="0"/>
      <w:divBdr>
        <w:top w:val="none" w:sz="0" w:space="0" w:color="auto"/>
        <w:left w:val="none" w:sz="0" w:space="0" w:color="auto"/>
        <w:bottom w:val="none" w:sz="0" w:space="0" w:color="auto"/>
        <w:right w:val="none" w:sz="0" w:space="0" w:color="auto"/>
      </w:divBdr>
    </w:div>
    <w:div w:id="835458392">
      <w:bodyDiv w:val="1"/>
      <w:marLeft w:val="0"/>
      <w:marRight w:val="0"/>
      <w:marTop w:val="0"/>
      <w:marBottom w:val="0"/>
      <w:divBdr>
        <w:top w:val="none" w:sz="0" w:space="0" w:color="auto"/>
        <w:left w:val="none" w:sz="0" w:space="0" w:color="auto"/>
        <w:bottom w:val="none" w:sz="0" w:space="0" w:color="auto"/>
        <w:right w:val="none" w:sz="0" w:space="0" w:color="auto"/>
      </w:divBdr>
    </w:div>
    <w:div w:id="836576112">
      <w:bodyDiv w:val="1"/>
      <w:marLeft w:val="0"/>
      <w:marRight w:val="0"/>
      <w:marTop w:val="0"/>
      <w:marBottom w:val="0"/>
      <w:divBdr>
        <w:top w:val="none" w:sz="0" w:space="0" w:color="auto"/>
        <w:left w:val="none" w:sz="0" w:space="0" w:color="auto"/>
        <w:bottom w:val="none" w:sz="0" w:space="0" w:color="auto"/>
        <w:right w:val="none" w:sz="0" w:space="0" w:color="auto"/>
      </w:divBdr>
    </w:div>
    <w:div w:id="840898579">
      <w:bodyDiv w:val="1"/>
      <w:marLeft w:val="0"/>
      <w:marRight w:val="0"/>
      <w:marTop w:val="0"/>
      <w:marBottom w:val="0"/>
      <w:divBdr>
        <w:top w:val="none" w:sz="0" w:space="0" w:color="auto"/>
        <w:left w:val="none" w:sz="0" w:space="0" w:color="auto"/>
        <w:bottom w:val="none" w:sz="0" w:space="0" w:color="auto"/>
        <w:right w:val="none" w:sz="0" w:space="0" w:color="auto"/>
      </w:divBdr>
    </w:div>
    <w:div w:id="908737151">
      <w:bodyDiv w:val="1"/>
      <w:marLeft w:val="0"/>
      <w:marRight w:val="0"/>
      <w:marTop w:val="0"/>
      <w:marBottom w:val="0"/>
      <w:divBdr>
        <w:top w:val="none" w:sz="0" w:space="0" w:color="auto"/>
        <w:left w:val="none" w:sz="0" w:space="0" w:color="auto"/>
        <w:bottom w:val="none" w:sz="0" w:space="0" w:color="auto"/>
        <w:right w:val="none" w:sz="0" w:space="0" w:color="auto"/>
      </w:divBdr>
    </w:div>
    <w:div w:id="916943986">
      <w:bodyDiv w:val="1"/>
      <w:marLeft w:val="0"/>
      <w:marRight w:val="0"/>
      <w:marTop w:val="0"/>
      <w:marBottom w:val="0"/>
      <w:divBdr>
        <w:top w:val="none" w:sz="0" w:space="0" w:color="auto"/>
        <w:left w:val="none" w:sz="0" w:space="0" w:color="auto"/>
        <w:bottom w:val="none" w:sz="0" w:space="0" w:color="auto"/>
        <w:right w:val="none" w:sz="0" w:space="0" w:color="auto"/>
      </w:divBdr>
    </w:div>
    <w:div w:id="1044133044">
      <w:bodyDiv w:val="1"/>
      <w:marLeft w:val="0"/>
      <w:marRight w:val="0"/>
      <w:marTop w:val="0"/>
      <w:marBottom w:val="0"/>
      <w:divBdr>
        <w:top w:val="none" w:sz="0" w:space="0" w:color="auto"/>
        <w:left w:val="none" w:sz="0" w:space="0" w:color="auto"/>
        <w:bottom w:val="none" w:sz="0" w:space="0" w:color="auto"/>
        <w:right w:val="none" w:sz="0" w:space="0" w:color="auto"/>
      </w:divBdr>
    </w:div>
    <w:div w:id="1074670584">
      <w:bodyDiv w:val="1"/>
      <w:marLeft w:val="0"/>
      <w:marRight w:val="0"/>
      <w:marTop w:val="0"/>
      <w:marBottom w:val="0"/>
      <w:divBdr>
        <w:top w:val="none" w:sz="0" w:space="0" w:color="auto"/>
        <w:left w:val="none" w:sz="0" w:space="0" w:color="auto"/>
        <w:bottom w:val="none" w:sz="0" w:space="0" w:color="auto"/>
        <w:right w:val="none" w:sz="0" w:space="0" w:color="auto"/>
      </w:divBdr>
    </w:div>
    <w:div w:id="1100759361">
      <w:bodyDiv w:val="1"/>
      <w:marLeft w:val="0"/>
      <w:marRight w:val="0"/>
      <w:marTop w:val="0"/>
      <w:marBottom w:val="0"/>
      <w:divBdr>
        <w:top w:val="none" w:sz="0" w:space="0" w:color="auto"/>
        <w:left w:val="none" w:sz="0" w:space="0" w:color="auto"/>
        <w:bottom w:val="none" w:sz="0" w:space="0" w:color="auto"/>
        <w:right w:val="none" w:sz="0" w:space="0" w:color="auto"/>
      </w:divBdr>
    </w:div>
    <w:div w:id="1102381298">
      <w:bodyDiv w:val="1"/>
      <w:marLeft w:val="0"/>
      <w:marRight w:val="0"/>
      <w:marTop w:val="0"/>
      <w:marBottom w:val="0"/>
      <w:divBdr>
        <w:top w:val="none" w:sz="0" w:space="0" w:color="auto"/>
        <w:left w:val="none" w:sz="0" w:space="0" w:color="auto"/>
        <w:bottom w:val="none" w:sz="0" w:space="0" w:color="auto"/>
        <w:right w:val="none" w:sz="0" w:space="0" w:color="auto"/>
      </w:divBdr>
    </w:div>
    <w:div w:id="1104301360">
      <w:bodyDiv w:val="1"/>
      <w:marLeft w:val="0"/>
      <w:marRight w:val="0"/>
      <w:marTop w:val="0"/>
      <w:marBottom w:val="0"/>
      <w:divBdr>
        <w:top w:val="none" w:sz="0" w:space="0" w:color="auto"/>
        <w:left w:val="none" w:sz="0" w:space="0" w:color="auto"/>
        <w:bottom w:val="none" w:sz="0" w:space="0" w:color="auto"/>
        <w:right w:val="none" w:sz="0" w:space="0" w:color="auto"/>
      </w:divBdr>
    </w:div>
    <w:div w:id="1158228267">
      <w:bodyDiv w:val="1"/>
      <w:marLeft w:val="0"/>
      <w:marRight w:val="0"/>
      <w:marTop w:val="0"/>
      <w:marBottom w:val="0"/>
      <w:divBdr>
        <w:top w:val="none" w:sz="0" w:space="0" w:color="auto"/>
        <w:left w:val="none" w:sz="0" w:space="0" w:color="auto"/>
        <w:bottom w:val="none" w:sz="0" w:space="0" w:color="auto"/>
        <w:right w:val="none" w:sz="0" w:space="0" w:color="auto"/>
      </w:divBdr>
    </w:div>
    <w:div w:id="1222252908">
      <w:bodyDiv w:val="1"/>
      <w:marLeft w:val="0"/>
      <w:marRight w:val="0"/>
      <w:marTop w:val="0"/>
      <w:marBottom w:val="0"/>
      <w:divBdr>
        <w:top w:val="none" w:sz="0" w:space="0" w:color="auto"/>
        <w:left w:val="none" w:sz="0" w:space="0" w:color="auto"/>
        <w:bottom w:val="none" w:sz="0" w:space="0" w:color="auto"/>
        <w:right w:val="none" w:sz="0" w:space="0" w:color="auto"/>
      </w:divBdr>
    </w:div>
    <w:div w:id="1222981269">
      <w:bodyDiv w:val="1"/>
      <w:marLeft w:val="0"/>
      <w:marRight w:val="0"/>
      <w:marTop w:val="0"/>
      <w:marBottom w:val="0"/>
      <w:divBdr>
        <w:top w:val="none" w:sz="0" w:space="0" w:color="auto"/>
        <w:left w:val="none" w:sz="0" w:space="0" w:color="auto"/>
        <w:bottom w:val="none" w:sz="0" w:space="0" w:color="auto"/>
        <w:right w:val="none" w:sz="0" w:space="0" w:color="auto"/>
      </w:divBdr>
    </w:div>
    <w:div w:id="1268194862">
      <w:bodyDiv w:val="1"/>
      <w:marLeft w:val="0"/>
      <w:marRight w:val="0"/>
      <w:marTop w:val="0"/>
      <w:marBottom w:val="0"/>
      <w:divBdr>
        <w:top w:val="none" w:sz="0" w:space="0" w:color="auto"/>
        <w:left w:val="none" w:sz="0" w:space="0" w:color="auto"/>
        <w:bottom w:val="none" w:sz="0" w:space="0" w:color="auto"/>
        <w:right w:val="none" w:sz="0" w:space="0" w:color="auto"/>
      </w:divBdr>
    </w:div>
    <w:div w:id="1288657092">
      <w:bodyDiv w:val="1"/>
      <w:marLeft w:val="0"/>
      <w:marRight w:val="0"/>
      <w:marTop w:val="0"/>
      <w:marBottom w:val="0"/>
      <w:divBdr>
        <w:top w:val="none" w:sz="0" w:space="0" w:color="auto"/>
        <w:left w:val="none" w:sz="0" w:space="0" w:color="auto"/>
        <w:bottom w:val="none" w:sz="0" w:space="0" w:color="auto"/>
        <w:right w:val="none" w:sz="0" w:space="0" w:color="auto"/>
      </w:divBdr>
    </w:div>
    <w:div w:id="1373920068">
      <w:bodyDiv w:val="1"/>
      <w:marLeft w:val="0"/>
      <w:marRight w:val="0"/>
      <w:marTop w:val="0"/>
      <w:marBottom w:val="0"/>
      <w:divBdr>
        <w:top w:val="none" w:sz="0" w:space="0" w:color="auto"/>
        <w:left w:val="none" w:sz="0" w:space="0" w:color="auto"/>
        <w:bottom w:val="none" w:sz="0" w:space="0" w:color="auto"/>
        <w:right w:val="none" w:sz="0" w:space="0" w:color="auto"/>
      </w:divBdr>
    </w:div>
    <w:div w:id="1381173700">
      <w:bodyDiv w:val="1"/>
      <w:marLeft w:val="0"/>
      <w:marRight w:val="0"/>
      <w:marTop w:val="0"/>
      <w:marBottom w:val="0"/>
      <w:divBdr>
        <w:top w:val="none" w:sz="0" w:space="0" w:color="auto"/>
        <w:left w:val="none" w:sz="0" w:space="0" w:color="auto"/>
        <w:bottom w:val="none" w:sz="0" w:space="0" w:color="auto"/>
        <w:right w:val="none" w:sz="0" w:space="0" w:color="auto"/>
      </w:divBdr>
    </w:div>
    <w:div w:id="1462042990">
      <w:bodyDiv w:val="1"/>
      <w:marLeft w:val="0"/>
      <w:marRight w:val="0"/>
      <w:marTop w:val="0"/>
      <w:marBottom w:val="0"/>
      <w:divBdr>
        <w:top w:val="none" w:sz="0" w:space="0" w:color="auto"/>
        <w:left w:val="none" w:sz="0" w:space="0" w:color="auto"/>
        <w:bottom w:val="none" w:sz="0" w:space="0" w:color="auto"/>
        <w:right w:val="none" w:sz="0" w:space="0" w:color="auto"/>
      </w:divBdr>
    </w:div>
    <w:div w:id="1505710201">
      <w:bodyDiv w:val="1"/>
      <w:marLeft w:val="0"/>
      <w:marRight w:val="0"/>
      <w:marTop w:val="0"/>
      <w:marBottom w:val="0"/>
      <w:divBdr>
        <w:top w:val="none" w:sz="0" w:space="0" w:color="auto"/>
        <w:left w:val="none" w:sz="0" w:space="0" w:color="auto"/>
        <w:bottom w:val="none" w:sz="0" w:space="0" w:color="auto"/>
        <w:right w:val="none" w:sz="0" w:space="0" w:color="auto"/>
      </w:divBdr>
    </w:div>
    <w:div w:id="1511750448">
      <w:bodyDiv w:val="1"/>
      <w:marLeft w:val="0"/>
      <w:marRight w:val="0"/>
      <w:marTop w:val="0"/>
      <w:marBottom w:val="0"/>
      <w:divBdr>
        <w:top w:val="none" w:sz="0" w:space="0" w:color="auto"/>
        <w:left w:val="none" w:sz="0" w:space="0" w:color="auto"/>
        <w:bottom w:val="none" w:sz="0" w:space="0" w:color="auto"/>
        <w:right w:val="none" w:sz="0" w:space="0" w:color="auto"/>
      </w:divBdr>
    </w:div>
    <w:div w:id="1520662091">
      <w:bodyDiv w:val="1"/>
      <w:marLeft w:val="0"/>
      <w:marRight w:val="0"/>
      <w:marTop w:val="0"/>
      <w:marBottom w:val="0"/>
      <w:divBdr>
        <w:top w:val="none" w:sz="0" w:space="0" w:color="auto"/>
        <w:left w:val="none" w:sz="0" w:space="0" w:color="auto"/>
        <w:bottom w:val="none" w:sz="0" w:space="0" w:color="auto"/>
        <w:right w:val="none" w:sz="0" w:space="0" w:color="auto"/>
      </w:divBdr>
    </w:div>
    <w:div w:id="1528567863">
      <w:bodyDiv w:val="1"/>
      <w:marLeft w:val="0"/>
      <w:marRight w:val="0"/>
      <w:marTop w:val="0"/>
      <w:marBottom w:val="0"/>
      <w:divBdr>
        <w:top w:val="none" w:sz="0" w:space="0" w:color="auto"/>
        <w:left w:val="none" w:sz="0" w:space="0" w:color="auto"/>
        <w:bottom w:val="none" w:sz="0" w:space="0" w:color="auto"/>
        <w:right w:val="none" w:sz="0" w:space="0" w:color="auto"/>
      </w:divBdr>
    </w:div>
    <w:div w:id="1588615400">
      <w:bodyDiv w:val="1"/>
      <w:marLeft w:val="0"/>
      <w:marRight w:val="0"/>
      <w:marTop w:val="0"/>
      <w:marBottom w:val="0"/>
      <w:divBdr>
        <w:top w:val="none" w:sz="0" w:space="0" w:color="auto"/>
        <w:left w:val="none" w:sz="0" w:space="0" w:color="auto"/>
        <w:bottom w:val="none" w:sz="0" w:space="0" w:color="auto"/>
        <w:right w:val="none" w:sz="0" w:space="0" w:color="auto"/>
      </w:divBdr>
    </w:div>
    <w:div w:id="1605765404">
      <w:bodyDiv w:val="1"/>
      <w:marLeft w:val="0"/>
      <w:marRight w:val="0"/>
      <w:marTop w:val="0"/>
      <w:marBottom w:val="0"/>
      <w:divBdr>
        <w:top w:val="none" w:sz="0" w:space="0" w:color="auto"/>
        <w:left w:val="none" w:sz="0" w:space="0" w:color="auto"/>
        <w:bottom w:val="none" w:sz="0" w:space="0" w:color="auto"/>
        <w:right w:val="none" w:sz="0" w:space="0" w:color="auto"/>
      </w:divBdr>
    </w:div>
    <w:div w:id="1611203084">
      <w:bodyDiv w:val="1"/>
      <w:marLeft w:val="0"/>
      <w:marRight w:val="0"/>
      <w:marTop w:val="0"/>
      <w:marBottom w:val="0"/>
      <w:divBdr>
        <w:top w:val="none" w:sz="0" w:space="0" w:color="auto"/>
        <w:left w:val="none" w:sz="0" w:space="0" w:color="auto"/>
        <w:bottom w:val="none" w:sz="0" w:space="0" w:color="auto"/>
        <w:right w:val="none" w:sz="0" w:space="0" w:color="auto"/>
      </w:divBdr>
    </w:div>
    <w:div w:id="1611470999">
      <w:bodyDiv w:val="1"/>
      <w:marLeft w:val="0"/>
      <w:marRight w:val="0"/>
      <w:marTop w:val="0"/>
      <w:marBottom w:val="0"/>
      <w:divBdr>
        <w:top w:val="none" w:sz="0" w:space="0" w:color="auto"/>
        <w:left w:val="none" w:sz="0" w:space="0" w:color="auto"/>
        <w:bottom w:val="none" w:sz="0" w:space="0" w:color="auto"/>
        <w:right w:val="none" w:sz="0" w:space="0" w:color="auto"/>
      </w:divBdr>
    </w:div>
    <w:div w:id="1624726502">
      <w:bodyDiv w:val="1"/>
      <w:marLeft w:val="0"/>
      <w:marRight w:val="0"/>
      <w:marTop w:val="0"/>
      <w:marBottom w:val="0"/>
      <w:divBdr>
        <w:top w:val="none" w:sz="0" w:space="0" w:color="auto"/>
        <w:left w:val="none" w:sz="0" w:space="0" w:color="auto"/>
        <w:bottom w:val="none" w:sz="0" w:space="0" w:color="auto"/>
        <w:right w:val="none" w:sz="0" w:space="0" w:color="auto"/>
      </w:divBdr>
    </w:div>
    <w:div w:id="1665084607">
      <w:bodyDiv w:val="1"/>
      <w:marLeft w:val="0"/>
      <w:marRight w:val="0"/>
      <w:marTop w:val="0"/>
      <w:marBottom w:val="0"/>
      <w:divBdr>
        <w:top w:val="none" w:sz="0" w:space="0" w:color="auto"/>
        <w:left w:val="none" w:sz="0" w:space="0" w:color="auto"/>
        <w:bottom w:val="none" w:sz="0" w:space="0" w:color="auto"/>
        <w:right w:val="none" w:sz="0" w:space="0" w:color="auto"/>
      </w:divBdr>
    </w:div>
    <w:div w:id="1698971659">
      <w:bodyDiv w:val="1"/>
      <w:marLeft w:val="0"/>
      <w:marRight w:val="0"/>
      <w:marTop w:val="0"/>
      <w:marBottom w:val="0"/>
      <w:divBdr>
        <w:top w:val="none" w:sz="0" w:space="0" w:color="auto"/>
        <w:left w:val="none" w:sz="0" w:space="0" w:color="auto"/>
        <w:bottom w:val="none" w:sz="0" w:space="0" w:color="auto"/>
        <w:right w:val="none" w:sz="0" w:space="0" w:color="auto"/>
      </w:divBdr>
    </w:div>
    <w:div w:id="1707413557">
      <w:bodyDiv w:val="1"/>
      <w:marLeft w:val="0"/>
      <w:marRight w:val="0"/>
      <w:marTop w:val="0"/>
      <w:marBottom w:val="0"/>
      <w:divBdr>
        <w:top w:val="none" w:sz="0" w:space="0" w:color="auto"/>
        <w:left w:val="none" w:sz="0" w:space="0" w:color="auto"/>
        <w:bottom w:val="none" w:sz="0" w:space="0" w:color="auto"/>
        <w:right w:val="none" w:sz="0" w:space="0" w:color="auto"/>
      </w:divBdr>
    </w:div>
    <w:div w:id="1751539876">
      <w:bodyDiv w:val="1"/>
      <w:marLeft w:val="0"/>
      <w:marRight w:val="0"/>
      <w:marTop w:val="0"/>
      <w:marBottom w:val="0"/>
      <w:divBdr>
        <w:top w:val="none" w:sz="0" w:space="0" w:color="auto"/>
        <w:left w:val="none" w:sz="0" w:space="0" w:color="auto"/>
        <w:bottom w:val="none" w:sz="0" w:space="0" w:color="auto"/>
        <w:right w:val="none" w:sz="0" w:space="0" w:color="auto"/>
      </w:divBdr>
    </w:div>
    <w:div w:id="1758399793">
      <w:bodyDiv w:val="1"/>
      <w:marLeft w:val="0"/>
      <w:marRight w:val="0"/>
      <w:marTop w:val="0"/>
      <w:marBottom w:val="0"/>
      <w:divBdr>
        <w:top w:val="none" w:sz="0" w:space="0" w:color="auto"/>
        <w:left w:val="none" w:sz="0" w:space="0" w:color="auto"/>
        <w:bottom w:val="none" w:sz="0" w:space="0" w:color="auto"/>
        <w:right w:val="none" w:sz="0" w:space="0" w:color="auto"/>
      </w:divBdr>
    </w:div>
    <w:div w:id="1803840773">
      <w:bodyDiv w:val="1"/>
      <w:marLeft w:val="0"/>
      <w:marRight w:val="0"/>
      <w:marTop w:val="0"/>
      <w:marBottom w:val="0"/>
      <w:divBdr>
        <w:top w:val="none" w:sz="0" w:space="0" w:color="auto"/>
        <w:left w:val="none" w:sz="0" w:space="0" w:color="auto"/>
        <w:bottom w:val="none" w:sz="0" w:space="0" w:color="auto"/>
        <w:right w:val="none" w:sz="0" w:space="0" w:color="auto"/>
      </w:divBdr>
    </w:div>
    <w:div w:id="1806389648">
      <w:bodyDiv w:val="1"/>
      <w:marLeft w:val="0"/>
      <w:marRight w:val="0"/>
      <w:marTop w:val="0"/>
      <w:marBottom w:val="0"/>
      <w:divBdr>
        <w:top w:val="none" w:sz="0" w:space="0" w:color="auto"/>
        <w:left w:val="none" w:sz="0" w:space="0" w:color="auto"/>
        <w:bottom w:val="none" w:sz="0" w:space="0" w:color="auto"/>
        <w:right w:val="none" w:sz="0" w:space="0" w:color="auto"/>
      </w:divBdr>
    </w:div>
    <w:div w:id="1842156431">
      <w:bodyDiv w:val="1"/>
      <w:marLeft w:val="0"/>
      <w:marRight w:val="0"/>
      <w:marTop w:val="0"/>
      <w:marBottom w:val="0"/>
      <w:divBdr>
        <w:top w:val="none" w:sz="0" w:space="0" w:color="auto"/>
        <w:left w:val="none" w:sz="0" w:space="0" w:color="auto"/>
        <w:bottom w:val="none" w:sz="0" w:space="0" w:color="auto"/>
        <w:right w:val="none" w:sz="0" w:space="0" w:color="auto"/>
      </w:divBdr>
    </w:div>
    <w:div w:id="1851599189">
      <w:bodyDiv w:val="1"/>
      <w:marLeft w:val="0"/>
      <w:marRight w:val="0"/>
      <w:marTop w:val="0"/>
      <w:marBottom w:val="0"/>
      <w:divBdr>
        <w:top w:val="none" w:sz="0" w:space="0" w:color="auto"/>
        <w:left w:val="none" w:sz="0" w:space="0" w:color="auto"/>
        <w:bottom w:val="none" w:sz="0" w:space="0" w:color="auto"/>
        <w:right w:val="none" w:sz="0" w:space="0" w:color="auto"/>
      </w:divBdr>
    </w:div>
    <w:div w:id="1863669772">
      <w:bodyDiv w:val="1"/>
      <w:marLeft w:val="0"/>
      <w:marRight w:val="0"/>
      <w:marTop w:val="0"/>
      <w:marBottom w:val="0"/>
      <w:divBdr>
        <w:top w:val="none" w:sz="0" w:space="0" w:color="auto"/>
        <w:left w:val="none" w:sz="0" w:space="0" w:color="auto"/>
        <w:bottom w:val="none" w:sz="0" w:space="0" w:color="auto"/>
        <w:right w:val="none" w:sz="0" w:space="0" w:color="auto"/>
      </w:divBdr>
    </w:div>
    <w:div w:id="1898205189">
      <w:bodyDiv w:val="1"/>
      <w:marLeft w:val="0"/>
      <w:marRight w:val="0"/>
      <w:marTop w:val="0"/>
      <w:marBottom w:val="0"/>
      <w:divBdr>
        <w:top w:val="none" w:sz="0" w:space="0" w:color="auto"/>
        <w:left w:val="none" w:sz="0" w:space="0" w:color="auto"/>
        <w:bottom w:val="none" w:sz="0" w:space="0" w:color="auto"/>
        <w:right w:val="none" w:sz="0" w:space="0" w:color="auto"/>
      </w:divBdr>
    </w:div>
    <w:div w:id="1915508678">
      <w:bodyDiv w:val="1"/>
      <w:marLeft w:val="0"/>
      <w:marRight w:val="0"/>
      <w:marTop w:val="0"/>
      <w:marBottom w:val="0"/>
      <w:divBdr>
        <w:top w:val="none" w:sz="0" w:space="0" w:color="auto"/>
        <w:left w:val="none" w:sz="0" w:space="0" w:color="auto"/>
        <w:bottom w:val="none" w:sz="0" w:space="0" w:color="auto"/>
        <w:right w:val="none" w:sz="0" w:space="0" w:color="auto"/>
      </w:divBdr>
    </w:div>
    <w:div w:id="1968391808">
      <w:bodyDiv w:val="1"/>
      <w:marLeft w:val="0"/>
      <w:marRight w:val="0"/>
      <w:marTop w:val="0"/>
      <w:marBottom w:val="0"/>
      <w:divBdr>
        <w:top w:val="none" w:sz="0" w:space="0" w:color="auto"/>
        <w:left w:val="none" w:sz="0" w:space="0" w:color="auto"/>
        <w:bottom w:val="none" w:sz="0" w:space="0" w:color="auto"/>
        <w:right w:val="none" w:sz="0" w:space="0" w:color="auto"/>
      </w:divBdr>
    </w:div>
    <w:div w:id="2060202476">
      <w:bodyDiv w:val="1"/>
      <w:marLeft w:val="0"/>
      <w:marRight w:val="0"/>
      <w:marTop w:val="0"/>
      <w:marBottom w:val="0"/>
      <w:divBdr>
        <w:top w:val="none" w:sz="0" w:space="0" w:color="auto"/>
        <w:left w:val="none" w:sz="0" w:space="0" w:color="auto"/>
        <w:bottom w:val="none" w:sz="0" w:space="0" w:color="auto"/>
        <w:right w:val="none" w:sz="0" w:space="0" w:color="auto"/>
      </w:divBdr>
    </w:div>
    <w:div w:id="2116167044">
      <w:bodyDiv w:val="1"/>
      <w:marLeft w:val="0"/>
      <w:marRight w:val="0"/>
      <w:marTop w:val="0"/>
      <w:marBottom w:val="0"/>
      <w:divBdr>
        <w:top w:val="none" w:sz="0" w:space="0" w:color="auto"/>
        <w:left w:val="none" w:sz="0" w:space="0" w:color="auto"/>
        <w:bottom w:val="none" w:sz="0" w:space="0" w:color="auto"/>
        <w:right w:val="none" w:sz="0" w:space="0" w:color="auto"/>
      </w:divBdr>
    </w:div>
    <w:div w:id="2133740242">
      <w:bodyDiv w:val="1"/>
      <w:marLeft w:val="0"/>
      <w:marRight w:val="0"/>
      <w:marTop w:val="0"/>
      <w:marBottom w:val="0"/>
      <w:divBdr>
        <w:top w:val="none" w:sz="0" w:space="0" w:color="auto"/>
        <w:left w:val="none" w:sz="0" w:space="0" w:color="auto"/>
        <w:bottom w:val="none" w:sz="0" w:space="0" w:color="auto"/>
        <w:right w:val="none" w:sz="0" w:space="0" w:color="auto"/>
      </w:divBdr>
    </w:div>
    <w:div w:id="21345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17R0644" TargetMode="External"/><Relationship Id="rId13" Type="http://schemas.openxmlformats.org/officeDocument/2006/relationships/hyperlink" Target="https://eur-lex.europa.eu/legal-content/ro/TXT/?uri=CELEX:32017R0644" TargetMode="External"/><Relationship Id="rId3" Type="http://schemas.microsoft.com/office/2007/relationships/stylesWithEffects" Target="stylesWithEffects.xml"/><Relationship Id="rId7" Type="http://schemas.openxmlformats.org/officeDocument/2006/relationships/hyperlink" Target="https://eur-lex.europa.eu/legal-content/RO/TXT/?qid=1533014856524&amp;uri=CELEX:32017R0644" TargetMode="External"/><Relationship Id="rId12" Type="http://schemas.openxmlformats.org/officeDocument/2006/relationships/hyperlink" Target="https://eur-lex.europa.eu/legal-content/RO/TXT/?qid=1533014856524&amp;uri=CELEX:32017R0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qid=1532955417676&amp;uri=CELEX:32017R0644"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80</Pages>
  <Words>22573</Words>
  <Characters>128670</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2018-07-30T12:44:00Z</dcterms:created>
  <dcterms:modified xsi:type="dcterms:W3CDTF">2018-09-08T07:57:00Z</dcterms:modified>
</cp:coreProperties>
</file>