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38" w:rsidRPr="00FE7F70" w:rsidRDefault="00F85538" w:rsidP="005A1B8B">
      <w:pPr>
        <w:jc w:val="center"/>
        <w:rPr>
          <w:b/>
          <w:sz w:val="28"/>
          <w:szCs w:val="28"/>
          <w:lang w:val="ro-RO"/>
        </w:rPr>
      </w:pPr>
      <w:r w:rsidRPr="00FE7F70">
        <w:rPr>
          <w:b/>
          <w:sz w:val="28"/>
          <w:szCs w:val="28"/>
          <w:lang w:val="ro-RO"/>
        </w:rPr>
        <w:t>Notă informativă</w:t>
      </w:r>
    </w:p>
    <w:p w:rsidR="00C446DA" w:rsidRPr="00FE7F70" w:rsidRDefault="005E012F" w:rsidP="00C446DA">
      <w:pPr>
        <w:autoSpaceDN w:val="0"/>
        <w:jc w:val="both"/>
        <w:textAlignment w:val="baseline"/>
        <w:rPr>
          <w:rFonts w:eastAsia="Arial Unicode MS"/>
          <w:b/>
          <w:kern w:val="3"/>
          <w:sz w:val="28"/>
          <w:szCs w:val="28"/>
          <w:lang w:val="ro-RO"/>
        </w:rPr>
      </w:pPr>
      <w:r w:rsidRPr="00FE7F70">
        <w:rPr>
          <w:b/>
          <w:sz w:val="28"/>
          <w:szCs w:val="28"/>
          <w:lang w:val="ro-RO"/>
        </w:rPr>
        <w:t xml:space="preserve">la proiectul </w:t>
      </w:r>
      <w:proofErr w:type="spellStart"/>
      <w:r w:rsidRPr="00FE7F70">
        <w:rPr>
          <w:b/>
          <w:sz w:val="28"/>
          <w:szCs w:val="28"/>
          <w:lang w:val="ro-RO"/>
        </w:rPr>
        <w:t>Hotărî</w:t>
      </w:r>
      <w:r w:rsidR="00F85538" w:rsidRPr="00FE7F70">
        <w:rPr>
          <w:b/>
          <w:sz w:val="28"/>
          <w:szCs w:val="28"/>
          <w:lang w:val="ro-RO"/>
        </w:rPr>
        <w:t>rii</w:t>
      </w:r>
      <w:proofErr w:type="spellEnd"/>
      <w:r w:rsidR="00F85538" w:rsidRPr="00FE7F70">
        <w:rPr>
          <w:b/>
          <w:sz w:val="28"/>
          <w:szCs w:val="28"/>
          <w:lang w:val="ro-RO"/>
        </w:rPr>
        <w:t xml:space="preserve"> </w:t>
      </w:r>
      <w:r w:rsidRPr="00FE7F70">
        <w:rPr>
          <w:b/>
          <w:sz w:val="28"/>
          <w:szCs w:val="28"/>
          <w:lang w:val="ro-RO"/>
        </w:rPr>
        <w:t xml:space="preserve">de </w:t>
      </w:r>
      <w:r w:rsidR="00F85538" w:rsidRPr="00FE7F70">
        <w:rPr>
          <w:b/>
          <w:sz w:val="28"/>
          <w:szCs w:val="28"/>
          <w:lang w:val="ro-RO"/>
        </w:rPr>
        <w:t>Guvern</w:t>
      </w:r>
      <w:r w:rsidRPr="00FE7F70">
        <w:rPr>
          <w:b/>
          <w:sz w:val="28"/>
          <w:szCs w:val="28"/>
          <w:lang w:val="ro-RO"/>
        </w:rPr>
        <w:t xml:space="preserve"> </w:t>
      </w:r>
      <w:r w:rsidR="00C446DA" w:rsidRPr="00FE7F70">
        <w:rPr>
          <w:rFonts w:eastAsia="Arial Unicode MS"/>
          <w:b/>
          <w:kern w:val="3"/>
          <w:sz w:val="28"/>
          <w:szCs w:val="28"/>
          <w:lang w:val="ro-RO"/>
        </w:rPr>
        <w:t xml:space="preserve">cu privire la aprobarea metodelor de prelevare de probe și a metodelor de analiză pentru controlul nivelurilor de </w:t>
      </w:r>
      <w:proofErr w:type="spellStart"/>
      <w:r w:rsidR="00C446DA" w:rsidRPr="00FE7F70">
        <w:rPr>
          <w:rFonts w:eastAsia="Arial Unicode MS"/>
          <w:b/>
          <w:kern w:val="3"/>
          <w:sz w:val="28"/>
          <w:szCs w:val="28"/>
          <w:lang w:val="ro-RO"/>
        </w:rPr>
        <w:t>dioxine</w:t>
      </w:r>
      <w:proofErr w:type="spellEnd"/>
      <w:r w:rsidR="00C446DA" w:rsidRPr="00FE7F70">
        <w:rPr>
          <w:rFonts w:eastAsia="Arial Unicode MS"/>
          <w:b/>
          <w:kern w:val="3"/>
          <w:sz w:val="28"/>
          <w:szCs w:val="28"/>
          <w:lang w:val="ro-RO"/>
        </w:rPr>
        <w:t xml:space="preserve">, de </w:t>
      </w:r>
      <w:proofErr w:type="spellStart"/>
      <w:r w:rsidR="00C446DA" w:rsidRPr="00FE7F70">
        <w:rPr>
          <w:rFonts w:eastAsia="Arial Unicode MS"/>
          <w:b/>
          <w:kern w:val="3"/>
          <w:sz w:val="28"/>
          <w:szCs w:val="28"/>
          <w:lang w:val="ro-RO"/>
        </w:rPr>
        <w:t>PCB-uri</w:t>
      </w:r>
      <w:proofErr w:type="spellEnd"/>
      <w:r w:rsidR="00C446DA" w:rsidRPr="00FE7F70">
        <w:rPr>
          <w:rFonts w:eastAsia="Arial Unicode MS"/>
          <w:b/>
          <w:kern w:val="3"/>
          <w:sz w:val="28"/>
          <w:szCs w:val="28"/>
          <w:lang w:val="ro-RO"/>
        </w:rPr>
        <w:t xml:space="preserve"> de tipul </w:t>
      </w:r>
      <w:proofErr w:type="spellStart"/>
      <w:r w:rsidR="00C446DA" w:rsidRPr="00FE7F70">
        <w:rPr>
          <w:rFonts w:eastAsia="Arial Unicode MS"/>
          <w:b/>
          <w:kern w:val="3"/>
          <w:sz w:val="28"/>
          <w:szCs w:val="28"/>
          <w:lang w:val="ro-RO"/>
        </w:rPr>
        <w:t>dioxinelor</w:t>
      </w:r>
      <w:proofErr w:type="spellEnd"/>
      <w:r w:rsidR="00C446DA" w:rsidRPr="00FE7F70">
        <w:rPr>
          <w:rFonts w:eastAsia="Arial Unicode MS"/>
          <w:b/>
          <w:kern w:val="3"/>
          <w:sz w:val="28"/>
          <w:szCs w:val="28"/>
          <w:lang w:val="ro-RO"/>
        </w:rPr>
        <w:t xml:space="preserve"> și de </w:t>
      </w:r>
      <w:proofErr w:type="spellStart"/>
      <w:r w:rsidR="00C446DA" w:rsidRPr="00FE7F70">
        <w:rPr>
          <w:rFonts w:eastAsia="Arial Unicode MS"/>
          <w:b/>
          <w:kern w:val="3"/>
          <w:sz w:val="28"/>
          <w:szCs w:val="28"/>
          <w:lang w:val="ro-RO"/>
        </w:rPr>
        <w:t>PCB-uri</w:t>
      </w:r>
      <w:proofErr w:type="spellEnd"/>
      <w:r w:rsidR="00C446DA" w:rsidRPr="00FE7F70">
        <w:rPr>
          <w:rFonts w:eastAsia="Arial Unicode MS"/>
          <w:b/>
          <w:kern w:val="3"/>
          <w:sz w:val="28"/>
          <w:szCs w:val="28"/>
          <w:lang w:val="ro-RO"/>
        </w:rPr>
        <w:t xml:space="preserve"> care nu sunt de tipul </w:t>
      </w:r>
      <w:proofErr w:type="spellStart"/>
      <w:r w:rsidR="00C446DA" w:rsidRPr="00FE7F70">
        <w:rPr>
          <w:rFonts w:eastAsia="Arial Unicode MS"/>
          <w:b/>
          <w:kern w:val="3"/>
          <w:sz w:val="28"/>
          <w:szCs w:val="28"/>
          <w:lang w:val="ro-RO"/>
        </w:rPr>
        <w:t>dioxinelor</w:t>
      </w:r>
      <w:proofErr w:type="spellEnd"/>
      <w:r w:rsidR="00C446DA" w:rsidRPr="00FE7F70">
        <w:rPr>
          <w:rFonts w:eastAsia="Arial Unicode MS"/>
          <w:b/>
          <w:kern w:val="3"/>
          <w:sz w:val="28"/>
          <w:szCs w:val="28"/>
          <w:lang w:val="ro-RO"/>
        </w:rPr>
        <w:t xml:space="preserve"> în anumite produse alimentare </w:t>
      </w:r>
    </w:p>
    <w:p w:rsidR="005A1B8B" w:rsidRPr="00FE7F70" w:rsidRDefault="005A1B8B" w:rsidP="00C446DA">
      <w:pPr>
        <w:autoSpaceDN w:val="0"/>
        <w:jc w:val="center"/>
        <w:textAlignment w:val="baseline"/>
        <w:rPr>
          <w:rFonts w:eastAsiaTheme="minorHAnsi"/>
          <w:b/>
          <w:i/>
          <w:kern w:val="0"/>
          <w:sz w:val="28"/>
          <w:szCs w:val="28"/>
          <w:lang w:val="ro-RO"/>
        </w:rPr>
      </w:pPr>
    </w:p>
    <w:p w:rsidR="00AC63FC" w:rsidRPr="00FE7F70" w:rsidRDefault="00AC63FC" w:rsidP="00AC63FC">
      <w:pPr>
        <w:pStyle w:val="a8"/>
        <w:widowControl/>
        <w:suppressAutoHyphens w:val="0"/>
        <w:ind w:left="709"/>
        <w:jc w:val="both"/>
        <w:rPr>
          <w:rFonts w:eastAsiaTheme="minorHAnsi"/>
          <w:b/>
          <w:i/>
          <w:kern w:val="0"/>
          <w:sz w:val="28"/>
          <w:szCs w:val="28"/>
          <w:lang w:val="ro-RO"/>
        </w:rPr>
      </w:pPr>
      <w:r w:rsidRPr="00FE7F70">
        <w:rPr>
          <w:rFonts w:eastAsiaTheme="minorHAnsi"/>
          <w:b/>
          <w:i/>
          <w:kern w:val="0"/>
          <w:sz w:val="28"/>
          <w:szCs w:val="28"/>
          <w:lang w:val="ro-RO"/>
        </w:rPr>
        <w:t>Denumirea autorului</w:t>
      </w:r>
    </w:p>
    <w:p w:rsidR="005C546B" w:rsidRPr="00FE7F70" w:rsidRDefault="005C546B" w:rsidP="005C546B">
      <w:pPr>
        <w:tabs>
          <w:tab w:val="left" w:pos="709"/>
        </w:tabs>
        <w:ind w:firstLine="709"/>
        <w:jc w:val="both"/>
        <w:rPr>
          <w:sz w:val="28"/>
          <w:szCs w:val="28"/>
          <w:lang w:val="ro-RO"/>
        </w:rPr>
      </w:pPr>
      <w:r w:rsidRPr="00FE7F70">
        <w:rPr>
          <w:sz w:val="28"/>
          <w:szCs w:val="28"/>
          <w:lang w:val="ro-RO"/>
        </w:rPr>
        <w:t xml:space="preserve">Proiectul </w:t>
      </w:r>
      <w:proofErr w:type="spellStart"/>
      <w:r w:rsidRPr="00FE7F70">
        <w:rPr>
          <w:sz w:val="28"/>
          <w:szCs w:val="28"/>
          <w:lang w:val="ro-RO"/>
        </w:rPr>
        <w:t>Hotărîrii</w:t>
      </w:r>
      <w:proofErr w:type="spellEnd"/>
      <w:r w:rsidRPr="00FE7F70">
        <w:rPr>
          <w:sz w:val="28"/>
          <w:szCs w:val="28"/>
          <w:lang w:val="ro-RO"/>
        </w:rPr>
        <w:t xml:space="preserve"> de Guvern cu privire la aprobarea metodelor de prelevare de probe și a metodelor de analiză pentru controlul nivelurilor de </w:t>
      </w:r>
      <w:proofErr w:type="spellStart"/>
      <w:r w:rsidRPr="00FE7F70">
        <w:rPr>
          <w:sz w:val="28"/>
          <w:szCs w:val="28"/>
          <w:lang w:val="ro-RO"/>
        </w:rPr>
        <w:t>dioxine</w:t>
      </w:r>
      <w:proofErr w:type="spellEnd"/>
      <w:r w:rsidRPr="00FE7F70">
        <w:rPr>
          <w:sz w:val="28"/>
          <w:szCs w:val="28"/>
          <w:lang w:val="ro-RO"/>
        </w:rPr>
        <w:t xml:space="preserve">, de </w:t>
      </w:r>
      <w:proofErr w:type="spellStart"/>
      <w:r w:rsidRPr="00FE7F70">
        <w:rPr>
          <w:sz w:val="28"/>
          <w:szCs w:val="28"/>
          <w:lang w:val="ro-RO"/>
        </w:rPr>
        <w:t>PCB-uri</w:t>
      </w:r>
      <w:proofErr w:type="spellEnd"/>
      <w:r w:rsidRPr="00FE7F70">
        <w:rPr>
          <w:sz w:val="28"/>
          <w:szCs w:val="28"/>
          <w:lang w:val="ro-RO"/>
        </w:rPr>
        <w:t xml:space="preserve"> de tipul </w:t>
      </w:r>
      <w:proofErr w:type="spellStart"/>
      <w:r w:rsidRPr="00FE7F70">
        <w:rPr>
          <w:sz w:val="28"/>
          <w:szCs w:val="28"/>
          <w:lang w:val="ro-RO"/>
        </w:rPr>
        <w:t>dioxinelor</w:t>
      </w:r>
      <w:proofErr w:type="spellEnd"/>
      <w:r w:rsidRPr="00FE7F70">
        <w:rPr>
          <w:sz w:val="28"/>
          <w:szCs w:val="28"/>
          <w:lang w:val="ro-RO"/>
        </w:rPr>
        <w:t xml:space="preserve"> și de </w:t>
      </w:r>
      <w:proofErr w:type="spellStart"/>
      <w:r w:rsidRPr="00FE7F70">
        <w:rPr>
          <w:sz w:val="28"/>
          <w:szCs w:val="28"/>
          <w:lang w:val="ro-RO"/>
        </w:rPr>
        <w:t>PCB-uri</w:t>
      </w:r>
      <w:proofErr w:type="spellEnd"/>
      <w:r w:rsidRPr="00FE7F70">
        <w:rPr>
          <w:sz w:val="28"/>
          <w:szCs w:val="28"/>
          <w:lang w:val="ro-RO"/>
        </w:rPr>
        <w:t xml:space="preserve"> care nu sunt de tipul </w:t>
      </w:r>
      <w:proofErr w:type="spellStart"/>
      <w:r w:rsidRPr="00FE7F70">
        <w:rPr>
          <w:sz w:val="28"/>
          <w:szCs w:val="28"/>
          <w:lang w:val="ro-RO"/>
        </w:rPr>
        <w:t>dioxinelor</w:t>
      </w:r>
      <w:proofErr w:type="spellEnd"/>
      <w:r w:rsidRPr="00FE7F70">
        <w:rPr>
          <w:sz w:val="28"/>
          <w:szCs w:val="28"/>
          <w:lang w:val="ro-RO"/>
        </w:rPr>
        <w:t xml:space="preserve"> în anumite produse alimentarea </w:t>
      </w:r>
      <w:r w:rsidR="00C734EE" w:rsidRPr="00FE7F70">
        <w:rPr>
          <w:sz w:val="28"/>
          <w:szCs w:val="28"/>
          <w:lang w:val="ro-RO"/>
        </w:rPr>
        <w:t xml:space="preserve">a </w:t>
      </w:r>
      <w:r w:rsidRPr="00FE7F70">
        <w:rPr>
          <w:sz w:val="28"/>
          <w:szCs w:val="28"/>
          <w:lang w:val="ro-RO"/>
        </w:rPr>
        <w:t>fost elaborat de către Ministerul Agriculturii, Dezvoltării Regionale şi Mediului.</w:t>
      </w:r>
    </w:p>
    <w:p w:rsidR="005E012F" w:rsidRPr="00FE7F70" w:rsidRDefault="005E012F" w:rsidP="005A1B8B">
      <w:pPr>
        <w:widowControl/>
        <w:suppressAutoHyphens w:val="0"/>
        <w:ind w:firstLine="709"/>
        <w:jc w:val="both"/>
        <w:rPr>
          <w:rFonts w:eastAsiaTheme="minorHAnsi"/>
          <w:b/>
          <w:i/>
          <w:kern w:val="0"/>
          <w:sz w:val="28"/>
          <w:szCs w:val="28"/>
          <w:lang w:val="ro-RO"/>
        </w:rPr>
      </w:pPr>
      <w:r w:rsidRPr="00FE7F70">
        <w:rPr>
          <w:rFonts w:eastAsiaTheme="minorHAnsi"/>
          <w:b/>
          <w:i/>
          <w:kern w:val="0"/>
          <w:sz w:val="28"/>
          <w:szCs w:val="28"/>
          <w:lang w:val="ro-RO"/>
        </w:rPr>
        <w:t>Condițiile ce au impus elaborarea proiectului</w:t>
      </w:r>
      <w:r w:rsidR="00AC63FC" w:rsidRPr="00FE7F70">
        <w:rPr>
          <w:rFonts w:eastAsiaTheme="minorHAnsi"/>
          <w:b/>
          <w:i/>
          <w:kern w:val="0"/>
          <w:sz w:val="28"/>
          <w:szCs w:val="28"/>
          <w:lang w:val="ro-RO"/>
        </w:rPr>
        <w:t xml:space="preserve"> și finalitățile urmărite</w:t>
      </w:r>
    </w:p>
    <w:p w:rsidR="005E012F" w:rsidRPr="00FE7F70" w:rsidRDefault="005E012F" w:rsidP="005A1B8B">
      <w:pPr>
        <w:ind w:firstLine="709"/>
        <w:jc w:val="both"/>
        <w:rPr>
          <w:sz w:val="28"/>
          <w:szCs w:val="28"/>
          <w:lang w:val="ro-RO"/>
        </w:rPr>
      </w:pPr>
      <w:r w:rsidRPr="00FE7F70">
        <w:rPr>
          <w:sz w:val="28"/>
          <w:szCs w:val="28"/>
          <w:lang w:val="ro-RO"/>
        </w:rPr>
        <w:t xml:space="preserve">Prezentul proiect de </w:t>
      </w:r>
      <w:proofErr w:type="spellStart"/>
      <w:r w:rsidRPr="00FE7F70">
        <w:rPr>
          <w:sz w:val="28"/>
          <w:szCs w:val="28"/>
          <w:lang w:val="ro-RO"/>
        </w:rPr>
        <w:t>Hotărîre</w:t>
      </w:r>
      <w:proofErr w:type="spellEnd"/>
      <w:r w:rsidRPr="00FE7F70">
        <w:rPr>
          <w:sz w:val="28"/>
          <w:szCs w:val="28"/>
          <w:lang w:val="ro-RO"/>
        </w:rPr>
        <w:t xml:space="preserve"> de Guvern </w:t>
      </w:r>
      <w:r w:rsidR="00F85538" w:rsidRPr="00FE7F70">
        <w:rPr>
          <w:sz w:val="28"/>
          <w:szCs w:val="28"/>
          <w:lang w:val="ro-RO"/>
        </w:rPr>
        <w:t xml:space="preserve"> este elaborat </w:t>
      </w:r>
      <w:r w:rsidRPr="00FE7F70">
        <w:rPr>
          <w:sz w:val="28"/>
          <w:szCs w:val="28"/>
          <w:lang w:val="ro-RO"/>
        </w:rPr>
        <w:t xml:space="preserve">în conformitate cu prevederile Legii 221-XVI din 19 octombrie 2007 privind activitatea sanitar-veterinară (republicată în Monitorul Oficial al Republicii Moldova, 2013, nr. 125-129, art. 396), cu modificările şi completările ulterioare, și a </w:t>
      </w:r>
      <w:proofErr w:type="spellStart"/>
      <w:r w:rsidRPr="00FE7F70">
        <w:rPr>
          <w:sz w:val="28"/>
          <w:szCs w:val="28"/>
          <w:lang w:val="ro-RO"/>
        </w:rPr>
        <w:t>Hotărîrii</w:t>
      </w:r>
      <w:proofErr w:type="spellEnd"/>
      <w:r w:rsidRPr="00FE7F70">
        <w:rPr>
          <w:sz w:val="28"/>
          <w:szCs w:val="28"/>
          <w:lang w:val="ro-RO"/>
        </w:rPr>
        <w:t xml:space="preserve"> </w:t>
      </w:r>
      <w:r w:rsidR="002920FC" w:rsidRPr="00FE7F70">
        <w:rPr>
          <w:sz w:val="28"/>
          <w:szCs w:val="28"/>
          <w:lang w:val="ro-RO"/>
        </w:rPr>
        <w:t xml:space="preserve">de </w:t>
      </w:r>
      <w:r w:rsidRPr="00FE7F70">
        <w:rPr>
          <w:sz w:val="28"/>
          <w:szCs w:val="28"/>
          <w:lang w:val="ro-RO"/>
        </w:rPr>
        <w:t xml:space="preserve">Guvern nr. 520 din 22 iunie 2010 cu privire la aprobarea Regulamentului sanitar privind contaminanții din produsele alimentare </w:t>
      </w:r>
      <w:r w:rsidR="00B96911" w:rsidRPr="00FE7F70">
        <w:rPr>
          <w:sz w:val="28"/>
          <w:szCs w:val="28"/>
          <w:lang w:val="ro-RO"/>
        </w:rPr>
        <w:t xml:space="preserve">(publicată în Monitorul Oficial al Republicii Moldova, 29 iunie 2010, nr. 108-109 art. 607) </w:t>
      </w:r>
      <w:r w:rsidRPr="00FE7F70">
        <w:rPr>
          <w:sz w:val="28"/>
          <w:szCs w:val="28"/>
          <w:lang w:val="ro-RO"/>
        </w:rPr>
        <w:t xml:space="preserve">și vine întru executarea  Planului Naţional de Acţiuni pentru Implementarea Acordului de Asociere Republica Moldova - Uniunea Europeană în perioada 2017–2019, articolul 181, a capitolului 4 ”Măsuri sanitare și fitosanitare” aprobat prin </w:t>
      </w:r>
      <w:proofErr w:type="spellStart"/>
      <w:r w:rsidRPr="00FE7F70">
        <w:rPr>
          <w:sz w:val="28"/>
          <w:szCs w:val="28"/>
          <w:lang w:val="ro-RO"/>
        </w:rPr>
        <w:t>Hotărîrea</w:t>
      </w:r>
      <w:proofErr w:type="spellEnd"/>
      <w:r w:rsidRPr="00FE7F70">
        <w:rPr>
          <w:sz w:val="28"/>
          <w:szCs w:val="28"/>
          <w:lang w:val="ro-RO"/>
        </w:rPr>
        <w:t xml:space="preserve"> de Guvern nr.1472 din 30 decembrie 2016.</w:t>
      </w:r>
    </w:p>
    <w:p w:rsidR="009877B8" w:rsidRPr="00FE7F70" w:rsidRDefault="009877B8" w:rsidP="009877B8">
      <w:pPr>
        <w:ind w:firstLine="680"/>
        <w:jc w:val="both"/>
        <w:rPr>
          <w:rStyle w:val="tca1"/>
          <w:sz w:val="28"/>
          <w:szCs w:val="28"/>
          <w:lang w:val="ro-RO"/>
        </w:rPr>
      </w:pPr>
      <w:r w:rsidRPr="00FE7F70">
        <w:rPr>
          <w:rStyle w:val="tli1"/>
          <w:sz w:val="28"/>
          <w:szCs w:val="28"/>
          <w:lang w:val="ro-RO"/>
        </w:rPr>
        <w:t xml:space="preserve">Prin implementarea prezentelor </w:t>
      </w:r>
      <w:r w:rsidR="00C446DA" w:rsidRPr="00FE7F70">
        <w:rPr>
          <w:rStyle w:val="tli1"/>
          <w:sz w:val="28"/>
          <w:szCs w:val="28"/>
          <w:lang w:val="ro-RO"/>
        </w:rPr>
        <w:t>Metode</w:t>
      </w:r>
      <w:r w:rsidRPr="00FE7F70">
        <w:rPr>
          <w:rStyle w:val="tli1"/>
          <w:sz w:val="28"/>
          <w:szCs w:val="28"/>
          <w:lang w:val="ro-RO"/>
        </w:rPr>
        <w:t>,</w:t>
      </w:r>
      <w:r w:rsidR="0071208A" w:rsidRPr="00FE7F70">
        <w:rPr>
          <w:rStyle w:val="tli1"/>
          <w:sz w:val="28"/>
          <w:szCs w:val="28"/>
          <w:lang w:val="ro-RO"/>
        </w:rPr>
        <w:t xml:space="preserve"> cadrul normativ național va fi adus în concordanță cu cerințele Uniunii Europene, stabilind metodele</w:t>
      </w:r>
      <w:r w:rsidR="00BB53C8" w:rsidRPr="00FE7F70">
        <w:rPr>
          <w:rStyle w:val="tli1"/>
          <w:sz w:val="28"/>
          <w:szCs w:val="28"/>
          <w:lang w:val="ro-RO"/>
        </w:rPr>
        <w:t>, cerințele</w:t>
      </w:r>
      <w:r w:rsidR="0071208A" w:rsidRPr="00FE7F70">
        <w:rPr>
          <w:rStyle w:val="tli1"/>
          <w:sz w:val="28"/>
          <w:szCs w:val="28"/>
          <w:lang w:val="ro-RO"/>
        </w:rPr>
        <w:t xml:space="preserve"> </w:t>
      </w:r>
      <w:r w:rsidR="00BB53C8" w:rsidRPr="00FE7F70">
        <w:rPr>
          <w:rStyle w:val="tli1"/>
          <w:sz w:val="28"/>
          <w:szCs w:val="28"/>
          <w:lang w:val="ro-RO"/>
        </w:rPr>
        <w:t xml:space="preserve">și planul </w:t>
      </w:r>
      <w:r w:rsidR="0071208A" w:rsidRPr="00FE7F70">
        <w:rPr>
          <w:rStyle w:val="tli1"/>
          <w:sz w:val="28"/>
          <w:szCs w:val="28"/>
          <w:lang w:val="ro-RO"/>
        </w:rPr>
        <w:t xml:space="preserve">de prelevare de probe și a metodelor de analiză pentru controlul nivelurilor de </w:t>
      </w:r>
      <w:proofErr w:type="spellStart"/>
      <w:r w:rsidR="0071208A" w:rsidRPr="00FE7F70">
        <w:rPr>
          <w:rStyle w:val="tli1"/>
          <w:sz w:val="28"/>
          <w:szCs w:val="28"/>
          <w:lang w:val="ro-RO"/>
        </w:rPr>
        <w:t>dioxine</w:t>
      </w:r>
      <w:proofErr w:type="spellEnd"/>
      <w:r w:rsidR="0071208A" w:rsidRPr="00FE7F70">
        <w:rPr>
          <w:rStyle w:val="tli1"/>
          <w:sz w:val="28"/>
          <w:szCs w:val="28"/>
          <w:lang w:val="ro-RO"/>
        </w:rPr>
        <w:t xml:space="preserve">, de </w:t>
      </w:r>
      <w:proofErr w:type="spellStart"/>
      <w:r w:rsidR="0071208A" w:rsidRPr="00FE7F70">
        <w:rPr>
          <w:rStyle w:val="tli1"/>
          <w:sz w:val="28"/>
          <w:szCs w:val="28"/>
          <w:lang w:val="ro-RO"/>
        </w:rPr>
        <w:t>PCB-uri</w:t>
      </w:r>
      <w:proofErr w:type="spellEnd"/>
      <w:r w:rsidR="0071208A" w:rsidRPr="00FE7F70">
        <w:rPr>
          <w:rStyle w:val="tli1"/>
          <w:sz w:val="28"/>
          <w:szCs w:val="28"/>
          <w:lang w:val="ro-RO"/>
        </w:rPr>
        <w:t xml:space="preserve"> de tipul </w:t>
      </w:r>
      <w:proofErr w:type="spellStart"/>
      <w:r w:rsidR="0071208A" w:rsidRPr="00FE7F70">
        <w:rPr>
          <w:rStyle w:val="tli1"/>
          <w:sz w:val="28"/>
          <w:szCs w:val="28"/>
          <w:lang w:val="ro-RO"/>
        </w:rPr>
        <w:t>dioxinelor</w:t>
      </w:r>
      <w:proofErr w:type="spellEnd"/>
      <w:r w:rsidR="0071208A" w:rsidRPr="00FE7F70">
        <w:rPr>
          <w:rStyle w:val="tli1"/>
          <w:sz w:val="28"/>
          <w:szCs w:val="28"/>
          <w:lang w:val="ro-RO"/>
        </w:rPr>
        <w:t xml:space="preserve"> și de </w:t>
      </w:r>
      <w:proofErr w:type="spellStart"/>
      <w:r w:rsidR="0071208A" w:rsidRPr="00FE7F70">
        <w:rPr>
          <w:rStyle w:val="tli1"/>
          <w:sz w:val="28"/>
          <w:szCs w:val="28"/>
          <w:lang w:val="ro-RO"/>
        </w:rPr>
        <w:t>PCB-uri</w:t>
      </w:r>
      <w:proofErr w:type="spellEnd"/>
      <w:r w:rsidR="0071208A" w:rsidRPr="00FE7F70">
        <w:rPr>
          <w:rStyle w:val="tli1"/>
          <w:sz w:val="28"/>
          <w:szCs w:val="28"/>
          <w:lang w:val="ro-RO"/>
        </w:rPr>
        <w:t xml:space="preserve"> care nu sunt de tipul </w:t>
      </w:r>
      <w:proofErr w:type="spellStart"/>
      <w:r w:rsidR="0071208A" w:rsidRPr="00FE7F70">
        <w:rPr>
          <w:rStyle w:val="tli1"/>
          <w:sz w:val="28"/>
          <w:szCs w:val="28"/>
          <w:lang w:val="ro-RO"/>
        </w:rPr>
        <w:t>dioxinelor</w:t>
      </w:r>
      <w:proofErr w:type="spellEnd"/>
      <w:r w:rsidR="0071208A" w:rsidRPr="00FE7F70">
        <w:rPr>
          <w:rStyle w:val="tli1"/>
          <w:sz w:val="28"/>
          <w:szCs w:val="28"/>
          <w:lang w:val="ro-RO"/>
        </w:rPr>
        <w:t xml:space="preserve"> în anumite produse alimentare,</w:t>
      </w:r>
      <w:r w:rsidR="00BB53C8" w:rsidRPr="00FE7F70">
        <w:rPr>
          <w:rStyle w:val="tli1"/>
          <w:sz w:val="28"/>
          <w:szCs w:val="28"/>
          <w:lang w:val="ro-RO"/>
        </w:rPr>
        <w:t xml:space="preserve"> </w:t>
      </w:r>
      <w:r w:rsidRPr="00FE7F70">
        <w:rPr>
          <w:rStyle w:val="tli1"/>
          <w:sz w:val="28"/>
          <w:szCs w:val="28"/>
          <w:lang w:val="ro-RO"/>
        </w:rPr>
        <w:t>vor fi înlăturate</w:t>
      </w:r>
      <w:r w:rsidRPr="00FE7F70">
        <w:rPr>
          <w:sz w:val="28"/>
          <w:szCs w:val="28"/>
          <w:lang w:val="ro-RO"/>
        </w:rPr>
        <w:t xml:space="preserve"> deficienţele</w:t>
      </w:r>
      <w:r w:rsidRPr="00FE7F70">
        <w:rPr>
          <w:b/>
          <w:sz w:val="28"/>
          <w:szCs w:val="28"/>
          <w:lang w:val="ro-RO"/>
        </w:rPr>
        <w:t xml:space="preserve"> </w:t>
      </w:r>
      <w:r w:rsidRPr="00FE7F70">
        <w:rPr>
          <w:sz w:val="28"/>
          <w:szCs w:val="28"/>
          <w:lang w:val="ro-RO"/>
        </w:rPr>
        <w:t xml:space="preserve">existente în domeniul metodelor de laborator utilizate la monitorizarea </w:t>
      </w:r>
      <w:r w:rsidR="00E16872" w:rsidRPr="00FE7F70">
        <w:rPr>
          <w:sz w:val="28"/>
          <w:szCs w:val="28"/>
          <w:lang w:val="ro-RO"/>
        </w:rPr>
        <w:t>contaminanților din  produsele alimentare</w:t>
      </w:r>
      <w:r w:rsidRPr="00FE7F70">
        <w:rPr>
          <w:sz w:val="28"/>
          <w:szCs w:val="28"/>
          <w:lang w:val="ro-RO"/>
        </w:rPr>
        <w:t xml:space="preserve">, vor fi excluse riscurile pentru sănătatea publică pe care le reprezintă </w:t>
      </w:r>
      <w:r w:rsidRPr="00FE7F70">
        <w:rPr>
          <w:bCs/>
          <w:sz w:val="28"/>
          <w:szCs w:val="28"/>
          <w:lang w:val="ro-RO"/>
        </w:rPr>
        <w:t>unele substanţe și reziduurile acestora din produsele alimentare</w:t>
      </w:r>
      <w:r w:rsidRPr="00FE7F70">
        <w:rPr>
          <w:iCs/>
          <w:sz w:val="28"/>
          <w:szCs w:val="28"/>
          <w:lang w:val="ro-RO"/>
        </w:rPr>
        <w:t xml:space="preserve"> şi va oferi garanţii satisfăcătoare  consumatorilor privind inofensivitatea produselor alimentare.</w:t>
      </w:r>
      <w:r w:rsidRPr="00FE7F70">
        <w:rPr>
          <w:rStyle w:val="tca1"/>
          <w:sz w:val="28"/>
          <w:szCs w:val="28"/>
          <w:lang w:val="ro-RO"/>
        </w:rPr>
        <w:t xml:space="preserve"> </w:t>
      </w:r>
    </w:p>
    <w:p w:rsidR="00AC63FC" w:rsidRPr="00FE7F70" w:rsidRDefault="00AC63FC" w:rsidP="00AC63FC">
      <w:pPr>
        <w:widowControl/>
        <w:suppressAutoHyphens w:val="0"/>
        <w:ind w:firstLine="709"/>
        <w:jc w:val="both"/>
        <w:rPr>
          <w:rFonts w:eastAsia="Calibri"/>
          <w:b/>
          <w:bCs/>
          <w:i/>
          <w:kern w:val="0"/>
          <w:sz w:val="28"/>
          <w:szCs w:val="28"/>
          <w:lang w:val="ro-RO"/>
        </w:rPr>
      </w:pPr>
      <w:r w:rsidRPr="00FE7F70">
        <w:rPr>
          <w:rFonts w:eastAsia="Calibri"/>
          <w:b/>
          <w:bCs/>
          <w:i/>
          <w:kern w:val="0"/>
          <w:sz w:val="28"/>
          <w:szCs w:val="28"/>
          <w:lang w:val="ro-RO"/>
        </w:rPr>
        <w:t>Descriere gradului de compatibilitate cu legislația Uniunii Europene</w:t>
      </w:r>
    </w:p>
    <w:p w:rsidR="00AC63FC" w:rsidRPr="00FE7F70" w:rsidRDefault="00C446DA" w:rsidP="00AC63FC">
      <w:pPr>
        <w:widowControl/>
        <w:shd w:val="clear" w:color="auto" w:fill="FFFFFF"/>
        <w:suppressAutoHyphens w:val="0"/>
        <w:ind w:firstLine="708"/>
        <w:jc w:val="both"/>
        <w:textAlignment w:val="baseline"/>
        <w:rPr>
          <w:rFonts w:eastAsiaTheme="minorHAnsi"/>
          <w:kern w:val="0"/>
          <w:sz w:val="28"/>
          <w:szCs w:val="28"/>
          <w:lang w:val="ro-RO"/>
        </w:rPr>
      </w:pPr>
      <w:r w:rsidRPr="00FE7F70">
        <w:rPr>
          <w:rFonts w:eastAsia="Times New Roman"/>
          <w:bCs/>
          <w:kern w:val="0"/>
          <w:sz w:val="28"/>
          <w:szCs w:val="28"/>
          <w:lang w:val="ro-RO" w:eastAsia="ru-RU"/>
        </w:rPr>
        <w:t>Metodele</w:t>
      </w:r>
      <w:r w:rsidR="00AC63FC" w:rsidRPr="00FE7F70">
        <w:rPr>
          <w:rFonts w:eastAsia="Times New Roman"/>
          <w:bCs/>
          <w:kern w:val="0"/>
          <w:sz w:val="28"/>
          <w:szCs w:val="28"/>
          <w:lang w:val="ro-RO" w:eastAsia="ru-RU"/>
        </w:rPr>
        <w:t xml:space="preserve"> de prelevare de probe și metode</w:t>
      </w:r>
      <w:r w:rsidR="006807E2" w:rsidRPr="00FE7F70">
        <w:rPr>
          <w:rFonts w:eastAsia="Times New Roman"/>
          <w:bCs/>
          <w:kern w:val="0"/>
          <w:sz w:val="28"/>
          <w:szCs w:val="28"/>
          <w:lang w:val="ro-RO" w:eastAsia="ru-RU"/>
        </w:rPr>
        <w:t>le</w:t>
      </w:r>
      <w:r w:rsidR="00AC63FC" w:rsidRPr="00FE7F70">
        <w:rPr>
          <w:rFonts w:eastAsia="Times New Roman"/>
          <w:bCs/>
          <w:kern w:val="0"/>
          <w:sz w:val="28"/>
          <w:szCs w:val="28"/>
          <w:lang w:val="ro-RO" w:eastAsia="ru-RU"/>
        </w:rPr>
        <w:t xml:space="preserve"> de analiză pentru controlul nivelurilor de </w:t>
      </w:r>
      <w:proofErr w:type="spellStart"/>
      <w:r w:rsidR="00AC63FC" w:rsidRPr="00FE7F70">
        <w:rPr>
          <w:rFonts w:eastAsia="Times New Roman"/>
          <w:bCs/>
          <w:kern w:val="0"/>
          <w:sz w:val="28"/>
          <w:szCs w:val="28"/>
          <w:lang w:val="ro-RO" w:eastAsia="ru-RU"/>
        </w:rPr>
        <w:t>dioxine</w:t>
      </w:r>
      <w:proofErr w:type="spellEnd"/>
      <w:r w:rsidR="00AC63FC" w:rsidRPr="00FE7F70">
        <w:rPr>
          <w:rFonts w:eastAsia="Times New Roman"/>
          <w:bCs/>
          <w:kern w:val="0"/>
          <w:sz w:val="28"/>
          <w:szCs w:val="28"/>
          <w:lang w:val="ro-RO" w:eastAsia="ru-RU"/>
        </w:rPr>
        <w:t xml:space="preserve">, de </w:t>
      </w:r>
      <w:proofErr w:type="spellStart"/>
      <w:r w:rsidR="00AC63FC" w:rsidRPr="00FE7F70">
        <w:rPr>
          <w:rFonts w:eastAsia="Times New Roman"/>
          <w:bCs/>
          <w:kern w:val="0"/>
          <w:sz w:val="28"/>
          <w:szCs w:val="28"/>
          <w:lang w:val="ro-RO" w:eastAsia="ru-RU"/>
        </w:rPr>
        <w:t>PCB-uri</w:t>
      </w:r>
      <w:proofErr w:type="spellEnd"/>
      <w:r w:rsidR="00AC63FC" w:rsidRPr="00FE7F70">
        <w:rPr>
          <w:rFonts w:eastAsia="Times New Roman"/>
          <w:bCs/>
          <w:kern w:val="0"/>
          <w:sz w:val="28"/>
          <w:szCs w:val="28"/>
          <w:lang w:val="ro-RO" w:eastAsia="ru-RU"/>
        </w:rPr>
        <w:t xml:space="preserve"> de tipul </w:t>
      </w:r>
      <w:proofErr w:type="spellStart"/>
      <w:r w:rsidR="00AC63FC" w:rsidRPr="00FE7F70">
        <w:rPr>
          <w:rFonts w:eastAsia="Times New Roman"/>
          <w:bCs/>
          <w:kern w:val="0"/>
          <w:sz w:val="28"/>
          <w:szCs w:val="28"/>
          <w:lang w:val="ro-RO" w:eastAsia="ru-RU"/>
        </w:rPr>
        <w:t>dioxinelor</w:t>
      </w:r>
      <w:proofErr w:type="spellEnd"/>
      <w:r w:rsidR="00AC63FC" w:rsidRPr="00FE7F70">
        <w:rPr>
          <w:rFonts w:eastAsia="Times New Roman"/>
          <w:bCs/>
          <w:kern w:val="0"/>
          <w:sz w:val="28"/>
          <w:szCs w:val="28"/>
          <w:lang w:val="ro-RO" w:eastAsia="ru-RU"/>
        </w:rPr>
        <w:t xml:space="preserve"> și de </w:t>
      </w:r>
      <w:proofErr w:type="spellStart"/>
      <w:r w:rsidR="00AC63FC" w:rsidRPr="00FE7F70">
        <w:rPr>
          <w:rFonts w:eastAsia="Times New Roman"/>
          <w:bCs/>
          <w:kern w:val="0"/>
          <w:sz w:val="28"/>
          <w:szCs w:val="28"/>
          <w:lang w:val="ro-RO" w:eastAsia="ru-RU"/>
        </w:rPr>
        <w:t>PCB-uri</w:t>
      </w:r>
      <w:proofErr w:type="spellEnd"/>
      <w:r w:rsidR="00AC63FC" w:rsidRPr="00FE7F70">
        <w:rPr>
          <w:rFonts w:eastAsia="Times New Roman"/>
          <w:bCs/>
          <w:kern w:val="0"/>
          <w:sz w:val="28"/>
          <w:szCs w:val="28"/>
          <w:lang w:val="ro-RO" w:eastAsia="ru-RU"/>
        </w:rPr>
        <w:t xml:space="preserve"> care nu sunt de tipul </w:t>
      </w:r>
      <w:proofErr w:type="spellStart"/>
      <w:r w:rsidR="00AC63FC" w:rsidRPr="00FE7F70">
        <w:rPr>
          <w:rFonts w:eastAsia="Times New Roman"/>
          <w:bCs/>
          <w:kern w:val="0"/>
          <w:sz w:val="28"/>
          <w:szCs w:val="28"/>
          <w:lang w:val="ro-RO" w:eastAsia="ru-RU"/>
        </w:rPr>
        <w:t>dioxinelor</w:t>
      </w:r>
      <w:proofErr w:type="spellEnd"/>
      <w:r w:rsidR="00AC63FC" w:rsidRPr="00FE7F70">
        <w:rPr>
          <w:rFonts w:eastAsia="Times New Roman"/>
          <w:bCs/>
          <w:kern w:val="0"/>
          <w:sz w:val="28"/>
          <w:szCs w:val="28"/>
          <w:lang w:val="ro-RO" w:eastAsia="ru-RU"/>
        </w:rPr>
        <w:t xml:space="preserve"> în anumite produse alimentare </w:t>
      </w:r>
      <w:r w:rsidR="00AC63FC" w:rsidRPr="00FE7F70">
        <w:rPr>
          <w:rFonts w:eastAsiaTheme="minorHAnsi"/>
          <w:kern w:val="0"/>
          <w:sz w:val="28"/>
          <w:szCs w:val="28"/>
          <w:lang w:val="ro-RO"/>
        </w:rPr>
        <w:t xml:space="preserve">transpun prevederile Regulamentului (UE) 2017/644 al Comisiei din 5 aprilie 2017 de stabilire a metodelor de prelevare de probe și a metodelor de analiză pentru controlul nivelurilor de </w:t>
      </w:r>
      <w:proofErr w:type="spellStart"/>
      <w:r w:rsidR="00AC63FC" w:rsidRPr="00FE7F70">
        <w:rPr>
          <w:rFonts w:eastAsiaTheme="minorHAnsi"/>
          <w:kern w:val="0"/>
          <w:sz w:val="28"/>
          <w:szCs w:val="28"/>
          <w:lang w:val="ro-RO"/>
        </w:rPr>
        <w:t>dioxine</w:t>
      </w:r>
      <w:proofErr w:type="spellEnd"/>
      <w:r w:rsidR="00AC63FC" w:rsidRPr="00FE7F70">
        <w:rPr>
          <w:rFonts w:eastAsiaTheme="minorHAnsi"/>
          <w:kern w:val="0"/>
          <w:sz w:val="28"/>
          <w:szCs w:val="28"/>
          <w:lang w:val="ro-RO"/>
        </w:rPr>
        <w:t xml:space="preserve">, de </w:t>
      </w:r>
      <w:proofErr w:type="spellStart"/>
      <w:r w:rsidR="00AC63FC" w:rsidRPr="00FE7F70">
        <w:rPr>
          <w:rFonts w:eastAsiaTheme="minorHAnsi"/>
          <w:kern w:val="0"/>
          <w:sz w:val="28"/>
          <w:szCs w:val="28"/>
          <w:lang w:val="ro-RO"/>
        </w:rPr>
        <w:t>PCB-uri</w:t>
      </w:r>
      <w:proofErr w:type="spellEnd"/>
      <w:r w:rsidR="00AC63FC" w:rsidRPr="00FE7F70">
        <w:rPr>
          <w:rFonts w:eastAsiaTheme="minorHAnsi"/>
          <w:kern w:val="0"/>
          <w:sz w:val="28"/>
          <w:szCs w:val="28"/>
          <w:lang w:val="ro-RO"/>
        </w:rPr>
        <w:t xml:space="preserve"> de tipul </w:t>
      </w:r>
      <w:proofErr w:type="spellStart"/>
      <w:r w:rsidR="00AC63FC" w:rsidRPr="00FE7F70">
        <w:rPr>
          <w:rFonts w:eastAsiaTheme="minorHAnsi"/>
          <w:kern w:val="0"/>
          <w:sz w:val="28"/>
          <w:szCs w:val="28"/>
          <w:lang w:val="ro-RO"/>
        </w:rPr>
        <w:t>dioxinelor</w:t>
      </w:r>
      <w:proofErr w:type="spellEnd"/>
      <w:r w:rsidR="00AC63FC" w:rsidRPr="00FE7F70">
        <w:rPr>
          <w:rFonts w:eastAsiaTheme="minorHAnsi"/>
          <w:kern w:val="0"/>
          <w:sz w:val="28"/>
          <w:szCs w:val="28"/>
          <w:lang w:val="ro-RO"/>
        </w:rPr>
        <w:t xml:space="preserve"> și de </w:t>
      </w:r>
      <w:proofErr w:type="spellStart"/>
      <w:r w:rsidR="00AC63FC" w:rsidRPr="00FE7F70">
        <w:rPr>
          <w:rFonts w:eastAsiaTheme="minorHAnsi"/>
          <w:kern w:val="0"/>
          <w:sz w:val="28"/>
          <w:szCs w:val="28"/>
          <w:lang w:val="ro-RO"/>
        </w:rPr>
        <w:t>PCB-uri</w:t>
      </w:r>
      <w:proofErr w:type="spellEnd"/>
      <w:r w:rsidR="00AC63FC" w:rsidRPr="00FE7F70">
        <w:rPr>
          <w:rFonts w:eastAsiaTheme="minorHAnsi"/>
          <w:kern w:val="0"/>
          <w:sz w:val="28"/>
          <w:szCs w:val="28"/>
          <w:lang w:val="ro-RO"/>
        </w:rPr>
        <w:t xml:space="preserve"> care nu sunt de tipul </w:t>
      </w:r>
      <w:proofErr w:type="spellStart"/>
      <w:r w:rsidR="00AC63FC" w:rsidRPr="00FE7F70">
        <w:rPr>
          <w:rFonts w:eastAsiaTheme="minorHAnsi"/>
          <w:kern w:val="0"/>
          <w:sz w:val="28"/>
          <w:szCs w:val="28"/>
          <w:lang w:val="ro-RO"/>
        </w:rPr>
        <w:t>dioxinelor</w:t>
      </w:r>
      <w:proofErr w:type="spellEnd"/>
      <w:r w:rsidR="00AC63FC" w:rsidRPr="00FE7F70">
        <w:rPr>
          <w:rFonts w:eastAsiaTheme="minorHAnsi"/>
          <w:kern w:val="0"/>
          <w:sz w:val="28"/>
          <w:szCs w:val="28"/>
          <w:lang w:val="ro-RO"/>
        </w:rPr>
        <w:t xml:space="preserve"> în anumite produse alimentare publicat în Jurnalul oficial al Uniunii Europene seria L nr. 92, din 6 aprilie 2017, p. 9-34 și de abrogare a </w:t>
      </w:r>
      <w:r w:rsidR="00AC63FC" w:rsidRPr="00FE7F70">
        <w:rPr>
          <w:rFonts w:eastAsiaTheme="minorHAnsi"/>
          <w:kern w:val="0"/>
          <w:sz w:val="28"/>
          <w:szCs w:val="28"/>
          <w:lang w:val="ro-RO"/>
        </w:rPr>
        <w:lastRenderedPageBreak/>
        <w:t>Regulamentului (UE) nr. 589/2014 publicat în Jurnalul Oficial al Uniunii Europene seria L nr. 54 din 26 februarie 2009, p. 1</w:t>
      </w:r>
      <w:r w:rsidR="004B6832" w:rsidRPr="00FE7F70">
        <w:rPr>
          <w:rFonts w:eastAsiaTheme="minorHAnsi"/>
          <w:kern w:val="0"/>
          <w:sz w:val="28"/>
          <w:szCs w:val="28"/>
          <w:lang w:val="ro-RO"/>
        </w:rPr>
        <w:t>.</w:t>
      </w:r>
    </w:p>
    <w:p w:rsidR="004B6832" w:rsidRPr="00FE7F70" w:rsidRDefault="004B6832" w:rsidP="004B6832">
      <w:pPr>
        <w:ind w:firstLine="709"/>
        <w:jc w:val="both"/>
        <w:rPr>
          <w:sz w:val="28"/>
          <w:szCs w:val="28"/>
          <w:lang w:val="ro-RO"/>
        </w:rPr>
      </w:pPr>
      <w:r w:rsidRPr="00FE7F70">
        <w:rPr>
          <w:sz w:val="28"/>
          <w:szCs w:val="28"/>
          <w:lang w:val="ro-RO"/>
        </w:rPr>
        <w:t xml:space="preserve">Gradul de compatibilitate a actului UE cu proiectul de lege în cauză este reflectat în tabelul de concordanță elaborat conform prevederilor </w:t>
      </w:r>
      <w:proofErr w:type="spellStart"/>
      <w:r w:rsidRPr="00FE7F70">
        <w:rPr>
          <w:sz w:val="28"/>
          <w:szCs w:val="28"/>
          <w:lang w:val="ro-RO"/>
        </w:rPr>
        <w:t>Hotărîrii</w:t>
      </w:r>
      <w:proofErr w:type="spellEnd"/>
      <w:r w:rsidRPr="00FE7F70">
        <w:rPr>
          <w:sz w:val="28"/>
          <w:szCs w:val="28"/>
          <w:lang w:val="ro-RO"/>
        </w:rPr>
        <w:t xml:space="preserve"> de Guvern nr.1345 din 24 noiembrie 2006 cu privire la  armonizarea legislaţiei Republicii Moldova cu legislaţia comunitară.</w:t>
      </w:r>
    </w:p>
    <w:p w:rsidR="009A31B2" w:rsidRPr="00FE7F70" w:rsidRDefault="009A31B2" w:rsidP="005A1B8B">
      <w:pPr>
        <w:widowControl/>
        <w:suppressAutoHyphens w:val="0"/>
        <w:ind w:firstLine="709"/>
        <w:jc w:val="both"/>
        <w:rPr>
          <w:rFonts w:eastAsiaTheme="minorHAnsi"/>
          <w:b/>
          <w:i/>
          <w:kern w:val="0"/>
          <w:sz w:val="28"/>
          <w:szCs w:val="28"/>
          <w:lang w:val="ro-RO"/>
        </w:rPr>
      </w:pPr>
      <w:r w:rsidRPr="00FE7F70">
        <w:rPr>
          <w:rFonts w:eastAsiaTheme="minorHAnsi"/>
          <w:b/>
          <w:i/>
          <w:kern w:val="0"/>
          <w:sz w:val="28"/>
          <w:szCs w:val="28"/>
          <w:lang w:val="ro-RO"/>
        </w:rPr>
        <w:t xml:space="preserve">Principalele prevederi </w:t>
      </w:r>
      <w:r w:rsidR="00AC63FC" w:rsidRPr="00FE7F70">
        <w:rPr>
          <w:rFonts w:eastAsiaTheme="minorHAnsi"/>
          <w:b/>
          <w:i/>
          <w:kern w:val="0"/>
          <w:sz w:val="28"/>
          <w:szCs w:val="28"/>
          <w:lang w:val="ro-RO"/>
        </w:rPr>
        <w:t>ale proiectului și evidențierea elementelor noi</w:t>
      </w:r>
      <w:r w:rsidRPr="00FE7F70">
        <w:rPr>
          <w:rFonts w:eastAsiaTheme="minorHAnsi"/>
          <w:b/>
          <w:i/>
          <w:kern w:val="0"/>
          <w:sz w:val="28"/>
          <w:szCs w:val="28"/>
          <w:lang w:val="ro-RO"/>
        </w:rPr>
        <w:t>:</w:t>
      </w:r>
    </w:p>
    <w:p w:rsidR="00F85538" w:rsidRPr="00FE7F70" w:rsidRDefault="00316E9E" w:rsidP="005A1B8B">
      <w:pPr>
        <w:ind w:firstLine="680"/>
        <w:jc w:val="both"/>
        <w:rPr>
          <w:sz w:val="28"/>
          <w:szCs w:val="28"/>
          <w:lang w:val="ro-RO"/>
        </w:rPr>
      </w:pPr>
      <w:r w:rsidRPr="00FE7F70">
        <w:rPr>
          <w:iCs/>
          <w:sz w:val="28"/>
          <w:szCs w:val="28"/>
          <w:lang w:val="ro-RO"/>
        </w:rPr>
        <w:t>Având</w:t>
      </w:r>
      <w:r w:rsidR="00F85538" w:rsidRPr="00FE7F70">
        <w:rPr>
          <w:iCs/>
          <w:sz w:val="28"/>
          <w:szCs w:val="28"/>
          <w:lang w:val="ro-RO"/>
        </w:rPr>
        <w:t xml:space="preserve"> în vedere că </w:t>
      </w:r>
      <w:r w:rsidR="00F85538" w:rsidRPr="00FE7F70">
        <w:rPr>
          <w:sz w:val="28"/>
          <w:szCs w:val="28"/>
          <w:lang w:val="ro-RO"/>
        </w:rPr>
        <w:t xml:space="preserve">prezenţa </w:t>
      </w:r>
      <w:r w:rsidR="005A1B8B" w:rsidRPr="00FE7F70">
        <w:rPr>
          <w:sz w:val="28"/>
          <w:szCs w:val="28"/>
          <w:lang w:val="ro-RO"/>
        </w:rPr>
        <w:t xml:space="preserve">contaminanților </w:t>
      </w:r>
      <w:r w:rsidR="00F85538" w:rsidRPr="00FE7F70">
        <w:rPr>
          <w:sz w:val="28"/>
          <w:szCs w:val="28"/>
          <w:lang w:val="ro-RO"/>
        </w:rPr>
        <w:t xml:space="preserve">în produsele alimentare este o problemă de sănătate publică şi faptul că pentru depistarea şi confirmarea prezenţei </w:t>
      </w:r>
      <w:r w:rsidR="005A1B8B" w:rsidRPr="00FE7F70">
        <w:rPr>
          <w:sz w:val="28"/>
          <w:szCs w:val="28"/>
          <w:lang w:val="ro-RO"/>
        </w:rPr>
        <w:t xml:space="preserve">contaminanților </w:t>
      </w:r>
      <w:r w:rsidR="00F85538" w:rsidRPr="00FE7F70">
        <w:rPr>
          <w:sz w:val="28"/>
          <w:szCs w:val="28"/>
          <w:lang w:val="ro-RO"/>
        </w:rPr>
        <w:t xml:space="preserve">în produsele alimentare există multiple metode şi tehnici de realizare ce permit obţinerea diferitor rezultate la examinarea uneia şi aceleiaşi probe şi că în baza acestor rezultate se pot lua  decizii greşite privind siguranța produselor alimentare este necesară </w:t>
      </w:r>
      <w:r w:rsidR="00F85538" w:rsidRPr="00FE7F70">
        <w:rPr>
          <w:rStyle w:val="tca1"/>
          <w:b w:val="0"/>
          <w:sz w:val="28"/>
          <w:szCs w:val="28"/>
          <w:lang w:val="ro-RO"/>
        </w:rPr>
        <w:t xml:space="preserve">stabilirea </w:t>
      </w:r>
      <w:r w:rsidR="00F85538" w:rsidRPr="00FE7F70">
        <w:rPr>
          <w:rFonts w:eastAsia="Times New Roman CYR"/>
          <w:bCs/>
          <w:sz w:val="28"/>
          <w:szCs w:val="28"/>
          <w:lang w:val="ro-RO"/>
        </w:rPr>
        <w:t>metodel</w:t>
      </w:r>
      <w:r w:rsidR="004B6832" w:rsidRPr="00FE7F70">
        <w:rPr>
          <w:rFonts w:eastAsia="Times New Roman CYR"/>
          <w:bCs/>
          <w:sz w:val="28"/>
          <w:szCs w:val="28"/>
          <w:lang w:val="ro-RO"/>
        </w:rPr>
        <w:t>or</w:t>
      </w:r>
      <w:r w:rsidR="00F85538" w:rsidRPr="00FE7F70">
        <w:rPr>
          <w:rFonts w:eastAsia="Times New Roman CYR"/>
          <w:bCs/>
          <w:sz w:val="28"/>
          <w:szCs w:val="28"/>
          <w:lang w:val="ro-RO"/>
        </w:rPr>
        <w:t xml:space="preserve"> de prelevare </w:t>
      </w:r>
      <w:r w:rsidR="00F85538" w:rsidRPr="00FE7F70">
        <w:rPr>
          <w:rFonts w:eastAsia="Times New Roman"/>
          <w:bCs/>
          <w:sz w:val="28"/>
          <w:szCs w:val="28"/>
          <w:lang w:val="ro-RO"/>
        </w:rPr>
        <w:t>ş</w:t>
      </w:r>
      <w:r w:rsidR="00F85538" w:rsidRPr="00FE7F70">
        <w:rPr>
          <w:rFonts w:eastAsia="Times New Roman CYR"/>
          <w:bCs/>
          <w:sz w:val="28"/>
          <w:szCs w:val="28"/>
          <w:lang w:val="ro-RO"/>
        </w:rPr>
        <w:t>i analiz</w:t>
      </w:r>
      <w:r w:rsidR="00F85538" w:rsidRPr="00FE7F70">
        <w:rPr>
          <w:rFonts w:eastAsia="Times New Roman"/>
          <w:bCs/>
          <w:sz w:val="28"/>
          <w:szCs w:val="28"/>
          <w:lang w:val="ro-RO"/>
        </w:rPr>
        <w:t>ă</w:t>
      </w:r>
      <w:r w:rsidR="00F85538" w:rsidRPr="00FE7F70">
        <w:rPr>
          <w:rFonts w:eastAsia="Times New Roman CYR"/>
          <w:bCs/>
          <w:sz w:val="28"/>
          <w:szCs w:val="28"/>
          <w:lang w:val="ro-RO"/>
        </w:rPr>
        <w:t xml:space="preserve"> a probelor pentru controlul oficial al </w:t>
      </w:r>
      <w:r w:rsidR="008F0498" w:rsidRPr="00FE7F70">
        <w:rPr>
          <w:rFonts w:eastAsiaTheme="minorHAnsi"/>
          <w:kern w:val="0"/>
          <w:sz w:val="28"/>
          <w:szCs w:val="28"/>
          <w:lang w:val="ro-RO"/>
        </w:rPr>
        <w:t xml:space="preserve">nivelurilor de </w:t>
      </w:r>
      <w:proofErr w:type="spellStart"/>
      <w:r w:rsidR="008F0498" w:rsidRPr="00FE7F70">
        <w:rPr>
          <w:rFonts w:eastAsiaTheme="minorHAnsi"/>
          <w:kern w:val="0"/>
          <w:sz w:val="28"/>
          <w:szCs w:val="28"/>
          <w:lang w:val="ro-RO"/>
        </w:rPr>
        <w:t>dioxine</w:t>
      </w:r>
      <w:proofErr w:type="spellEnd"/>
      <w:r w:rsidR="008F0498" w:rsidRPr="00FE7F70">
        <w:rPr>
          <w:rFonts w:eastAsiaTheme="minorHAnsi"/>
          <w:kern w:val="0"/>
          <w:sz w:val="28"/>
          <w:szCs w:val="28"/>
          <w:lang w:val="ro-RO"/>
        </w:rPr>
        <w:t xml:space="preserve">, de </w:t>
      </w:r>
      <w:proofErr w:type="spellStart"/>
      <w:r w:rsidR="008F0498" w:rsidRPr="00FE7F70">
        <w:rPr>
          <w:rFonts w:eastAsiaTheme="minorHAnsi"/>
          <w:kern w:val="0"/>
          <w:sz w:val="28"/>
          <w:szCs w:val="28"/>
          <w:lang w:val="ro-RO"/>
        </w:rPr>
        <w:t>PCB-uri</w:t>
      </w:r>
      <w:proofErr w:type="spellEnd"/>
      <w:r w:rsidR="008F0498" w:rsidRPr="00FE7F70">
        <w:rPr>
          <w:rFonts w:eastAsiaTheme="minorHAnsi"/>
          <w:kern w:val="0"/>
          <w:sz w:val="28"/>
          <w:szCs w:val="28"/>
          <w:lang w:val="ro-RO"/>
        </w:rPr>
        <w:t xml:space="preserve"> de tipul </w:t>
      </w:r>
      <w:proofErr w:type="spellStart"/>
      <w:r w:rsidR="008F0498" w:rsidRPr="00FE7F70">
        <w:rPr>
          <w:rFonts w:eastAsiaTheme="minorHAnsi"/>
          <w:kern w:val="0"/>
          <w:sz w:val="28"/>
          <w:szCs w:val="28"/>
          <w:lang w:val="ro-RO"/>
        </w:rPr>
        <w:t>dioxinelor</w:t>
      </w:r>
      <w:proofErr w:type="spellEnd"/>
      <w:r w:rsidR="008F0498" w:rsidRPr="00FE7F70">
        <w:rPr>
          <w:rFonts w:eastAsiaTheme="minorHAnsi"/>
          <w:kern w:val="0"/>
          <w:sz w:val="28"/>
          <w:szCs w:val="28"/>
          <w:lang w:val="ro-RO"/>
        </w:rPr>
        <w:t xml:space="preserve"> și de </w:t>
      </w:r>
      <w:proofErr w:type="spellStart"/>
      <w:r w:rsidR="008F0498" w:rsidRPr="00FE7F70">
        <w:rPr>
          <w:rFonts w:eastAsiaTheme="minorHAnsi"/>
          <w:kern w:val="0"/>
          <w:sz w:val="28"/>
          <w:szCs w:val="28"/>
          <w:lang w:val="ro-RO"/>
        </w:rPr>
        <w:t>PCB-uri</w:t>
      </w:r>
      <w:proofErr w:type="spellEnd"/>
      <w:r w:rsidR="008F0498" w:rsidRPr="00FE7F70">
        <w:rPr>
          <w:rFonts w:eastAsiaTheme="minorHAnsi"/>
          <w:kern w:val="0"/>
          <w:sz w:val="28"/>
          <w:szCs w:val="28"/>
          <w:lang w:val="ro-RO"/>
        </w:rPr>
        <w:t xml:space="preserve"> care nu sunt de tipul </w:t>
      </w:r>
      <w:proofErr w:type="spellStart"/>
      <w:r w:rsidR="008F0498" w:rsidRPr="00FE7F70">
        <w:rPr>
          <w:rFonts w:eastAsiaTheme="minorHAnsi"/>
          <w:kern w:val="0"/>
          <w:sz w:val="28"/>
          <w:szCs w:val="28"/>
          <w:lang w:val="ro-RO"/>
        </w:rPr>
        <w:t>dioxinelor</w:t>
      </w:r>
      <w:proofErr w:type="spellEnd"/>
      <w:r w:rsidR="008F0498" w:rsidRPr="00FE7F70">
        <w:rPr>
          <w:rFonts w:eastAsiaTheme="minorHAnsi"/>
          <w:kern w:val="0"/>
          <w:sz w:val="28"/>
          <w:szCs w:val="28"/>
          <w:lang w:val="ro-RO"/>
        </w:rPr>
        <w:t xml:space="preserve"> în anumite produse alimentare </w:t>
      </w:r>
      <w:r w:rsidR="00F85538" w:rsidRPr="00FE7F70">
        <w:rPr>
          <w:sz w:val="28"/>
          <w:szCs w:val="28"/>
          <w:lang w:val="ro-RO"/>
        </w:rPr>
        <w:t xml:space="preserve">în vederea monitorizării anumitor substanţe şi a </w:t>
      </w:r>
      <w:proofErr w:type="spellStart"/>
      <w:r w:rsidR="00F85538" w:rsidRPr="00FE7F70">
        <w:rPr>
          <w:sz w:val="28"/>
          <w:szCs w:val="28"/>
          <w:lang w:val="ro-RO"/>
        </w:rPr>
        <w:t>rezidurilor</w:t>
      </w:r>
      <w:proofErr w:type="spellEnd"/>
      <w:r w:rsidR="00F85538" w:rsidRPr="00FE7F70">
        <w:rPr>
          <w:sz w:val="28"/>
          <w:szCs w:val="28"/>
          <w:lang w:val="ro-RO"/>
        </w:rPr>
        <w:t xml:space="preserve"> acestora din produse alimentare. </w:t>
      </w:r>
    </w:p>
    <w:p w:rsidR="00AC63FC" w:rsidRPr="00FE7F70" w:rsidRDefault="00AC63FC" w:rsidP="00AC63FC">
      <w:pPr>
        <w:ind w:firstLine="709"/>
        <w:jc w:val="both"/>
        <w:rPr>
          <w:b/>
          <w:i/>
          <w:sz w:val="28"/>
          <w:szCs w:val="28"/>
          <w:lang w:val="ro-RO"/>
        </w:rPr>
      </w:pPr>
      <w:r w:rsidRPr="00FE7F70">
        <w:rPr>
          <w:b/>
          <w:i/>
          <w:sz w:val="28"/>
          <w:szCs w:val="28"/>
          <w:lang w:val="ro-RO"/>
        </w:rPr>
        <w:t>Fundamentarea economico-financiară:</w:t>
      </w:r>
    </w:p>
    <w:p w:rsidR="004B6832" w:rsidRPr="00FE7F70" w:rsidRDefault="00AC63FC" w:rsidP="004B6832">
      <w:pPr>
        <w:ind w:firstLine="709"/>
        <w:jc w:val="both"/>
        <w:rPr>
          <w:szCs w:val="28"/>
          <w:lang w:val="ro-RO"/>
        </w:rPr>
      </w:pPr>
      <w:r w:rsidRPr="00FE7F70">
        <w:rPr>
          <w:sz w:val="28"/>
          <w:szCs w:val="28"/>
          <w:lang w:val="ro-RO"/>
        </w:rPr>
        <w:t xml:space="preserve">Implementarea proiectului  Hotărârii de Guvern </w:t>
      </w:r>
      <w:r w:rsidR="00C446DA" w:rsidRPr="00FE7F70">
        <w:rPr>
          <w:rFonts w:eastAsia="Arial Unicode MS"/>
          <w:kern w:val="3"/>
          <w:sz w:val="28"/>
          <w:szCs w:val="28"/>
          <w:lang w:val="ro-RO"/>
        </w:rPr>
        <w:t xml:space="preserve">cu privire la aprobarea metodelor de prelevare de probe și a metodelor de analiză pentru controlul nivelurilor de </w:t>
      </w:r>
      <w:proofErr w:type="spellStart"/>
      <w:r w:rsidR="00C446DA" w:rsidRPr="00FE7F70">
        <w:rPr>
          <w:rFonts w:eastAsia="Arial Unicode MS"/>
          <w:kern w:val="3"/>
          <w:sz w:val="28"/>
          <w:szCs w:val="28"/>
          <w:lang w:val="ro-RO"/>
        </w:rPr>
        <w:t>dioxine</w:t>
      </w:r>
      <w:proofErr w:type="spellEnd"/>
      <w:r w:rsidR="00C446DA" w:rsidRPr="00FE7F70">
        <w:rPr>
          <w:rFonts w:eastAsia="Arial Unicode MS"/>
          <w:kern w:val="3"/>
          <w:sz w:val="28"/>
          <w:szCs w:val="28"/>
          <w:lang w:val="ro-RO"/>
        </w:rPr>
        <w:t xml:space="preserve">, de </w:t>
      </w:r>
      <w:proofErr w:type="spellStart"/>
      <w:r w:rsidR="00C446DA" w:rsidRPr="00FE7F70">
        <w:rPr>
          <w:rFonts w:eastAsia="Arial Unicode MS"/>
          <w:kern w:val="3"/>
          <w:sz w:val="28"/>
          <w:szCs w:val="28"/>
          <w:lang w:val="ro-RO"/>
        </w:rPr>
        <w:t>PCB-uri</w:t>
      </w:r>
      <w:proofErr w:type="spellEnd"/>
      <w:r w:rsidR="00C446DA" w:rsidRPr="00FE7F70">
        <w:rPr>
          <w:rFonts w:eastAsia="Arial Unicode MS"/>
          <w:kern w:val="3"/>
          <w:sz w:val="28"/>
          <w:szCs w:val="28"/>
          <w:lang w:val="ro-RO"/>
        </w:rPr>
        <w:t xml:space="preserve"> de tipul </w:t>
      </w:r>
      <w:proofErr w:type="spellStart"/>
      <w:r w:rsidR="00C446DA" w:rsidRPr="00FE7F70">
        <w:rPr>
          <w:rFonts w:eastAsia="Arial Unicode MS"/>
          <w:kern w:val="3"/>
          <w:sz w:val="28"/>
          <w:szCs w:val="28"/>
          <w:lang w:val="ro-RO"/>
        </w:rPr>
        <w:t>dioxinelor</w:t>
      </w:r>
      <w:proofErr w:type="spellEnd"/>
      <w:r w:rsidR="00C446DA" w:rsidRPr="00FE7F70">
        <w:rPr>
          <w:rFonts w:eastAsia="Arial Unicode MS"/>
          <w:kern w:val="3"/>
          <w:sz w:val="28"/>
          <w:szCs w:val="28"/>
          <w:lang w:val="ro-RO"/>
        </w:rPr>
        <w:t xml:space="preserve"> și de </w:t>
      </w:r>
      <w:proofErr w:type="spellStart"/>
      <w:r w:rsidR="00C446DA" w:rsidRPr="00FE7F70">
        <w:rPr>
          <w:rFonts w:eastAsia="Arial Unicode MS"/>
          <w:kern w:val="3"/>
          <w:sz w:val="28"/>
          <w:szCs w:val="28"/>
          <w:lang w:val="ro-RO"/>
        </w:rPr>
        <w:t>PCB-uri</w:t>
      </w:r>
      <w:proofErr w:type="spellEnd"/>
      <w:r w:rsidR="00C446DA" w:rsidRPr="00FE7F70">
        <w:rPr>
          <w:rFonts w:eastAsia="Arial Unicode MS"/>
          <w:kern w:val="3"/>
          <w:sz w:val="28"/>
          <w:szCs w:val="28"/>
          <w:lang w:val="ro-RO"/>
        </w:rPr>
        <w:t xml:space="preserve"> care nu sunt de tipul </w:t>
      </w:r>
      <w:proofErr w:type="spellStart"/>
      <w:r w:rsidR="00C446DA" w:rsidRPr="00FE7F70">
        <w:rPr>
          <w:rFonts w:eastAsia="Arial Unicode MS"/>
          <w:kern w:val="3"/>
          <w:sz w:val="28"/>
          <w:szCs w:val="28"/>
          <w:lang w:val="ro-RO"/>
        </w:rPr>
        <w:t>dioxinelor</w:t>
      </w:r>
      <w:proofErr w:type="spellEnd"/>
      <w:r w:rsidR="00C446DA" w:rsidRPr="00FE7F70">
        <w:rPr>
          <w:rFonts w:eastAsia="Arial Unicode MS"/>
          <w:kern w:val="3"/>
          <w:sz w:val="28"/>
          <w:szCs w:val="28"/>
          <w:lang w:val="ro-RO"/>
        </w:rPr>
        <w:t xml:space="preserve"> în anumite produse alimentare</w:t>
      </w:r>
      <w:r w:rsidR="004B6832" w:rsidRPr="00FE7F70">
        <w:rPr>
          <w:rFonts w:eastAsia="Arial Unicode MS"/>
          <w:kern w:val="3"/>
          <w:sz w:val="28"/>
          <w:szCs w:val="28"/>
          <w:lang w:val="ro-RO"/>
        </w:rPr>
        <w:t xml:space="preserve"> </w:t>
      </w:r>
      <w:r w:rsidR="004B6832" w:rsidRPr="00FE7F70">
        <w:rPr>
          <w:sz w:val="28"/>
          <w:szCs w:val="28"/>
          <w:lang w:val="ro-RO"/>
        </w:rPr>
        <w:t>nu va necesita finanţare din buget.</w:t>
      </w:r>
    </w:p>
    <w:p w:rsidR="002920FC" w:rsidRPr="00FE7F70" w:rsidRDefault="007C6ECF" w:rsidP="00C446DA">
      <w:pPr>
        <w:ind w:firstLine="709"/>
        <w:jc w:val="both"/>
        <w:rPr>
          <w:rFonts w:eastAsiaTheme="minorHAnsi"/>
          <w:b/>
          <w:i/>
          <w:kern w:val="0"/>
          <w:sz w:val="28"/>
          <w:szCs w:val="28"/>
          <w:lang w:val="ro-RO"/>
        </w:rPr>
      </w:pPr>
      <w:r w:rsidRPr="00FE7F70">
        <w:rPr>
          <w:rFonts w:eastAsiaTheme="minorHAnsi"/>
          <w:b/>
          <w:i/>
          <w:kern w:val="0"/>
          <w:sz w:val="28"/>
          <w:szCs w:val="28"/>
          <w:lang w:val="ro-RO"/>
        </w:rPr>
        <w:t>Modul de încorporare a actului în cadrul normativ în vigoare</w:t>
      </w:r>
      <w:r w:rsidR="002920FC" w:rsidRPr="00FE7F70">
        <w:rPr>
          <w:rFonts w:eastAsiaTheme="minorHAnsi"/>
          <w:b/>
          <w:i/>
          <w:kern w:val="0"/>
          <w:sz w:val="28"/>
          <w:szCs w:val="28"/>
          <w:lang w:val="ro-RO"/>
        </w:rPr>
        <w:t>:</w:t>
      </w:r>
    </w:p>
    <w:p w:rsidR="00316E9E" w:rsidRPr="00FE7F70" w:rsidRDefault="005A1B8B" w:rsidP="00316E9E">
      <w:pPr>
        <w:widowControl/>
        <w:suppressAutoHyphens w:val="0"/>
        <w:ind w:firstLine="709"/>
        <w:jc w:val="both"/>
        <w:rPr>
          <w:rFonts w:eastAsiaTheme="minorHAnsi"/>
          <w:kern w:val="0"/>
          <w:sz w:val="28"/>
          <w:szCs w:val="28"/>
          <w:lang w:val="ro-RO"/>
        </w:rPr>
      </w:pPr>
      <w:r w:rsidRPr="00FE7F70">
        <w:rPr>
          <w:sz w:val="28"/>
          <w:szCs w:val="28"/>
          <w:lang w:val="ro-RO"/>
        </w:rPr>
        <w:t xml:space="preserve">Proiectul </w:t>
      </w:r>
      <w:proofErr w:type="spellStart"/>
      <w:r w:rsidRPr="00FE7F70">
        <w:rPr>
          <w:sz w:val="28"/>
          <w:szCs w:val="28"/>
          <w:lang w:val="ro-RO"/>
        </w:rPr>
        <w:t>Hotărîrii</w:t>
      </w:r>
      <w:proofErr w:type="spellEnd"/>
      <w:r w:rsidRPr="00FE7F70">
        <w:rPr>
          <w:sz w:val="28"/>
          <w:szCs w:val="28"/>
          <w:lang w:val="ro-RO"/>
        </w:rPr>
        <w:t xml:space="preserve"> de Guvern </w:t>
      </w:r>
      <w:r w:rsidR="00C446DA" w:rsidRPr="00FE7F70">
        <w:rPr>
          <w:rFonts w:eastAsia="Arial Unicode MS"/>
          <w:kern w:val="3"/>
          <w:sz w:val="28"/>
          <w:szCs w:val="28"/>
          <w:lang w:val="ro-RO"/>
        </w:rPr>
        <w:t xml:space="preserve">cu privire la aprobarea metodelor de prelevare de probe și a metodelor de analiză pentru controlul nivelurilor de </w:t>
      </w:r>
      <w:proofErr w:type="spellStart"/>
      <w:r w:rsidR="00C446DA" w:rsidRPr="00FE7F70">
        <w:rPr>
          <w:rFonts w:eastAsia="Arial Unicode MS"/>
          <w:kern w:val="3"/>
          <w:sz w:val="28"/>
          <w:szCs w:val="28"/>
          <w:lang w:val="ro-RO"/>
        </w:rPr>
        <w:t>dioxine</w:t>
      </w:r>
      <w:proofErr w:type="spellEnd"/>
      <w:r w:rsidR="00C446DA" w:rsidRPr="00FE7F70">
        <w:rPr>
          <w:rFonts w:eastAsia="Arial Unicode MS"/>
          <w:kern w:val="3"/>
          <w:sz w:val="28"/>
          <w:szCs w:val="28"/>
          <w:lang w:val="ro-RO"/>
        </w:rPr>
        <w:t xml:space="preserve">, de </w:t>
      </w:r>
      <w:proofErr w:type="spellStart"/>
      <w:r w:rsidR="00C446DA" w:rsidRPr="00FE7F70">
        <w:rPr>
          <w:rFonts w:eastAsia="Arial Unicode MS"/>
          <w:kern w:val="3"/>
          <w:sz w:val="28"/>
          <w:szCs w:val="28"/>
          <w:lang w:val="ro-RO"/>
        </w:rPr>
        <w:t>PCB-uri</w:t>
      </w:r>
      <w:proofErr w:type="spellEnd"/>
      <w:r w:rsidR="00C446DA" w:rsidRPr="00FE7F70">
        <w:rPr>
          <w:rFonts w:eastAsia="Arial Unicode MS"/>
          <w:kern w:val="3"/>
          <w:sz w:val="28"/>
          <w:szCs w:val="28"/>
          <w:lang w:val="ro-RO"/>
        </w:rPr>
        <w:t xml:space="preserve"> de tipul </w:t>
      </w:r>
      <w:proofErr w:type="spellStart"/>
      <w:r w:rsidR="00C446DA" w:rsidRPr="00FE7F70">
        <w:rPr>
          <w:rFonts w:eastAsia="Arial Unicode MS"/>
          <w:kern w:val="3"/>
          <w:sz w:val="28"/>
          <w:szCs w:val="28"/>
          <w:lang w:val="ro-RO"/>
        </w:rPr>
        <w:t>dioxinelor</w:t>
      </w:r>
      <w:proofErr w:type="spellEnd"/>
      <w:r w:rsidR="00C446DA" w:rsidRPr="00FE7F70">
        <w:rPr>
          <w:rFonts w:eastAsia="Arial Unicode MS"/>
          <w:kern w:val="3"/>
          <w:sz w:val="28"/>
          <w:szCs w:val="28"/>
          <w:lang w:val="ro-RO"/>
        </w:rPr>
        <w:t xml:space="preserve"> și de </w:t>
      </w:r>
      <w:proofErr w:type="spellStart"/>
      <w:r w:rsidR="00C446DA" w:rsidRPr="00FE7F70">
        <w:rPr>
          <w:rFonts w:eastAsia="Arial Unicode MS"/>
          <w:kern w:val="3"/>
          <w:sz w:val="28"/>
          <w:szCs w:val="28"/>
          <w:lang w:val="ro-RO"/>
        </w:rPr>
        <w:t>PCB-uri</w:t>
      </w:r>
      <w:proofErr w:type="spellEnd"/>
      <w:r w:rsidR="00C446DA" w:rsidRPr="00FE7F70">
        <w:rPr>
          <w:rFonts w:eastAsia="Arial Unicode MS"/>
          <w:kern w:val="3"/>
          <w:sz w:val="28"/>
          <w:szCs w:val="28"/>
          <w:lang w:val="ro-RO"/>
        </w:rPr>
        <w:t xml:space="preserve"> care nu sunt de tipul </w:t>
      </w:r>
      <w:proofErr w:type="spellStart"/>
      <w:r w:rsidR="00C446DA" w:rsidRPr="00FE7F70">
        <w:rPr>
          <w:rFonts w:eastAsia="Arial Unicode MS"/>
          <w:kern w:val="3"/>
          <w:sz w:val="28"/>
          <w:szCs w:val="28"/>
          <w:lang w:val="ro-RO"/>
        </w:rPr>
        <w:t>dioxinelor</w:t>
      </w:r>
      <w:proofErr w:type="spellEnd"/>
      <w:r w:rsidR="00C446DA" w:rsidRPr="00FE7F70">
        <w:rPr>
          <w:rFonts w:eastAsia="Arial Unicode MS"/>
          <w:kern w:val="3"/>
          <w:sz w:val="28"/>
          <w:szCs w:val="28"/>
          <w:lang w:val="ro-RO"/>
        </w:rPr>
        <w:t xml:space="preserve"> în anumite produse alimentare</w:t>
      </w:r>
      <w:r w:rsidR="00C446DA" w:rsidRPr="00FE7F70">
        <w:rPr>
          <w:rFonts w:eastAsia="Arial Unicode MS"/>
          <w:b/>
          <w:kern w:val="3"/>
          <w:sz w:val="28"/>
          <w:szCs w:val="28"/>
          <w:lang w:val="ro-RO"/>
        </w:rPr>
        <w:t xml:space="preserve"> </w:t>
      </w:r>
      <w:r w:rsidR="008F0498" w:rsidRPr="00FE7F70">
        <w:rPr>
          <w:rFonts w:eastAsiaTheme="minorHAnsi"/>
          <w:kern w:val="0"/>
          <w:sz w:val="28"/>
          <w:szCs w:val="28"/>
          <w:lang w:val="ro-RO"/>
        </w:rPr>
        <w:t>face referință la prevederile</w:t>
      </w:r>
      <w:r w:rsidR="00AC63FC" w:rsidRPr="00FE7F70">
        <w:rPr>
          <w:rFonts w:eastAsiaTheme="minorHAnsi"/>
          <w:kern w:val="0"/>
          <w:sz w:val="28"/>
          <w:szCs w:val="28"/>
          <w:lang w:val="ro-RO"/>
        </w:rPr>
        <w:t xml:space="preserve"> </w:t>
      </w:r>
      <w:r w:rsidR="00316E9E" w:rsidRPr="00FE7F70">
        <w:rPr>
          <w:rFonts w:eastAsiaTheme="minorHAnsi"/>
          <w:kern w:val="0"/>
          <w:sz w:val="28"/>
          <w:szCs w:val="28"/>
          <w:lang w:val="ro-RO"/>
        </w:rPr>
        <w:t>Leg</w:t>
      </w:r>
      <w:r w:rsidR="00E03E85" w:rsidRPr="00FE7F70">
        <w:rPr>
          <w:rFonts w:eastAsiaTheme="minorHAnsi"/>
          <w:kern w:val="0"/>
          <w:sz w:val="28"/>
          <w:szCs w:val="28"/>
          <w:lang w:val="ro-RO"/>
        </w:rPr>
        <w:t>ii</w:t>
      </w:r>
      <w:r w:rsidR="00316E9E" w:rsidRPr="00FE7F70">
        <w:rPr>
          <w:rFonts w:eastAsiaTheme="minorHAnsi"/>
          <w:kern w:val="0"/>
          <w:sz w:val="28"/>
          <w:szCs w:val="28"/>
          <w:lang w:val="ro-RO"/>
        </w:rPr>
        <w:t xml:space="preserve"> nr. 296 </w:t>
      </w:r>
      <w:r w:rsidR="00E03E85" w:rsidRPr="00FE7F70">
        <w:rPr>
          <w:rFonts w:eastAsiaTheme="minorHAnsi"/>
          <w:kern w:val="0"/>
          <w:sz w:val="28"/>
          <w:szCs w:val="28"/>
          <w:lang w:val="ro-RO"/>
        </w:rPr>
        <w:t xml:space="preserve">din 21 decembrie 2017 </w:t>
      </w:r>
      <w:r w:rsidR="00316E9E" w:rsidRPr="00FE7F70">
        <w:rPr>
          <w:rFonts w:eastAsiaTheme="minorHAnsi"/>
          <w:kern w:val="0"/>
          <w:sz w:val="28"/>
          <w:szCs w:val="28"/>
          <w:lang w:val="ro-RO"/>
        </w:rPr>
        <w:t>privind cerințele generale de igienă a produselor alimentare</w:t>
      </w:r>
      <w:r w:rsidR="00E03E85" w:rsidRPr="00FE7F70">
        <w:rPr>
          <w:rFonts w:eastAsiaTheme="minorHAnsi"/>
          <w:kern w:val="0"/>
          <w:sz w:val="28"/>
          <w:szCs w:val="28"/>
          <w:lang w:val="ro-RO"/>
        </w:rPr>
        <w:t xml:space="preserve">, </w:t>
      </w:r>
      <w:r w:rsidR="00E03E85" w:rsidRPr="00FE7F70">
        <w:rPr>
          <w:rFonts w:eastAsiaTheme="minorHAnsi"/>
          <w:bCs/>
          <w:kern w:val="0"/>
          <w:sz w:val="28"/>
          <w:szCs w:val="28"/>
          <w:lang w:val="ro-RO"/>
        </w:rPr>
        <w:t>Legii nr. 50 din 28 martie 2013cu privire la controalele oficiale pentru verificarea conformităţii cu legislaţia privind hrana pentru animale şi produsele alimentare şi cu normele de sănătate şi de bunăstare a animalelor, Hotărârii de Guvern</w:t>
      </w:r>
      <w:r w:rsidR="00316E9E" w:rsidRPr="00FE7F70">
        <w:rPr>
          <w:rFonts w:eastAsiaTheme="minorHAnsi"/>
          <w:kern w:val="0"/>
          <w:sz w:val="28"/>
          <w:szCs w:val="28"/>
          <w:lang w:val="ro-RO"/>
        </w:rPr>
        <w:t xml:space="preserve"> nr. 265 din 06 aprilie 2009 pentru aprobarea Regulamentului privind aplicarea metodelor de încercări şi interpretarea rezultatelor în domeniul sanitar-veterinar</w:t>
      </w:r>
      <w:r w:rsidR="00E03E85" w:rsidRPr="00FE7F70">
        <w:rPr>
          <w:rFonts w:eastAsiaTheme="minorHAnsi"/>
          <w:kern w:val="0"/>
          <w:sz w:val="28"/>
          <w:szCs w:val="28"/>
          <w:lang w:val="ro-RO"/>
        </w:rPr>
        <w:t xml:space="preserve">, </w:t>
      </w:r>
      <w:r w:rsidR="00E03E85" w:rsidRPr="00FE7F70">
        <w:rPr>
          <w:rFonts w:eastAsiaTheme="minorHAnsi"/>
          <w:bCs/>
          <w:kern w:val="0"/>
          <w:sz w:val="28"/>
          <w:szCs w:val="28"/>
          <w:lang w:val="ro-RO"/>
        </w:rPr>
        <w:t>Hotărârii de Guvern</w:t>
      </w:r>
      <w:r w:rsidR="00316E9E" w:rsidRPr="00FE7F70">
        <w:rPr>
          <w:rFonts w:eastAsiaTheme="minorHAnsi"/>
          <w:kern w:val="0"/>
          <w:sz w:val="28"/>
          <w:szCs w:val="28"/>
          <w:lang w:val="ro-RO"/>
        </w:rPr>
        <w:t xml:space="preserve"> nr. 520 din  22 iunie 2010 cu privire la aprobarea Regulamentului sanitar privind contaminanţii din produsele alimentare.</w:t>
      </w:r>
    </w:p>
    <w:p w:rsidR="00944FFF" w:rsidRPr="00FE7F70" w:rsidRDefault="00944FFF" w:rsidP="00316E9E">
      <w:pPr>
        <w:widowControl/>
        <w:suppressAutoHyphens w:val="0"/>
        <w:ind w:firstLine="709"/>
        <w:jc w:val="both"/>
        <w:rPr>
          <w:rFonts w:eastAsiaTheme="minorHAnsi"/>
          <w:b/>
          <w:i/>
          <w:kern w:val="0"/>
          <w:sz w:val="28"/>
          <w:szCs w:val="28"/>
          <w:lang w:val="ro-MO"/>
        </w:rPr>
      </w:pPr>
      <w:r w:rsidRPr="00FE7F70">
        <w:rPr>
          <w:rFonts w:eastAsiaTheme="minorHAnsi"/>
          <w:b/>
          <w:i/>
          <w:kern w:val="0"/>
          <w:sz w:val="28"/>
          <w:szCs w:val="28"/>
          <w:lang w:val="ro-MO"/>
        </w:rPr>
        <w:t>Avizarea şi consultarea publică a proiectului</w:t>
      </w:r>
    </w:p>
    <w:p w:rsidR="00B81C5F" w:rsidRPr="00FE7F70" w:rsidRDefault="00B81C5F" w:rsidP="00B81C5F">
      <w:pPr>
        <w:pStyle w:val="a8"/>
        <w:ind w:left="0" w:firstLine="709"/>
        <w:jc w:val="both"/>
        <w:rPr>
          <w:sz w:val="28"/>
          <w:szCs w:val="28"/>
          <w:lang w:val="ro-RO"/>
        </w:rPr>
      </w:pPr>
      <w:r w:rsidRPr="00FE7F70">
        <w:rPr>
          <w:sz w:val="28"/>
          <w:szCs w:val="28"/>
          <w:lang w:val="ro-RO"/>
        </w:rPr>
        <w:t>În vederea respectării prevederilor Legii nr.239 din 13 noiembrie 2008 privind tran</w:t>
      </w:r>
      <w:r w:rsidR="00DC7390" w:rsidRPr="00FE7F70">
        <w:rPr>
          <w:sz w:val="28"/>
          <w:szCs w:val="28"/>
          <w:lang w:val="ro-RO"/>
        </w:rPr>
        <w:t>sparenţa în procesul decizional p</w:t>
      </w:r>
      <w:r w:rsidRPr="00FE7F70">
        <w:rPr>
          <w:sz w:val="28"/>
          <w:szCs w:val="28"/>
          <w:lang w:val="ro-RO"/>
        </w:rPr>
        <w:t xml:space="preserve">roiectul </w:t>
      </w:r>
      <w:proofErr w:type="spellStart"/>
      <w:r w:rsidRPr="00FE7F70">
        <w:rPr>
          <w:sz w:val="28"/>
          <w:szCs w:val="28"/>
          <w:lang w:val="ro-RO"/>
        </w:rPr>
        <w:t>Hotărîrii</w:t>
      </w:r>
      <w:proofErr w:type="spellEnd"/>
      <w:r w:rsidRPr="00FE7F70">
        <w:rPr>
          <w:sz w:val="28"/>
          <w:szCs w:val="28"/>
          <w:lang w:val="ro-RO"/>
        </w:rPr>
        <w:t xml:space="preserve"> de Guvern a fost avizat de către autoritățile de resort și a fost întocmită sinteza obiecțiilor și propunerilor.</w:t>
      </w:r>
    </w:p>
    <w:p w:rsidR="00B81C5F" w:rsidRPr="00FE7F70" w:rsidRDefault="003E7829" w:rsidP="00B81C5F">
      <w:pPr>
        <w:spacing w:line="276" w:lineRule="auto"/>
        <w:ind w:firstLine="884"/>
        <w:jc w:val="both"/>
        <w:rPr>
          <w:sz w:val="28"/>
          <w:szCs w:val="28"/>
          <w:lang w:val="ro-RO"/>
        </w:rPr>
      </w:pPr>
      <w:r w:rsidRPr="00FE7F70">
        <w:rPr>
          <w:sz w:val="28"/>
          <w:szCs w:val="28"/>
          <w:lang w:val="ro-RO"/>
        </w:rPr>
        <w:t>Totodată</w:t>
      </w:r>
      <w:r w:rsidR="00B81C5F" w:rsidRPr="00FE7F70">
        <w:rPr>
          <w:sz w:val="28"/>
          <w:szCs w:val="28"/>
          <w:lang w:val="ro-RO"/>
        </w:rPr>
        <w:t xml:space="preserve">, proiectul în cauză a fost remis spre avizare către </w:t>
      </w:r>
      <w:r w:rsidR="00B81C5F" w:rsidRPr="00FE7F70">
        <w:rPr>
          <w:bCs/>
          <w:sz w:val="28"/>
          <w:szCs w:val="28"/>
          <w:lang w:val="ro-RO" w:eastAsia="ja-JP"/>
        </w:rPr>
        <w:t xml:space="preserve">Confederaţia </w:t>
      </w:r>
      <w:r w:rsidR="00B81C5F" w:rsidRPr="00FE7F70">
        <w:rPr>
          <w:bCs/>
          <w:sz w:val="28"/>
          <w:szCs w:val="28"/>
          <w:lang w:val="ro-RO" w:eastAsia="ja-JP"/>
        </w:rPr>
        <w:lastRenderedPageBreak/>
        <w:t>Naţională a Patronatului din Republica Moldova, Asociaţia Naţională a Producătorilor de Lapte şi Produse Lactate „LAPTE”, Asociaţia Producătorilor şi Exportatorilor de Fructe din Moldova „</w:t>
      </w:r>
      <w:proofErr w:type="spellStart"/>
      <w:r w:rsidR="00B81C5F" w:rsidRPr="00FE7F70">
        <w:rPr>
          <w:bCs/>
          <w:sz w:val="28"/>
          <w:szCs w:val="28"/>
          <w:lang w:val="ro-RO" w:eastAsia="ja-JP"/>
        </w:rPr>
        <w:t>Moldova</w:t>
      </w:r>
      <w:proofErr w:type="spellEnd"/>
      <w:r w:rsidR="00B81C5F" w:rsidRPr="00FE7F70">
        <w:rPr>
          <w:bCs/>
          <w:sz w:val="28"/>
          <w:szCs w:val="28"/>
          <w:lang w:val="ro-RO" w:eastAsia="ja-JP"/>
        </w:rPr>
        <w:t xml:space="preserve"> Fruct”, Asociaţia „Uniunea Producătorilor de Zahăr din Moldova”, Asociaţia Uniunea Producătorilor şi Importatorilor de Produse din Carne şi Lapte din Republica Moldova, Federaţia Naţională a Fermierilor din Moldova, </w:t>
      </w:r>
      <w:r w:rsidR="00B81C5F" w:rsidRPr="00FE7F70">
        <w:rPr>
          <w:sz w:val="28"/>
          <w:szCs w:val="28"/>
          <w:lang w:val="ro-RO"/>
        </w:rPr>
        <w:t xml:space="preserve"> de la care nu a parvenit nici un răspuns.</w:t>
      </w:r>
    </w:p>
    <w:p w:rsidR="00B81C5F" w:rsidRPr="00FE7F70" w:rsidRDefault="00CC68D0" w:rsidP="00B81C5F">
      <w:pPr>
        <w:spacing w:line="276" w:lineRule="auto"/>
        <w:ind w:firstLine="884"/>
        <w:jc w:val="both"/>
        <w:rPr>
          <w:rFonts w:eastAsia="Times New Roman"/>
          <w:i/>
          <w:sz w:val="28"/>
          <w:szCs w:val="28"/>
          <w:lang w:val="ro-RO"/>
        </w:rPr>
      </w:pPr>
      <w:r w:rsidRPr="00FE7F70">
        <w:rPr>
          <w:bCs/>
          <w:sz w:val="28"/>
          <w:szCs w:val="28"/>
          <w:lang w:val="ro-RO" w:eastAsia="ja-JP"/>
        </w:rPr>
        <w:t>Concomitent</w:t>
      </w:r>
      <w:r w:rsidR="003E7829" w:rsidRPr="00FE7F70">
        <w:rPr>
          <w:bCs/>
          <w:sz w:val="28"/>
          <w:szCs w:val="28"/>
          <w:lang w:val="ro-RO" w:eastAsia="ja-JP"/>
        </w:rPr>
        <w:t>,</w:t>
      </w:r>
      <w:r w:rsidRPr="00FE7F70">
        <w:rPr>
          <w:rFonts w:eastAsia="Times New Roman"/>
          <w:sz w:val="28"/>
          <w:szCs w:val="28"/>
          <w:lang w:val="ro-RO"/>
        </w:rPr>
        <w:t xml:space="preserve"> s-a recurs la consultarea pasivă </w:t>
      </w:r>
      <w:r w:rsidRPr="00FE7F70">
        <w:rPr>
          <w:bCs/>
          <w:sz w:val="28"/>
          <w:szCs w:val="28"/>
          <w:lang w:val="ro-RO" w:eastAsia="ja-JP"/>
        </w:rPr>
        <w:t xml:space="preserve">cu publicul </w:t>
      </w:r>
      <w:r w:rsidRPr="00FE7F70">
        <w:rPr>
          <w:rFonts w:eastAsia="Times New Roman"/>
          <w:sz w:val="28"/>
          <w:szCs w:val="28"/>
          <w:lang w:val="ro-RO"/>
        </w:rPr>
        <w:t>prin publicarea</w:t>
      </w:r>
      <w:r w:rsidRPr="00FE7F70">
        <w:rPr>
          <w:bCs/>
          <w:sz w:val="28"/>
          <w:szCs w:val="28"/>
          <w:lang w:val="ro-RO"/>
        </w:rPr>
        <w:t xml:space="preserve"> anunțului de inițiere a elaborării proiectului </w:t>
      </w:r>
      <w:proofErr w:type="spellStart"/>
      <w:r w:rsidRPr="00FE7F70">
        <w:rPr>
          <w:bCs/>
          <w:sz w:val="28"/>
          <w:szCs w:val="28"/>
          <w:lang w:val="ro-RO"/>
        </w:rPr>
        <w:t>Hotărîrii</w:t>
      </w:r>
      <w:proofErr w:type="spellEnd"/>
      <w:r w:rsidRPr="00FE7F70">
        <w:rPr>
          <w:bCs/>
          <w:sz w:val="28"/>
          <w:szCs w:val="28"/>
          <w:lang w:val="ro-RO"/>
        </w:rPr>
        <w:t xml:space="preserve"> de Guvern la data de </w:t>
      </w:r>
      <w:r w:rsidRPr="00FE7F70">
        <w:rPr>
          <w:sz w:val="28"/>
          <w:szCs w:val="28"/>
          <w:lang w:val="ro-RO"/>
        </w:rPr>
        <w:t>16</w:t>
      </w:r>
      <w:r w:rsidRPr="00FE7F70">
        <w:rPr>
          <w:bCs/>
          <w:sz w:val="28"/>
          <w:szCs w:val="28"/>
          <w:lang w:val="ro-RO"/>
        </w:rPr>
        <w:t xml:space="preserve"> iulie 2018, și</w:t>
      </w:r>
      <w:r w:rsidRPr="00FE7F70">
        <w:rPr>
          <w:rFonts w:eastAsia="Times New Roman"/>
          <w:sz w:val="28"/>
          <w:szCs w:val="28"/>
          <w:lang w:val="ro-RO"/>
        </w:rPr>
        <w:t xml:space="preserve"> expunerea/publicarea </w:t>
      </w:r>
      <w:r w:rsidRPr="00FE7F70">
        <w:rPr>
          <w:bCs/>
          <w:sz w:val="28"/>
          <w:szCs w:val="28"/>
          <w:lang w:val="ro-RO" w:eastAsia="ja-JP"/>
        </w:rPr>
        <w:t>la data de 1august 2018, a proiectul de act normativ şi a notei informative pe pagina web a Ministerului Agriculturii, Dezvoltării Regionale şi Mediului</w:t>
      </w:r>
      <w:r w:rsidRPr="00FE7F70">
        <w:rPr>
          <w:rFonts w:eastAsia="Times New Roman"/>
          <w:sz w:val="28"/>
          <w:szCs w:val="28"/>
          <w:lang w:val="ro-RO"/>
        </w:rPr>
        <w:t xml:space="preserve">, la compartimentul </w:t>
      </w:r>
      <w:r w:rsidR="0068648D" w:rsidRPr="00FE7F70">
        <w:rPr>
          <w:rFonts w:eastAsia="Times New Roman"/>
          <w:i/>
          <w:sz w:val="28"/>
          <w:szCs w:val="28"/>
          <w:lang w:val="ro-RO"/>
        </w:rPr>
        <w:t>”T</w:t>
      </w:r>
      <w:r w:rsidRPr="00FE7F70">
        <w:rPr>
          <w:rFonts w:eastAsia="Times New Roman"/>
          <w:i/>
          <w:sz w:val="28"/>
          <w:szCs w:val="28"/>
          <w:lang w:val="ro-RO"/>
        </w:rPr>
        <w:t>ransparența decizională”, rubrica ”proiecte de documente” și pe http://www.particip.gov.md.</w:t>
      </w:r>
    </w:p>
    <w:p w:rsidR="005A1B8B" w:rsidRPr="00FE7F70" w:rsidRDefault="00944FFF" w:rsidP="005A1B8B">
      <w:pPr>
        <w:widowControl/>
        <w:suppressAutoHyphens w:val="0"/>
        <w:ind w:firstLine="709"/>
        <w:jc w:val="both"/>
        <w:rPr>
          <w:rFonts w:eastAsiaTheme="minorHAnsi"/>
          <w:b/>
          <w:i/>
          <w:kern w:val="0"/>
          <w:sz w:val="28"/>
          <w:szCs w:val="28"/>
          <w:lang w:val="ro-RO"/>
        </w:rPr>
      </w:pPr>
      <w:r w:rsidRPr="00FE7F70">
        <w:rPr>
          <w:rFonts w:eastAsiaTheme="minorHAnsi"/>
          <w:b/>
          <w:i/>
          <w:kern w:val="0"/>
          <w:sz w:val="28"/>
          <w:szCs w:val="28"/>
          <w:lang w:val="ro-RO"/>
        </w:rPr>
        <w:t>Constatările expertizei de compatibilitate</w:t>
      </w:r>
    </w:p>
    <w:p w:rsidR="00944FFF" w:rsidRPr="00FE7F70" w:rsidRDefault="00944FFF" w:rsidP="005A1B8B">
      <w:pPr>
        <w:widowControl/>
        <w:suppressAutoHyphens w:val="0"/>
        <w:ind w:firstLine="709"/>
        <w:jc w:val="both"/>
        <w:rPr>
          <w:rFonts w:eastAsiaTheme="minorHAnsi"/>
          <w:kern w:val="0"/>
          <w:sz w:val="28"/>
          <w:szCs w:val="28"/>
          <w:lang w:val="ro-RO"/>
        </w:rPr>
      </w:pPr>
      <w:r w:rsidRPr="00FE7F70">
        <w:rPr>
          <w:rFonts w:eastAsiaTheme="minorHAnsi"/>
          <w:kern w:val="0"/>
          <w:sz w:val="28"/>
          <w:szCs w:val="28"/>
          <w:lang w:val="ro-RO"/>
        </w:rPr>
        <w:t xml:space="preserve">În urma evaluării realizate, Centrul de Armonizare a Legislației a constatat că proiectul național și-a atins finalitatea propusă, asigurând o transpunere corespunzătoare a prevederilor Regulamentului (UE) 2017/644 al Comisiei din 5 aprilie 2017 de stabilire a metodelor de prelevare de probe și a metodelor de analiză pentru controlul nivelurilor de </w:t>
      </w:r>
      <w:proofErr w:type="spellStart"/>
      <w:r w:rsidRPr="00FE7F70">
        <w:rPr>
          <w:rFonts w:eastAsiaTheme="minorHAnsi"/>
          <w:kern w:val="0"/>
          <w:sz w:val="28"/>
          <w:szCs w:val="28"/>
          <w:lang w:val="ro-RO"/>
        </w:rPr>
        <w:t>dioxine</w:t>
      </w:r>
      <w:proofErr w:type="spellEnd"/>
      <w:r w:rsidRPr="00FE7F70">
        <w:rPr>
          <w:rFonts w:eastAsiaTheme="minorHAnsi"/>
          <w:kern w:val="0"/>
          <w:sz w:val="28"/>
          <w:szCs w:val="28"/>
          <w:lang w:val="ro-RO"/>
        </w:rPr>
        <w:t xml:space="preserve">, de </w:t>
      </w:r>
      <w:proofErr w:type="spellStart"/>
      <w:r w:rsidRPr="00FE7F70">
        <w:rPr>
          <w:rFonts w:eastAsiaTheme="minorHAnsi"/>
          <w:kern w:val="0"/>
          <w:sz w:val="28"/>
          <w:szCs w:val="28"/>
          <w:lang w:val="ro-RO"/>
        </w:rPr>
        <w:t>PCB-uri</w:t>
      </w:r>
      <w:proofErr w:type="spellEnd"/>
      <w:r w:rsidRPr="00FE7F70">
        <w:rPr>
          <w:rFonts w:eastAsiaTheme="minorHAnsi"/>
          <w:kern w:val="0"/>
          <w:sz w:val="28"/>
          <w:szCs w:val="28"/>
          <w:lang w:val="ro-RO"/>
        </w:rPr>
        <w:t xml:space="preserve"> de tipul </w:t>
      </w:r>
      <w:proofErr w:type="spellStart"/>
      <w:r w:rsidRPr="00FE7F70">
        <w:rPr>
          <w:rFonts w:eastAsiaTheme="minorHAnsi"/>
          <w:kern w:val="0"/>
          <w:sz w:val="28"/>
          <w:szCs w:val="28"/>
          <w:lang w:val="ro-RO"/>
        </w:rPr>
        <w:t>dioxinelor</w:t>
      </w:r>
      <w:proofErr w:type="spellEnd"/>
      <w:r w:rsidRPr="00FE7F70">
        <w:rPr>
          <w:rFonts w:eastAsiaTheme="minorHAnsi"/>
          <w:kern w:val="0"/>
          <w:sz w:val="28"/>
          <w:szCs w:val="28"/>
          <w:lang w:val="ro-RO"/>
        </w:rPr>
        <w:t xml:space="preserve"> și de </w:t>
      </w:r>
      <w:proofErr w:type="spellStart"/>
      <w:r w:rsidRPr="00FE7F70">
        <w:rPr>
          <w:rFonts w:eastAsiaTheme="minorHAnsi"/>
          <w:kern w:val="0"/>
          <w:sz w:val="28"/>
          <w:szCs w:val="28"/>
          <w:lang w:val="ro-RO"/>
        </w:rPr>
        <w:t>PCB-uri</w:t>
      </w:r>
      <w:proofErr w:type="spellEnd"/>
      <w:r w:rsidRPr="00FE7F70">
        <w:rPr>
          <w:rFonts w:eastAsiaTheme="minorHAnsi"/>
          <w:kern w:val="0"/>
          <w:sz w:val="28"/>
          <w:szCs w:val="28"/>
          <w:lang w:val="ro-RO"/>
        </w:rPr>
        <w:t xml:space="preserve"> care nu sunt de tipul </w:t>
      </w:r>
      <w:proofErr w:type="spellStart"/>
      <w:r w:rsidRPr="00FE7F70">
        <w:rPr>
          <w:rFonts w:eastAsiaTheme="minorHAnsi"/>
          <w:kern w:val="0"/>
          <w:sz w:val="28"/>
          <w:szCs w:val="28"/>
          <w:lang w:val="ro-RO"/>
        </w:rPr>
        <w:t>dioxinelor</w:t>
      </w:r>
      <w:proofErr w:type="spellEnd"/>
      <w:r w:rsidRPr="00FE7F70">
        <w:rPr>
          <w:rFonts w:eastAsiaTheme="minorHAnsi"/>
          <w:kern w:val="0"/>
          <w:sz w:val="28"/>
          <w:szCs w:val="28"/>
          <w:lang w:val="ro-RO"/>
        </w:rPr>
        <w:t xml:space="preserve"> în anumite produse alimentare publicat în Jurnalul oficial al Uniunii Europene seria L nr. 92, din 6 aprilie 2017, p. 9-34 și de abrogare a Regulamentului (UE) nr. 589/2014 publicat în Jurnalul Oficial al Uniunii Europene seria L nr. 54 din 26 februarie 2009, p. 1</w:t>
      </w:r>
      <w:r w:rsidR="004B6832" w:rsidRPr="00FE7F70">
        <w:rPr>
          <w:rFonts w:eastAsiaTheme="minorHAnsi"/>
          <w:kern w:val="0"/>
          <w:sz w:val="28"/>
          <w:szCs w:val="28"/>
          <w:lang w:val="ro-RO"/>
        </w:rPr>
        <w:t>.</w:t>
      </w:r>
    </w:p>
    <w:p w:rsidR="004B6832" w:rsidRPr="00FE7F70" w:rsidRDefault="004B6832" w:rsidP="004B6832">
      <w:pPr>
        <w:ind w:firstLine="709"/>
        <w:jc w:val="both"/>
        <w:rPr>
          <w:b/>
          <w:i/>
          <w:sz w:val="28"/>
          <w:szCs w:val="28"/>
          <w:lang w:val="ro-RO"/>
        </w:rPr>
      </w:pPr>
      <w:bookmarkStart w:id="0" w:name="_GoBack"/>
      <w:bookmarkEnd w:id="0"/>
      <w:r w:rsidRPr="00FE7F70">
        <w:rPr>
          <w:b/>
          <w:i/>
          <w:sz w:val="28"/>
          <w:szCs w:val="28"/>
          <w:lang w:val="ro-RO"/>
        </w:rPr>
        <w:t>Analiza impactului de Reglementare</w:t>
      </w:r>
    </w:p>
    <w:p w:rsidR="00B81C5F" w:rsidRPr="00FE7F70" w:rsidRDefault="00B81C5F" w:rsidP="00DC7390">
      <w:pPr>
        <w:autoSpaceDN w:val="0"/>
        <w:ind w:firstLine="709"/>
        <w:jc w:val="both"/>
        <w:textAlignment w:val="baseline"/>
        <w:rPr>
          <w:rFonts w:eastAsia="Arial Unicode MS"/>
          <w:kern w:val="3"/>
          <w:sz w:val="28"/>
          <w:szCs w:val="28"/>
          <w:lang w:val="ro-RO"/>
        </w:rPr>
      </w:pPr>
      <w:r w:rsidRPr="00FE7F70">
        <w:rPr>
          <w:sz w:val="28"/>
          <w:szCs w:val="28"/>
          <w:lang w:val="ro-RO"/>
        </w:rPr>
        <w:t xml:space="preserve">În conformitate cu Legea nr.235-XVI din 20.07.2006 cu privire la principiile de bază de reglementare a activităţii de întreprinzător, a fost elaborată Analiza Impactului de Reglementare la proiectul </w:t>
      </w:r>
      <w:proofErr w:type="spellStart"/>
      <w:r w:rsidRPr="00FE7F70">
        <w:rPr>
          <w:sz w:val="28"/>
          <w:szCs w:val="28"/>
          <w:lang w:val="ro-RO"/>
        </w:rPr>
        <w:t>Hotărîrii</w:t>
      </w:r>
      <w:proofErr w:type="spellEnd"/>
      <w:r w:rsidRPr="00FE7F70">
        <w:rPr>
          <w:sz w:val="28"/>
          <w:szCs w:val="28"/>
          <w:lang w:val="ro-RO"/>
        </w:rPr>
        <w:t xml:space="preserve"> de Guvern </w:t>
      </w:r>
      <w:r w:rsidRPr="00FE7F70">
        <w:rPr>
          <w:rFonts w:eastAsia="Arial Unicode MS"/>
          <w:kern w:val="3"/>
          <w:sz w:val="28"/>
          <w:szCs w:val="28"/>
          <w:lang w:val="ro-RO"/>
        </w:rPr>
        <w:t xml:space="preserve">cu privire la aprobarea metodelor de prelevare de probe și a metodelor de analiză pentru controlul nivelurilor de </w:t>
      </w:r>
      <w:proofErr w:type="spellStart"/>
      <w:r w:rsidRPr="00FE7F70">
        <w:rPr>
          <w:rFonts w:eastAsia="Arial Unicode MS"/>
          <w:kern w:val="3"/>
          <w:sz w:val="28"/>
          <w:szCs w:val="28"/>
          <w:lang w:val="ro-RO"/>
        </w:rPr>
        <w:t>dioxine</w:t>
      </w:r>
      <w:proofErr w:type="spellEnd"/>
      <w:r w:rsidRPr="00FE7F70">
        <w:rPr>
          <w:rFonts w:eastAsia="Arial Unicode MS"/>
          <w:kern w:val="3"/>
          <w:sz w:val="28"/>
          <w:szCs w:val="28"/>
          <w:lang w:val="ro-RO"/>
        </w:rPr>
        <w:t xml:space="preserve">, de </w:t>
      </w:r>
      <w:proofErr w:type="spellStart"/>
      <w:r w:rsidRPr="00FE7F70">
        <w:rPr>
          <w:rFonts w:eastAsia="Arial Unicode MS"/>
          <w:kern w:val="3"/>
          <w:sz w:val="28"/>
          <w:szCs w:val="28"/>
          <w:lang w:val="ro-RO"/>
        </w:rPr>
        <w:t>PCB-uri</w:t>
      </w:r>
      <w:proofErr w:type="spellEnd"/>
      <w:r w:rsidRPr="00FE7F70">
        <w:rPr>
          <w:rFonts w:eastAsia="Arial Unicode MS"/>
          <w:kern w:val="3"/>
          <w:sz w:val="28"/>
          <w:szCs w:val="28"/>
          <w:lang w:val="ro-RO"/>
        </w:rPr>
        <w:t xml:space="preserve"> de tipul </w:t>
      </w:r>
      <w:proofErr w:type="spellStart"/>
      <w:r w:rsidRPr="00FE7F70">
        <w:rPr>
          <w:rFonts w:eastAsia="Arial Unicode MS"/>
          <w:kern w:val="3"/>
          <w:sz w:val="28"/>
          <w:szCs w:val="28"/>
          <w:lang w:val="ro-RO"/>
        </w:rPr>
        <w:t>dioxinelor</w:t>
      </w:r>
      <w:proofErr w:type="spellEnd"/>
      <w:r w:rsidRPr="00FE7F70">
        <w:rPr>
          <w:rFonts w:eastAsia="Arial Unicode MS"/>
          <w:kern w:val="3"/>
          <w:sz w:val="28"/>
          <w:szCs w:val="28"/>
          <w:lang w:val="ro-RO"/>
        </w:rPr>
        <w:t xml:space="preserve"> și de </w:t>
      </w:r>
      <w:proofErr w:type="spellStart"/>
      <w:r w:rsidRPr="00FE7F70">
        <w:rPr>
          <w:rFonts w:eastAsia="Arial Unicode MS"/>
          <w:kern w:val="3"/>
          <w:sz w:val="28"/>
          <w:szCs w:val="28"/>
          <w:lang w:val="ro-RO"/>
        </w:rPr>
        <w:t>PCB-uri</w:t>
      </w:r>
      <w:proofErr w:type="spellEnd"/>
      <w:r w:rsidRPr="00FE7F70">
        <w:rPr>
          <w:rFonts w:eastAsia="Arial Unicode MS"/>
          <w:kern w:val="3"/>
          <w:sz w:val="28"/>
          <w:szCs w:val="28"/>
          <w:lang w:val="ro-RO"/>
        </w:rPr>
        <w:t xml:space="preserve"> care nu sunt de tipul </w:t>
      </w:r>
      <w:proofErr w:type="spellStart"/>
      <w:r w:rsidRPr="00FE7F70">
        <w:rPr>
          <w:rFonts w:eastAsia="Arial Unicode MS"/>
          <w:kern w:val="3"/>
          <w:sz w:val="28"/>
          <w:szCs w:val="28"/>
          <w:lang w:val="ro-RO"/>
        </w:rPr>
        <w:t>dioxinelor</w:t>
      </w:r>
      <w:proofErr w:type="spellEnd"/>
      <w:r w:rsidRPr="00FE7F70">
        <w:rPr>
          <w:rFonts w:eastAsia="Arial Unicode MS"/>
          <w:kern w:val="3"/>
          <w:sz w:val="28"/>
          <w:szCs w:val="28"/>
          <w:lang w:val="ro-RO"/>
        </w:rPr>
        <w:t xml:space="preserve"> în anumite produse alimentare </w:t>
      </w:r>
    </w:p>
    <w:p w:rsidR="00B81C5F" w:rsidRPr="00FE7F70" w:rsidRDefault="00B81C5F" w:rsidP="004B6832">
      <w:pPr>
        <w:ind w:firstLine="709"/>
        <w:jc w:val="both"/>
        <w:rPr>
          <w:sz w:val="28"/>
          <w:szCs w:val="28"/>
          <w:lang w:val="ro-RO"/>
        </w:rPr>
      </w:pPr>
    </w:p>
    <w:p w:rsidR="00316E9E" w:rsidRPr="00FE7F70" w:rsidRDefault="00316E9E" w:rsidP="005A1B8B">
      <w:pPr>
        <w:ind w:right="-13"/>
        <w:jc w:val="both"/>
        <w:rPr>
          <w:rStyle w:val="tca1"/>
          <w:rFonts w:eastAsia="TimesNewRoman"/>
          <w:b w:val="0"/>
          <w:sz w:val="28"/>
          <w:szCs w:val="28"/>
          <w:lang w:val="ro-RO"/>
        </w:rPr>
      </w:pPr>
    </w:p>
    <w:p w:rsidR="00A67180" w:rsidRPr="00FE7F70" w:rsidRDefault="00A67180" w:rsidP="005A1B8B">
      <w:pPr>
        <w:ind w:firstLine="709"/>
        <w:jc w:val="both"/>
        <w:rPr>
          <w:rFonts w:eastAsiaTheme="minorHAnsi"/>
          <w:b/>
          <w:kern w:val="0"/>
          <w:sz w:val="28"/>
          <w:szCs w:val="28"/>
          <w:lang w:val="ro-RO"/>
        </w:rPr>
      </w:pPr>
      <w:r w:rsidRPr="00FE7F70">
        <w:rPr>
          <w:rFonts w:eastAsiaTheme="minorHAnsi"/>
          <w:b/>
          <w:kern w:val="0"/>
          <w:sz w:val="28"/>
          <w:szCs w:val="28"/>
          <w:lang w:val="ro-RO"/>
        </w:rPr>
        <w:t>Ministru</w:t>
      </w:r>
      <w:r w:rsidRPr="00FE7F70">
        <w:rPr>
          <w:rFonts w:eastAsiaTheme="minorHAnsi"/>
          <w:b/>
          <w:kern w:val="0"/>
          <w:sz w:val="28"/>
          <w:szCs w:val="28"/>
          <w:lang w:val="ro-RO"/>
        </w:rPr>
        <w:tab/>
      </w:r>
      <w:r w:rsidRPr="00FE7F70">
        <w:rPr>
          <w:rFonts w:eastAsiaTheme="minorHAnsi"/>
          <w:b/>
          <w:kern w:val="0"/>
          <w:sz w:val="28"/>
          <w:szCs w:val="28"/>
          <w:lang w:val="ro-RO"/>
        </w:rPr>
        <w:tab/>
      </w:r>
      <w:r w:rsidRPr="00FE7F70">
        <w:rPr>
          <w:rFonts w:eastAsiaTheme="minorHAnsi"/>
          <w:b/>
          <w:kern w:val="0"/>
          <w:sz w:val="28"/>
          <w:szCs w:val="28"/>
          <w:lang w:val="ro-RO"/>
        </w:rPr>
        <w:tab/>
      </w:r>
      <w:r w:rsidRPr="00FE7F70">
        <w:rPr>
          <w:rFonts w:eastAsiaTheme="minorHAnsi"/>
          <w:b/>
          <w:kern w:val="0"/>
          <w:sz w:val="28"/>
          <w:szCs w:val="28"/>
          <w:lang w:val="ro-RO"/>
        </w:rPr>
        <w:tab/>
      </w:r>
      <w:r w:rsidRPr="00FE7F70">
        <w:rPr>
          <w:rFonts w:eastAsiaTheme="minorHAnsi"/>
          <w:b/>
          <w:kern w:val="0"/>
          <w:sz w:val="28"/>
          <w:szCs w:val="28"/>
          <w:lang w:val="ro-RO"/>
        </w:rPr>
        <w:tab/>
      </w:r>
      <w:r w:rsidRPr="00FE7F70">
        <w:rPr>
          <w:rFonts w:eastAsiaTheme="minorHAnsi"/>
          <w:b/>
          <w:kern w:val="0"/>
          <w:sz w:val="28"/>
          <w:szCs w:val="28"/>
          <w:lang w:val="ro-RO"/>
        </w:rPr>
        <w:tab/>
        <w:t xml:space="preserve">Liviu VOLCONOVICI </w:t>
      </w:r>
    </w:p>
    <w:p w:rsidR="00A67180" w:rsidRPr="00FE7F70" w:rsidRDefault="00A67180" w:rsidP="005A1B8B">
      <w:pPr>
        <w:widowControl/>
        <w:suppressAutoHyphens w:val="0"/>
        <w:ind w:firstLine="709"/>
        <w:jc w:val="both"/>
        <w:rPr>
          <w:rFonts w:eastAsiaTheme="minorHAnsi"/>
          <w:kern w:val="0"/>
          <w:sz w:val="28"/>
          <w:szCs w:val="28"/>
          <w:lang w:val="ro-RO"/>
        </w:rPr>
      </w:pPr>
    </w:p>
    <w:p w:rsidR="00DC7390" w:rsidRPr="00FE7F70" w:rsidRDefault="00DC7390" w:rsidP="005A1B8B">
      <w:pPr>
        <w:widowControl/>
        <w:suppressAutoHyphens w:val="0"/>
        <w:ind w:firstLine="709"/>
        <w:jc w:val="both"/>
        <w:rPr>
          <w:rFonts w:eastAsiaTheme="minorHAnsi"/>
          <w:kern w:val="0"/>
          <w:sz w:val="28"/>
          <w:szCs w:val="28"/>
          <w:lang w:val="ro-RO"/>
        </w:rPr>
      </w:pPr>
    </w:p>
    <w:p w:rsidR="00DC7390" w:rsidRPr="00FE7F70" w:rsidRDefault="00DC7390" w:rsidP="005A1B8B">
      <w:pPr>
        <w:widowControl/>
        <w:suppressAutoHyphens w:val="0"/>
        <w:ind w:firstLine="709"/>
        <w:jc w:val="both"/>
        <w:rPr>
          <w:rFonts w:eastAsiaTheme="minorHAnsi"/>
          <w:kern w:val="0"/>
          <w:sz w:val="28"/>
          <w:szCs w:val="28"/>
          <w:lang w:val="ro-RO"/>
        </w:rPr>
      </w:pPr>
    </w:p>
    <w:p w:rsidR="00A67180" w:rsidRPr="00FE7F70" w:rsidRDefault="00A67180" w:rsidP="005A1B8B">
      <w:pPr>
        <w:widowControl/>
        <w:suppressAutoHyphens w:val="0"/>
        <w:ind w:firstLine="709"/>
        <w:jc w:val="both"/>
        <w:rPr>
          <w:rFonts w:eastAsiaTheme="minorHAnsi"/>
          <w:kern w:val="0"/>
          <w:sz w:val="28"/>
          <w:szCs w:val="28"/>
          <w:lang w:val="ro-RO"/>
        </w:rPr>
      </w:pPr>
    </w:p>
    <w:p w:rsidR="00A67180" w:rsidRPr="00FE7F70" w:rsidRDefault="00A67180" w:rsidP="005A1B8B">
      <w:pPr>
        <w:widowControl/>
        <w:suppressAutoHyphens w:val="0"/>
        <w:ind w:firstLine="709"/>
        <w:jc w:val="both"/>
        <w:rPr>
          <w:rFonts w:eastAsiaTheme="minorHAnsi"/>
          <w:i/>
          <w:kern w:val="0"/>
          <w:sz w:val="20"/>
          <w:szCs w:val="20"/>
          <w:lang w:val="ro-RO"/>
        </w:rPr>
      </w:pPr>
      <w:r w:rsidRPr="00FE7F70">
        <w:rPr>
          <w:rFonts w:eastAsiaTheme="minorHAnsi"/>
          <w:i/>
          <w:kern w:val="0"/>
          <w:sz w:val="20"/>
          <w:szCs w:val="20"/>
          <w:lang w:val="ro-RO"/>
        </w:rPr>
        <w:t xml:space="preserve">Ex. Sergiu </w:t>
      </w:r>
      <w:proofErr w:type="spellStart"/>
      <w:r w:rsidRPr="00FE7F70">
        <w:rPr>
          <w:rFonts w:eastAsiaTheme="minorHAnsi"/>
          <w:i/>
          <w:kern w:val="0"/>
          <w:sz w:val="20"/>
          <w:szCs w:val="20"/>
          <w:lang w:val="ro-RO"/>
        </w:rPr>
        <w:t>Balacci</w:t>
      </w:r>
      <w:proofErr w:type="spellEnd"/>
    </w:p>
    <w:p w:rsidR="00587660" w:rsidRPr="00FE7F70" w:rsidRDefault="00A67180" w:rsidP="00CC5204">
      <w:pPr>
        <w:widowControl/>
        <w:suppressAutoHyphens w:val="0"/>
        <w:ind w:firstLine="709"/>
        <w:jc w:val="both"/>
        <w:rPr>
          <w:sz w:val="28"/>
          <w:szCs w:val="28"/>
        </w:rPr>
      </w:pPr>
      <w:r w:rsidRPr="00FE7F70">
        <w:rPr>
          <w:rFonts w:eastAsiaTheme="minorHAnsi"/>
          <w:i/>
          <w:kern w:val="0"/>
          <w:sz w:val="20"/>
          <w:szCs w:val="20"/>
          <w:lang w:val="ro-RO"/>
        </w:rPr>
        <w:t>Tel.   022-204 564</w:t>
      </w:r>
    </w:p>
    <w:sectPr w:rsidR="00587660" w:rsidRPr="00FE7F70" w:rsidSect="0071208A">
      <w:footerReference w:type="default" r:id="rId8"/>
      <w:pgSz w:w="11906" w:h="16838"/>
      <w:pgMar w:top="1418" w:right="964"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89" w:rsidRDefault="00C47189">
      <w:r>
        <w:separator/>
      </w:r>
    </w:p>
  </w:endnote>
  <w:endnote w:type="continuationSeparator" w:id="0">
    <w:p w:rsidR="00C47189" w:rsidRDefault="00C4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New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1F1" w:rsidRDefault="00F85538">
    <w:pPr>
      <w:pStyle w:val="a6"/>
      <w:ind w:right="360"/>
    </w:pPr>
    <w:r>
      <w:rPr>
        <w:noProof/>
        <w:lang w:eastAsia="ru-RU"/>
      </w:rPr>
      <mc:AlternateContent>
        <mc:Choice Requires="wps">
          <w:drawing>
            <wp:anchor distT="0" distB="0" distL="0" distR="0" simplePos="0" relativeHeight="251659264" behindDoc="0" locked="0" layoutInCell="1" allowOverlap="1" wp14:anchorId="3C32DA97" wp14:editId="05F8A61B">
              <wp:simplePos x="0" y="0"/>
              <wp:positionH relativeFrom="page">
                <wp:posOffset>5785485</wp:posOffset>
              </wp:positionH>
              <wp:positionV relativeFrom="paragraph">
                <wp:posOffset>635</wp:posOffset>
              </wp:positionV>
              <wp:extent cx="1048385" cy="168910"/>
              <wp:effectExtent l="3810" t="635" r="5080" b="190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1F1" w:rsidRDefault="00F85538">
                          <w:pPr>
                            <w:pStyle w:val="a6"/>
                          </w:pPr>
                          <w:r>
                            <w:rPr>
                              <w:rStyle w:val="a4"/>
                            </w:rPr>
                            <w:fldChar w:fldCharType="begin"/>
                          </w:r>
                          <w:r>
                            <w:rPr>
                              <w:rStyle w:val="a4"/>
                            </w:rPr>
                            <w:instrText xml:space="preserve"> PAGE </w:instrText>
                          </w:r>
                          <w:r>
                            <w:rPr>
                              <w:rStyle w:val="a4"/>
                            </w:rPr>
                            <w:fldChar w:fldCharType="separate"/>
                          </w:r>
                          <w:r w:rsidR="00FE7F70">
                            <w:rPr>
                              <w:rStyle w:val="a4"/>
                              <w:noProof/>
                            </w:rPr>
                            <w:t>3</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55.55pt;margin-top:.05pt;width:82.55pt;height:13.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" stroked="f">
              <v:fill opacity="0"/>
              <v:textbox inset="0,0,0,0">
                <w:txbxContent>
                  <w:p w:rsidR="00F851F1" w:rsidRDefault="00F85538">
                    <w:pPr>
                      <w:pStyle w:val="a6"/>
                    </w:pPr>
                    <w:r>
                      <w:rPr>
                        <w:rStyle w:val="a4"/>
                      </w:rPr>
                      <w:fldChar w:fldCharType="begin"/>
                    </w:r>
                    <w:r>
                      <w:rPr>
                        <w:rStyle w:val="a4"/>
                      </w:rPr>
                      <w:instrText xml:space="preserve"> PAGE </w:instrText>
                    </w:r>
                    <w:r>
                      <w:rPr>
                        <w:rStyle w:val="a4"/>
                      </w:rPr>
                      <w:fldChar w:fldCharType="separate"/>
                    </w:r>
                    <w:r w:rsidR="00FE7F70">
                      <w:rPr>
                        <w:rStyle w:val="a4"/>
                        <w:noProof/>
                      </w:rPr>
                      <w:t>3</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89" w:rsidRDefault="00C47189">
      <w:r>
        <w:separator/>
      </w:r>
    </w:p>
  </w:footnote>
  <w:footnote w:type="continuationSeparator" w:id="0">
    <w:p w:rsidR="00C47189" w:rsidRDefault="00C47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44DDD"/>
    <w:multiLevelType w:val="hybridMultilevel"/>
    <w:tmpl w:val="245079EE"/>
    <w:lvl w:ilvl="0" w:tplc="EB34B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73"/>
    <w:rsid w:val="000F7910"/>
    <w:rsid w:val="00116F4E"/>
    <w:rsid w:val="00117193"/>
    <w:rsid w:val="00187C3A"/>
    <w:rsid w:val="001B523F"/>
    <w:rsid w:val="001F294B"/>
    <w:rsid w:val="002909C2"/>
    <w:rsid w:val="002920FC"/>
    <w:rsid w:val="00293EA4"/>
    <w:rsid w:val="002F79D3"/>
    <w:rsid w:val="00316E9E"/>
    <w:rsid w:val="00333C2C"/>
    <w:rsid w:val="003E0EF7"/>
    <w:rsid w:val="003E7829"/>
    <w:rsid w:val="004152BB"/>
    <w:rsid w:val="00486366"/>
    <w:rsid w:val="004B6832"/>
    <w:rsid w:val="004C092C"/>
    <w:rsid w:val="004D7E2B"/>
    <w:rsid w:val="00560E33"/>
    <w:rsid w:val="00587660"/>
    <w:rsid w:val="005A1B8B"/>
    <w:rsid w:val="005C546B"/>
    <w:rsid w:val="005D7E12"/>
    <w:rsid w:val="005E012F"/>
    <w:rsid w:val="006807E2"/>
    <w:rsid w:val="0068648D"/>
    <w:rsid w:val="00692A90"/>
    <w:rsid w:val="0071208A"/>
    <w:rsid w:val="007C6ECF"/>
    <w:rsid w:val="00801D57"/>
    <w:rsid w:val="00883A02"/>
    <w:rsid w:val="008F0498"/>
    <w:rsid w:val="008F7DDB"/>
    <w:rsid w:val="0091697D"/>
    <w:rsid w:val="00934F73"/>
    <w:rsid w:val="00944FFF"/>
    <w:rsid w:val="00985A68"/>
    <w:rsid w:val="009877B8"/>
    <w:rsid w:val="009A31B2"/>
    <w:rsid w:val="009F56FB"/>
    <w:rsid w:val="00A3461B"/>
    <w:rsid w:val="00A67180"/>
    <w:rsid w:val="00AC63FC"/>
    <w:rsid w:val="00B33C42"/>
    <w:rsid w:val="00B81C5F"/>
    <w:rsid w:val="00B96911"/>
    <w:rsid w:val="00BA44B4"/>
    <w:rsid w:val="00BB53C8"/>
    <w:rsid w:val="00BC1743"/>
    <w:rsid w:val="00C14C1A"/>
    <w:rsid w:val="00C2558A"/>
    <w:rsid w:val="00C446DA"/>
    <w:rsid w:val="00C47189"/>
    <w:rsid w:val="00C734EE"/>
    <w:rsid w:val="00CA595B"/>
    <w:rsid w:val="00CC5204"/>
    <w:rsid w:val="00CC68D0"/>
    <w:rsid w:val="00CE6ACA"/>
    <w:rsid w:val="00D02530"/>
    <w:rsid w:val="00D412E9"/>
    <w:rsid w:val="00D56894"/>
    <w:rsid w:val="00DC7390"/>
    <w:rsid w:val="00DE576A"/>
    <w:rsid w:val="00E00049"/>
    <w:rsid w:val="00E03E85"/>
    <w:rsid w:val="00E16872"/>
    <w:rsid w:val="00E97E36"/>
    <w:rsid w:val="00F02D09"/>
    <w:rsid w:val="00F207A3"/>
    <w:rsid w:val="00F851F1"/>
    <w:rsid w:val="00F85538"/>
    <w:rsid w:val="00FC0A4B"/>
    <w:rsid w:val="00FC1980"/>
    <w:rsid w:val="00FE458A"/>
    <w:rsid w:val="00FE7F70"/>
    <w:rsid w:val="00FF5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53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F85538"/>
    <w:rPr>
      <w:b/>
      <w:bCs/>
      <w:sz w:val="26"/>
      <w:szCs w:val="26"/>
    </w:rPr>
  </w:style>
  <w:style w:type="character" w:styleId="a3">
    <w:name w:val="Hyperlink"/>
    <w:rsid w:val="00F85538"/>
    <w:rPr>
      <w:color w:val="000080"/>
      <w:u w:val="single"/>
    </w:rPr>
  </w:style>
  <w:style w:type="character" w:customStyle="1" w:styleId="tal1">
    <w:name w:val="tal1"/>
    <w:basedOn w:val="a0"/>
    <w:rsid w:val="00F85538"/>
  </w:style>
  <w:style w:type="character" w:customStyle="1" w:styleId="tca1">
    <w:name w:val="tca1"/>
    <w:basedOn w:val="a0"/>
    <w:rsid w:val="00F85538"/>
    <w:rPr>
      <w:b/>
      <w:bCs/>
      <w:sz w:val="24"/>
      <w:szCs w:val="24"/>
    </w:rPr>
  </w:style>
  <w:style w:type="character" w:styleId="a4">
    <w:name w:val="page number"/>
    <w:basedOn w:val="a0"/>
    <w:rsid w:val="00F85538"/>
  </w:style>
  <w:style w:type="character" w:customStyle="1" w:styleId="tli1">
    <w:name w:val="tli1"/>
    <w:basedOn w:val="a0"/>
    <w:rsid w:val="00F85538"/>
  </w:style>
  <w:style w:type="character" w:styleId="a5">
    <w:name w:val="Emphasis"/>
    <w:basedOn w:val="a0"/>
    <w:qFormat/>
    <w:rsid w:val="00F85538"/>
    <w:rPr>
      <w:i/>
      <w:iCs/>
    </w:rPr>
  </w:style>
  <w:style w:type="paragraph" w:styleId="a6">
    <w:name w:val="footer"/>
    <w:basedOn w:val="a"/>
    <w:link w:val="a7"/>
    <w:rsid w:val="00F85538"/>
    <w:pPr>
      <w:tabs>
        <w:tab w:val="center" w:pos="4677"/>
        <w:tab w:val="right" w:pos="9355"/>
      </w:tabs>
    </w:pPr>
  </w:style>
  <w:style w:type="character" w:customStyle="1" w:styleId="a7">
    <w:name w:val="Нижний колонтитул Знак"/>
    <w:basedOn w:val="a0"/>
    <w:link w:val="a6"/>
    <w:rsid w:val="00F85538"/>
    <w:rPr>
      <w:rFonts w:ascii="Times New Roman" w:eastAsia="Lucida Sans Unicode" w:hAnsi="Times New Roman" w:cs="Times New Roman"/>
      <w:kern w:val="1"/>
      <w:sz w:val="24"/>
      <w:szCs w:val="24"/>
    </w:rPr>
  </w:style>
  <w:style w:type="paragraph" w:styleId="a8">
    <w:name w:val="List Paragraph"/>
    <w:basedOn w:val="a"/>
    <w:uiPriority w:val="34"/>
    <w:qFormat/>
    <w:rsid w:val="00AC63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538"/>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F85538"/>
    <w:rPr>
      <w:b/>
      <w:bCs/>
      <w:sz w:val="26"/>
      <w:szCs w:val="26"/>
    </w:rPr>
  </w:style>
  <w:style w:type="character" w:styleId="a3">
    <w:name w:val="Hyperlink"/>
    <w:rsid w:val="00F85538"/>
    <w:rPr>
      <w:color w:val="000080"/>
      <w:u w:val="single"/>
    </w:rPr>
  </w:style>
  <w:style w:type="character" w:customStyle="1" w:styleId="tal1">
    <w:name w:val="tal1"/>
    <w:basedOn w:val="a0"/>
    <w:rsid w:val="00F85538"/>
  </w:style>
  <w:style w:type="character" w:customStyle="1" w:styleId="tca1">
    <w:name w:val="tca1"/>
    <w:basedOn w:val="a0"/>
    <w:rsid w:val="00F85538"/>
    <w:rPr>
      <w:b/>
      <w:bCs/>
      <w:sz w:val="24"/>
      <w:szCs w:val="24"/>
    </w:rPr>
  </w:style>
  <w:style w:type="character" w:styleId="a4">
    <w:name w:val="page number"/>
    <w:basedOn w:val="a0"/>
    <w:rsid w:val="00F85538"/>
  </w:style>
  <w:style w:type="character" w:customStyle="1" w:styleId="tli1">
    <w:name w:val="tli1"/>
    <w:basedOn w:val="a0"/>
    <w:rsid w:val="00F85538"/>
  </w:style>
  <w:style w:type="character" w:styleId="a5">
    <w:name w:val="Emphasis"/>
    <w:basedOn w:val="a0"/>
    <w:qFormat/>
    <w:rsid w:val="00F85538"/>
    <w:rPr>
      <w:i/>
      <w:iCs/>
    </w:rPr>
  </w:style>
  <w:style w:type="paragraph" w:styleId="a6">
    <w:name w:val="footer"/>
    <w:basedOn w:val="a"/>
    <w:link w:val="a7"/>
    <w:rsid w:val="00F85538"/>
    <w:pPr>
      <w:tabs>
        <w:tab w:val="center" w:pos="4677"/>
        <w:tab w:val="right" w:pos="9355"/>
      </w:tabs>
    </w:pPr>
  </w:style>
  <w:style w:type="character" w:customStyle="1" w:styleId="a7">
    <w:name w:val="Нижний колонтитул Знак"/>
    <w:basedOn w:val="a0"/>
    <w:link w:val="a6"/>
    <w:rsid w:val="00F85538"/>
    <w:rPr>
      <w:rFonts w:ascii="Times New Roman" w:eastAsia="Lucida Sans Unicode" w:hAnsi="Times New Roman" w:cs="Times New Roman"/>
      <w:kern w:val="1"/>
      <w:sz w:val="24"/>
      <w:szCs w:val="24"/>
    </w:rPr>
  </w:style>
  <w:style w:type="paragraph" w:styleId="a8">
    <w:name w:val="List Paragraph"/>
    <w:basedOn w:val="a"/>
    <w:uiPriority w:val="34"/>
    <w:qFormat/>
    <w:rsid w:val="00AC6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Sitnic-Adam Silvia</dc:creator>
  <cp:lastModifiedBy>admin</cp:lastModifiedBy>
  <cp:revision>2</cp:revision>
  <cp:lastPrinted>2018-09-08T06:59:00Z</cp:lastPrinted>
  <dcterms:created xsi:type="dcterms:W3CDTF">2018-09-08T07:00:00Z</dcterms:created>
  <dcterms:modified xsi:type="dcterms:W3CDTF">2018-09-08T07:00:00Z</dcterms:modified>
</cp:coreProperties>
</file>