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129" w:rsidRPr="00BD48A2" w:rsidRDefault="00360129" w:rsidP="00360129">
      <w:pPr>
        <w:spacing w:line="276" w:lineRule="auto"/>
        <w:jc w:val="center"/>
        <w:rPr>
          <w:b/>
          <w:sz w:val="24"/>
          <w:szCs w:val="24"/>
          <w:lang w:val="ro-MD"/>
        </w:rPr>
      </w:pPr>
      <w:r w:rsidRPr="00BD48A2">
        <w:rPr>
          <w:b/>
          <w:sz w:val="24"/>
          <w:szCs w:val="24"/>
          <w:lang w:val="ro-MD"/>
        </w:rPr>
        <w:t>NOTA DE ARGUMENTARE</w:t>
      </w:r>
    </w:p>
    <w:p w:rsidR="00360129" w:rsidRPr="00BD48A2" w:rsidRDefault="00360129" w:rsidP="00360129">
      <w:pPr>
        <w:spacing w:line="276" w:lineRule="auto"/>
        <w:ind w:firstLine="709"/>
        <w:jc w:val="center"/>
        <w:rPr>
          <w:b/>
          <w:sz w:val="24"/>
          <w:szCs w:val="24"/>
          <w:lang w:val="ro-MD"/>
        </w:rPr>
      </w:pPr>
      <w:r w:rsidRPr="00BD48A2">
        <w:rPr>
          <w:b/>
          <w:sz w:val="24"/>
          <w:szCs w:val="24"/>
          <w:lang w:val="ro-MD"/>
        </w:rPr>
        <w:t xml:space="preserve">la proiectul Hotărîrii Guvernului cu privire la </w:t>
      </w:r>
    </w:p>
    <w:p w:rsidR="00360129" w:rsidRPr="00BD48A2" w:rsidRDefault="00360129" w:rsidP="00360129">
      <w:pPr>
        <w:spacing w:line="276" w:lineRule="auto"/>
        <w:ind w:firstLine="709"/>
        <w:jc w:val="center"/>
        <w:rPr>
          <w:b/>
          <w:sz w:val="24"/>
          <w:szCs w:val="24"/>
          <w:lang w:val="ro-MD" w:eastAsia="ru-RU"/>
        </w:rPr>
      </w:pPr>
      <w:r w:rsidRPr="00BD48A2">
        <w:rPr>
          <w:b/>
          <w:sz w:val="24"/>
          <w:szCs w:val="24"/>
          <w:lang w:val="ro-MD"/>
        </w:rPr>
        <w:t>aprobarea Registrului Național al Calificărilor</w:t>
      </w:r>
    </w:p>
    <w:tbl>
      <w:tblPr>
        <w:tblW w:w="5246" w:type="pct"/>
        <w:tblCellSpacing w:w="75" w:type="dxa"/>
        <w:tblInd w:w="-409" w:type="dxa"/>
        <w:tblCellMar>
          <w:top w:w="150" w:type="dxa"/>
          <w:left w:w="150" w:type="dxa"/>
          <w:bottom w:w="150" w:type="dxa"/>
          <w:right w:w="150" w:type="dxa"/>
        </w:tblCellMar>
        <w:tblLook w:val="04A0" w:firstRow="1" w:lastRow="0" w:firstColumn="1" w:lastColumn="0" w:noHBand="0" w:noVBand="1"/>
      </w:tblPr>
      <w:tblGrid>
        <w:gridCol w:w="9470"/>
      </w:tblGrid>
      <w:tr w:rsidR="00360129" w:rsidRPr="00BD48A2" w:rsidTr="00311B9F">
        <w:trPr>
          <w:tblCellSpacing w:w="75" w:type="dxa"/>
        </w:trPr>
        <w:tc>
          <w:tcPr>
            <w:tcW w:w="4853" w:type="pct"/>
            <w:tcBorders>
              <w:top w:val="nil"/>
              <w:left w:val="nil"/>
              <w:bottom w:val="nil"/>
              <w:right w:val="nil"/>
            </w:tcBorders>
            <w:vAlign w:val="center"/>
            <w:hideMark/>
          </w:tcPr>
          <w:p w:rsidR="00360129" w:rsidRPr="00BD48A2" w:rsidRDefault="00360129" w:rsidP="00311B9F">
            <w:pPr>
              <w:pStyle w:val="NoSpacing1"/>
              <w:spacing w:line="276" w:lineRule="auto"/>
              <w:ind w:firstLine="567"/>
              <w:jc w:val="both"/>
              <w:rPr>
                <w:rFonts w:ascii="Times New Roman" w:hAnsi="Times New Roman"/>
                <w:sz w:val="24"/>
                <w:szCs w:val="24"/>
                <w:lang w:val="ro-MD"/>
              </w:rPr>
            </w:pPr>
            <w:r w:rsidRPr="00BD48A2">
              <w:rPr>
                <w:rFonts w:ascii="Times New Roman" w:hAnsi="Times New Roman"/>
                <w:sz w:val="24"/>
                <w:szCs w:val="24"/>
                <w:lang w:val="ro-MD"/>
              </w:rPr>
              <w:t>Proiectul Hotărîrii Guvernului cu privire la aprobarea Registrului Național al Calificărilor este elaborat de către Ministerul Educației, Culturii și Cercetării în temeiul art. 66 și art. 97 din Codul educaţiei al Republicii Moldova nr. 152 din 17 iulie 2014 (</w:t>
            </w:r>
            <w:r w:rsidRPr="00BD48A2">
              <w:rPr>
                <w:rFonts w:ascii="Times New Roman" w:hAnsi="Times New Roman"/>
                <w:i/>
                <w:sz w:val="24"/>
                <w:szCs w:val="24"/>
                <w:lang w:val="ro-MD"/>
              </w:rPr>
              <w:t>Monitorul Oficial al Republicii Moldova, 2014, nr. 319-324, art. 634</w:t>
            </w:r>
            <w:r w:rsidRPr="00BD48A2">
              <w:rPr>
                <w:rFonts w:ascii="Times New Roman" w:hAnsi="Times New Roman"/>
                <w:sz w:val="24"/>
                <w:szCs w:val="24"/>
                <w:lang w:val="ro-MD"/>
              </w:rPr>
              <w:t xml:space="preserve">), cu  modificările și completările ulterioare, Legii cu privire la registre Nr. 71 din 22.03.2007 cu modificările ulterioare, în scopul executării </w:t>
            </w:r>
            <w:r w:rsidRPr="00BD48A2">
              <w:rPr>
                <w:rFonts w:ascii="Times New Roman" w:hAnsi="Times New Roman"/>
                <w:sz w:val="24"/>
                <w:szCs w:val="24"/>
                <w:shd w:val="clear" w:color="auto" w:fill="FFFFFF"/>
                <w:lang w:val="ro-MD"/>
              </w:rPr>
              <w:t>Hotărîrii Guvernului cu privire la aprobarea Cadrului național al calificărilor din Republica Moldova nr. 1016 din 23 noiembrie 2017 (</w:t>
            </w:r>
            <w:r w:rsidRPr="00BD48A2">
              <w:rPr>
                <w:rFonts w:ascii="Times New Roman" w:hAnsi="Times New Roman"/>
                <w:i/>
                <w:sz w:val="24"/>
                <w:szCs w:val="24"/>
                <w:shd w:val="clear" w:color="auto" w:fill="FFFFFF"/>
                <w:lang w:val="ro-MD"/>
              </w:rPr>
              <w:t xml:space="preserve">Monitorul Oficial </w:t>
            </w:r>
            <w:r w:rsidRPr="00BD48A2">
              <w:rPr>
                <w:rFonts w:ascii="Times New Roman" w:hAnsi="Times New Roman"/>
                <w:i/>
                <w:sz w:val="24"/>
                <w:szCs w:val="24"/>
                <w:lang w:val="ro-MD"/>
              </w:rPr>
              <w:t>al Republicii Moldova, 2017, nr. 421-427, art. 1137</w:t>
            </w:r>
            <w:r w:rsidRPr="00BD48A2">
              <w:rPr>
                <w:rFonts w:ascii="Times New Roman" w:hAnsi="Times New Roman"/>
                <w:sz w:val="24"/>
                <w:szCs w:val="24"/>
                <w:lang w:val="ro-MD"/>
              </w:rPr>
              <w:t>).</w:t>
            </w:r>
          </w:p>
          <w:p w:rsidR="00360129" w:rsidRPr="00BD48A2" w:rsidRDefault="00360129" w:rsidP="00311B9F">
            <w:pPr>
              <w:shd w:val="clear" w:color="auto" w:fill="FFFFFF" w:themeFill="background1"/>
              <w:tabs>
                <w:tab w:val="left" w:pos="851"/>
                <w:tab w:val="left" w:pos="1134"/>
              </w:tabs>
              <w:spacing w:line="276" w:lineRule="auto"/>
              <w:ind w:firstLine="567"/>
              <w:rPr>
                <w:sz w:val="24"/>
                <w:szCs w:val="24"/>
                <w:lang w:val="ro-MD"/>
              </w:rPr>
            </w:pPr>
            <w:r w:rsidRPr="00BD48A2">
              <w:rPr>
                <w:sz w:val="24"/>
                <w:szCs w:val="24"/>
                <w:lang w:val="ro-MD"/>
              </w:rPr>
              <w:t>Crearea Registrului Național al Calificărilor (în continuare RNC) are drept scop dezvoltarea resursei informaționale a Ministerului Educației, Culturii și Cercetării în vederea înregistrării, sistematizării, publicării, actualizării datelor cu referire la calificările naționale asigurate de calitate, Cadrul Național al Calificărilor și furnizorii de programe de studii și de formare profesională.</w:t>
            </w:r>
          </w:p>
          <w:p w:rsidR="00360129" w:rsidRPr="00BD48A2" w:rsidRDefault="00360129" w:rsidP="00360129">
            <w:pPr>
              <w:spacing w:before="120" w:line="276" w:lineRule="auto"/>
              <w:ind w:firstLine="567"/>
              <w:rPr>
                <w:sz w:val="24"/>
                <w:szCs w:val="24"/>
                <w:lang w:val="ro-MD"/>
              </w:rPr>
            </w:pPr>
            <w:r w:rsidRPr="00BD48A2">
              <w:rPr>
                <w:b/>
                <w:sz w:val="24"/>
                <w:szCs w:val="24"/>
                <w:lang w:val="ro-MD"/>
              </w:rPr>
              <w:t>Argument:</w:t>
            </w:r>
            <w:r w:rsidRPr="00BD48A2">
              <w:rPr>
                <w:sz w:val="24"/>
                <w:szCs w:val="24"/>
                <w:lang w:val="ro-MD"/>
              </w:rPr>
              <w:t xml:space="preserve"> </w:t>
            </w:r>
          </w:p>
          <w:p w:rsidR="00360129" w:rsidRPr="00BD48A2" w:rsidRDefault="00360129" w:rsidP="00311B9F">
            <w:pPr>
              <w:tabs>
                <w:tab w:val="left" w:pos="851"/>
              </w:tabs>
              <w:spacing w:line="276" w:lineRule="auto"/>
              <w:ind w:firstLine="567"/>
              <w:rPr>
                <w:sz w:val="24"/>
                <w:szCs w:val="24"/>
                <w:lang w:val="ro-MD"/>
              </w:rPr>
            </w:pPr>
            <w:r w:rsidRPr="00BD48A2">
              <w:rPr>
                <w:sz w:val="24"/>
                <w:szCs w:val="24"/>
                <w:lang w:val="ro-MD"/>
              </w:rPr>
              <w:t xml:space="preserve">RNC este un sistem informațional, constituit dintr-un ansamblu de resurse și tehnologii informaționale destinat înregistrării, păstrării, prelucrării, utilizării informațiilor cu privire la calificările profesionale, Nomenclatoarele </w:t>
            </w:r>
            <w:r w:rsidRPr="00BD48A2">
              <w:rPr>
                <w:bCs/>
                <w:color w:val="000000"/>
                <w:sz w:val="24"/>
                <w:szCs w:val="24"/>
                <w:lang w:val="ro-MD"/>
              </w:rPr>
              <w:t xml:space="preserve">domeniilor de formare profesională pentru învățământul profesional de toate nivelurile, </w:t>
            </w:r>
            <w:r w:rsidRPr="00BD48A2">
              <w:rPr>
                <w:sz w:val="24"/>
                <w:szCs w:val="24"/>
                <w:lang w:val="ro-MD"/>
              </w:rPr>
              <w:t xml:space="preserve">criteriile de evaluare a calificărilor, furnizorii de programe de studii și programe de formare profesională, rezultatele învățării și mecanismele de certificare a competențelor profesionale. </w:t>
            </w:r>
          </w:p>
          <w:p w:rsidR="00360129" w:rsidRPr="00BD48A2" w:rsidRDefault="00360129" w:rsidP="00311B9F">
            <w:pPr>
              <w:spacing w:line="276" w:lineRule="auto"/>
              <w:ind w:firstLine="567"/>
              <w:rPr>
                <w:sz w:val="24"/>
                <w:szCs w:val="24"/>
                <w:lang w:val="ro-MD"/>
              </w:rPr>
            </w:pPr>
            <w:r w:rsidRPr="00BD48A2">
              <w:rPr>
                <w:sz w:val="24"/>
                <w:szCs w:val="24"/>
                <w:lang w:val="ro-MD"/>
              </w:rPr>
              <w:t>Necesitatea instituirii Registrului Național al Calificărilor este determinată de: </w:t>
            </w:r>
          </w:p>
          <w:p w:rsidR="00360129" w:rsidRPr="00BD48A2" w:rsidRDefault="00360129" w:rsidP="00360129">
            <w:pPr>
              <w:pStyle w:val="ListParagraph"/>
              <w:numPr>
                <w:ilvl w:val="0"/>
                <w:numId w:val="1"/>
              </w:numPr>
              <w:tabs>
                <w:tab w:val="left" w:pos="-142"/>
                <w:tab w:val="left" w:pos="0"/>
              </w:tabs>
              <w:spacing w:line="276" w:lineRule="auto"/>
              <w:ind w:left="0" w:firstLine="567"/>
              <w:rPr>
                <w:sz w:val="24"/>
                <w:szCs w:val="24"/>
                <w:lang w:val="ro-MD"/>
              </w:rPr>
            </w:pPr>
            <w:r w:rsidRPr="00BD48A2">
              <w:rPr>
                <w:sz w:val="24"/>
                <w:szCs w:val="24"/>
                <w:lang w:val="ro-MD"/>
              </w:rPr>
              <w:t>lipsa unui sistem unic de informare cu referire la calificările din Cadrul Național al Calificărilor;</w:t>
            </w:r>
          </w:p>
          <w:p w:rsidR="00360129" w:rsidRPr="00BD48A2" w:rsidRDefault="00360129" w:rsidP="00360129">
            <w:pPr>
              <w:pStyle w:val="ListParagraph"/>
              <w:numPr>
                <w:ilvl w:val="0"/>
                <w:numId w:val="1"/>
              </w:numPr>
              <w:tabs>
                <w:tab w:val="left" w:pos="-142"/>
                <w:tab w:val="left" w:pos="0"/>
              </w:tabs>
              <w:spacing w:line="276" w:lineRule="auto"/>
              <w:ind w:left="0" w:firstLine="567"/>
              <w:rPr>
                <w:sz w:val="24"/>
                <w:szCs w:val="24"/>
                <w:lang w:val="ro-MD"/>
              </w:rPr>
            </w:pPr>
            <w:r w:rsidRPr="00BD48A2">
              <w:rPr>
                <w:sz w:val="24"/>
                <w:szCs w:val="24"/>
                <w:lang w:val="ro-MD"/>
              </w:rPr>
              <w:t xml:space="preserve">lipsa unei </w:t>
            </w:r>
            <w:r w:rsidRPr="00BD48A2">
              <w:rPr>
                <w:color w:val="212121"/>
                <w:sz w:val="24"/>
                <w:szCs w:val="24"/>
                <w:lang w:val="ro-MD"/>
              </w:rPr>
              <w:t>sistematizări a calificărilor profesionale naționale în funcție de nivelurile de calificare</w:t>
            </w:r>
            <w:r w:rsidRPr="00BD48A2">
              <w:rPr>
                <w:sz w:val="24"/>
                <w:szCs w:val="24"/>
                <w:lang w:val="ro-MD"/>
              </w:rPr>
              <w:t xml:space="preserve"> și domeniile de formare profesională;</w:t>
            </w:r>
          </w:p>
          <w:p w:rsidR="00360129" w:rsidRPr="00BD48A2" w:rsidRDefault="00360129" w:rsidP="00360129">
            <w:pPr>
              <w:pStyle w:val="ListParagraph"/>
              <w:numPr>
                <w:ilvl w:val="0"/>
                <w:numId w:val="1"/>
              </w:numPr>
              <w:tabs>
                <w:tab w:val="left" w:pos="-142"/>
                <w:tab w:val="left" w:pos="0"/>
              </w:tabs>
              <w:spacing w:line="276" w:lineRule="auto"/>
              <w:ind w:left="0" w:firstLine="567"/>
              <w:rPr>
                <w:color w:val="212121"/>
                <w:sz w:val="24"/>
                <w:szCs w:val="24"/>
                <w:lang w:val="ro-MD"/>
              </w:rPr>
            </w:pPr>
            <w:r w:rsidRPr="00BD48A2">
              <w:rPr>
                <w:color w:val="212121"/>
                <w:sz w:val="24"/>
                <w:szCs w:val="24"/>
                <w:lang w:val="ro-MD"/>
              </w:rPr>
              <w:t xml:space="preserve">lipsa </w:t>
            </w:r>
            <w:r w:rsidRPr="00BD48A2">
              <w:rPr>
                <w:sz w:val="24"/>
                <w:szCs w:val="24"/>
                <w:lang w:val="ro-MD"/>
              </w:rPr>
              <w:t>informațiilor structurate privind rezultatele învățării la programele de studii și de formare profesională oferite de instituțiile de învățământ de toate nivelurile;</w:t>
            </w:r>
          </w:p>
          <w:p w:rsidR="00360129" w:rsidRPr="00BD48A2" w:rsidRDefault="00360129" w:rsidP="00360129">
            <w:pPr>
              <w:pStyle w:val="ListParagraph"/>
              <w:numPr>
                <w:ilvl w:val="0"/>
                <w:numId w:val="1"/>
              </w:numPr>
              <w:tabs>
                <w:tab w:val="left" w:pos="-142"/>
                <w:tab w:val="left" w:pos="0"/>
              </w:tabs>
              <w:spacing w:line="276" w:lineRule="auto"/>
              <w:ind w:left="0" w:firstLine="567"/>
              <w:rPr>
                <w:color w:val="212121"/>
                <w:sz w:val="24"/>
                <w:szCs w:val="24"/>
                <w:lang w:val="ro-MD"/>
              </w:rPr>
            </w:pPr>
            <w:r w:rsidRPr="00BD48A2">
              <w:rPr>
                <w:sz w:val="24"/>
                <w:szCs w:val="24"/>
                <w:lang w:val="ro-MD"/>
              </w:rPr>
              <w:t>a</w:t>
            </w:r>
            <w:r w:rsidRPr="00BD48A2">
              <w:rPr>
                <w:color w:val="212121"/>
                <w:sz w:val="24"/>
                <w:szCs w:val="24"/>
                <w:lang w:val="ro-MD"/>
              </w:rPr>
              <w:t>cces limitat a publicului larg la informația structurată cu privire la furnizorii serviciilor de formare profesională și calificările profesionale oferite de către aceștia;</w:t>
            </w:r>
          </w:p>
          <w:p w:rsidR="00360129" w:rsidRPr="00BD48A2" w:rsidRDefault="00360129" w:rsidP="00360129">
            <w:pPr>
              <w:pStyle w:val="ListParagraph"/>
              <w:numPr>
                <w:ilvl w:val="0"/>
                <w:numId w:val="1"/>
              </w:numPr>
              <w:tabs>
                <w:tab w:val="left" w:pos="-142"/>
                <w:tab w:val="left" w:pos="0"/>
              </w:tabs>
              <w:spacing w:before="120" w:line="276" w:lineRule="auto"/>
              <w:ind w:left="0" w:firstLine="567"/>
              <w:rPr>
                <w:sz w:val="24"/>
                <w:szCs w:val="24"/>
                <w:lang w:val="ro-MD"/>
              </w:rPr>
            </w:pPr>
            <w:r w:rsidRPr="00BD48A2">
              <w:rPr>
                <w:sz w:val="24"/>
                <w:szCs w:val="24"/>
                <w:lang w:val="ro-MD"/>
              </w:rPr>
              <w:t>nivel redus de transparență a sistemului național de educație, de credibilitate, comparabilitate și de recunoaștere a calificărilor la nivel european/internațional.</w:t>
            </w:r>
          </w:p>
          <w:p w:rsidR="00360129" w:rsidRPr="00BD48A2" w:rsidRDefault="00360129" w:rsidP="00360129">
            <w:pPr>
              <w:spacing w:before="120" w:line="276" w:lineRule="auto"/>
              <w:ind w:firstLine="567"/>
              <w:rPr>
                <w:b/>
                <w:color w:val="000000"/>
                <w:sz w:val="24"/>
                <w:szCs w:val="24"/>
                <w:lang w:val="ro-MD"/>
              </w:rPr>
            </w:pPr>
            <w:r w:rsidRPr="00BD48A2">
              <w:rPr>
                <w:b/>
                <w:color w:val="000000"/>
                <w:sz w:val="24"/>
                <w:szCs w:val="24"/>
                <w:lang w:val="ro-MD"/>
              </w:rPr>
              <w:t xml:space="preserve">Beneficiari: </w:t>
            </w:r>
          </w:p>
          <w:p w:rsidR="00360129" w:rsidRPr="00BD48A2" w:rsidRDefault="00360129" w:rsidP="00311B9F">
            <w:pPr>
              <w:spacing w:line="276" w:lineRule="auto"/>
              <w:ind w:firstLine="567"/>
              <w:rPr>
                <w:iCs/>
                <w:sz w:val="24"/>
                <w:szCs w:val="24"/>
                <w:lang w:val="ro-MD"/>
              </w:rPr>
            </w:pPr>
            <w:r w:rsidRPr="00BD48A2">
              <w:rPr>
                <w:sz w:val="24"/>
                <w:szCs w:val="24"/>
                <w:lang w:val="ro-MD"/>
              </w:rPr>
              <w:t xml:space="preserve">RNC este destinat autorităților administrației publice, instituțiilor de învățământ de toate nivelurile, partenerilor sociali/educaționali, persoanelor fizice şi juridice, în modul stabilit de legislația Republicii Moldova. RNC va </w:t>
            </w:r>
            <w:r w:rsidRPr="00BD48A2">
              <w:rPr>
                <w:iCs/>
                <w:sz w:val="24"/>
                <w:szCs w:val="24"/>
                <w:lang w:val="ro-MD"/>
              </w:rPr>
              <w:t xml:space="preserve">cuprinde toate calificările din </w:t>
            </w:r>
            <w:proofErr w:type="spellStart"/>
            <w:r w:rsidRPr="00BD48A2">
              <w:rPr>
                <w:iCs/>
                <w:sz w:val="24"/>
                <w:szCs w:val="24"/>
                <w:lang w:val="ro-MD"/>
              </w:rPr>
              <w:t>Саdrul</w:t>
            </w:r>
            <w:proofErr w:type="spellEnd"/>
            <w:r w:rsidRPr="00BD48A2">
              <w:rPr>
                <w:iCs/>
                <w:sz w:val="24"/>
                <w:szCs w:val="24"/>
                <w:lang w:val="ro-MD"/>
              </w:rPr>
              <w:t xml:space="preserve"> Național al Calificărilor, fiind unica sursă autorizată de informații cu privire la calificările naționale sistematizate și structurate în funcție de necesitățile diferitor grupuri de utilizatori: </w:t>
            </w:r>
            <w:r w:rsidRPr="00BD48A2">
              <w:rPr>
                <w:iCs/>
                <w:sz w:val="24"/>
                <w:szCs w:val="24"/>
                <w:lang w:val="ro-MD"/>
              </w:rPr>
              <w:lastRenderedPageBreak/>
              <w:t xml:space="preserve">agenți economici, instituții de învățământ, elevi / studenți / formabili, părinți, utilizatori externi. </w:t>
            </w:r>
          </w:p>
          <w:p w:rsidR="00360129" w:rsidRPr="00BD48A2" w:rsidRDefault="00360129" w:rsidP="00360129">
            <w:pPr>
              <w:tabs>
                <w:tab w:val="left" w:pos="540"/>
              </w:tabs>
              <w:spacing w:before="120" w:line="276" w:lineRule="auto"/>
              <w:ind w:firstLine="567"/>
              <w:rPr>
                <w:b/>
                <w:sz w:val="24"/>
                <w:szCs w:val="24"/>
                <w:lang w:val="ro-MD"/>
              </w:rPr>
            </w:pPr>
            <w:r w:rsidRPr="00BD48A2">
              <w:rPr>
                <w:b/>
                <w:sz w:val="24"/>
                <w:szCs w:val="24"/>
                <w:lang w:val="ro-MD"/>
              </w:rPr>
              <w:t>Fundamentarea financiară:</w:t>
            </w:r>
          </w:p>
          <w:p w:rsidR="00360129" w:rsidRPr="00BD48A2" w:rsidRDefault="00360129" w:rsidP="00311B9F">
            <w:pPr>
              <w:tabs>
                <w:tab w:val="left" w:pos="540"/>
              </w:tabs>
              <w:spacing w:line="276" w:lineRule="auto"/>
              <w:ind w:firstLine="567"/>
              <w:rPr>
                <w:sz w:val="24"/>
                <w:szCs w:val="24"/>
                <w:lang w:val="ro-MD" w:eastAsia="ru-RU"/>
              </w:rPr>
            </w:pPr>
            <w:r w:rsidRPr="00BD48A2">
              <w:rPr>
                <w:sz w:val="24"/>
                <w:szCs w:val="24"/>
                <w:lang w:val="ro-MD" w:eastAsia="ru-RU"/>
              </w:rPr>
              <w:t xml:space="preserve">Cheltuielile ocazionate de punere în aplicare a prezentei </w:t>
            </w:r>
            <w:proofErr w:type="spellStart"/>
            <w:r w:rsidRPr="00BD48A2">
              <w:rPr>
                <w:sz w:val="24"/>
                <w:szCs w:val="24"/>
                <w:lang w:val="ro-MD" w:eastAsia="ru-RU"/>
              </w:rPr>
              <w:t>hotărîri</w:t>
            </w:r>
            <w:proofErr w:type="spellEnd"/>
            <w:r w:rsidRPr="00BD48A2">
              <w:rPr>
                <w:sz w:val="24"/>
                <w:szCs w:val="24"/>
                <w:lang w:val="ro-MD" w:eastAsia="ru-RU"/>
              </w:rPr>
              <w:t xml:space="preserve"> vor fi suportate din contul și în limita alocațiilor bugetare aprobate.</w:t>
            </w:r>
          </w:p>
          <w:p w:rsidR="00360129" w:rsidRPr="00BD48A2" w:rsidRDefault="00360129" w:rsidP="00360129">
            <w:pPr>
              <w:spacing w:before="120" w:line="276" w:lineRule="auto"/>
              <w:ind w:firstLine="567"/>
              <w:rPr>
                <w:b/>
                <w:color w:val="000000"/>
                <w:sz w:val="24"/>
                <w:szCs w:val="24"/>
                <w:lang w:val="ro-MD"/>
              </w:rPr>
            </w:pPr>
            <w:r w:rsidRPr="00BD48A2">
              <w:rPr>
                <w:b/>
                <w:color w:val="000000"/>
                <w:sz w:val="24"/>
                <w:szCs w:val="24"/>
                <w:lang w:val="ro-MD"/>
              </w:rPr>
              <w:t>Impact:</w:t>
            </w:r>
          </w:p>
          <w:p w:rsidR="00360129" w:rsidRPr="00BD48A2" w:rsidRDefault="00360129" w:rsidP="00311B9F">
            <w:pPr>
              <w:tabs>
                <w:tab w:val="left" w:pos="993"/>
              </w:tabs>
              <w:spacing w:line="276" w:lineRule="auto"/>
              <w:ind w:firstLine="567"/>
              <w:rPr>
                <w:sz w:val="24"/>
                <w:szCs w:val="24"/>
                <w:lang w:val="ro-MD"/>
              </w:rPr>
            </w:pPr>
            <w:r w:rsidRPr="00BD48A2">
              <w:rPr>
                <w:sz w:val="24"/>
                <w:szCs w:val="24"/>
                <w:lang w:val="ro-MD"/>
              </w:rPr>
              <w:t xml:space="preserve">Procesul de dezvoltare a Cadrului Național al Calificărilor implică crearea Registrului Național al Calificărilor - sistem informațional independent, credibil și eficient de înregistrare, dezvoltare și actualizare a calificărilor, instrument de asigurare a calității formării profesionale, a transparenței și a lizibilității învățământului profesional de toate nivelurile în raporturile cu piața muncii în ceea ce privește recunoașterea rezultatelor învățări, precum şi compararea calificărilor </w:t>
            </w:r>
            <w:proofErr w:type="spellStart"/>
            <w:r w:rsidRPr="00BD48A2">
              <w:rPr>
                <w:sz w:val="24"/>
                <w:szCs w:val="24"/>
                <w:lang w:val="ro-MD"/>
              </w:rPr>
              <w:t>obţinute</w:t>
            </w:r>
            <w:proofErr w:type="spellEnd"/>
            <w:r w:rsidRPr="00BD48A2">
              <w:rPr>
                <w:sz w:val="24"/>
                <w:szCs w:val="24"/>
                <w:lang w:val="ro-MD"/>
              </w:rPr>
              <w:t xml:space="preserve"> în urma absolvirii diferitelor programe de studii/programe de formare profesională, furnizate de </w:t>
            </w:r>
            <w:proofErr w:type="spellStart"/>
            <w:r w:rsidRPr="00BD48A2">
              <w:rPr>
                <w:sz w:val="24"/>
                <w:szCs w:val="24"/>
                <w:lang w:val="ro-MD"/>
              </w:rPr>
              <w:t>instituţiile</w:t>
            </w:r>
            <w:proofErr w:type="spellEnd"/>
            <w:r w:rsidRPr="00BD48A2">
              <w:rPr>
                <w:sz w:val="24"/>
                <w:szCs w:val="24"/>
                <w:lang w:val="ro-MD"/>
              </w:rPr>
              <w:t xml:space="preserve"> de învățământ prestatoare de servicii educaționale și formare profesională. </w:t>
            </w:r>
          </w:p>
          <w:p w:rsidR="00360129" w:rsidRPr="00BD48A2" w:rsidRDefault="00360129" w:rsidP="00311B9F">
            <w:pPr>
              <w:spacing w:line="276" w:lineRule="auto"/>
              <w:ind w:firstLine="567"/>
              <w:rPr>
                <w:sz w:val="24"/>
                <w:szCs w:val="24"/>
                <w:lang w:val="ro-MD"/>
              </w:rPr>
            </w:pPr>
            <w:r w:rsidRPr="00BD48A2">
              <w:rPr>
                <w:sz w:val="24"/>
                <w:szCs w:val="24"/>
                <w:lang w:val="ro-MD"/>
              </w:rPr>
              <w:t>O succintă listă a beneficiilor implementării RNC include:</w:t>
            </w:r>
          </w:p>
          <w:p w:rsidR="00360129" w:rsidRPr="00BD48A2" w:rsidRDefault="00360129" w:rsidP="00360129">
            <w:pPr>
              <w:pStyle w:val="ListParagraph"/>
              <w:numPr>
                <w:ilvl w:val="0"/>
                <w:numId w:val="1"/>
              </w:numPr>
              <w:tabs>
                <w:tab w:val="left" w:pos="0"/>
              </w:tabs>
              <w:spacing w:line="276" w:lineRule="auto"/>
              <w:ind w:left="0" w:firstLine="567"/>
              <w:rPr>
                <w:sz w:val="24"/>
                <w:szCs w:val="24"/>
                <w:lang w:val="ro-MD"/>
              </w:rPr>
            </w:pPr>
            <w:r w:rsidRPr="00BD48A2">
              <w:rPr>
                <w:sz w:val="24"/>
                <w:szCs w:val="24"/>
                <w:lang w:val="ro-MD"/>
              </w:rPr>
              <w:t>alinierea la experiența internațională în domeniu - pe plan internațional, guvernele, în special în țările UE, au finanțat și asigurat dezvoltarea unor sisteme informaționale similare;</w:t>
            </w:r>
          </w:p>
          <w:p w:rsidR="00360129" w:rsidRPr="00BD48A2" w:rsidRDefault="00360129" w:rsidP="00360129">
            <w:pPr>
              <w:pStyle w:val="ListParagraph"/>
              <w:numPr>
                <w:ilvl w:val="0"/>
                <w:numId w:val="1"/>
              </w:numPr>
              <w:tabs>
                <w:tab w:val="left" w:pos="0"/>
              </w:tabs>
              <w:spacing w:line="276" w:lineRule="auto"/>
              <w:ind w:left="0" w:firstLine="567"/>
              <w:rPr>
                <w:sz w:val="24"/>
                <w:szCs w:val="24"/>
                <w:lang w:val="ro-MD"/>
              </w:rPr>
            </w:pPr>
            <w:r w:rsidRPr="00BD48A2">
              <w:rPr>
                <w:sz w:val="24"/>
                <w:szCs w:val="24"/>
                <w:lang w:val="ro-MD"/>
              </w:rPr>
              <w:t xml:space="preserve"> asigurarea unui cerc extins de utilizatori  cu informații veridice, calitative, complexe, accesibile cu referire la calificările naționale și furnizorii de programe de studii/ programe de formare profesională; </w:t>
            </w:r>
          </w:p>
          <w:p w:rsidR="00360129" w:rsidRPr="00BD48A2" w:rsidRDefault="00360129" w:rsidP="00360129">
            <w:pPr>
              <w:pStyle w:val="ListParagraph"/>
              <w:numPr>
                <w:ilvl w:val="0"/>
                <w:numId w:val="1"/>
              </w:numPr>
              <w:tabs>
                <w:tab w:val="left" w:pos="0"/>
              </w:tabs>
              <w:spacing w:line="276" w:lineRule="auto"/>
              <w:ind w:left="0" w:firstLine="567"/>
              <w:rPr>
                <w:sz w:val="24"/>
                <w:szCs w:val="24"/>
                <w:lang w:val="ro-MD"/>
              </w:rPr>
            </w:pPr>
            <w:r w:rsidRPr="00BD48A2">
              <w:rPr>
                <w:sz w:val="24"/>
                <w:szCs w:val="24"/>
                <w:lang w:val="ro-MD"/>
              </w:rPr>
              <w:t xml:space="preserve"> îmbunătățirea calității procesului de formare profesională inițială și continuă. </w:t>
            </w:r>
          </w:p>
          <w:p w:rsidR="00360129" w:rsidRPr="00BD48A2" w:rsidRDefault="00360129" w:rsidP="00311B9F">
            <w:pPr>
              <w:tabs>
                <w:tab w:val="left" w:pos="993"/>
              </w:tabs>
              <w:spacing w:line="276" w:lineRule="auto"/>
              <w:ind w:firstLine="567"/>
              <w:rPr>
                <w:sz w:val="24"/>
                <w:szCs w:val="24"/>
                <w:lang w:val="ro-MD"/>
              </w:rPr>
            </w:pPr>
            <w:r w:rsidRPr="00BD48A2">
              <w:rPr>
                <w:sz w:val="24"/>
                <w:szCs w:val="24"/>
                <w:lang w:val="ro-MD"/>
              </w:rPr>
              <w:t xml:space="preserve">Având în vedere complexitatea RNC, implementarea acestuia se va efectua pe etape, în funcție de mijloacele financiare disponibile. Sustenabilitatea, vizibilitatea calificărilor, utilizarea informațiilor de către piața muncii, implicarea părților interesate, asumarea calității procesului de formare profesională și consolidarea consensului se numără printre condițiile esențiale pentru crearea, utilizarea și impactul de succes al RNC. Efectul elaborării și implementării RNC va putea fi observat începând cu etapa introducerii în exploatare experimentală, iar impactul complet se va manifesta în întregime pe parcurs. </w:t>
            </w:r>
          </w:p>
          <w:p w:rsidR="00360129" w:rsidRPr="00BD48A2" w:rsidRDefault="00360129" w:rsidP="00311B9F">
            <w:pPr>
              <w:tabs>
                <w:tab w:val="left" w:pos="993"/>
              </w:tabs>
              <w:spacing w:line="276" w:lineRule="auto"/>
              <w:ind w:firstLine="567"/>
              <w:rPr>
                <w:sz w:val="24"/>
                <w:szCs w:val="24"/>
                <w:lang w:val="ro-MD"/>
              </w:rPr>
            </w:pPr>
            <w:r w:rsidRPr="00BD48A2">
              <w:rPr>
                <w:sz w:val="24"/>
                <w:szCs w:val="24"/>
                <w:lang w:val="ro-MD"/>
              </w:rPr>
              <w:t xml:space="preserve">Neimplementarea RNC poate avea un impact negativ substanțial, determinat de calitatea și cantitatea insuficientă a informației privind calificările naționale. Aceasta poate genera efecte negative sociale și de altă natură, </w:t>
            </w:r>
            <w:proofErr w:type="spellStart"/>
            <w:r w:rsidRPr="00BD48A2">
              <w:rPr>
                <w:sz w:val="24"/>
                <w:szCs w:val="24"/>
                <w:lang w:val="ro-MD"/>
              </w:rPr>
              <w:t>cre</w:t>
            </w:r>
            <w:bookmarkStart w:id="0" w:name="_GoBack"/>
            <w:bookmarkEnd w:id="0"/>
            <w:r w:rsidRPr="00BD48A2">
              <w:rPr>
                <w:sz w:val="24"/>
                <w:szCs w:val="24"/>
                <w:lang w:val="ro-MD"/>
              </w:rPr>
              <w:t>înd</w:t>
            </w:r>
            <w:proofErr w:type="spellEnd"/>
            <w:r w:rsidRPr="00BD48A2">
              <w:rPr>
                <w:sz w:val="24"/>
                <w:szCs w:val="24"/>
                <w:lang w:val="ro-MD"/>
              </w:rPr>
              <w:t xml:space="preserve"> impedimente la recunoașterea calificărilor obținute/atribuite la nivel național și internațional. </w:t>
            </w:r>
          </w:p>
          <w:p w:rsidR="00360129" w:rsidRPr="00BD48A2" w:rsidRDefault="00360129" w:rsidP="00311B9F">
            <w:pPr>
              <w:tabs>
                <w:tab w:val="num" w:pos="0"/>
              </w:tabs>
              <w:spacing w:before="120" w:after="120" w:line="276" w:lineRule="auto"/>
              <w:ind w:firstLine="426"/>
              <w:rPr>
                <w:sz w:val="24"/>
                <w:szCs w:val="24"/>
                <w:lang w:val="ro-MD"/>
              </w:rPr>
            </w:pPr>
            <w:r w:rsidRPr="00BD48A2">
              <w:rPr>
                <w:sz w:val="24"/>
                <w:szCs w:val="24"/>
                <w:lang w:val="ro-MD"/>
              </w:rPr>
              <w:t>În vederea respectării prevederilor Legii nr.239 din 13 noiembrie 2008 privind transparența în procesul decizional, proiectul a fost plasat pe pagina web a Ministerului Educației, Culturii și Cercetării (directoriul „Transparență” compartimentul „Transparența decizională”).</w:t>
            </w:r>
          </w:p>
          <w:p w:rsidR="00360129" w:rsidRPr="00BD48A2" w:rsidRDefault="00360129" w:rsidP="00311B9F">
            <w:pPr>
              <w:spacing w:line="276" w:lineRule="auto"/>
              <w:ind w:firstLine="567"/>
              <w:rPr>
                <w:b/>
                <w:color w:val="000000"/>
                <w:sz w:val="24"/>
                <w:szCs w:val="24"/>
                <w:lang w:val="ro-MD"/>
              </w:rPr>
            </w:pPr>
          </w:p>
        </w:tc>
      </w:tr>
    </w:tbl>
    <w:p w:rsidR="00360129" w:rsidRPr="00BD48A2" w:rsidRDefault="00360129" w:rsidP="00360129">
      <w:pPr>
        <w:spacing w:after="160" w:line="276" w:lineRule="auto"/>
        <w:ind w:firstLine="708"/>
        <w:jc w:val="center"/>
        <w:rPr>
          <w:sz w:val="24"/>
          <w:szCs w:val="24"/>
          <w:lang w:val="ro-MD"/>
        </w:rPr>
      </w:pPr>
      <w:r w:rsidRPr="00BD48A2">
        <w:rPr>
          <w:b/>
          <w:sz w:val="24"/>
          <w:szCs w:val="24"/>
          <w:lang w:val="ro-MD"/>
        </w:rPr>
        <w:lastRenderedPageBreak/>
        <w:t>Ministru</w:t>
      </w:r>
      <w:r w:rsidRPr="00BD48A2">
        <w:rPr>
          <w:b/>
          <w:sz w:val="24"/>
          <w:szCs w:val="24"/>
          <w:lang w:val="ro-MD"/>
        </w:rPr>
        <w:tab/>
      </w:r>
      <w:r w:rsidRPr="00BD48A2">
        <w:rPr>
          <w:b/>
          <w:sz w:val="24"/>
          <w:szCs w:val="24"/>
          <w:lang w:val="ro-MD"/>
        </w:rPr>
        <w:tab/>
      </w:r>
      <w:r w:rsidRPr="00BD48A2">
        <w:rPr>
          <w:b/>
          <w:sz w:val="24"/>
          <w:szCs w:val="24"/>
          <w:lang w:val="ro-MD"/>
        </w:rPr>
        <w:tab/>
      </w:r>
      <w:r w:rsidRPr="00BD48A2">
        <w:rPr>
          <w:b/>
          <w:sz w:val="24"/>
          <w:szCs w:val="24"/>
          <w:lang w:val="ro-MD"/>
        </w:rPr>
        <w:tab/>
      </w:r>
      <w:r w:rsidRPr="00BD48A2">
        <w:rPr>
          <w:b/>
          <w:sz w:val="24"/>
          <w:szCs w:val="24"/>
          <w:lang w:val="ro-MD"/>
        </w:rPr>
        <w:tab/>
        <w:t>Monica BABUC</w:t>
      </w:r>
    </w:p>
    <w:p w:rsidR="00360129" w:rsidRPr="00BD48A2" w:rsidRDefault="00360129" w:rsidP="00360129">
      <w:pPr>
        <w:ind w:firstLine="567"/>
        <w:rPr>
          <w:b/>
          <w:i/>
          <w:sz w:val="24"/>
          <w:szCs w:val="24"/>
          <w:lang w:val="ro-MD"/>
        </w:rPr>
      </w:pPr>
    </w:p>
    <w:p w:rsidR="000F65EB" w:rsidRDefault="00134F1E"/>
    <w:sectPr w:rsidR="000F6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A612F3"/>
    <w:multiLevelType w:val="hybridMultilevel"/>
    <w:tmpl w:val="D65C3F84"/>
    <w:lvl w:ilvl="0" w:tplc="8E909C6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2B7"/>
    <w:rsid w:val="00134F1E"/>
    <w:rsid w:val="00360129"/>
    <w:rsid w:val="004842B7"/>
    <w:rsid w:val="00647931"/>
    <w:rsid w:val="00CA29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62C83-743C-4114-9536-521E0915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129"/>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Resume Title"/>
    <w:basedOn w:val="Normal"/>
    <w:link w:val="ListParagraphChar"/>
    <w:uiPriority w:val="34"/>
    <w:qFormat/>
    <w:rsid w:val="00360129"/>
    <w:pPr>
      <w:ind w:left="720"/>
      <w:contextualSpacing/>
    </w:pPr>
  </w:style>
  <w:style w:type="paragraph" w:customStyle="1" w:styleId="NoSpacing1">
    <w:name w:val="No Spacing1"/>
    <w:qFormat/>
    <w:rsid w:val="00360129"/>
    <w:pPr>
      <w:spacing w:after="0" w:line="240" w:lineRule="auto"/>
    </w:pPr>
    <w:rPr>
      <w:rFonts w:ascii="Calibri" w:eastAsia="Calibri" w:hAnsi="Calibri" w:cs="Times New Roman"/>
      <w:lang w:val="ru-RU"/>
    </w:rPr>
  </w:style>
  <w:style w:type="character" w:customStyle="1" w:styleId="ListParagraphChar">
    <w:name w:val="List Paragraph Char"/>
    <w:aliases w:val="List Paragraph 1 Char,Resume Title Char"/>
    <w:basedOn w:val="DefaultParagraphFont"/>
    <w:link w:val="ListParagraph"/>
    <w:uiPriority w:val="34"/>
    <w:locked/>
    <w:rsid w:val="00360129"/>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134F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F1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853</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2018-07-24T08:36:00Z</cp:lastPrinted>
  <dcterms:created xsi:type="dcterms:W3CDTF">2018-07-24T07:42:00Z</dcterms:created>
  <dcterms:modified xsi:type="dcterms:W3CDTF">2018-07-24T08:37:00Z</dcterms:modified>
</cp:coreProperties>
</file>