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AB" w:rsidRPr="00F25CAB" w:rsidRDefault="00CD4BAB" w:rsidP="002834A0">
      <w:pPr>
        <w:shd w:val="clear" w:color="auto" w:fill="FFFFFF"/>
        <w:ind w:left="0" w:right="425"/>
        <w:jc w:val="center"/>
        <w:rPr>
          <w:rFonts w:ascii="Times New Roman" w:hAnsi="Times New Roman" w:cs="Times New Roman"/>
          <w:b/>
          <w:bCs/>
          <w:sz w:val="24"/>
          <w:szCs w:val="24"/>
        </w:rPr>
      </w:pPr>
      <w:r>
        <w:rPr>
          <w:rFonts w:ascii="Times New Roman" w:hAnsi="Times New Roman" w:cs="Times New Roman"/>
          <w:b/>
          <w:bCs/>
          <w:sz w:val="24"/>
          <w:szCs w:val="24"/>
        </w:rPr>
        <w:t>N</w:t>
      </w:r>
      <w:r w:rsidRPr="00F25CAB">
        <w:rPr>
          <w:rFonts w:ascii="Times New Roman" w:hAnsi="Times New Roman" w:cs="Times New Roman"/>
          <w:b/>
          <w:bCs/>
          <w:sz w:val="24"/>
          <w:szCs w:val="24"/>
        </w:rPr>
        <w:t>OT</w:t>
      </w:r>
      <w:r>
        <w:rPr>
          <w:rFonts w:ascii="Times New Roman" w:hAnsi="Times New Roman" w:cs="Times New Roman"/>
          <w:b/>
          <w:bCs/>
          <w:sz w:val="24"/>
          <w:szCs w:val="24"/>
        </w:rPr>
        <w:t>A</w:t>
      </w:r>
      <w:r w:rsidRPr="00F25CAB">
        <w:rPr>
          <w:rFonts w:ascii="Times New Roman" w:hAnsi="Times New Roman" w:cs="Times New Roman"/>
          <w:b/>
          <w:bCs/>
          <w:sz w:val="24"/>
          <w:szCs w:val="24"/>
        </w:rPr>
        <w:t xml:space="preserve"> INFORMATIVĂ</w:t>
      </w:r>
    </w:p>
    <w:p w:rsidR="00CD4BAB" w:rsidRPr="00B45403" w:rsidRDefault="00CD4BAB" w:rsidP="002834A0">
      <w:pPr>
        <w:ind w:right="425"/>
        <w:jc w:val="center"/>
        <w:rPr>
          <w:rFonts w:ascii="Times New Roman" w:hAnsi="Times New Roman" w:cs="Times New Roman"/>
          <w:b/>
          <w:bCs/>
          <w:sz w:val="24"/>
          <w:szCs w:val="24"/>
        </w:rPr>
      </w:pPr>
      <w:r w:rsidRPr="00F25CAB">
        <w:rPr>
          <w:rFonts w:ascii="Times New Roman" w:hAnsi="Times New Roman" w:cs="Times New Roman"/>
          <w:b/>
          <w:bCs/>
          <w:sz w:val="24"/>
          <w:szCs w:val="24"/>
        </w:rPr>
        <w:t xml:space="preserve">la proiectul </w:t>
      </w:r>
      <w:r>
        <w:rPr>
          <w:rFonts w:ascii="Times New Roman" w:hAnsi="Times New Roman" w:cs="Times New Roman"/>
          <w:b/>
          <w:bCs/>
          <w:sz w:val="24"/>
          <w:szCs w:val="24"/>
        </w:rPr>
        <w:t>Hotărîrii</w:t>
      </w:r>
      <w:r w:rsidRPr="00F25CAB">
        <w:rPr>
          <w:rFonts w:ascii="Times New Roman" w:hAnsi="Times New Roman" w:cs="Times New Roman"/>
          <w:b/>
          <w:bCs/>
          <w:sz w:val="24"/>
          <w:szCs w:val="24"/>
        </w:rPr>
        <w:t xml:space="preserve"> </w:t>
      </w:r>
      <w:r>
        <w:rPr>
          <w:rFonts w:ascii="Times New Roman" w:hAnsi="Times New Roman" w:cs="Times New Roman"/>
          <w:b/>
          <w:bCs/>
          <w:sz w:val="24"/>
          <w:szCs w:val="24"/>
        </w:rPr>
        <w:t xml:space="preserve">Guvernului </w:t>
      </w:r>
      <w:r w:rsidRPr="00B45403">
        <w:rPr>
          <w:rFonts w:ascii="Times New Roman" w:hAnsi="Times New Roman" w:cs="Times New Roman"/>
          <w:b/>
          <w:bCs/>
          <w:sz w:val="24"/>
          <w:szCs w:val="24"/>
        </w:rPr>
        <w:t>cu privire la modific</w:t>
      </w:r>
      <w:r>
        <w:rPr>
          <w:rFonts w:ascii="Times New Roman" w:hAnsi="Times New Roman" w:cs="Times New Roman"/>
          <w:b/>
          <w:bCs/>
          <w:sz w:val="24"/>
          <w:szCs w:val="24"/>
        </w:rPr>
        <w:t>area, completarea şi abrogarea</w:t>
      </w:r>
    </w:p>
    <w:p w:rsidR="00CD4BAB" w:rsidRDefault="00CD4BAB" w:rsidP="002834A0">
      <w:pPr>
        <w:ind w:right="425"/>
        <w:jc w:val="center"/>
        <w:rPr>
          <w:rFonts w:ascii="Times New Roman" w:hAnsi="Times New Roman" w:cs="Times New Roman"/>
          <w:b/>
          <w:bCs/>
          <w:color w:val="000000"/>
          <w:sz w:val="28"/>
          <w:szCs w:val="28"/>
        </w:rPr>
      </w:pPr>
      <w:r w:rsidRPr="00B45403">
        <w:rPr>
          <w:rFonts w:ascii="Times New Roman" w:hAnsi="Times New Roman" w:cs="Times New Roman"/>
          <w:b/>
          <w:bCs/>
          <w:sz w:val="24"/>
          <w:szCs w:val="24"/>
        </w:rPr>
        <w:t>un</w:t>
      </w:r>
      <w:r>
        <w:rPr>
          <w:rFonts w:ascii="Times New Roman" w:hAnsi="Times New Roman" w:cs="Times New Roman"/>
          <w:b/>
          <w:bCs/>
          <w:sz w:val="24"/>
          <w:szCs w:val="24"/>
        </w:rPr>
        <w:t>or</w:t>
      </w:r>
      <w:r w:rsidRPr="00B45403">
        <w:rPr>
          <w:rFonts w:ascii="Times New Roman" w:hAnsi="Times New Roman" w:cs="Times New Roman"/>
          <w:b/>
          <w:bCs/>
          <w:sz w:val="24"/>
          <w:szCs w:val="24"/>
        </w:rPr>
        <w:t xml:space="preserve"> hotărîri ale Guvernului</w:t>
      </w:r>
    </w:p>
    <w:p w:rsidR="00CD4BAB" w:rsidRDefault="00CD4BAB" w:rsidP="002834A0">
      <w:pPr>
        <w:jc w:val="both"/>
        <w:rPr>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46"/>
      </w:tblGrid>
      <w:tr w:rsidR="00CD4BAB" w:rsidRPr="00757D96">
        <w:trPr>
          <w:trHeight w:val="755"/>
        </w:trPr>
        <w:tc>
          <w:tcPr>
            <w:tcW w:w="9446" w:type="dxa"/>
            <w:shd w:val="clear" w:color="auto" w:fill="BFBFBF"/>
          </w:tcPr>
          <w:p w:rsidR="00CD4BAB" w:rsidRPr="00757D96" w:rsidRDefault="00CD4BAB" w:rsidP="002834A0">
            <w:pPr>
              <w:ind w:left="0"/>
              <w:jc w:val="both"/>
              <w:rPr>
                <w:rFonts w:ascii="Times New Roman" w:hAnsi="Times New Roman" w:cs="Times New Roman"/>
                <w:b/>
                <w:bCs/>
                <w:sz w:val="24"/>
                <w:szCs w:val="24"/>
                <w:lang w:val="ro-RO"/>
              </w:rPr>
            </w:pPr>
            <w:r w:rsidRPr="00757D96">
              <w:rPr>
                <w:rFonts w:ascii="Times New Roman" w:hAnsi="Times New Roman" w:cs="Times New Roman"/>
                <w:b/>
                <w:bCs/>
                <w:sz w:val="24"/>
                <w:szCs w:val="24"/>
                <w:lang w:val="ro-RO"/>
              </w:rPr>
              <w:t>Numele iniţiatorului şi a autorului, precum şi a participanţilor la elaborarea proiectului</w:t>
            </w:r>
          </w:p>
        </w:tc>
      </w:tr>
      <w:tr w:rsidR="00CD4BAB" w:rsidRPr="00757D96">
        <w:trPr>
          <w:trHeight w:val="1428"/>
        </w:trPr>
        <w:tc>
          <w:tcPr>
            <w:tcW w:w="9446" w:type="dxa"/>
          </w:tcPr>
          <w:p w:rsidR="00CD4BAB" w:rsidRPr="00757D96" w:rsidRDefault="00CD4BAB" w:rsidP="002834A0">
            <w:pPr>
              <w:ind w:left="0" w:right="283"/>
              <w:jc w:val="both"/>
              <w:rPr>
                <w:rFonts w:ascii="Times New Roman" w:hAnsi="Times New Roman" w:cs="Times New Roman"/>
                <w:sz w:val="24"/>
                <w:szCs w:val="24"/>
                <w:lang w:val="ro-RO"/>
              </w:rPr>
            </w:pPr>
            <w:r w:rsidRPr="00757D96">
              <w:rPr>
                <w:rFonts w:ascii="Times New Roman" w:hAnsi="Times New Roman" w:cs="Times New Roman"/>
                <w:sz w:val="24"/>
                <w:szCs w:val="24"/>
                <w:lang w:val="ro-RO"/>
              </w:rPr>
              <w:t xml:space="preserve">      </w:t>
            </w:r>
          </w:p>
          <w:p w:rsidR="00CD4BAB" w:rsidRPr="00757D96" w:rsidRDefault="00CD4BAB" w:rsidP="002834A0">
            <w:pPr>
              <w:ind w:left="0" w:right="283"/>
              <w:jc w:val="both"/>
              <w:rPr>
                <w:rFonts w:ascii="Times New Roman" w:hAnsi="Times New Roman" w:cs="Times New Roman"/>
                <w:sz w:val="24"/>
                <w:szCs w:val="24"/>
                <w:lang w:val="ro-RO"/>
              </w:rPr>
            </w:pPr>
            <w:r w:rsidRPr="00757D96">
              <w:rPr>
                <w:rFonts w:ascii="Times New Roman" w:hAnsi="Times New Roman" w:cs="Times New Roman"/>
                <w:sz w:val="24"/>
                <w:szCs w:val="24"/>
                <w:lang w:val="ro-RO"/>
              </w:rPr>
              <w:t xml:space="preserve">Proiectul Hotărîrii Guvernului  cu privire la modificarea, completarea şi abrogarea </w:t>
            </w:r>
          </w:p>
          <w:p w:rsidR="00CD4BAB" w:rsidRPr="00757D96" w:rsidRDefault="00CD4BAB" w:rsidP="002834A0">
            <w:pPr>
              <w:ind w:left="0" w:right="283"/>
              <w:jc w:val="both"/>
              <w:rPr>
                <w:rFonts w:ascii="Times New Roman" w:hAnsi="Times New Roman" w:cs="Times New Roman"/>
                <w:sz w:val="24"/>
                <w:szCs w:val="24"/>
                <w:lang w:val="ro-RO"/>
              </w:rPr>
            </w:pPr>
            <w:r w:rsidRPr="00757D96">
              <w:rPr>
                <w:rFonts w:ascii="Times New Roman" w:hAnsi="Times New Roman" w:cs="Times New Roman"/>
                <w:sz w:val="24"/>
                <w:szCs w:val="24"/>
                <w:lang w:val="ro-RO"/>
              </w:rPr>
              <w:t>unor hotărîri ale Guvernului este elaborat de către Ministerul Justiţiei, în colaborare cu Centrul pentru Combaterea Crimelor Economice şi Corupţiei (Centrul Naţional Anticorupţie), Ministerul Afacerilor Interne, Inspectoratul Fiscal Principal de Stat.</w:t>
            </w:r>
          </w:p>
          <w:p w:rsidR="00CD4BAB" w:rsidRPr="00757D96" w:rsidRDefault="00CD4BAB" w:rsidP="002834A0">
            <w:pPr>
              <w:ind w:left="0" w:right="283"/>
              <w:jc w:val="both"/>
              <w:rPr>
                <w:rFonts w:ascii="Times New Roman" w:hAnsi="Times New Roman" w:cs="Times New Roman"/>
                <w:sz w:val="24"/>
                <w:szCs w:val="24"/>
                <w:lang w:val="ro-RO"/>
              </w:rPr>
            </w:pPr>
          </w:p>
          <w:p w:rsidR="00CD4BAB" w:rsidRPr="00757D96" w:rsidRDefault="00CD4BAB" w:rsidP="002834A0">
            <w:pPr>
              <w:ind w:left="0" w:right="283"/>
              <w:jc w:val="both"/>
              <w:rPr>
                <w:rFonts w:ascii="Times New Roman" w:hAnsi="Times New Roman" w:cs="Times New Roman"/>
                <w:sz w:val="24"/>
                <w:szCs w:val="24"/>
                <w:lang w:val="ro-RO"/>
              </w:rPr>
            </w:pPr>
          </w:p>
        </w:tc>
      </w:tr>
      <w:tr w:rsidR="00CD4BAB" w:rsidRPr="00757D96">
        <w:trPr>
          <w:trHeight w:val="691"/>
        </w:trPr>
        <w:tc>
          <w:tcPr>
            <w:tcW w:w="9446" w:type="dxa"/>
            <w:shd w:val="clear" w:color="auto" w:fill="BFBFBF"/>
          </w:tcPr>
          <w:p w:rsidR="00CD4BAB" w:rsidRPr="00757D96" w:rsidRDefault="00CD4BAB" w:rsidP="002834A0">
            <w:pPr>
              <w:ind w:left="0" w:right="283"/>
              <w:jc w:val="both"/>
              <w:rPr>
                <w:rFonts w:ascii="Times New Roman" w:hAnsi="Times New Roman" w:cs="Times New Roman"/>
                <w:b/>
                <w:bCs/>
                <w:sz w:val="24"/>
                <w:szCs w:val="24"/>
                <w:lang w:val="ro-RO"/>
              </w:rPr>
            </w:pPr>
            <w:r w:rsidRPr="00757D96">
              <w:rPr>
                <w:rFonts w:ascii="Times New Roman" w:hAnsi="Times New Roman" w:cs="Times New Roman"/>
                <w:b/>
                <w:bCs/>
                <w:sz w:val="24"/>
                <w:szCs w:val="24"/>
                <w:lang w:val="ro-RO"/>
              </w:rPr>
              <w:t>Argumentarea necesităţii de reglementare</w:t>
            </w:r>
          </w:p>
        </w:tc>
      </w:tr>
      <w:tr w:rsidR="00CD4BAB" w:rsidRPr="00757D96">
        <w:trPr>
          <w:trHeight w:val="6782"/>
        </w:trPr>
        <w:tc>
          <w:tcPr>
            <w:tcW w:w="9446" w:type="dxa"/>
          </w:tcPr>
          <w:p w:rsidR="00CD4BAB" w:rsidRPr="00757D96" w:rsidRDefault="00CD4BAB" w:rsidP="002834A0">
            <w:pPr>
              <w:ind w:left="0" w:right="283"/>
              <w:jc w:val="both"/>
              <w:rPr>
                <w:rFonts w:ascii="Times New Roman" w:hAnsi="Times New Roman" w:cs="Times New Roman"/>
                <w:sz w:val="24"/>
                <w:szCs w:val="24"/>
                <w:lang w:val="ro-RO"/>
              </w:rPr>
            </w:pPr>
          </w:p>
          <w:p w:rsidR="00CD4BAB" w:rsidRPr="00757D96" w:rsidRDefault="00CD4BAB" w:rsidP="002834A0">
            <w:pPr>
              <w:ind w:left="0" w:right="283"/>
              <w:jc w:val="both"/>
              <w:rPr>
                <w:rStyle w:val="apple-style-span"/>
                <w:rFonts w:ascii="Times New Roman" w:hAnsi="Times New Roman" w:cs="Times New Roman"/>
                <w:color w:val="000000"/>
                <w:sz w:val="24"/>
                <w:szCs w:val="24"/>
                <w:lang w:val="ro-RO"/>
              </w:rPr>
            </w:pPr>
            <w:r w:rsidRPr="00757D96">
              <w:rPr>
                <w:rStyle w:val="apple-style-span"/>
                <w:rFonts w:ascii="Times New Roman" w:hAnsi="Times New Roman" w:cs="Times New Roman"/>
                <w:color w:val="000000"/>
                <w:sz w:val="24"/>
                <w:szCs w:val="24"/>
                <w:lang w:val="ro-RO"/>
              </w:rPr>
              <w:t xml:space="preserve"> Proiectul Hotărîrii Guvernului  cu privire la modificarea, completarea şi abrogarea </w:t>
            </w:r>
          </w:p>
          <w:p w:rsidR="00CD4BAB" w:rsidRPr="00757D96" w:rsidRDefault="00CD4BAB" w:rsidP="002834A0">
            <w:pPr>
              <w:ind w:left="0" w:right="283"/>
              <w:jc w:val="both"/>
              <w:rPr>
                <w:rStyle w:val="apple-style-span"/>
                <w:rFonts w:ascii="Times New Roman" w:hAnsi="Times New Roman" w:cs="Times New Roman"/>
                <w:color w:val="000000"/>
                <w:sz w:val="24"/>
                <w:szCs w:val="24"/>
                <w:lang w:val="ro-RO"/>
              </w:rPr>
            </w:pPr>
            <w:r w:rsidRPr="00757D96">
              <w:rPr>
                <w:rStyle w:val="apple-style-span"/>
                <w:rFonts w:ascii="Times New Roman" w:hAnsi="Times New Roman" w:cs="Times New Roman"/>
                <w:color w:val="000000"/>
                <w:sz w:val="24"/>
                <w:szCs w:val="24"/>
                <w:lang w:val="ro-RO"/>
              </w:rPr>
              <w:t>unor hotărîri ale Guvernului a fost ebaborat în scopul ajustării cadrului normativ la prevederile Legii nr. 120 din 25 mai 2012 pentru modificarea şi completarea unor acte legislative, prin care s-a realizat reforma Centrului pentru Combaterea Crimelor Economice şi Corupţiei (Centrului Naţional Anticorupţie).</w:t>
            </w:r>
          </w:p>
          <w:p w:rsidR="00CD4BAB" w:rsidRPr="00757D96" w:rsidRDefault="00CD4BAB" w:rsidP="002834A0">
            <w:pPr>
              <w:ind w:left="0" w:right="283"/>
              <w:jc w:val="both"/>
              <w:rPr>
                <w:rStyle w:val="apple-style-span"/>
                <w:rFonts w:ascii="Times New Roman" w:hAnsi="Times New Roman" w:cs="Times New Roman"/>
                <w:color w:val="000000"/>
                <w:sz w:val="24"/>
                <w:szCs w:val="24"/>
                <w:lang w:val="ro-RO"/>
              </w:rPr>
            </w:pPr>
          </w:p>
          <w:p w:rsidR="00CD4BAB" w:rsidRPr="00757D96" w:rsidRDefault="00CD4BAB" w:rsidP="002834A0">
            <w:pPr>
              <w:ind w:left="0" w:right="283"/>
              <w:jc w:val="both"/>
              <w:rPr>
                <w:rStyle w:val="apple-style-span"/>
                <w:rFonts w:ascii="Times New Roman" w:hAnsi="Times New Roman" w:cs="Times New Roman"/>
                <w:color w:val="000000"/>
                <w:sz w:val="24"/>
                <w:szCs w:val="24"/>
                <w:lang w:val="ro-RO"/>
              </w:rPr>
            </w:pPr>
            <w:r w:rsidRPr="00757D96">
              <w:rPr>
                <w:rStyle w:val="apple-style-span"/>
                <w:rFonts w:ascii="Times New Roman" w:hAnsi="Times New Roman" w:cs="Times New Roman"/>
                <w:color w:val="000000"/>
                <w:sz w:val="24"/>
                <w:szCs w:val="24"/>
                <w:lang w:val="ro-RO"/>
              </w:rPr>
              <w:t>În baza Legii nr. 120 din 25 mai 2012 au fost operate modificări şi completări la un şir întreg de acte legislative, iar noile reglementări poziţionează Centrul Naţional Anticorupţie în calitate de organ independent, specializat doar în prevenirea şi combaterea corupţiei, a actelor conexe corupţiei şi a faptelor de comportament corupţional. Totodată, acest organ este scos  în afara organelor administraţiei publice centrale de specialitate, ceea ce înseamnă că Centrul Naţional Anticorupţie nu va mai fi în subordinea Guvernului , iar implementarea actelor normative ale Executivului urmează a fi realizată în măsura în care acestea nu contravin prevederilor legii.</w:t>
            </w:r>
          </w:p>
          <w:p w:rsidR="00CD4BAB" w:rsidRPr="00757D96" w:rsidRDefault="00CD4BAB" w:rsidP="002834A0">
            <w:pPr>
              <w:ind w:left="0" w:right="283"/>
              <w:jc w:val="both"/>
              <w:rPr>
                <w:rStyle w:val="apple-style-span"/>
                <w:rFonts w:ascii="Times New Roman" w:hAnsi="Times New Roman" w:cs="Times New Roman"/>
                <w:color w:val="000000"/>
                <w:sz w:val="24"/>
                <w:szCs w:val="24"/>
                <w:lang w:val="ro-RO"/>
              </w:rPr>
            </w:pPr>
          </w:p>
          <w:p w:rsidR="00CD4BAB" w:rsidRPr="00757D96" w:rsidRDefault="00CD4BAB" w:rsidP="002834A0">
            <w:pPr>
              <w:ind w:left="0" w:right="283"/>
              <w:jc w:val="both"/>
              <w:rPr>
                <w:rStyle w:val="apple-style-span"/>
                <w:rFonts w:ascii="Times New Roman" w:hAnsi="Times New Roman" w:cs="Times New Roman"/>
                <w:color w:val="000000"/>
                <w:sz w:val="24"/>
                <w:szCs w:val="24"/>
              </w:rPr>
            </w:pPr>
            <w:r w:rsidRPr="00757D96">
              <w:rPr>
                <w:rStyle w:val="apple-style-span"/>
                <w:rFonts w:ascii="Times New Roman" w:hAnsi="Times New Roman" w:cs="Times New Roman"/>
                <w:color w:val="000000"/>
                <w:sz w:val="24"/>
                <w:szCs w:val="24"/>
              </w:rPr>
              <w:t>Concomitent, Legea 120 din 25.05.2012 operează amendamente la Codul de procedură penală şi Codul  contravenţional,  în vederea clarificării şi raţionalizării competenţelor procesuale ale CCCEC (CNA) şi delimitării acestora de competenţele altor organe de urmărire penală şi agenţi constatatori pentru a reduce volumul de lucru excesiv pe anumite categorii de cauze. Astfel, s-a efectuat transferarea infracţiunilor şi contravenţiilor ce nu ţin nemijlocit de corupţie la alte organe de urmărire penală şi agenţi constatatori (Ministerul Afacerilor Interne, Serviciul Vamal), păstrînd în competenţa CCCEC doar infracţiunile de corupţie şi cele conexe lor, precum şi contravenţiile cu aceleaşi elemente.</w:t>
            </w:r>
          </w:p>
          <w:p w:rsidR="00CD4BAB" w:rsidRPr="00757D96" w:rsidRDefault="00CD4BAB" w:rsidP="002834A0">
            <w:pPr>
              <w:ind w:left="0" w:right="283"/>
              <w:jc w:val="both"/>
              <w:rPr>
                <w:color w:val="000000"/>
                <w:lang w:val="ro-RO"/>
              </w:rPr>
            </w:pPr>
            <w:r w:rsidRPr="00757D96">
              <w:rPr>
                <w:rStyle w:val="apple-style-span"/>
                <w:rFonts w:ascii="Times New Roman" w:hAnsi="Times New Roman" w:cs="Times New Roman"/>
                <w:color w:val="000000"/>
                <w:sz w:val="24"/>
                <w:szCs w:val="24"/>
                <w:lang w:val="ro-RO"/>
              </w:rPr>
              <w:t xml:space="preserve">  </w:t>
            </w:r>
            <w:r w:rsidRPr="00757D96">
              <w:rPr>
                <w:rStyle w:val="apple-style-span"/>
                <w:rFonts w:ascii="Times New Roman" w:hAnsi="Times New Roman" w:cs="Times New Roman"/>
                <w:color w:val="000000"/>
                <w:sz w:val="24"/>
                <w:szCs w:val="24"/>
                <w:lang w:val="ro-RO"/>
              </w:rPr>
              <w:br/>
              <w:t xml:space="preserve">  </w:t>
            </w:r>
          </w:p>
        </w:tc>
      </w:tr>
      <w:tr w:rsidR="00CD4BAB" w:rsidRPr="00757D96">
        <w:trPr>
          <w:trHeight w:val="553"/>
        </w:trPr>
        <w:tc>
          <w:tcPr>
            <w:tcW w:w="9446" w:type="dxa"/>
            <w:shd w:val="clear" w:color="auto" w:fill="BFBFBF"/>
          </w:tcPr>
          <w:p w:rsidR="00CD4BAB" w:rsidRPr="00757D96" w:rsidRDefault="00CD4BAB" w:rsidP="002834A0">
            <w:pPr>
              <w:ind w:left="0" w:right="283"/>
              <w:jc w:val="both"/>
              <w:rPr>
                <w:rFonts w:ascii="Times New Roman" w:hAnsi="Times New Roman" w:cs="Times New Roman"/>
                <w:b/>
                <w:bCs/>
                <w:sz w:val="24"/>
                <w:szCs w:val="24"/>
                <w:lang w:val="ro-RO"/>
              </w:rPr>
            </w:pPr>
            <w:r w:rsidRPr="00757D96">
              <w:rPr>
                <w:rFonts w:ascii="Times New Roman" w:hAnsi="Times New Roman" w:cs="Times New Roman"/>
                <w:b/>
                <w:bCs/>
                <w:sz w:val="24"/>
                <w:szCs w:val="24"/>
                <w:lang w:val="ro-RO"/>
              </w:rPr>
              <w:t>Scopul şi obiectivele urmărite prin adoptarea actului normativ</w:t>
            </w:r>
          </w:p>
        </w:tc>
      </w:tr>
      <w:tr w:rsidR="00CD4BAB" w:rsidRPr="00757D96">
        <w:trPr>
          <w:trHeight w:val="553"/>
        </w:trPr>
        <w:tc>
          <w:tcPr>
            <w:tcW w:w="9446" w:type="dxa"/>
            <w:shd w:val="clear" w:color="auto" w:fill="FFFFFF"/>
          </w:tcPr>
          <w:p w:rsidR="00CD4BAB" w:rsidRPr="00757D96" w:rsidRDefault="00CD4BAB" w:rsidP="002834A0">
            <w:pPr>
              <w:ind w:left="0" w:right="283"/>
              <w:jc w:val="both"/>
              <w:rPr>
                <w:rStyle w:val="apple-style-span"/>
                <w:rFonts w:ascii="Times New Roman" w:hAnsi="Times New Roman" w:cs="Times New Roman"/>
                <w:color w:val="000000"/>
                <w:sz w:val="24"/>
                <w:szCs w:val="24"/>
                <w:lang w:val="ro-RO"/>
              </w:rPr>
            </w:pPr>
            <w:r w:rsidRPr="00757D96">
              <w:rPr>
                <w:rFonts w:ascii="Times New Roman" w:hAnsi="Times New Roman" w:cs="Times New Roman"/>
                <w:sz w:val="24"/>
                <w:szCs w:val="24"/>
                <w:lang w:val="ro-RO"/>
              </w:rPr>
              <w:t xml:space="preserve">Proiectul de faţă are drept scop ajustarea actelor normative ale Guvernului la prevederile noului cadru legal instituit în baza Legii nr. 120 din 25.05.2012. În special, dat fiind faptul transferului de competenţă ce ţine de examinarea infracţiunilor şi contravenţiilor cu caracter economic de la CCCEC către Ministerul Afacerilor Interne, este impetuoasă modificarea şi completarea hotărîrilor de Guvern relevante. Totodată, în virtutea faptului că </w:t>
            </w:r>
            <w:r>
              <w:rPr>
                <w:rFonts w:ascii="Times New Roman" w:hAnsi="Times New Roman" w:cs="Times New Roman"/>
                <w:sz w:val="24"/>
                <w:szCs w:val="24"/>
                <w:lang w:val="ro-RO"/>
              </w:rPr>
              <w:t xml:space="preserve">în </w:t>
            </w:r>
            <w:r w:rsidRPr="00757D96">
              <w:rPr>
                <w:rFonts w:ascii="Times New Roman" w:hAnsi="Times New Roman" w:cs="Times New Roman"/>
                <w:sz w:val="24"/>
                <w:szCs w:val="24"/>
                <w:lang w:val="ro-RO"/>
              </w:rPr>
              <w:t xml:space="preserve">competenţa </w:t>
            </w:r>
            <w:r>
              <w:rPr>
                <w:rFonts w:ascii="Times New Roman" w:hAnsi="Times New Roman" w:cs="Times New Roman"/>
                <w:sz w:val="24"/>
                <w:szCs w:val="24"/>
                <w:lang w:val="ro-RO"/>
              </w:rPr>
              <w:t xml:space="preserve">noii instituţii </w:t>
            </w:r>
            <w:r w:rsidRPr="00757D96">
              <w:rPr>
                <w:rFonts w:ascii="Times New Roman" w:hAnsi="Times New Roman" w:cs="Times New Roman"/>
                <w:sz w:val="24"/>
                <w:szCs w:val="24"/>
                <w:lang w:val="ro-RO"/>
              </w:rPr>
              <w:t xml:space="preserve">CNA </w:t>
            </w:r>
            <w:r>
              <w:rPr>
                <w:rFonts w:ascii="Times New Roman" w:hAnsi="Times New Roman" w:cs="Times New Roman"/>
                <w:sz w:val="24"/>
                <w:szCs w:val="24"/>
                <w:lang w:val="ro-RO"/>
              </w:rPr>
              <w:t xml:space="preserve">au fost atribuite sarcini ce ţin de </w:t>
            </w:r>
            <w:r w:rsidRPr="00757D96">
              <w:rPr>
                <w:rFonts w:ascii="Times New Roman" w:hAnsi="Times New Roman" w:cs="Times New Roman"/>
                <w:sz w:val="24"/>
                <w:szCs w:val="24"/>
                <w:lang w:val="ro-RO"/>
              </w:rPr>
              <w:t xml:space="preserve">prevenirea şi combaterea corupţiei, a </w:t>
            </w:r>
            <w:r w:rsidRPr="00757D96">
              <w:rPr>
                <w:rStyle w:val="apple-style-span"/>
                <w:rFonts w:ascii="Times New Roman" w:hAnsi="Times New Roman" w:cs="Times New Roman"/>
                <w:color w:val="000000"/>
                <w:sz w:val="24"/>
                <w:szCs w:val="24"/>
                <w:lang w:val="ro-RO"/>
              </w:rPr>
              <w:t>actelor conexe corupţiei şi a faptelor de comportament corupţional, într-un şir de hotărîri ale Guvernului sintagma „Centrul pentru Combaterea Crimelor Economice şi Corupţiei” a fost substituită cu cea de „Centrul Naţional Anticorupţie”.</w:t>
            </w:r>
          </w:p>
          <w:p w:rsidR="00CD4BAB" w:rsidRPr="00757D96" w:rsidRDefault="00CD4BAB" w:rsidP="002834A0">
            <w:pPr>
              <w:ind w:left="0" w:right="283"/>
              <w:jc w:val="both"/>
              <w:rPr>
                <w:rStyle w:val="apple-style-span"/>
                <w:color w:val="000000"/>
              </w:rPr>
            </w:pPr>
          </w:p>
          <w:p w:rsidR="00CD4BAB" w:rsidRPr="008D4DE6" w:rsidRDefault="00CD4BAB" w:rsidP="008D4DE6">
            <w:pPr>
              <w:ind w:left="0" w:right="283"/>
              <w:jc w:val="both"/>
              <w:rPr>
                <w:rStyle w:val="apple-style-span"/>
                <w:rFonts w:ascii="Times New Roman" w:hAnsi="Times New Roman" w:cs="Times New Roman"/>
                <w:color w:val="000000"/>
                <w:sz w:val="24"/>
                <w:szCs w:val="24"/>
              </w:rPr>
            </w:pPr>
            <w:r w:rsidRPr="00757D96">
              <w:rPr>
                <w:rStyle w:val="apple-style-span"/>
                <w:rFonts w:ascii="Times New Roman" w:hAnsi="Times New Roman" w:cs="Times New Roman"/>
                <w:color w:val="000000"/>
                <w:sz w:val="24"/>
                <w:szCs w:val="24"/>
              </w:rPr>
              <w:t>În procesul reexaminării actelor normative sub aspectul funcţionalităţii şi compatibilităţii cu noile prevederi au fost depistate unele hotărîri ale Guvernului care au fost apreciate drept nefuncţionale sau ale căror prevederi au fost preluate în alte acte normative şi legislative. Din această perspectivă, prin prezentul proiect se propune abr</w:t>
            </w:r>
            <w:r>
              <w:rPr>
                <w:rStyle w:val="apple-style-span"/>
                <w:rFonts w:ascii="Times New Roman" w:hAnsi="Times New Roman" w:cs="Times New Roman"/>
                <w:color w:val="000000"/>
                <w:sz w:val="24"/>
                <w:szCs w:val="24"/>
              </w:rPr>
              <w:t xml:space="preserve">ogarea actelor normative vizate: </w:t>
            </w:r>
            <w:r w:rsidRPr="008D4DE6">
              <w:rPr>
                <w:rStyle w:val="apple-style-span"/>
                <w:rFonts w:ascii="Times New Roman" w:hAnsi="Times New Roman" w:cs="Times New Roman"/>
                <w:color w:val="000000"/>
                <w:sz w:val="24"/>
                <w:szCs w:val="24"/>
              </w:rPr>
              <w:t>Hotărîrea Guvernului nr. 15 din 15 ianuarie 2003 privind asigurarea regimului de tranzit pentru</w:t>
            </w:r>
            <w:r>
              <w:rPr>
                <w:rStyle w:val="apple-style-span"/>
                <w:rFonts w:ascii="Times New Roman" w:hAnsi="Times New Roman" w:cs="Times New Roman"/>
                <w:color w:val="000000"/>
                <w:sz w:val="24"/>
                <w:szCs w:val="24"/>
              </w:rPr>
              <w:t xml:space="preserve"> </w:t>
            </w:r>
            <w:r w:rsidRPr="008D4DE6">
              <w:rPr>
                <w:rStyle w:val="apple-style-span"/>
                <w:rFonts w:ascii="Times New Roman" w:hAnsi="Times New Roman" w:cs="Times New Roman"/>
                <w:color w:val="000000"/>
                <w:sz w:val="24"/>
                <w:szCs w:val="24"/>
              </w:rPr>
              <w:t>transportul de mărfuri</w:t>
            </w:r>
            <w:r>
              <w:rPr>
                <w:rStyle w:val="apple-style-span"/>
                <w:rFonts w:ascii="Times New Roman" w:hAnsi="Times New Roman" w:cs="Times New Roman"/>
                <w:color w:val="000000"/>
                <w:sz w:val="24"/>
                <w:szCs w:val="24"/>
              </w:rPr>
              <w:t xml:space="preserve">; </w:t>
            </w:r>
            <w:r w:rsidRPr="008D4DE6">
              <w:rPr>
                <w:rStyle w:val="apple-style-span"/>
                <w:rFonts w:ascii="Times New Roman" w:hAnsi="Times New Roman" w:cs="Times New Roman"/>
                <w:color w:val="000000"/>
                <w:sz w:val="24"/>
                <w:szCs w:val="24"/>
              </w:rPr>
              <w:t>Hotărîrea Guvernului nr. 253  din 10 martie 2003 despre aprobarea Regulamentului cu privire la efectuarea reviziilor economico-financiare</w:t>
            </w:r>
            <w:r>
              <w:rPr>
                <w:rStyle w:val="apple-style-span"/>
                <w:rFonts w:ascii="Times New Roman" w:hAnsi="Times New Roman" w:cs="Times New Roman"/>
                <w:color w:val="000000"/>
                <w:sz w:val="24"/>
                <w:szCs w:val="24"/>
              </w:rPr>
              <w:t xml:space="preserve">; </w:t>
            </w:r>
            <w:r w:rsidRPr="008D4DE6">
              <w:rPr>
                <w:rStyle w:val="apple-style-span"/>
                <w:rFonts w:ascii="Times New Roman" w:hAnsi="Times New Roman" w:cs="Times New Roman"/>
                <w:color w:val="000000"/>
                <w:sz w:val="24"/>
                <w:szCs w:val="24"/>
              </w:rPr>
              <w:t>Hotărîrea Guvernului nr. 615 din 28 iunie 2005 privind unele măsuri de prevenire a corupţiei şi protecţionismului în cadrul instituţiilor publice</w:t>
            </w:r>
            <w:r>
              <w:rPr>
                <w:rStyle w:val="apple-style-span"/>
                <w:rFonts w:ascii="Times New Roman" w:hAnsi="Times New Roman" w:cs="Times New Roman"/>
                <w:color w:val="000000"/>
                <w:sz w:val="24"/>
                <w:szCs w:val="24"/>
              </w:rPr>
              <w:t xml:space="preserve">; </w:t>
            </w:r>
            <w:r w:rsidRPr="008D4DE6">
              <w:rPr>
                <w:rStyle w:val="apple-style-span"/>
                <w:rFonts w:ascii="Times New Roman" w:hAnsi="Times New Roman" w:cs="Times New Roman"/>
                <w:color w:val="000000"/>
                <w:sz w:val="24"/>
                <w:szCs w:val="24"/>
              </w:rPr>
              <w:t>Hotărîrea Guvernului 1461 din 19 decembrie 2008 pentru aprobarea Regulamentului privind mecanismul de semnalare şi monitorizare a nivelului corupţiei în autorităţile publice</w:t>
            </w:r>
            <w:r>
              <w:rPr>
                <w:rStyle w:val="apple-style-span"/>
                <w:rFonts w:ascii="Times New Roman" w:hAnsi="Times New Roman" w:cs="Times New Roman"/>
                <w:color w:val="000000"/>
                <w:sz w:val="24"/>
                <w:szCs w:val="24"/>
              </w:rPr>
              <w:t>.</w:t>
            </w:r>
          </w:p>
          <w:p w:rsidR="00CD4BAB" w:rsidRPr="00757D96" w:rsidRDefault="00CD4BAB" w:rsidP="002834A0">
            <w:pPr>
              <w:ind w:left="0" w:right="283"/>
              <w:jc w:val="both"/>
              <w:rPr>
                <w:rStyle w:val="apple-style-span"/>
                <w:rFonts w:ascii="Times New Roman" w:hAnsi="Times New Roman" w:cs="Times New Roman"/>
                <w:color w:val="000000"/>
                <w:sz w:val="24"/>
                <w:szCs w:val="24"/>
              </w:rPr>
            </w:pPr>
          </w:p>
          <w:p w:rsidR="00CD4BAB" w:rsidRDefault="00CD4BAB" w:rsidP="002834A0">
            <w:pPr>
              <w:ind w:left="0" w:right="283"/>
              <w:jc w:val="both"/>
              <w:rPr>
                <w:rStyle w:val="apple-style-span"/>
                <w:rFonts w:ascii="Times New Roman" w:hAnsi="Times New Roman" w:cs="Times New Roman"/>
                <w:color w:val="000000"/>
                <w:sz w:val="24"/>
                <w:szCs w:val="24"/>
                <w:lang w:val="ro-RO"/>
              </w:rPr>
            </w:pPr>
            <w:r w:rsidRPr="00757D96">
              <w:rPr>
                <w:rStyle w:val="apple-style-span"/>
                <w:rFonts w:ascii="Times New Roman" w:hAnsi="Times New Roman" w:cs="Times New Roman"/>
                <w:color w:val="000000"/>
                <w:sz w:val="24"/>
                <w:szCs w:val="24"/>
                <w:lang w:val="ro-RO"/>
              </w:rPr>
              <w:t xml:space="preserve">În acelaşi timp considerăm important a menţiona că odată întrate în vigoare prevederile Legii nr. 120 din 25.05.2012, acestea instituie noi proceduri privind alegerea şi numirea în funcţie a directorului CNA, cît şi de aprobare a structurii şi efectivului-limită, aplicarea garanţiilor sociale, etc. Toate aceste aspecte necesită a fi reglementate, însă în cadrul unui proiect separat ce va urma să fie prezentat Parlamentului spre aprobare în termen de 2 luni după numirea în funcţie a directorului Centrului Naţional Anticorupţie, în corespundere cu prevederile artXXXV alin.(9) a Legii nr. 120 din 25.05.2012,  pînă atunci urmînd a fi aplicate prevederile în vigoare în măsura în care nu vor contraveni Legii menţionate.  </w:t>
            </w:r>
          </w:p>
          <w:p w:rsidR="00CD4BAB" w:rsidRPr="00757D96" w:rsidRDefault="00CD4BAB" w:rsidP="002834A0">
            <w:pPr>
              <w:ind w:left="0" w:right="283"/>
              <w:jc w:val="both"/>
              <w:rPr>
                <w:rFonts w:ascii="Times New Roman" w:hAnsi="Times New Roman" w:cs="Times New Roman"/>
                <w:sz w:val="24"/>
                <w:szCs w:val="24"/>
                <w:lang w:val="ro-RO"/>
              </w:rPr>
            </w:pPr>
          </w:p>
        </w:tc>
      </w:tr>
      <w:tr w:rsidR="00CD4BAB" w:rsidRPr="00757D96">
        <w:trPr>
          <w:trHeight w:val="399"/>
        </w:trPr>
        <w:tc>
          <w:tcPr>
            <w:tcW w:w="9446" w:type="dxa"/>
            <w:shd w:val="clear" w:color="auto" w:fill="BFBFBF"/>
          </w:tcPr>
          <w:p w:rsidR="00CD4BAB" w:rsidRPr="00757D96" w:rsidRDefault="00CD4BAB" w:rsidP="002834A0">
            <w:pPr>
              <w:ind w:left="0" w:right="283"/>
              <w:jc w:val="both"/>
              <w:rPr>
                <w:rStyle w:val="apple-style-span"/>
                <w:rFonts w:ascii="Times New Roman" w:hAnsi="Times New Roman" w:cs="Times New Roman"/>
                <w:b/>
                <w:bCs/>
                <w:color w:val="000000"/>
                <w:sz w:val="24"/>
                <w:szCs w:val="24"/>
                <w:lang w:val="ro-RO"/>
              </w:rPr>
            </w:pPr>
            <w:r w:rsidRPr="00757D96">
              <w:rPr>
                <w:rStyle w:val="apple-style-span"/>
                <w:rFonts w:ascii="Times New Roman" w:hAnsi="Times New Roman" w:cs="Times New Roman"/>
                <w:b/>
                <w:bCs/>
                <w:color w:val="000000"/>
                <w:sz w:val="24"/>
                <w:szCs w:val="24"/>
                <w:lang w:val="ro-RO"/>
              </w:rPr>
              <w:t>Fundamentarea economico-financiară</w:t>
            </w:r>
          </w:p>
        </w:tc>
      </w:tr>
      <w:tr w:rsidR="00CD4BAB" w:rsidRPr="00757D96">
        <w:trPr>
          <w:trHeight w:val="714"/>
        </w:trPr>
        <w:tc>
          <w:tcPr>
            <w:tcW w:w="9446" w:type="dxa"/>
            <w:shd w:val="clear" w:color="auto" w:fill="FFFFFF"/>
          </w:tcPr>
          <w:p w:rsidR="00CD4BAB" w:rsidRPr="00757D96" w:rsidRDefault="00CD4BAB" w:rsidP="002834A0">
            <w:pPr>
              <w:ind w:left="0" w:right="283"/>
              <w:jc w:val="both"/>
              <w:rPr>
                <w:rFonts w:ascii="Times New Roman" w:hAnsi="Times New Roman" w:cs="Times New Roman"/>
                <w:sz w:val="24"/>
                <w:szCs w:val="24"/>
                <w:lang w:val="ro-RO"/>
              </w:rPr>
            </w:pPr>
            <w:r w:rsidRPr="00757D96">
              <w:rPr>
                <w:rFonts w:ascii="Times New Roman" w:hAnsi="Times New Roman" w:cs="Times New Roman"/>
                <w:sz w:val="24"/>
                <w:szCs w:val="24"/>
                <w:lang w:val="ro-RO"/>
              </w:rPr>
              <w:t xml:space="preserve">Transferul competenţelor CCCEC către alte organe de constatare implicit va determina reducerea unor cheltuieli alocate instituţiei, deci cheltuielile urmează a fi suportate din contul bugetului instituţiei. </w:t>
            </w:r>
          </w:p>
          <w:p w:rsidR="00CD4BAB" w:rsidRPr="00757D96" w:rsidRDefault="00CD4BAB" w:rsidP="002834A0">
            <w:pPr>
              <w:ind w:left="0" w:right="283"/>
              <w:jc w:val="both"/>
              <w:rPr>
                <w:rFonts w:ascii="Times New Roman" w:hAnsi="Times New Roman" w:cs="Times New Roman"/>
                <w:sz w:val="24"/>
                <w:szCs w:val="24"/>
                <w:lang w:val="ro-RO"/>
              </w:rPr>
            </w:pPr>
          </w:p>
          <w:p w:rsidR="00CD4BAB" w:rsidRPr="00757D96" w:rsidRDefault="00CD4BAB" w:rsidP="002834A0">
            <w:pPr>
              <w:ind w:left="0" w:right="283"/>
              <w:jc w:val="both"/>
              <w:rPr>
                <w:rFonts w:ascii="Times New Roman" w:hAnsi="Times New Roman" w:cs="Times New Roman"/>
                <w:sz w:val="24"/>
                <w:szCs w:val="24"/>
              </w:rPr>
            </w:pPr>
            <w:r w:rsidRPr="00757D96">
              <w:rPr>
                <w:rFonts w:ascii="Times New Roman" w:hAnsi="Times New Roman" w:cs="Times New Roman"/>
                <w:sz w:val="24"/>
                <w:szCs w:val="24"/>
                <w:lang w:val="ro-RO"/>
              </w:rPr>
              <w:t>Suplimentar menţionăm că resursele financiare vor fi alocate nu doar din bugetul de stat dar şi din asistenţa externă şi anume, Proiectele Uniunii Europene „Programul Coprehensiv de dezvoltare instituţionale pe anii 2012-2015” în sumă de 40 milioane Euro şi „Consolidarea capacităţilor instituţionale ale MAI şi CCCEC pe anii 2011-2013” în valoare de 2,5 milioane euro.</w:t>
            </w:r>
          </w:p>
        </w:tc>
      </w:tr>
      <w:tr w:rsidR="00CD4BAB" w:rsidRPr="00757D96">
        <w:trPr>
          <w:trHeight w:val="307"/>
        </w:trPr>
        <w:tc>
          <w:tcPr>
            <w:tcW w:w="9446" w:type="dxa"/>
            <w:shd w:val="clear" w:color="auto" w:fill="BFBFBF"/>
          </w:tcPr>
          <w:p w:rsidR="00CD4BAB" w:rsidRPr="00757D96" w:rsidRDefault="00CD4BAB" w:rsidP="002834A0">
            <w:pPr>
              <w:ind w:left="0" w:right="283"/>
              <w:jc w:val="both"/>
              <w:rPr>
                <w:rFonts w:ascii="Times New Roman" w:hAnsi="Times New Roman" w:cs="Times New Roman"/>
                <w:b/>
                <w:bCs/>
                <w:sz w:val="24"/>
                <w:szCs w:val="24"/>
                <w:lang w:val="ro-RO"/>
              </w:rPr>
            </w:pPr>
            <w:r w:rsidRPr="00757D96">
              <w:rPr>
                <w:rFonts w:ascii="Times New Roman" w:hAnsi="Times New Roman" w:cs="Times New Roman"/>
                <w:b/>
                <w:bCs/>
                <w:sz w:val="24"/>
                <w:szCs w:val="24"/>
                <w:lang w:val="ro-RO"/>
              </w:rPr>
              <w:t>Rezultatele expertizei juridice</w:t>
            </w:r>
          </w:p>
        </w:tc>
      </w:tr>
      <w:tr w:rsidR="00CD4BAB" w:rsidRPr="00757D96">
        <w:trPr>
          <w:trHeight w:val="714"/>
        </w:trPr>
        <w:tc>
          <w:tcPr>
            <w:tcW w:w="9446" w:type="dxa"/>
            <w:shd w:val="clear" w:color="auto" w:fill="FFFFFF"/>
          </w:tcPr>
          <w:p w:rsidR="00CD4BAB" w:rsidRPr="00757D96" w:rsidRDefault="00CD4BAB" w:rsidP="002834A0">
            <w:pPr>
              <w:ind w:left="0" w:right="283"/>
              <w:jc w:val="both"/>
              <w:rPr>
                <w:rStyle w:val="apple-style-span"/>
                <w:rFonts w:ascii="Times New Roman" w:hAnsi="Times New Roman" w:cs="Times New Roman"/>
                <w:color w:val="000000"/>
                <w:sz w:val="24"/>
                <w:szCs w:val="24"/>
                <w:lang w:val="ro-RO"/>
              </w:rPr>
            </w:pPr>
            <w:r w:rsidRPr="00757D96">
              <w:rPr>
                <w:rStyle w:val="apple-style-span"/>
                <w:rFonts w:ascii="Times New Roman" w:hAnsi="Times New Roman" w:cs="Times New Roman"/>
                <w:color w:val="000000"/>
                <w:sz w:val="24"/>
                <w:szCs w:val="24"/>
                <w:lang w:val="ro-RO"/>
              </w:rPr>
              <w:t>Rezultatele expertizei juridice vor fi înserate în textul notei informative ulterior efectuării acesteia.</w:t>
            </w:r>
          </w:p>
        </w:tc>
      </w:tr>
      <w:tr w:rsidR="00CD4BAB" w:rsidRPr="00757D96">
        <w:trPr>
          <w:trHeight w:val="427"/>
        </w:trPr>
        <w:tc>
          <w:tcPr>
            <w:tcW w:w="9446" w:type="dxa"/>
            <w:shd w:val="clear" w:color="auto" w:fill="BFBFBF"/>
          </w:tcPr>
          <w:p w:rsidR="00CD4BAB" w:rsidRPr="00757D96" w:rsidRDefault="00CD4BAB" w:rsidP="002834A0">
            <w:pPr>
              <w:ind w:left="0" w:right="283"/>
              <w:jc w:val="both"/>
              <w:rPr>
                <w:rStyle w:val="apple-style-span"/>
                <w:rFonts w:ascii="Times New Roman" w:hAnsi="Times New Roman" w:cs="Times New Roman"/>
                <w:b/>
                <w:bCs/>
                <w:color w:val="000000"/>
                <w:sz w:val="24"/>
                <w:szCs w:val="24"/>
                <w:lang w:val="ro-RO"/>
              </w:rPr>
            </w:pPr>
            <w:r w:rsidRPr="00757D96">
              <w:rPr>
                <w:rStyle w:val="apple-style-span"/>
                <w:rFonts w:ascii="Times New Roman" w:hAnsi="Times New Roman" w:cs="Times New Roman"/>
                <w:b/>
                <w:bCs/>
                <w:color w:val="000000"/>
                <w:sz w:val="24"/>
                <w:szCs w:val="24"/>
                <w:lang w:val="ro-RO"/>
              </w:rPr>
              <w:t>Descrierea constatărilor expertizei anticorupţie</w:t>
            </w:r>
          </w:p>
        </w:tc>
      </w:tr>
      <w:tr w:rsidR="00CD4BAB" w:rsidRPr="00757D96">
        <w:trPr>
          <w:trHeight w:val="693"/>
        </w:trPr>
        <w:tc>
          <w:tcPr>
            <w:tcW w:w="9446" w:type="dxa"/>
          </w:tcPr>
          <w:p w:rsidR="00CD4BAB" w:rsidRPr="00757D96" w:rsidRDefault="00CD4BAB" w:rsidP="002834A0">
            <w:pPr>
              <w:spacing w:line="276" w:lineRule="auto"/>
              <w:ind w:left="0" w:right="283"/>
              <w:jc w:val="both"/>
              <w:rPr>
                <w:rStyle w:val="apple-style-span"/>
                <w:rFonts w:ascii="Times New Roman" w:hAnsi="Times New Roman" w:cs="Times New Roman"/>
                <w:color w:val="000000"/>
                <w:sz w:val="24"/>
                <w:szCs w:val="24"/>
                <w:lang w:val="ro-RO"/>
              </w:rPr>
            </w:pPr>
            <w:r w:rsidRPr="00757D96">
              <w:rPr>
                <w:rStyle w:val="apple-style-span"/>
                <w:rFonts w:ascii="Times New Roman" w:hAnsi="Times New Roman" w:cs="Times New Roman"/>
                <w:color w:val="000000"/>
                <w:sz w:val="24"/>
                <w:szCs w:val="24"/>
                <w:lang w:val="ro-RO"/>
              </w:rPr>
              <w:t>Contatările expertizei anticorupţie vor fi înserate în textul notei informative ulterior efectuării acesteia.</w:t>
            </w:r>
          </w:p>
        </w:tc>
      </w:tr>
      <w:tr w:rsidR="00CD4BAB" w:rsidRPr="00757D96">
        <w:trPr>
          <w:trHeight w:val="420"/>
        </w:trPr>
        <w:tc>
          <w:tcPr>
            <w:tcW w:w="9446" w:type="dxa"/>
            <w:shd w:val="clear" w:color="auto" w:fill="BFBFBF"/>
          </w:tcPr>
          <w:p w:rsidR="00CD4BAB" w:rsidRPr="00757D96" w:rsidRDefault="00CD4BAB" w:rsidP="002834A0">
            <w:pPr>
              <w:ind w:left="0" w:right="283"/>
              <w:jc w:val="both"/>
              <w:rPr>
                <w:rStyle w:val="apple-style-span"/>
                <w:rFonts w:ascii="Times New Roman" w:hAnsi="Times New Roman" w:cs="Times New Roman"/>
                <w:b/>
                <w:bCs/>
                <w:color w:val="000000"/>
                <w:sz w:val="24"/>
                <w:szCs w:val="24"/>
                <w:lang w:val="ro-RO"/>
              </w:rPr>
            </w:pPr>
            <w:r w:rsidRPr="00757D96">
              <w:rPr>
                <w:rStyle w:val="apple-style-span"/>
                <w:rFonts w:ascii="Times New Roman" w:hAnsi="Times New Roman" w:cs="Times New Roman"/>
                <w:b/>
                <w:bCs/>
                <w:color w:val="000000"/>
                <w:sz w:val="24"/>
                <w:szCs w:val="24"/>
                <w:lang w:val="ro-RO"/>
              </w:rPr>
              <w:t>Respectarea transparenţei în procesul decizional</w:t>
            </w:r>
          </w:p>
        </w:tc>
      </w:tr>
      <w:tr w:rsidR="00CD4BAB" w:rsidRPr="00757D96">
        <w:trPr>
          <w:trHeight w:val="1304"/>
        </w:trPr>
        <w:tc>
          <w:tcPr>
            <w:tcW w:w="9446" w:type="dxa"/>
          </w:tcPr>
          <w:p w:rsidR="00CD4BAB" w:rsidRPr="00757D96" w:rsidRDefault="00CD4BAB" w:rsidP="002834A0">
            <w:pPr>
              <w:ind w:left="0" w:right="283"/>
              <w:jc w:val="both"/>
              <w:rPr>
                <w:rFonts w:ascii="Times New Roman" w:hAnsi="Times New Roman" w:cs="Times New Roman"/>
                <w:sz w:val="24"/>
                <w:szCs w:val="24"/>
                <w:lang w:val="ro-RO"/>
              </w:rPr>
            </w:pPr>
            <w:r w:rsidRPr="00757D96">
              <w:rPr>
                <w:rFonts w:ascii="Times New Roman" w:hAnsi="Times New Roman" w:cs="Times New Roman"/>
                <w:sz w:val="24"/>
                <w:szCs w:val="24"/>
                <w:lang w:val="ro-RO"/>
              </w:rPr>
              <w:t xml:space="preserve">Proiectul Hotărîrii Guvernului  cu privire la modificarea, completarea şi abrogarea </w:t>
            </w:r>
          </w:p>
          <w:p w:rsidR="00CD4BAB" w:rsidRPr="00757D96" w:rsidRDefault="00CD4BAB" w:rsidP="002834A0">
            <w:pPr>
              <w:spacing w:line="276" w:lineRule="auto"/>
              <w:ind w:left="0" w:right="283"/>
              <w:jc w:val="both"/>
              <w:rPr>
                <w:rStyle w:val="apple-style-span"/>
                <w:rFonts w:ascii="Times New Roman" w:hAnsi="Times New Roman" w:cs="Times New Roman"/>
                <w:color w:val="000000"/>
                <w:sz w:val="24"/>
                <w:szCs w:val="24"/>
                <w:lang w:val="ro-RO"/>
              </w:rPr>
            </w:pPr>
            <w:r w:rsidRPr="00757D96">
              <w:rPr>
                <w:rFonts w:ascii="Times New Roman" w:hAnsi="Times New Roman" w:cs="Times New Roman"/>
                <w:sz w:val="24"/>
                <w:szCs w:val="24"/>
                <w:lang w:val="ro-RO"/>
              </w:rPr>
              <w:t xml:space="preserve">unor hotărîri ale Guvernului </w:t>
            </w:r>
            <w:r w:rsidRPr="00757D96">
              <w:rPr>
                <w:rStyle w:val="apple-style-span"/>
                <w:rFonts w:ascii="Times New Roman" w:hAnsi="Times New Roman" w:cs="Times New Roman"/>
                <w:color w:val="000000"/>
                <w:sz w:val="24"/>
                <w:szCs w:val="24"/>
                <w:lang w:val="ro-RO"/>
              </w:rPr>
              <w:t xml:space="preserve">a fost plasat pe pagina web a Ministerului Justiţiei, compartimentul </w:t>
            </w:r>
            <w:r w:rsidRPr="00757D96">
              <w:rPr>
                <w:rStyle w:val="apple-style-span"/>
                <w:rFonts w:ascii="Times New Roman" w:hAnsi="Times New Roman" w:cs="Times New Roman"/>
                <w:i/>
                <w:iCs/>
                <w:color w:val="000000"/>
                <w:sz w:val="24"/>
                <w:szCs w:val="24"/>
                <w:lang w:val="ro-RO"/>
              </w:rPr>
              <w:t>Transparenţa decizională</w:t>
            </w:r>
            <w:r w:rsidRPr="00757D96">
              <w:rPr>
                <w:rStyle w:val="apple-style-span"/>
                <w:rFonts w:ascii="Times New Roman" w:hAnsi="Times New Roman" w:cs="Times New Roman"/>
                <w:color w:val="000000"/>
                <w:sz w:val="24"/>
                <w:szCs w:val="24"/>
                <w:lang w:val="ro-RO"/>
              </w:rPr>
              <w:t xml:space="preserve">, directoriul </w:t>
            </w:r>
            <w:r w:rsidRPr="00757D96">
              <w:rPr>
                <w:rStyle w:val="apple-style-span"/>
                <w:rFonts w:ascii="Times New Roman" w:hAnsi="Times New Roman" w:cs="Times New Roman"/>
                <w:i/>
                <w:iCs/>
                <w:color w:val="000000"/>
                <w:sz w:val="24"/>
                <w:szCs w:val="24"/>
                <w:lang w:val="ro-RO"/>
              </w:rPr>
              <w:t>Proiecte de acte normative remise spre coordonare</w:t>
            </w:r>
            <w:r w:rsidRPr="00757D96">
              <w:rPr>
                <w:rStyle w:val="apple-style-span"/>
                <w:rFonts w:ascii="Times New Roman" w:hAnsi="Times New Roman" w:cs="Times New Roman"/>
                <w:color w:val="000000"/>
                <w:sz w:val="24"/>
                <w:szCs w:val="24"/>
                <w:lang w:val="ro-RO"/>
              </w:rPr>
              <w:t>.</w:t>
            </w:r>
          </w:p>
        </w:tc>
      </w:tr>
    </w:tbl>
    <w:p w:rsidR="00CD4BAB" w:rsidRDefault="00CD4BAB" w:rsidP="002834A0">
      <w:pPr>
        <w:ind w:right="283"/>
        <w:jc w:val="both"/>
        <w:rPr>
          <w:rFonts w:ascii="Times New Roman" w:hAnsi="Times New Roman" w:cs="Times New Roman"/>
          <w:sz w:val="24"/>
          <w:szCs w:val="24"/>
          <w:lang w:val="ro-RO"/>
        </w:rPr>
      </w:pPr>
    </w:p>
    <w:p w:rsidR="00CD4BAB" w:rsidRDefault="00CD4BAB" w:rsidP="002834A0">
      <w:pPr>
        <w:ind w:right="283"/>
        <w:jc w:val="both"/>
        <w:rPr>
          <w:rFonts w:ascii="Times New Roman" w:hAnsi="Times New Roman" w:cs="Times New Roman"/>
          <w:b/>
          <w:bCs/>
          <w:sz w:val="28"/>
          <w:szCs w:val="28"/>
          <w:lang w:val="ro-RO"/>
        </w:rPr>
      </w:pPr>
      <w:r w:rsidRPr="00341CE4">
        <w:rPr>
          <w:rFonts w:ascii="Times New Roman" w:hAnsi="Times New Roman" w:cs="Times New Roman"/>
          <w:b/>
          <w:bCs/>
          <w:sz w:val="28"/>
          <w:szCs w:val="28"/>
          <w:lang w:val="ro-RO"/>
        </w:rPr>
        <w:tab/>
      </w:r>
      <w:r>
        <w:rPr>
          <w:rFonts w:ascii="Times New Roman" w:hAnsi="Times New Roman" w:cs="Times New Roman"/>
          <w:b/>
          <w:bCs/>
          <w:sz w:val="28"/>
          <w:szCs w:val="28"/>
          <w:lang w:val="ro-RO"/>
        </w:rPr>
        <w:tab/>
      </w:r>
    </w:p>
    <w:p w:rsidR="00CD4BAB" w:rsidRDefault="00CD4BAB" w:rsidP="002834A0">
      <w:pPr>
        <w:ind w:right="283"/>
        <w:jc w:val="both"/>
        <w:rPr>
          <w:rFonts w:ascii="Times New Roman" w:hAnsi="Times New Roman" w:cs="Times New Roman"/>
          <w:b/>
          <w:bCs/>
          <w:sz w:val="28"/>
          <w:szCs w:val="28"/>
          <w:lang w:val="ro-RO"/>
        </w:rPr>
      </w:pPr>
    </w:p>
    <w:p w:rsidR="00CD4BAB" w:rsidRDefault="00CD4BAB" w:rsidP="008D4DE6">
      <w:pPr>
        <w:ind w:left="424" w:right="283" w:firstLine="284"/>
        <w:jc w:val="both"/>
      </w:pPr>
      <w:r>
        <w:rPr>
          <w:rFonts w:ascii="Times New Roman" w:hAnsi="Times New Roman" w:cs="Times New Roman"/>
          <w:b/>
          <w:bCs/>
          <w:sz w:val="28"/>
          <w:szCs w:val="28"/>
          <w:lang w:val="ro-RO"/>
        </w:rPr>
        <w:t>Ministru</w:t>
      </w:r>
      <w:r w:rsidRPr="00341CE4">
        <w:rPr>
          <w:rFonts w:ascii="Times New Roman" w:hAnsi="Times New Roman" w:cs="Times New Roman"/>
          <w:b/>
          <w:bCs/>
          <w:sz w:val="28"/>
          <w:szCs w:val="28"/>
          <w:lang w:val="ro-RO"/>
        </w:rPr>
        <w:t xml:space="preserve"> </w:t>
      </w:r>
      <w:r w:rsidRPr="00341CE4">
        <w:rPr>
          <w:rFonts w:ascii="Times New Roman" w:hAnsi="Times New Roman" w:cs="Times New Roman"/>
          <w:b/>
          <w:bCs/>
          <w:sz w:val="28"/>
          <w:szCs w:val="28"/>
          <w:lang w:val="ro-RO"/>
        </w:rPr>
        <w:tab/>
      </w:r>
      <w:r w:rsidRPr="00341CE4">
        <w:rPr>
          <w:rFonts w:ascii="Times New Roman" w:hAnsi="Times New Roman" w:cs="Times New Roman"/>
          <w:b/>
          <w:bCs/>
          <w:sz w:val="28"/>
          <w:szCs w:val="28"/>
          <w:lang w:val="ro-RO"/>
        </w:rPr>
        <w:tab/>
      </w:r>
      <w:r w:rsidRPr="00341CE4">
        <w:rPr>
          <w:rFonts w:ascii="Times New Roman" w:hAnsi="Times New Roman" w:cs="Times New Roman"/>
          <w:b/>
          <w:bCs/>
          <w:sz w:val="28"/>
          <w:szCs w:val="28"/>
          <w:lang w:val="ro-RO"/>
        </w:rPr>
        <w:tab/>
      </w:r>
      <w:r w:rsidRPr="00341CE4">
        <w:rPr>
          <w:rFonts w:ascii="Times New Roman" w:hAnsi="Times New Roman" w:cs="Times New Roman"/>
          <w:b/>
          <w:bCs/>
          <w:sz w:val="28"/>
          <w:szCs w:val="28"/>
          <w:lang w:val="ro-RO"/>
        </w:rPr>
        <w:tab/>
      </w:r>
      <w:r w:rsidRPr="00341CE4">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t>Oleg EFRIM</w:t>
      </w:r>
    </w:p>
    <w:sectPr w:rsidR="00CD4BAB" w:rsidSect="003E58E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403"/>
    <w:rsid w:val="000311FB"/>
    <w:rsid w:val="00097DD7"/>
    <w:rsid w:val="000C7535"/>
    <w:rsid w:val="00205F07"/>
    <w:rsid w:val="002309C2"/>
    <w:rsid w:val="002834A0"/>
    <w:rsid w:val="002B4ADF"/>
    <w:rsid w:val="00341CE4"/>
    <w:rsid w:val="003927AC"/>
    <w:rsid w:val="003E58E9"/>
    <w:rsid w:val="004D3E1F"/>
    <w:rsid w:val="005137D4"/>
    <w:rsid w:val="00542193"/>
    <w:rsid w:val="00566E08"/>
    <w:rsid w:val="0057654D"/>
    <w:rsid w:val="005E45DA"/>
    <w:rsid w:val="00631D14"/>
    <w:rsid w:val="006707C0"/>
    <w:rsid w:val="00703A6D"/>
    <w:rsid w:val="0070699F"/>
    <w:rsid w:val="00716417"/>
    <w:rsid w:val="00757D96"/>
    <w:rsid w:val="00786684"/>
    <w:rsid w:val="007C04EB"/>
    <w:rsid w:val="00845216"/>
    <w:rsid w:val="00846EC6"/>
    <w:rsid w:val="008876E1"/>
    <w:rsid w:val="008D4DE6"/>
    <w:rsid w:val="0090590A"/>
    <w:rsid w:val="009228B3"/>
    <w:rsid w:val="009346E3"/>
    <w:rsid w:val="0099205D"/>
    <w:rsid w:val="009C79D7"/>
    <w:rsid w:val="00A605CC"/>
    <w:rsid w:val="00A66806"/>
    <w:rsid w:val="00A917BE"/>
    <w:rsid w:val="00AB0988"/>
    <w:rsid w:val="00B4231A"/>
    <w:rsid w:val="00B45403"/>
    <w:rsid w:val="00BC17B2"/>
    <w:rsid w:val="00C15A1F"/>
    <w:rsid w:val="00C56B58"/>
    <w:rsid w:val="00C839BD"/>
    <w:rsid w:val="00CD4BAB"/>
    <w:rsid w:val="00DC7E65"/>
    <w:rsid w:val="00DE2AB1"/>
    <w:rsid w:val="00E0101A"/>
    <w:rsid w:val="00F25CAB"/>
    <w:rsid w:val="00F850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03"/>
    <w:pPr>
      <w:ind w:left="-284" w:right="-142"/>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B454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220</TotalTime>
  <Pages>2</Pages>
  <Words>927</Words>
  <Characters>5286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210B</dc:creator>
  <cp:keywords/>
  <dc:description/>
  <cp:lastModifiedBy>Ruslan</cp:lastModifiedBy>
  <cp:revision>4</cp:revision>
  <dcterms:created xsi:type="dcterms:W3CDTF">2012-08-07T05:38:00Z</dcterms:created>
  <dcterms:modified xsi:type="dcterms:W3CDTF">2012-08-28T07:08:00Z</dcterms:modified>
</cp:coreProperties>
</file>