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6F" w:rsidRPr="00697CC6" w:rsidRDefault="00757A6F" w:rsidP="00757A6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i/>
          <w:sz w:val="27"/>
          <w:szCs w:val="27"/>
          <w:lang w:val="ro-MO" w:eastAsia="ru-RU"/>
        </w:rPr>
        <w:t>Proiect</w:t>
      </w:r>
    </w:p>
    <w:p w:rsidR="00697CC6" w:rsidRPr="00697CC6" w:rsidRDefault="00697CC6" w:rsidP="00697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val="ro-MO" w:eastAsia="ru-RU"/>
        </w:rPr>
      </w:pPr>
    </w:p>
    <w:p w:rsidR="00697CC6" w:rsidRPr="00697CC6" w:rsidRDefault="00697CC6" w:rsidP="00697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val="ro-MO" w:eastAsia="ru-RU"/>
        </w:rPr>
      </w:pPr>
    </w:p>
    <w:p w:rsidR="00697CC6" w:rsidRPr="00697CC6" w:rsidRDefault="00697CC6" w:rsidP="00697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697CC6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GUVERNUL REPUBLICII MOLDOVA </w:t>
      </w:r>
    </w:p>
    <w:p w:rsidR="00697CC6" w:rsidRPr="00697CC6" w:rsidRDefault="00697CC6" w:rsidP="00697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697CC6" w:rsidRPr="00697CC6" w:rsidRDefault="00697CC6" w:rsidP="00697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697CC6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HOTĂRÎRE  nr._____</w:t>
      </w:r>
    </w:p>
    <w:p w:rsidR="00697CC6" w:rsidRPr="00697CC6" w:rsidRDefault="00697CC6" w:rsidP="00697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697CC6" w:rsidRPr="00697CC6" w:rsidRDefault="00697CC6" w:rsidP="00697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din  _______________ 2017</w:t>
      </w:r>
    </w:p>
    <w:p w:rsidR="00697CC6" w:rsidRPr="00697CC6" w:rsidRDefault="00697CC6" w:rsidP="00697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697CC6" w:rsidRPr="00697CC6" w:rsidRDefault="00697CC6" w:rsidP="00697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163A90" w:rsidRPr="00697CC6" w:rsidRDefault="00163A90" w:rsidP="0016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O" w:eastAsia="ru-RU"/>
        </w:rPr>
        <w:t xml:space="preserve">cu privire la </w:t>
      </w:r>
      <w:r w:rsidR="003D11E3" w:rsidRPr="00697C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O" w:eastAsia="ru-RU"/>
        </w:rPr>
        <w:t>Centrul de Excelență în Securitatea Frontierei</w:t>
      </w:r>
      <w:r w:rsidRPr="00697C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O" w:eastAsia="ru-RU"/>
        </w:rPr>
        <w:t xml:space="preserve"> </w:t>
      </w:r>
      <w:r w:rsidRPr="00697C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O" w:eastAsia="ru-RU"/>
        </w:rPr>
        <w:br/>
      </w:r>
    </w:p>
    <w:p w:rsidR="00757A6F" w:rsidRPr="00697CC6" w:rsidRDefault="00757A6F" w:rsidP="00757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</w:pPr>
    </w:p>
    <w:p w:rsidR="00757A6F" w:rsidRPr="00697CC6" w:rsidRDefault="00757A6F" w:rsidP="00DF5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În</w:t>
      </w:r>
      <w:r w:rsidR="00044E2F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scopul implementării Legii nr.__ din ______pentru modificarea unor acte legislative, în</w:t>
      </w: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temeiul prevederilor art.21</w:t>
      </w:r>
      <w:r w:rsidR="00A64006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alin.(3), art.59 alin.(2) și art.139 </w:t>
      </w:r>
      <w:proofErr w:type="spellStart"/>
      <w:r w:rsidR="00A64006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li.f</w:t>
      </w:r>
      <w:proofErr w:type="spellEnd"/>
      <w:r w:rsidR="00A64006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)</w:t>
      </w: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din Codul educației al Republicii Moldova nr.152 din 17 iulie 2014 (Monitorul Oficial al Republicii Moldova, 2014, nr.319-324, art. 634), art.69 din Codul civil al Republicii Moldova nr.1107-XV din 6 iunie 2002 (Monitorul Oficial al Republicii Moldova, 2002, nr.82-86, art. 661), cu modificările şi completările ulterioare,</w:t>
      </w:r>
      <w:r w:rsidR="00163A90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Guvernul</w:t>
      </w:r>
    </w:p>
    <w:p w:rsidR="00757A6F" w:rsidRPr="00697CC6" w:rsidRDefault="00757A6F" w:rsidP="00DF5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</w:pPr>
    </w:p>
    <w:p w:rsidR="00757A6F" w:rsidRPr="00697CC6" w:rsidRDefault="00757A6F" w:rsidP="00DF5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  <w:t>HOTĂRĂŞTE:</w:t>
      </w:r>
    </w:p>
    <w:p w:rsidR="00332805" w:rsidRPr="00697CC6" w:rsidRDefault="00332805" w:rsidP="00DF5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</w:pPr>
    </w:p>
    <w:p w:rsidR="00DF5441" w:rsidRPr="00697CC6" w:rsidRDefault="00332805" w:rsidP="00DF5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1.</w:t>
      </w:r>
      <w:r w:rsidRPr="00697CC6">
        <w:rPr>
          <w:sz w:val="27"/>
          <w:szCs w:val="27"/>
          <w:lang w:val="ro-MO"/>
        </w:rPr>
        <w:t xml:space="preserve"> </w:t>
      </w: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Se </w:t>
      </w:r>
      <w:r w:rsidR="003D11E3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creează</w:t>
      </w: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</w:t>
      </w:r>
      <w:r w:rsidR="003D11E3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Centrul de Excelență în Securitatea Frontierei, instituție de </w:t>
      </w:r>
      <w:proofErr w:type="spellStart"/>
      <w:r w:rsidR="003D11E3" w:rsidRPr="00697CC6">
        <w:rPr>
          <w:rFonts w:ascii="Times New Roman" w:hAnsi="Times New Roman" w:cs="Times New Roman"/>
          <w:sz w:val="27"/>
          <w:szCs w:val="27"/>
          <w:lang w:val="ro-MO"/>
        </w:rPr>
        <w:t>învățămînt</w:t>
      </w:r>
      <w:proofErr w:type="spellEnd"/>
      <w:r w:rsidR="003D11E3" w:rsidRPr="00697CC6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3D11E3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profesional tehnic cu programe combinate, </w:t>
      </w: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prin </w:t>
      </w:r>
      <w:r w:rsidR="003D11E3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reorganizarea</w:t>
      </w: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Colegiul</w:t>
      </w:r>
      <w:r w:rsidR="003D11E3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ui</w:t>
      </w: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</w:t>
      </w:r>
      <w:r w:rsidR="00CE1BD5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Național</w:t>
      </w: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al Poliției de Frontieră.</w:t>
      </w:r>
    </w:p>
    <w:p w:rsidR="00A45D9D" w:rsidRPr="00697CC6" w:rsidRDefault="00A950B4" w:rsidP="00DF5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2. </w:t>
      </w:r>
      <w:r w:rsidR="00044E2F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Centrul de Excelență în Securitatea Frontierei </w:t>
      </w:r>
      <w:r w:rsidR="00A45D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este succesorul misiunii, </w:t>
      </w:r>
      <w:r w:rsidR="003D4C0B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funcțiilor</w:t>
      </w:r>
      <w:r w:rsidR="00A45D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, </w:t>
      </w:r>
      <w:r w:rsidR="003D4C0B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atribuțiilor</w:t>
      </w:r>
      <w:r w:rsidR="00A45D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, drepturilor </w:t>
      </w:r>
      <w:r w:rsidR="003D4C0B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și</w:t>
      </w:r>
      <w:r w:rsidR="00A45D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</w:t>
      </w:r>
      <w:r w:rsidR="003D4C0B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obligațiilor</w:t>
      </w:r>
      <w:r w:rsidR="00A45D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Colegiului Național al Poliției de Frontieră.</w:t>
      </w:r>
    </w:p>
    <w:p w:rsidR="00CE1BD5" w:rsidRPr="00697CC6" w:rsidRDefault="00A950B4" w:rsidP="00A45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3</w:t>
      </w:r>
      <w:r w:rsidR="00A45D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.</w:t>
      </w:r>
      <w:r w:rsidR="00CE1BD5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</w:t>
      </w:r>
      <w:r w:rsidR="00EF05B2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Procesul de studii în cadrul Centrului de Excelență în Securitatea Frontierei va fi</w:t>
      </w:r>
      <w:r w:rsidR="002519F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structurat pe următoarele nivele</w:t>
      </w:r>
      <w:r w:rsidR="00EF05B2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de instruire:</w:t>
      </w:r>
    </w:p>
    <w:p w:rsidR="00EF05B2" w:rsidRPr="00697CC6" w:rsidRDefault="002519FD" w:rsidP="00A45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Nivelul 3</w:t>
      </w:r>
      <w:r w:rsidR="00EF05B2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– </w:t>
      </w:r>
      <w:proofErr w:type="spellStart"/>
      <w:r w:rsidR="00EF05B2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învățămînt</w:t>
      </w:r>
      <w:proofErr w:type="spellEnd"/>
      <w:r w:rsidR="00EF05B2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profesional tehnic secundar – pe o perioadă de 1 an de studii;</w:t>
      </w:r>
    </w:p>
    <w:p w:rsidR="00EF05B2" w:rsidRPr="00697CC6" w:rsidRDefault="002519FD" w:rsidP="00A45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Nivelul 4</w:t>
      </w:r>
      <w:r w:rsidR="00EF05B2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– </w:t>
      </w:r>
      <w:proofErr w:type="spellStart"/>
      <w:r w:rsidR="00EF05B2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învățămînt</w:t>
      </w:r>
      <w:proofErr w:type="spellEnd"/>
      <w:r w:rsidR="00EF05B2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profesional tehnic </w:t>
      </w:r>
      <w:proofErr w:type="spellStart"/>
      <w:r w:rsidR="00EF05B2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postsecundar</w:t>
      </w:r>
      <w:proofErr w:type="spellEnd"/>
      <w:r w:rsidR="00EF05B2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– pe o perioadă de 2 ani de studii.</w:t>
      </w:r>
    </w:p>
    <w:p w:rsidR="00A45D9D" w:rsidRPr="00697CC6" w:rsidRDefault="00A950B4" w:rsidP="00A45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4. </w:t>
      </w:r>
      <w:r w:rsidR="00EF05B2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Finanțarea Centrului de Excelență în Securitatea Frontierei se efectuează din contul și în limitele alocațiilor bugetare, aprobate Poliției de Frontieră în bugetul de stat pe anul respectiv.</w:t>
      </w:r>
    </w:p>
    <w:p w:rsidR="000D3C1B" w:rsidRPr="00697CC6" w:rsidRDefault="00DF4A3F" w:rsidP="00D67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5. </w:t>
      </w:r>
      <w:r w:rsidR="00EF05B2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Disponibilizarea personalului instituției reorganizate se va efectua în conformitate cu legislația muncii.</w:t>
      </w:r>
    </w:p>
    <w:p w:rsidR="00FC039D" w:rsidRPr="00697CC6" w:rsidRDefault="00DF4A3F" w:rsidP="000D3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6. </w:t>
      </w:r>
      <w:r w:rsidR="00FC03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Se aprobă modificările ce se operează în unele </w:t>
      </w:r>
      <w:proofErr w:type="spellStart"/>
      <w:r w:rsidR="00FC03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Hotărîri</w:t>
      </w:r>
      <w:proofErr w:type="spellEnd"/>
      <w:r w:rsidR="00FC03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 ale Guvernului, conform anexei.</w:t>
      </w:r>
    </w:p>
    <w:p w:rsidR="000D3C1B" w:rsidRPr="00697CC6" w:rsidRDefault="00C82BC8" w:rsidP="000D3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7. </w:t>
      </w:r>
      <w:r w:rsidR="00FC03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Departamentul Poliției de Frontieră </w:t>
      </w:r>
      <w:r w:rsidR="009609CB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al Ministerului Afacerilor Interne </w:t>
      </w:r>
      <w:r w:rsidR="00FC03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 xml:space="preserve">va aduce actele sale departamentale în concordanță cu prevederile prezentei </w:t>
      </w:r>
      <w:proofErr w:type="spellStart"/>
      <w:r w:rsidR="00FC03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hotărîri</w:t>
      </w:r>
      <w:proofErr w:type="spellEnd"/>
      <w:r w:rsidR="00FC03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.</w:t>
      </w:r>
    </w:p>
    <w:p w:rsidR="00FC039D" w:rsidRPr="00697CC6" w:rsidRDefault="00A950B4" w:rsidP="00D6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8</w:t>
      </w:r>
      <w:r w:rsidR="00C82BC8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.</w:t>
      </w:r>
      <w:r w:rsidR="00CE1BD5" w:rsidRPr="00697CC6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FC039D"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Hotărîrea Guvernului nr.23 din 10 ianuarie 2007 cu privire la crearea Colegiului Național al Poliției de Frontieră, se abrogă.</w:t>
      </w:r>
    </w:p>
    <w:p w:rsidR="00CE1BD5" w:rsidRPr="00697CC6" w:rsidRDefault="00CE1BD5" w:rsidP="00D67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</w:p>
    <w:p w:rsidR="00CE1BD5" w:rsidRPr="00697CC6" w:rsidRDefault="00CE1BD5" w:rsidP="00D67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</w:p>
    <w:p w:rsidR="00CE1BD5" w:rsidRPr="00697CC6" w:rsidRDefault="00CE1BD5" w:rsidP="00CE1B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 xml:space="preserve">PRIM-MINISTRU                          </w:t>
      </w:r>
      <w:r w:rsidR="00A950B4"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 xml:space="preserve">                     </w:t>
      </w:r>
      <w:r w:rsidR="00645068"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 xml:space="preserve">        </w:t>
      </w:r>
      <w:r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 xml:space="preserve">  Pavel FILIP</w:t>
      </w:r>
    </w:p>
    <w:p w:rsidR="00CE1BD5" w:rsidRPr="00697CC6" w:rsidRDefault="00CE1BD5" w:rsidP="00CE1B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CE1BD5" w:rsidRPr="00697CC6" w:rsidRDefault="00CE1BD5" w:rsidP="00CE1B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>Contrasemnează:</w:t>
      </w:r>
    </w:p>
    <w:p w:rsidR="00CE1BD5" w:rsidRPr="00697CC6" w:rsidRDefault="003242C7" w:rsidP="00645068">
      <w:pPr>
        <w:tabs>
          <w:tab w:val="left" w:pos="680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>M</w:t>
      </w:r>
      <w:r w:rsidR="00A950B4"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>inistrul afacerilor interne</w:t>
      </w:r>
      <w:r w:rsidR="00CE1BD5"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 xml:space="preserve">                </w:t>
      </w:r>
      <w:r w:rsidR="00645068"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 xml:space="preserve">                          </w:t>
      </w:r>
    </w:p>
    <w:p w:rsidR="00CE1BD5" w:rsidRPr="00697CC6" w:rsidRDefault="003242C7" w:rsidP="00CE1B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>M</w:t>
      </w:r>
      <w:r w:rsidR="00CE1BD5"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 xml:space="preserve">inistrul </w:t>
      </w:r>
      <w:r w:rsidR="003D4C0B"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>educației</w:t>
      </w:r>
      <w:r w:rsidR="00CE1BD5"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 xml:space="preserve">                                              </w:t>
      </w:r>
      <w:r w:rsidR="002519FD"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 xml:space="preserve">           </w:t>
      </w:r>
    </w:p>
    <w:p w:rsidR="008A5627" w:rsidRPr="00697CC6" w:rsidRDefault="008A5627" w:rsidP="00CE1B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3F5F1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Aprobate prin </w:t>
      </w:r>
    </w:p>
    <w:p w:rsidR="003F5F12" w:rsidRPr="00697CC6" w:rsidRDefault="003F5F12" w:rsidP="003F5F1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Hotărîrea Guvernului </w:t>
      </w:r>
    </w:p>
    <w:p w:rsidR="003F5F12" w:rsidRPr="00697CC6" w:rsidRDefault="003F5F12" w:rsidP="003F5F1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nr.___ din ______2017</w:t>
      </w: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 xml:space="preserve">Modificările ce se operează în unele </w:t>
      </w:r>
      <w:proofErr w:type="spellStart"/>
      <w:r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>Hotărîri</w:t>
      </w:r>
      <w:proofErr w:type="spellEnd"/>
      <w:r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 xml:space="preserve"> ale Guvernului</w:t>
      </w: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</w:p>
    <w:p w:rsidR="003F5F12" w:rsidRPr="00697CC6" w:rsidRDefault="003F5F12" w:rsidP="003F5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  <w:r w:rsidRPr="00697CC6"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  <w:t>1. Nomenclatorul domeniilor de formare profesională și al meseriilor/profesiilor, aprobat prin Hotărîrea Guvernului nr.425 din 03 iulie 2015, la Domeniul general Afaceri, Administrare și Drept se completează cu nou domeniu ocupațional și noi meserii, după cum urmează:</w:t>
      </w:r>
    </w:p>
    <w:p w:rsidR="003F5F12" w:rsidRPr="00697CC6" w:rsidRDefault="003F5F12" w:rsidP="003F5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32"/>
        <w:gridCol w:w="1103"/>
        <w:gridCol w:w="1250"/>
        <w:gridCol w:w="1101"/>
        <w:gridCol w:w="4085"/>
      </w:tblGrid>
      <w:tr w:rsidR="003F5F12" w:rsidRPr="00697CC6" w:rsidTr="00E4441D">
        <w:trPr>
          <w:trHeight w:val="270"/>
          <w:tblHeader/>
        </w:trPr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F12" w:rsidRPr="00697CC6" w:rsidRDefault="003F5F12" w:rsidP="00E44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Domeniul general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5F12" w:rsidRPr="00697CC6" w:rsidRDefault="003F5F12" w:rsidP="00E44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Domeniul de educație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5F12" w:rsidRPr="00697CC6" w:rsidRDefault="003F5F12" w:rsidP="00E44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Domeniul de formare profesională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5F12" w:rsidRPr="00697CC6" w:rsidRDefault="003F5F12" w:rsidP="00E44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Codul meseriei/ profesiei</w:t>
            </w:r>
          </w:p>
        </w:tc>
        <w:tc>
          <w:tcPr>
            <w:tcW w:w="2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5F12" w:rsidRPr="00697CC6" w:rsidRDefault="003F5F12" w:rsidP="00E44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Denumirea meseriei</w:t>
            </w:r>
          </w:p>
        </w:tc>
      </w:tr>
      <w:tr w:rsidR="003F5F12" w:rsidRPr="00697CC6" w:rsidTr="00E4441D">
        <w:trPr>
          <w:trHeight w:val="270"/>
          <w:tblHeader/>
        </w:trPr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F12" w:rsidRPr="00697CC6" w:rsidRDefault="003F5F12" w:rsidP="00E4441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1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5F12" w:rsidRPr="00697CC6" w:rsidRDefault="003F5F12" w:rsidP="00E4441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2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5F12" w:rsidRPr="00697CC6" w:rsidRDefault="003F5F12" w:rsidP="00E4441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3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5F12" w:rsidRPr="00697CC6" w:rsidRDefault="003F5F12" w:rsidP="00E4441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4</w:t>
            </w:r>
          </w:p>
        </w:tc>
        <w:tc>
          <w:tcPr>
            <w:tcW w:w="2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5F12" w:rsidRPr="00697CC6" w:rsidRDefault="003F5F12" w:rsidP="00E4441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5</w:t>
            </w:r>
          </w:p>
        </w:tc>
      </w:tr>
      <w:tr w:rsidR="003F5F12" w:rsidRPr="00697CC6" w:rsidTr="00E4441D">
        <w:trPr>
          <w:trHeight w:val="319"/>
        </w:trPr>
        <w:tc>
          <w:tcPr>
            <w:tcW w:w="1062" w:type="pct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3F5F12" w:rsidRPr="00697CC6" w:rsidRDefault="003F5F12" w:rsidP="00E4441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4. AFACERI, ADMINISTRARE ȘI DREPT</w:t>
            </w:r>
          </w:p>
        </w:tc>
        <w:tc>
          <w:tcPr>
            <w:tcW w:w="576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12" w:rsidRPr="00697CC6" w:rsidRDefault="003F5F12" w:rsidP="00E4441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 xml:space="preserve">42 Drept 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12" w:rsidRPr="00697CC6" w:rsidRDefault="003F5F12" w:rsidP="00E4441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proofErr w:type="spellStart"/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xxx</w:t>
            </w:r>
            <w:proofErr w:type="spellEnd"/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. Securitatea frontierei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12" w:rsidRPr="00697CC6" w:rsidRDefault="003F5F12" w:rsidP="00E4441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O" w:eastAsia="ru-RU"/>
              </w:rPr>
            </w:pPr>
            <w:proofErr w:type="spellStart"/>
            <w:r w:rsidRPr="00697CC6">
              <w:rPr>
                <w:rFonts w:ascii="Times New Roman" w:hAnsi="Times New Roman"/>
                <w:color w:val="000000"/>
                <w:sz w:val="20"/>
                <w:szCs w:val="20"/>
                <w:lang w:val="ro-MO" w:eastAsia="ru-RU"/>
              </w:rPr>
              <w:t>xxxxxx</w:t>
            </w:r>
            <w:proofErr w:type="spellEnd"/>
          </w:p>
        </w:tc>
        <w:tc>
          <w:tcPr>
            <w:tcW w:w="2134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F5F12" w:rsidRPr="00697CC6" w:rsidRDefault="003F5F12" w:rsidP="00E4441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color w:val="000000"/>
                <w:sz w:val="20"/>
                <w:szCs w:val="20"/>
                <w:lang w:val="ro-MO" w:eastAsia="ru-RU"/>
              </w:rPr>
              <w:t>Subofițer unitate de control a Poliției de Frontieră</w:t>
            </w:r>
          </w:p>
          <w:p w:rsidR="003F5F12" w:rsidRPr="00697CC6" w:rsidRDefault="003F5F12" w:rsidP="00E4441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color w:val="000000"/>
                <w:sz w:val="20"/>
                <w:szCs w:val="20"/>
                <w:lang w:val="ro-MO" w:eastAsia="ru-RU"/>
              </w:rPr>
              <w:t>(minorul patrulei)</w:t>
            </w:r>
          </w:p>
        </w:tc>
      </w:tr>
      <w:tr w:rsidR="003F5F12" w:rsidRPr="00E16819" w:rsidTr="00E4441D">
        <w:trPr>
          <w:trHeight w:val="319"/>
        </w:trPr>
        <w:tc>
          <w:tcPr>
            <w:tcW w:w="1062" w:type="pct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F5F12" w:rsidRPr="00697CC6" w:rsidRDefault="003F5F12" w:rsidP="00E4441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</w:p>
        </w:tc>
        <w:tc>
          <w:tcPr>
            <w:tcW w:w="576" w:type="pct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F5F12" w:rsidRPr="00697CC6" w:rsidRDefault="003F5F12" w:rsidP="00E4441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</w:p>
        </w:tc>
        <w:tc>
          <w:tcPr>
            <w:tcW w:w="653" w:type="pct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F5F12" w:rsidRPr="00697CC6" w:rsidRDefault="003F5F12" w:rsidP="00E4441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F5F12" w:rsidRPr="00697CC6" w:rsidRDefault="003F5F12" w:rsidP="00E4441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O" w:eastAsia="ru-RU"/>
              </w:rPr>
            </w:pPr>
            <w:proofErr w:type="spellStart"/>
            <w:r w:rsidRPr="00697CC6">
              <w:rPr>
                <w:rFonts w:ascii="Times New Roman" w:hAnsi="Times New Roman"/>
                <w:color w:val="000000"/>
                <w:sz w:val="20"/>
                <w:szCs w:val="20"/>
                <w:lang w:val="ro-MO" w:eastAsia="ru-RU"/>
              </w:rPr>
              <w:t>xxxxxx</w:t>
            </w:r>
            <w:proofErr w:type="spellEnd"/>
          </w:p>
        </w:tc>
        <w:tc>
          <w:tcPr>
            <w:tcW w:w="213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F5F12" w:rsidRPr="00697CC6" w:rsidRDefault="003F5F12" w:rsidP="00E4441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o-MO" w:eastAsia="ru-RU"/>
              </w:rPr>
            </w:pPr>
            <w:r w:rsidRPr="00697CC6">
              <w:rPr>
                <w:rFonts w:ascii="Times New Roman" w:hAnsi="Times New Roman"/>
                <w:color w:val="000000"/>
                <w:sz w:val="20"/>
                <w:szCs w:val="20"/>
                <w:lang w:val="ro-MO" w:eastAsia="ru-RU"/>
              </w:rPr>
              <w:t>Subofițer-chinolog a Poliției de Frontieră</w:t>
            </w:r>
          </w:p>
        </w:tc>
      </w:tr>
    </w:tbl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B46B0F" w:rsidRPr="00697CC6" w:rsidRDefault="00B46B0F" w:rsidP="00B46B0F">
      <w:pPr>
        <w:spacing w:before="240"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val="ro-MO"/>
        </w:rPr>
      </w:pPr>
      <w:r w:rsidRPr="00697CC6"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  <w:t xml:space="preserve">2. </w:t>
      </w:r>
      <w:r w:rsidRPr="00697CC6">
        <w:rPr>
          <w:rFonts w:ascii="Times New Roman" w:hAnsi="Times New Roman"/>
          <w:sz w:val="28"/>
          <w:szCs w:val="28"/>
          <w:lang w:val="ro-MO"/>
        </w:rPr>
        <w:t xml:space="preserve">Nomenclatorul domeniilor de formare profesională, al </w:t>
      </w:r>
      <w:r w:rsidR="00823696" w:rsidRPr="00697CC6">
        <w:rPr>
          <w:rFonts w:ascii="Times New Roman" w:hAnsi="Times New Roman"/>
          <w:sz w:val="28"/>
          <w:szCs w:val="28"/>
          <w:lang w:val="ro-MO"/>
        </w:rPr>
        <w:t>specialităților</w:t>
      </w:r>
      <w:r w:rsidRPr="00697CC6">
        <w:rPr>
          <w:rFonts w:ascii="Times New Roman" w:hAnsi="Times New Roman"/>
          <w:sz w:val="28"/>
          <w:szCs w:val="28"/>
          <w:lang w:val="ro-MO"/>
        </w:rPr>
        <w:t xml:space="preserve"> şi calificărilor pentru învățământul profesional tehnic </w:t>
      </w:r>
      <w:proofErr w:type="spellStart"/>
      <w:r w:rsidRPr="00697CC6">
        <w:rPr>
          <w:rFonts w:ascii="Times New Roman" w:hAnsi="Times New Roman"/>
          <w:sz w:val="28"/>
          <w:szCs w:val="28"/>
          <w:lang w:val="ro-MO"/>
        </w:rPr>
        <w:t>postsecundar</w:t>
      </w:r>
      <w:proofErr w:type="spellEnd"/>
      <w:r w:rsidRPr="00697CC6">
        <w:rPr>
          <w:rFonts w:ascii="Times New Roman" w:hAnsi="Times New Roman"/>
          <w:sz w:val="28"/>
          <w:szCs w:val="28"/>
          <w:lang w:val="ro-MO"/>
        </w:rPr>
        <w:t xml:space="preserve"> şi </w:t>
      </w:r>
      <w:proofErr w:type="spellStart"/>
      <w:r w:rsidRPr="00697CC6">
        <w:rPr>
          <w:rFonts w:ascii="Times New Roman" w:hAnsi="Times New Roman"/>
          <w:sz w:val="28"/>
          <w:szCs w:val="28"/>
          <w:lang w:val="ro-MO"/>
        </w:rPr>
        <w:t>postsecundar</w:t>
      </w:r>
      <w:proofErr w:type="spellEnd"/>
      <w:r w:rsidRPr="00697CC6">
        <w:rPr>
          <w:rFonts w:ascii="Times New Roman" w:hAnsi="Times New Roman"/>
          <w:sz w:val="28"/>
          <w:szCs w:val="28"/>
          <w:lang w:val="ro-MO"/>
        </w:rPr>
        <w:t xml:space="preserve"> </w:t>
      </w:r>
      <w:proofErr w:type="spellStart"/>
      <w:r w:rsidRPr="00697CC6">
        <w:rPr>
          <w:rFonts w:ascii="Times New Roman" w:hAnsi="Times New Roman"/>
          <w:sz w:val="28"/>
          <w:szCs w:val="28"/>
          <w:lang w:val="ro-MO"/>
        </w:rPr>
        <w:t>nonterţiar</w:t>
      </w:r>
      <w:proofErr w:type="spellEnd"/>
      <w:r w:rsidRPr="00697CC6">
        <w:rPr>
          <w:rFonts w:ascii="Times New Roman" w:hAnsi="Times New Roman"/>
          <w:sz w:val="28"/>
          <w:szCs w:val="28"/>
          <w:lang w:val="ro-MO"/>
        </w:rPr>
        <w:t xml:space="preserve">, aprobat prin Hotărârea Guvernului nr. 853 din 14 decembrie 2015, calificarea „Inspector  poliţie de frontieră” se va </w:t>
      </w:r>
      <w:r w:rsidR="00823696" w:rsidRPr="00697CC6">
        <w:rPr>
          <w:rFonts w:ascii="Times New Roman" w:hAnsi="Times New Roman"/>
          <w:sz w:val="28"/>
          <w:szCs w:val="28"/>
          <w:lang w:val="ro-MO"/>
        </w:rPr>
        <w:t>exclude</w:t>
      </w:r>
      <w:r w:rsidRPr="00697CC6">
        <w:rPr>
          <w:rFonts w:ascii="Times New Roman" w:hAnsi="Times New Roman"/>
          <w:sz w:val="28"/>
          <w:szCs w:val="28"/>
          <w:lang w:val="ro-MO"/>
        </w:rPr>
        <w:t xml:space="preserve"> și se va completa cu noi calificări la specialitatea „Securitatea frontierei”, după cum urmează:</w:t>
      </w:r>
    </w:p>
    <w:p w:rsidR="003F5F12" w:rsidRPr="00697CC6" w:rsidRDefault="003F5F12" w:rsidP="00B46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</w:p>
    <w:tbl>
      <w:tblPr>
        <w:tblpPr w:leftFromText="180" w:rightFromText="180" w:vertAnchor="text" w:horzAnchor="margin" w:tblpX="-34" w:tblpY="101"/>
        <w:tblW w:w="9747" w:type="dxa"/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1275"/>
        <w:gridCol w:w="1418"/>
        <w:gridCol w:w="1559"/>
        <w:gridCol w:w="2126"/>
        <w:gridCol w:w="1134"/>
      </w:tblGrid>
      <w:tr w:rsidR="00B46B0F" w:rsidRPr="00697CC6" w:rsidTr="00E4441D">
        <w:trPr>
          <w:trHeight w:val="121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Domeniul general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Domeniul de educație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Domeniile  de formare profesională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Specialităţile  (programele de studii)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Codul  specialității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 xml:space="preserve">Calificarea obţinută în </w:t>
            </w:r>
            <w:proofErr w:type="spellStart"/>
            <w:r w:rsidRPr="00697C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învăţămîntul</w:t>
            </w:r>
            <w:proofErr w:type="spellEnd"/>
            <w:r w:rsidRPr="00697C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br/>
              <w:t>profesional tehnic</w:t>
            </w:r>
            <w:r w:rsidRPr="00697CC6"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 xml:space="preserve"> </w:t>
            </w:r>
            <w:proofErr w:type="spellStart"/>
            <w:r w:rsidRPr="00697CC6">
              <w:rPr>
                <w:rFonts w:ascii="Times New Roman" w:hAnsi="Times New Roman"/>
                <w:b/>
                <w:color w:val="000000"/>
                <w:sz w:val="20"/>
                <w:szCs w:val="20"/>
                <w:lang w:val="ro-MO"/>
              </w:rPr>
              <w:t>postesecundar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Numărul de  credite</w:t>
            </w:r>
          </w:p>
        </w:tc>
      </w:tr>
      <w:tr w:rsidR="00B46B0F" w:rsidRPr="00697CC6" w:rsidTr="00E4441D">
        <w:trPr>
          <w:trHeight w:val="278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 xml:space="preserve">4. Afaceri, </w:t>
            </w:r>
            <w:proofErr w:type="spellStart"/>
            <w:r w:rsidRPr="00697C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admini-strare</w:t>
            </w:r>
            <w:proofErr w:type="spellEnd"/>
            <w:r w:rsidRPr="00697CC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 xml:space="preserve"> și drept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42.  Drept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421. Drept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Securitatea  frontierei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  <w:t>42120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MO"/>
              </w:rPr>
            </w:pPr>
            <w:r w:rsidRPr="00697CC6">
              <w:rPr>
                <w:rFonts w:ascii="Times New Roman" w:hAnsi="Times New Roman"/>
                <w:sz w:val="20"/>
                <w:szCs w:val="20"/>
                <w:lang w:val="ro-MO"/>
              </w:rPr>
              <w:t>Șef de patrulă poliţie de frontieră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46B0F" w:rsidRPr="00697CC6" w:rsidRDefault="00B46B0F" w:rsidP="00E44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120</w:t>
            </w:r>
          </w:p>
        </w:tc>
      </w:tr>
      <w:tr w:rsidR="00B46B0F" w:rsidRPr="00697CC6" w:rsidTr="00E4441D">
        <w:trPr>
          <w:trHeight w:val="278"/>
        </w:trPr>
        <w:tc>
          <w:tcPr>
            <w:tcW w:w="11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B0F" w:rsidRPr="00697CC6" w:rsidRDefault="00B46B0F" w:rsidP="00E44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  <w:t>42121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697CC6">
              <w:rPr>
                <w:rFonts w:ascii="Times New Roman" w:hAnsi="Times New Roman"/>
                <w:sz w:val="20"/>
                <w:szCs w:val="20"/>
                <w:lang w:val="ro-MO"/>
              </w:rPr>
              <w:t>Instructor chinolog poliție de frontieră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120</w:t>
            </w:r>
          </w:p>
        </w:tc>
      </w:tr>
      <w:tr w:rsidR="00B46B0F" w:rsidRPr="00697CC6" w:rsidTr="00E4441D">
        <w:trPr>
          <w:trHeight w:val="576"/>
        </w:trPr>
        <w:tc>
          <w:tcPr>
            <w:tcW w:w="110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46B0F" w:rsidRPr="00697CC6" w:rsidRDefault="00B46B0F" w:rsidP="00E44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hAnsi="Times New Roman"/>
                <w:color w:val="000000"/>
                <w:sz w:val="20"/>
                <w:szCs w:val="20"/>
                <w:lang w:val="ro-MO"/>
              </w:rPr>
              <w:t>42122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46B0F" w:rsidRPr="00697CC6" w:rsidRDefault="00B46B0F" w:rsidP="008A562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697CC6">
              <w:rPr>
                <w:rFonts w:ascii="Times New Roman" w:hAnsi="Times New Roman"/>
                <w:sz w:val="20"/>
                <w:szCs w:val="20"/>
                <w:lang w:val="ro-MO"/>
              </w:rPr>
              <w:t>Intendent</w:t>
            </w:r>
            <w:r w:rsidR="008A5627" w:rsidRPr="00697CC6">
              <w:rPr>
                <w:rFonts w:ascii="Times New Roman" w:hAnsi="Times New Roman"/>
                <w:sz w:val="20"/>
                <w:szCs w:val="20"/>
                <w:lang w:val="ro-MO"/>
              </w:rPr>
              <w:t xml:space="preserve"> </w:t>
            </w:r>
            <w:r w:rsidRPr="00697CC6">
              <w:rPr>
                <w:rFonts w:ascii="Times New Roman" w:hAnsi="Times New Roman"/>
                <w:sz w:val="20"/>
                <w:szCs w:val="20"/>
                <w:lang w:val="ro-MO"/>
              </w:rPr>
              <w:t>- tehnician poliție de frontieră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B0F" w:rsidRPr="00697CC6" w:rsidRDefault="00B46B0F" w:rsidP="00E44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</w:pPr>
            <w:r w:rsidRPr="00697C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MO"/>
              </w:rPr>
              <w:t>120</w:t>
            </w:r>
          </w:p>
        </w:tc>
      </w:tr>
    </w:tbl>
    <w:p w:rsidR="00B46B0F" w:rsidRPr="00697CC6" w:rsidRDefault="00B46B0F" w:rsidP="00B46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MO" w:eastAsia="ru-RU"/>
        </w:rPr>
      </w:pP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2519FD" w:rsidRPr="00697CC6" w:rsidRDefault="002519FD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2519FD" w:rsidRPr="00697CC6" w:rsidRDefault="002519FD" w:rsidP="00A950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</w:p>
    <w:p w:rsidR="003F5F12" w:rsidRPr="00697CC6" w:rsidRDefault="003F5F12" w:rsidP="00E1681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O" w:eastAsia="ru-RU"/>
        </w:rPr>
      </w:pPr>
      <w:bookmarkStart w:id="0" w:name="_GoBack"/>
      <w:bookmarkEnd w:id="0"/>
    </w:p>
    <w:sectPr w:rsidR="003F5F12" w:rsidRPr="00697CC6" w:rsidSect="002519F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C80"/>
    <w:multiLevelType w:val="hybridMultilevel"/>
    <w:tmpl w:val="660AEA96"/>
    <w:lvl w:ilvl="0" w:tplc="5A447C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6F"/>
    <w:rsid w:val="00044E2F"/>
    <w:rsid w:val="00061130"/>
    <w:rsid w:val="000A7751"/>
    <w:rsid w:val="000D3C1B"/>
    <w:rsid w:val="001041C0"/>
    <w:rsid w:val="00163A90"/>
    <w:rsid w:val="002519FD"/>
    <w:rsid w:val="00261F54"/>
    <w:rsid w:val="003242C7"/>
    <w:rsid w:val="00332805"/>
    <w:rsid w:val="003B7533"/>
    <w:rsid w:val="003D11E3"/>
    <w:rsid w:val="003D4C0B"/>
    <w:rsid w:val="003F5F12"/>
    <w:rsid w:val="0050530F"/>
    <w:rsid w:val="0052280F"/>
    <w:rsid w:val="005316BD"/>
    <w:rsid w:val="005A0F8C"/>
    <w:rsid w:val="005C309F"/>
    <w:rsid w:val="00645068"/>
    <w:rsid w:val="00697CC6"/>
    <w:rsid w:val="006E465D"/>
    <w:rsid w:val="00757A6F"/>
    <w:rsid w:val="00823696"/>
    <w:rsid w:val="008873C2"/>
    <w:rsid w:val="008A3082"/>
    <w:rsid w:val="008A5627"/>
    <w:rsid w:val="008E174E"/>
    <w:rsid w:val="008F55C0"/>
    <w:rsid w:val="009609CB"/>
    <w:rsid w:val="00960BAB"/>
    <w:rsid w:val="009A5F5C"/>
    <w:rsid w:val="009F74D0"/>
    <w:rsid w:val="00A45D9D"/>
    <w:rsid w:val="00A64006"/>
    <w:rsid w:val="00A950B4"/>
    <w:rsid w:val="00AA10D3"/>
    <w:rsid w:val="00B46B0F"/>
    <w:rsid w:val="00BC6306"/>
    <w:rsid w:val="00C74204"/>
    <w:rsid w:val="00C80DCE"/>
    <w:rsid w:val="00C82BC8"/>
    <w:rsid w:val="00CE1BD5"/>
    <w:rsid w:val="00D67984"/>
    <w:rsid w:val="00DF4A3F"/>
    <w:rsid w:val="00DF5441"/>
    <w:rsid w:val="00E16819"/>
    <w:rsid w:val="00E2058F"/>
    <w:rsid w:val="00EF05B2"/>
    <w:rsid w:val="00F2511B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163A90"/>
  </w:style>
  <w:style w:type="paragraph" w:styleId="a3">
    <w:name w:val="Balloon Text"/>
    <w:basedOn w:val="a"/>
    <w:link w:val="a4"/>
    <w:uiPriority w:val="99"/>
    <w:semiHidden/>
    <w:unhideWhenUsed/>
    <w:rsid w:val="0032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2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163A90"/>
  </w:style>
  <w:style w:type="paragraph" w:styleId="a3">
    <w:name w:val="Balloon Text"/>
    <w:basedOn w:val="a"/>
    <w:link w:val="a4"/>
    <w:uiPriority w:val="99"/>
    <w:semiHidden/>
    <w:unhideWhenUsed/>
    <w:rsid w:val="0032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570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Morari</dc:creator>
  <cp:keywords/>
  <dc:description/>
  <cp:lastModifiedBy>dj-6</cp:lastModifiedBy>
  <cp:revision>32</cp:revision>
  <cp:lastPrinted>2017-06-06T10:07:00Z</cp:lastPrinted>
  <dcterms:created xsi:type="dcterms:W3CDTF">2017-02-10T06:56:00Z</dcterms:created>
  <dcterms:modified xsi:type="dcterms:W3CDTF">2017-06-12T07:07:00Z</dcterms:modified>
</cp:coreProperties>
</file>