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A5DDE" w14:textId="77777777" w:rsidR="009B1317" w:rsidRPr="00DE15E9" w:rsidRDefault="006817FC" w:rsidP="00514579">
      <w:pPr>
        <w:widowControl w:val="0"/>
        <w:pBdr>
          <w:top w:val="nil"/>
          <w:left w:val="nil"/>
          <w:bottom w:val="nil"/>
          <w:right w:val="nil"/>
          <w:between w:val="nil"/>
        </w:pBdr>
        <w:spacing w:after="0" w:line="276" w:lineRule="auto"/>
        <w:jc w:val="center"/>
        <w:rPr>
          <w:rFonts w:ascii="Times New Roman" w:eastAsia="Arial" w:hAnsi="Times New Roman" w:cs="Times New Roman"/>
          <w:b/>
          <w:bCs/>
          <w:sz w:val="20"/>
          <w:szCs w:val="20"/>
          <w:lang w:val="ro-MD"/>
        </w:rPr>
      </w:pPr>
      <w:r w:rsidRPr="00DE15E9">
        <w:rPr>
          <w:rFonts w:ascii="Times New Roman" w:eastAsia="Arial" w:hAnsi="Times New Roman" w:cs="Times New Roman"/>
          <w:b/>
          <w:bCs/>
          <w:sz w:val="20"/>
          <w:szCs w:val="20"/>
          <w:lang w:val="ro-MD"/>
        </w:rPr>
        <w:t xml:space="preserve"> </w:t>
      </w:r>
      <w:r w:rsidR="009B1317" w:rsidRPr="00DE15E9">
        <w:rPr>
          <w:rFonts w:ascii="Times New Roman" w:eastAsia="Arial" w:hAnsi="Times New Roman" w:cs="Times New Roman"/>
          <w:b/>
          <w:bCs/>
          <w:sz w:val="20"/>
          <w:szCs w:val="20"/>
          <w:lang w:val="ro-MD"/>
        </w:rPr>
        <w:t>Tabel de concordanță</w:t>
      </w:r>
    </w:p>
    <w:p w14:paraId="156FF401" w14:textId="77777777" w:rsidR="009B1317" w:rsidRPr="00DE15E9" w:rsidRDefault="009B1317" w:rsidP="00514579">
      <w:pPr>
        <w:widowControl w:val="0"/>
        <w:pBdr>
          <w:top w:val="nil"/>
          <w:left w:val="nil"/>
          <w:bottom w:val="nil"/>
          <w:right w:val="nil"/>
          <w:between w:val="nil"/>
        </w:pBdr>
        <w:spacing w:after="0" w:line="276" w:lineRule="auto"/>
        <w:rPr>
          <w:rFonts w:ascii="Times New Roman" w:eastAsia="Arial" w:hAnsi="Times New Roman" w:cs="Times New Roman"/>
          <w:b/>
          <w:bCs/>
          <w:sz w:val="20"/>
          <w:szCs w:val="20"/>
          <w:lang w:val="ro-MD"/>
        </w:rPr>
      </w:pPr>
    </w:p>
    <w:tbl>
      <w:tblPr>
        <w:tblW w:w="1630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
        <w:gridCol w:w="15837"/>
      </w:tblGrid>
      <w:tr w:rsidR="009B1317" w:rsidRPr="00DE15E9" w14:paraId="59928EB0" w14:textId="77777777" w:rsidTr="00033703">
        <w:trPr>
          <w:trHeight w:val="120"/>
        </w:trPr>
        <w:tc>
          <w:tcPr>
            <w:tcW w:w="465" w:type="dxa"/>
            <w:vMerge w:val="restart"/>
          </w:tcPr>
          <w:p w14:paraId="02F082A3" w14:textId="77777777" w:rsidR="009B1317" w:rsidRPr="00DE15E9" w:rsidRDefault="009B1317" w:rsidP="00514579">
            <w:pPr>
              <w:spacing w:after="0" w:line="276" w:lineRule="auto"/>
              <w:jc w:val="center"/>
              <w:rPr>
                <w:rFonts w:ascii="Times New Roman" w:eastAsia="Times New Roman" w:hAnsi="Times New Roman" w:cs="Times New Roman"/>
                <w:b/>
                <w:sz w:val="20"/>
                <w:szCs w:val="20"/>
                <w:highlight w:val="white"/>
                <w:lang w:val="ro-MD"/>
              </w:rPr>
            </w:pPr>
            <w:r w:rsidRPr="00DE15E9">
              <w:rPr>
                <w:rFonts w:ascii="Times New Roman" w:eastAsia="Times New Roman" w:hAnsi="Times New Roman" w:cs="Times New Roman"/>
                <w:b/>
                <w:sz w:val="20"/>
                <w:szCs w:val="20"/>
                <w:highlight w:val="white"/>
                <w:lang w:val="ro-MD"/>
              </w:rPr>
              <w:t>1</w:t>
            </w:r>
          </w:p>
        </w:tc>
        <w:tc>
          <w:tcPr>
            <w:tcW w:w="15837" w:type="dxa"/>
          </w:tcPr>
          <w:p w14:paraId="6E72388E" w14:textId="77777777" w:rsidR="009B1317" w:rsidRPr="00DE15E9" w:rsidRDefault="009B1317" w:rsidP="00514579">
            <w:pPr>
              <w:spacing w:after="0" w:line="276" w:lineRule="auto"/>
              <w:rPr>
                <w:rFonts w:ascii="Times New Roman" w:hAnsi="Times New Roman" w:cs="Times New Roman"/>
                <w:b/>
                <w:bCs/>
                <w:sz w:val="20"/>
                <w:szCs w:val="20"/>
                <w:lang w:val="ro-MD"/>
              </w:rPr>
            </w:pPr>
            <w:r w:rsidRPr="00DE15E9">
              <w:rPr>
                <w:rFonts w:ascii="Times New Roman" w:hAnsi="Times New Roman" w:cs="Times New Roman"/>
                <w:b/>
                <w:bCs/>
                <w:sz w:val="20"/>
                <w:szCs w:val="20"/>
                <w:lang w:val="ro-MD"/>
              </w:rPr>
              <w:t>Titlul actului UE, inclusiv cea mai recentă modificare, nr. CELEX</w:t>
            </w:r>
          </w:p>
          <w:p w14:paraId="5FD06A80" w14:textId="7193BF9B" w:rsidR="006B10BA" w:rsidRPr="00DE15E9" w:rsidRDefault="006B10BA" w:rsidP="00514579">
            <w:pPr>
              <w:spacing w:after="0" w:line="276" w:lineRule="auto"/>
              <w:rPr>
                <w:rFonts w:ascii="Times New Roman" w:hAnsi="Times New Roman" w:cs="Times New Roman"/>
                <w:b/>
                <w:sz w:val="20"/>
                <w:szCs w:val="20"/>
              </w:rPr>
            </w:pPr>
            <w:r w:rsidRPr="00DE15E9">
              <w:rPr>
                <w:rFonts w:ascii="Times New Roman" w:hAnsi="Times New Roman" w:cs="Times New Roman"/>
                <w:b/>
                <w:sz w:val="20"/>
                <w:szCs w:val="20"/>
              </w:rPr>
              <w:t>Title of the EU act, including the most recent amendment, CELEX number</w:t>
            </w:r>
          </w:p>
        </w:tc>
      </w:tr>
      <w:tr w:rsidR="009B1317" w:rsidRPr="00DE15E9" w14:paraId="298E0F7F" w14:textId="77777777" w:rsidTr="00033703">
        <w:trPr>
          <w:trHeight w:val="560"/>
        </w:trPr>
        <w:tc>
          <w:tcPr>
            <w:tcW w:w="465" w:type="dxa"/>
            <w:vMerge/>
          </w:tcPr>
          <w:p w14:paraId="6678CCC7" w14:textId="77777777" w:rsidR="009B1317" w:rsidRPr="00DE15E9" w:rsidRDefault="009B1317" w:rsidP="00514579">
            <w:pPr>
              <w:spacing w:after="0" w:line="276" w:lineRule="auto"/>
              <w:jc w:val="center"/>
              <w:rPr>
                <w:rFonts w:ascii="Times New Roman" w:eastAsia="Times New Roman" w:hAnsi="Times New Roman" w:cs="Times New Roman"/>
                <w:b/>
                <w:sz w:val="20"/>
                <w:szCs w:val="20"/>
                <w:highlight w:val="white"/>
                <w:lang w:val="ro-MD"/>
              </w:rPr>
            </w:pPr>
          </w:p>
        </w:tc>
        <w:tc>
          <w:tcPr>
            <w:tcW w:w="15837" w:type="dxa"/>
          </w:tcPr>
          <w:p w14:paraId="4EDD70BE" w14:textId="77777777" w:rsidR="006B10BA" w:rsidRPr="00DE15E9" w:rsidRDefault="006B10BA" w:rsidP="00514579">
            <w:pPr>
              <w:spacing w:line="276" w:lineRule="auto"/>
              <w:rPr>
                <w:rFonts w:ascii="Times New Roman" w:hAnsi="Times New Roman" w:cs="Times New Roman"/>
                <w:b/>
                <w:sz w:val="20"/>
                <w:szCs w:val="20"/>
                <w:lang w:val="ro-MD"/>
              </w:rPr>
            </w:pPr>
            <w:r w:rsidRPr="00DE15E9">
              <w:rPr>
                <w:rFonts w:ascii="Times New Roman" w:hAnsi="Times New Roman" w:cs="Times New Roman"/>
                <w:b/>
                <w:sz w:val="20"/>
                <w:szCs w:val="20"/>
                <w:lang w:val="ro-MD"/>
              </w:rPr>
              <w:t>Directiva 2019/633 a Parlamentului European și a Consiliului din 17 aprilie 2019 privind practicile comerciale neloiale dintre întreprinderi în cadrul lanțului de aprovizionare agricol și alimentar, publicată în Jurnalul Oficial al Uniunii Europene L 111 din 25 aprilie 2019, CELEX 32019L0633</w:t>
            </w:r>
          </w:p>
          <w:p w14:paraId="4354DC23" w14:textId="2D66476A" w:rsidR="006B10BA" w:rsidRPr="00DE15E9" w:rsidRDefault="006B10BA" w:rsidP="00514579">
            <w:pPr>
              <w:spacing w:after="0" w:line="276" w:lineRule="auto"/>
              <w:jc w:val="both"/>
              <w:rPr>
                <w:rFonts w:ascii="Times New Roman" w:eastAsia="Times New Roman" w:hAnsi="Times New Roman" w:cs="Times New Roman"/>
                <w:b/>
                <w:sz w:val="20"/>
                <w:szCs w:val="20"/>
              </w:rPr>
            </w:pPr>
            <w:r w:rsidRPr="00DE15E9">
              <w:rPr>
                <w:rFonts w:ascii="Times New Roman" w:eastAsia="Times New Roman" w:hAnsi="Times New Roman" w:cs="Times New Roman"/>
                <w:b/>
                <w:sz w:val="20"/>
                <w:szCs w:val="20"/>
              </w:rPr>
              <w:t>Directive 2019/633 of the European Parliament and of the Council of 17 April 2019 on unfair trading practices in business-to-business relationships in the agricultural and food supply chain, published in the Official Journal of the European Union L 111 of 25 April 2019, CELEX 32019L0633.</w:t>
            </w:r>
          </w:p>
        </w:tc>
      </w:tr>
      <w:tr w:rsidR="009B1317" w:rsidRPr="00DE15E9" w14:paraId="6411FFFA" w14:textId="77777777" w:rsidTr="00033703">
        <w:trPr>
          <w:trHeight w:val="120"/>
        </w:trPr>
        <w:tc>
          <w:tcPr>
            <w:tcW w:w="465" w:type="dxa"/>
            <w:vMerge w:val="restart"/>
          </w:tcPr>
          <w:p w14:paraId="49F53A60" w14:textId="77777777" w:rsidR="009B1317" w:rsidRPr="00DE15E9" w:rsidRDefault="009B1317" w:rsidP="00514579">
            <w:pPr>
              <w:spacing w:after="0" w:line="276" w:lineRule="auto"/>
              <w:jc w:val="center"/>
              <w:rPr>
                <w:rFonts w:ascii="Times New Roman" w:eastAsia="Times New Roman" w:hAnsi="Times New Roman" w:cs="Times New Roman"/>
                <w:b/>
                <w:sz w:val="20"/>
                <w:szCs w:val="20"/>
                <w:highlight w:val="white"/>
                <w:lang w:val="ro-MD"/>
              </w:rPr>
            </w:pPr>
            <w:r w:rsidRPr="00DE15E9">
              <w:rPr>
                <w:rFonts w:ascii="Times New Roman" w:eastAsia="Times New Roman" w:hAnsi="Times New Roman" w:cs="Times New Roman"/>
                <w:b/>
                <w:sz w:val="20"/>
                <w:szCs w:val="20"/>
                <w:highlight w:val="white"/>
                <w:lang w:val="ro-MD"/>
              </w:rPr>
              <w:t>2</w:t>
            </w:r>
          </w:p>
        </w:tc>
        <w:tc>
          <w:tcPr>
            <w:tcW w:w="15837" w:type="dxa"/>
          </w:tcPr>
          <w:p w14:paraId="1C4110AD" w14:textId="77777777" w:rsidR="009B1317" w:rsidRPr="00DE15E9" w:rsidRDefault="009B1317" w:rsidP="00514579">
            <w:pPr>
              <w:spacing w:after="0" w:line="276" w:lineRule="auto"/>
              <w:rPr>
                <w:rFonts w:ascii="Times New Roman" w:eastAsia="Times New Roman" w:hAnsi="Times New Roman" w:cs="Times New Roman"/>
                <w:b/>
                <w:sz w:val="20"/>
                <w:szCs w:val="20"/>
                <w:lang w:val="ro-MD"/>
              </w:rPr>
            </w:pPr>
            <w:r w:rsidRPr="00DE15E9">
              <w:rPr>
                <w:rFonts w:ascii="Times New Roman" w:eastAsia="Times New Roman" w:hAnsi="Times New Roman" w:cs="Times New Roman"/>
                <w:b/>
                <w:sz w:val="20"/>
                <w:szCs w:val="20"/>
                <w:lang w:val="ro-MD"/>
              </w:rPr>
              <w:t>Titlul actului normativ național</w:t>
            </w:r>
          </w:p>
          <w:p w14:paraId="5FCD5A67" w14:textId="0EC3EA20" w:rsidR="006B10BA" w:rsidRPr="00DE15E9" w:rsidRDefault="006B10BA" w:rsidP="00514579">
            <w:pPr>
              <w:spacing w:after="0" w:line="276" w:lineRule="auto"/>
              <w:rPr>
                <w:rFonts w:ascii="Times New Roman" w:eastAsia="Times New Roman" w:hAnsi="Times New Roman" w:cs="Times New Roman"/>
                <w:b/>
                <w:sz w:val="20"/>
                <w:szCs w:val="20"/>
                <w:highlight w:val="white"/>
                <w:lang w:val="ro-MD"/>
              </w:rPr>
            </w:pPr>
            <w:r w:rsidRPr="00DE15E9">
              <w:rPr>
                <w:rFonts w:ascii="Times New Roman" w:eastAsia="Times New Roman" w:hAnsi="Times New Roman" w:cs="Times New Roman"/>
                <w:b/>
                <w:sz w:val="20"/>
                <w:szCs w:val="20"/>
                <w:highlight w:val="white"/>
                <w:lang w:val="ro-MD"/>
              </w:rPr>
              <w:t>Title of the national normative act</w:t>
            </w:r>
          </w:p>
        </w:tc>
      </w:tr>
      <w:tr w:rsidR="009B1317" w:rsidRPr="00DE15E9" w14:paraId="560070AA" w14:textId="77777777" w:rsidTr="00033703">
        <w:trPr>
          <w:trHeight w:val="120"/>
        </w:trPr>
        <w:tc>
          <w:tcPr>
            <w:tcW w:w="465" w:type="dxa"/>
            <w:vMerge/>
          </w:tcPr>
          <w:p w14:paraId="2195FC81" w14:textId="77777777" w:rsidR="009B1317" w:rsidRPr="00DE15E9" w:rsidRDefault="009B1317" w:rsidP="00514579">
            <w:pPr>
              <w:spacing w:after="0" w:line="276" w:lineRule="auto"/>
              <w:jc w:val="center"/>
              <w:rPr>
                <w:rFonts w:ascii="Times New Roman" w:eastAsia="Times New Roman" w:hAnsi="Times New Roman" w:cs="Times New Roman"/>
                <w:b/>
                <w:sz w:val="20"/>
                <w:szCs w:val="20"/>
                <w:highlight w:val="white"/>
                <w:lang w:val="ro-MD"/>
              </w:rPr>
            </w:pPr>
          </w:p>
        </w:tc>
        <w:tc>
          <w:tcPr>
            <w:tcW w:w="15837" w:type="dxa"/>
          </w:tcPr>
          <w:p w14:paraId="41B6FA8D" w14:textId="77777777" w:rsidR="009B1317" w:rsidRPr="00DE15E9" w:rsidRDefault="009B1317" w:rsidP="00514579">
            <w:pPr>
              <w:spacing w:after="0" w:line="276" w:lineRule="auto"/>
              <w:rPr>
                <w:rFonts w:ascii="Times New Roman" w:eastAsia="Times New Roman" w:hAnsi="Times New Roman" w:cs="Times New Roman"/>
                <w:bCs/>
                <w:sz w:val="20"/>
                <w:szCs w:val="20"/>
                <w:highlight w:val="white"/>
                <w:lang w:val="ro-MD"/>
              </w:rPr>
            </w:pPr>
            <w:r w:rsidRPr="00DE15E9">
              <w:rPr>
                <w:rFonts w:ascii="Times New Roman" w:eastAsia="Times New Roman" w:hAnsi="Times New Roman" w:cs="Times New Roman"/>
                <w:bCs/>
                <w:sz w:val="20"/>
                <w:szCs w:val="20"/>
                <w:highlight w:val="white"/>
                <w:lang w:val="ro-MD"/>
              </w:rPr>
              <w:t>Proiect de lege privind practicil</w:t>
            </w:r>
            <w:r w:rsidR="00037ECA" w:rsidRPr="00DE15E9">
              <w:rPr>
                <w:rFonts w:ascii="Times New Roman" w:eastAsia="Times New Roman" w:hAnsi="Times New Roman" w:cs="Times New Roman"/>
                <w:bCs/>
                <w:sz w:val="20"/>
                <w:szCs w:val="20"/>
                <w:highlight w:val="white"/>
                <w:lang w:val="ro-MD"/>
              </w:rPr>
              <w:t>e</w:t>
            </w:r>
            <w:r w:rsidRPr="00DE15E9">
              <w:rPr>
                <w:rFonts w:ascii="Times New Roman" w:eastAsia="Times New Roman" w:hAnsi="Times New Roman" w:cs="Times New Roman"/>
                <w:bCs/>
                <w:sz w:val="20"/>
                <w:szCs w:val="20"/>
                <w:highlight w:val="white"/>
                <w:lang w:val="ro-MD"/>
              </w:rPr>
              <w:t xml:space="preserve"> comerciale neloiale</w:t>
            </w:r>
            <w:r w:rsidR="00037ECA" w:rsidRPr="00DE15E9">
              <w:rPr>
                <w:rFonts w:ascii="Times New Roman" w:hAnsi="Times New Roman" w:cs="Times New Roman"/>
                <w:bCs/>
                <w:sz w:val="20"/>
                <w:szCs w:val="20"/>
              </w:rPr>
              <w:t xml:space="preserve"> </w:t>
            </w:r>
            <w:r w:rsidR="00037ECA" w:rsidRPr="00DE15E9">
              <w:rPr>
                <w:rFonts w:ascii="Times New Roman" w:eastAsia="Times New Roman" w:hAnsi="Times New Roman" w:cs="Times New Roman"/>
                <w:bCs/>
                <w:sz w:val="20"/>
                <w:szCs w:val="20"/>
                <w:lang w:val="ro-MD"/>
              </w:rPr>
              <w:t>dintre întreprinderi în cadrul</w:t>
            </w:r>
            <w:r w:rsidRPr="00DE15E9">
              <w:rPr>
                <w:rFonts w:ascii="Times New Roman" w:eastAsia="Times New Roman" w:hAnsi="Times New Roman" w:cs="Times New Roman"/>
                <w:bCs/>
                <w:sz w:val="20"/>
                <w:szCs w:val="20"/>
                <w:highlight w:val="white"/>
                <w:lang w:val="ro-MD"/>
              </w:rPr>
              <w:t xml:space="preserve"> lanțului de aprovizionare agricol și alimentar</w:t>
            </w:r>
          </w:p>
          <w:p w14:paraId="12049CCF" w14:textId="6DCBA366" w:rsidR="006B10BA" w:rsidRPr="00DE15E9" w:rsidRDefault="006B10BA" w:rsidP="00514579">
            <w:pPr>
              <w:spacing w:after="0" w:line="276" w:lineRule="auto"/>
              <w:rPr>
                <w:rFonts w:ascii="Times New Roman" w:eastAsia="Times New Roman" w:hAnsi="Times New Roman" w:cs="Times New Roman"/>
                <w:b/>
                <w:bCs/>
                <w:sz w:val="20"/>
                <w:szCs w:val="20"/>
                <w:highlight w:val="white"/>
                <w:lang w:val="ro-MD"/>
              </w:rPr>
            </w:pPr>
            <w:r w:rsidRPr="00DE15E9">
              <w:rPr>
                <w:rFonts w:ascii="Times New Roman" w:hAnsi="Times New Roman" w:cs="Times New Roman"/>
                <w:sz w:val="20"/>
                <w:szCs w:val="20"/>
              </w:rPr>
              <w:t>Law on unfair trading practices in business-to-business relationships in the agricultural and food supply chain</w:t>
            </w:r>
          </w:p>
        </w:tc>
      </w:tr>
      <w:tr w:rsidR="009B1317" w:rsidRPr="00DE15E9" w14:paraId="791F7B6B" w14:textId="77777777" w:rsidTr="00033703">
        <w:trPr>
          <w:trHeight w:val="120"/>
        </w:trPr>
        <w:tc>
          <w:tcPr>
            <w:tcW w:w="465" w:type="dxa"/>
            <w:vMerge w:val="restart"/>
          </w:tcPr>
          <w:p w14:paraId="69EEFDD3" w14:textId="77777777" w:rsidR="009B1317" w:rsidRPr="00DE15E9" w:rsidRDefault="009B1317" w:rsidP="00514579">
            <w:pPr>
              <w:spacing w:after="0" w:line="276" w:lineRule="auto"/>
              <w:jc w:val="center"/>
              <w:rPr>
                <w:rFonts w:ascii="Times New Roman" w:eastAsia="Times New Roman" w:hAnsi="Times New Roman" w:cs="Times New Roman"/>
                <w:b/>
                <w:sz w:val="20"/>
                <w:szCs w:val="20"/>
                <w:highlight w:val="white"/>
                <w:lang w:val="ro-MD"/>
              </w:rPr>
            </w:pPr>
            <w:r w:rsidRPr="00DE15E9">
              <w:rPr>
                <w:rFonts w:ascii="Times New Roman" w:eastAsia="Times New Roman" w:hAnsi="Times New Roman" w:cs="Times New Roman"/>
                <w:b/>
                <w:sz w:val="20"/>
                <w:szCs w:val="20"/>
                <w:highlight w:val="white"/>
                <w:lang w:val="ro-MD"/>
              </w:rPr>
              <w:t>3</w:t>
            </w:r>
          </w:p>
        </w:tc>
        <w:tc>
          <w:tcPr>
            <w:tcW w:w="15837" w:type="dxa"/>
          </w:tcPr>
          <w:p w14:paraId="03FC4A36" w14:textId="77777777" w:rsidR="009B1317" w:rsidRPr="00DE15E9" w:rsidRDefault="009B1317" w:rsidP="00514579">
            <w:pPr>
              <w:spacing w:after="0" w:line="276" w:lineRule="auto"/>
              <w:rPr>
                <w:rFonts w:ascii="Times New Roman" w:hAnsi="Times New Roman" w:cs="Times New Roman"/>
                <w:b/>
                <w:bCs/>
                <w:sz w:val="20"/>
                <w:szCs w:val="20"/>
                <w:lang w:val="ro-MD"/>
              </w:rPr>
            </w:pPr>
            <w:r w:rsidRPr="00DE15E9">
              <w:rPr>
                <w:rFonts w:ascii="Times New Roman" w:hAnsi="Times New Roman" w:cs="Times New Roman"/>
                <w:b/>
                <w:bCs/>
                <w:sz w:val="20"/>
                <w:szCs w:val="20"/>
                <w:lang w:val="ro-MD"/>
              </w:rPr>
              <w:t>Gradul general de compatibilitate</w:t>
            </w:r>
          </w:p>
          <w:p w14:paraId="108C8037" w14:textId="02686A8C" w:rsidR="006B10BA" w:rsidRPr="00DE15E9" w:rsidRDefault="006B10BA" w:rsidP="00514579">
            <w:pPr>
              <w:spacing w:after="0" w:line="276" w:lineRule="auto"/>
              <w:rPr>
                <w:rFonts w:ascii="Times New Roman" w:eastAsia="Times New Roman" w:hAnsi="Times New Roman" w:cs="Times New Roman"/>
                <w:b/>
                <w:sz w:val="20"/>
                <w:szCs w:val="20"/>
                <w:highlight w:val="white"/>
                <w:lang w:val="ro-MD"/>
              </w:rPr>
            </w:pPr>
            <w:r w:rsidRPr="00DE15E9">
              <w:rPr>
                <w:rFonts w:ascii="Times New Roman" w:eastAsia="Times New Roman" w:hAnsi="Times New Roman" w:cs="Times New Roman"/>
                <w:b/>
                <w:sz w:val="20"/>
                <w:szCs w:val="20"/>
                <w:highlight w:val="white"/>
                <w:lang w:val="ro-MD"/>
              </w:rPr>
              <w:t>Overall degree of compatibility</w:t>
            </w:r>
          </w:p>
        </w:tc>
      </w:tr>
      <w:tr w:rsidR="009B1317" w:rsidRPr="00DE15E9" w14:paraId="7A8565B8" w14:textId="77777777" w:rsidTr="00033703">
        <w:trPr>
          <w:trHeight w:val="120"/>
        </w:trPr>
        <w:tc>
          <w:tcPr>
            <w:tcW w:w="465" w:type="dxa"/>
            <w:vMerge/>
          </w:tcPr>
          <w:p w14:paraId="47CEB5FA" w14:textId="77777777" w:rsidR="009B1317" w:rsidRPr="00DE15E9" w:rsidRDefault="009B1317" w:rsidP="00514579">
            <w:pPr>
              <w:spacing w:after="0" w:line="276" w:lineRule="auto"/>
              <w:jc w:val="center"/>
              <w:rPr>
                <w:rFonts w:ascii="Times New Roman" w:eastAsia="Times New Roman" w:hAnsi="Times New Roman" w:cs="Times New Roman"/>
                <w:b/>
                <w:sz w:val="20"/>
                <w:szCs w:val="20"/>
                <w:highlight w:val="white"/>
                <w:lang w:val="ro-MD"/>
              </w:rPr>
            </w:pPr>
          </w:p>
        </w:tc>
        <w:tc>
          <w:tcPr>
            <w:tcW w:w="15837" w:type="dxa"/>
          </w:tcPr>
          <w:p w14:paraId="05F709F7" w14:textId="77777777" w:rsidR="009B1317" w:rsidRPr="00DE15E9" w:rsidRDefault="00AC7C3F" w:rsidP="00514579">
            <w:pPr>
              <w:spacing w:after="0" w:line="276" w:lineRule="auto"/>
              <w:jc w:val="both"/>
              <w:rPr>
                <w:rFonts w:ascii="Times New Roman" w:hAnsi="Times New Roman" w:cs="Times New Roman"/>
                <w:b/>
                <w:sz w:val="20"/>
                <w:szCs w:val="20"/>
                <w:lang w:val="ro-MD"/>
              </w:rPr>
            </w:pPr>
            <w:r w:rsidRPr="00DE15E9">
              <w:rPr>
                <w:rFonts w:ascii="Times New Roman" w:hAnsi="Times New Roman" w:cs="Times New Roman"/>
                <w:b/>
                <w:sz w:val="20"/>
                <w:szCs w:val="20"/>
                <w:lang w:val="ro-MD"/>
              </w:rPr>
              <w:t>Compatibil</w:t>
            </w:r>
          </w:p>
          <w:p w14:paraId="60280645" w14:textId="5E2FE45B" w:rsidR="006B10BA" w:rsidRPr="00DE15E9" w:rsidRDefault="006B10BA" w:rsidP="00514579">
            <w:pPr>
              <w:spacing w:after="0" w:line="276" w:lineRule="auto"/>
              <w:jc w:val="both"/>
              <w:rPr>
                <w:rFonts w:ascii="Times New Roman" w:eastAsia="Times New Roman" w:hAnsi="Times New Roman" w:cs="Times New Roman"/>
                <w:sz w:val="20"/>
                <w:szCs w:val="20"/>
                <w:highlight w:val="white"/>
                <w:lang w:val="ro-MD"/>
              </w:rPr>
            </w:pPr>
            <w:r w:rsidRPr="00DE15E9">
              <w:rPr>
                <w:rFonts w:ascii="Times New Roman" w:eastAsia="Times New Roman" w:hAnsi="Times New Roman" w:cs="Times New Roman"/>
                <w:b/>
                <w:sz w:val="20"/>
                <w:szCs w:val="20"/>
                <w:highlight w:val="white"/>
                <w:lang w:val="ro-MD"/>
              </w:rPr>
              <w:t>Compatible</w:t>
            </w:r>
          </w:p>
        </w:tc>
      </w:tr>
      <w:tr w:rsidR="009B1317" w:rsidRPr="00DE15E9" w14:paraId="3248B874" w14:textId="77777777" w:rsidTr="00033703">
        <w:trPr>
          <w:trHeight w:val="120"/>
        </w:trPr>
        <w:tc>
          <w:tcPr>
            <w:tcW w:w="465" w:type="dxa"/>
            <w:vMerge w:val="restart"/>
          </w:tcPr>
          <w:p w14:paraId="6A9C502F" w14:textId="77777777" w:rsidR="009B1317" w:rsidRPr="00DE15E9" w:rsidRDefault="009B1317" w:rsidP="00514579">
            <w:pPr>
              <w:spacing w:after="0" w:line="276" w:lineRule="auto"/>
              <w:jc w:val="center"/>
              <w:rPr>
                <w:rFonts w:ascii="Times New Roman" w:eastAsia="Times New Roman" w:hAnsi="Times New Roman" w:cs="Times New Roman"/>
                <w:b/>
                <w:sz w:val="20"/>
                <w:szCs w:val="20"/>
                <w:highlight w:val="white"/>
                <w:lang w:val="ro-MD"/>
              </w:rPr>
            </w:pPr>
            <w:r w:rsidRPr="00DE15E9">
              <w:rPr>
                <w:rFonts w:ascii="Times New Roman" w:eastAsia="Times New Roman" w:hAnsi="Times New Roman" w:cs="Times New Roman"/>
                <w:b/>
                <w:sz w:val="20"/>
                <w:szCs w:val="20"/>
                <w:highlight w:val="white"/>
                <w:lang w:val="ro-MD"/>
              </w:rPr>
              <w:t>4</w:t>
            </w:r>
          </w:p>
        </w:tc>
        <w:tc>
          <w:tcPr>
            <w:tcW w:w="15837" w:type="dxa"/>
          </w:tcPr>
          <w:p w14:paraId="4C3BD834" w14:textId="77777777" w:rsidR="009B1317" w:rsidRPr="00DE15E9" w:rsidRDefault="009B1317" w:rsidP="00514579">
            <w:pPr>
              <w:spacing w:after="0" w:line="276" w:lineRule="auto"/>
              <w:rPr>
                <w:rFonts w:ascii="Times New Roman" w:hAnsi="Times New Roman" w:cs="Times New Roman"/>
                <w:b/>
                <w:bCs/>
                <w:sz w:val="20"/>
                <w:szCs w:val="20"/>
                <w:lang w:val="ro-MD"/>
              </w:rPr>
            </w:pPr>
            <w:r w:rsidRPr="00DE15E9">
              <w:rPr>
                <w:rFonts w:ascii="Times New Roman" w:hAnsi="Times New Roman" w:cs="Times New Roman"/>
                <w:b/>
                <w:bCs/>
                <w:sz w:val="20"/>
                <w:szCs w:val="20"/>
                <w:lang w:val="ro-MD"/>
              </w:rPr>
              <w:t>Autoritatea</w:t>
            </w:r>
            <w:r w:rsidR="006B10BA" w:rsidRPr="00DE15E9">
              <w:rPr>
                <w:rFonts w:ascii="Times New Roman" w:hAnsi="Times New Roman" w:cs="Times New Roman"/>
                <w:b/>
                <w:bCs/>
                <w:sz w:val="20"/>
                <w:szCs w:val="20"/>
                <w:lang w:val="ro-MD"/>
              </w:rPr>
              <w:t xml:space="preserve"> responsabilă</w:t>
            </w:r>
          </w:p>
          <w:p w14:paraId="09BCFD29" w14:textId="67A4113A" w:rsidR="006B10BA" w:rsidRPr="00DE15E9" w:rsidRDefault="006B10BA" w:rsidP="00514579">
            <w:pPr>
              <w:spacing w:after="0" w:line="276" w:lineRule="auto"/>
              <w:rPr>
                <w:rFonts w:ascii="Times New Roman" w:eastAsia="Times New Roman" w:hAnsi="Times New Roman" w:cs="Times New Roman"/>
                <w:b/>
                <w:sz w:val="20"/>
                <w:szCs w:val="20"/>
                <w:highlight w:val="white"/>
                <w:lang w:val="ro-MD"/>
              </w:rPr>
            </w:pPr>
            <w:r w:rsidRPr="00DE15E9">
              <w:rPr>
                <w:rFonts w:ascii="Times New Roman" w:eastAsia="Times New Roman" w:hAnsi="Times New Roman" w:cs="Times New Roman"/>
                <w:b/>
                <w:sz w:val="20"/>
                <w:szCs w:val="20"/>
                <w:highlight w:val="white"/>
                <w:lang w:val="ro-MD"/>
              </w:rPr>
              <w:t>Responsible authority</w:t>
            </w:r>
          </w:p>
        </w:tc>
      </w:tr>
      <w:tr w:rsidR="009B1317" w:rsidRPr="00DE15E9" w14:paraId="757EF253" w14:textId="77777777" w:rsidTr="00033703">
        <w:trPr>
          <w:trHeight w:val="120"/>
        </w:trPr>
        <w:tc>
          <w:tcPr>
            <w:tcW w:w="465" w:type="dxa"/>
            <w:vMerge/>
          </w:tcPr>
          <w:p w14:paraId="2AD91A93" w14:textId="77777777" w:rsidR="009B1317" w:rsidRPr="00DE15E9" w:rsidRDefault="009B1317" w:rsidP="00514579">
            <w:pPr>
              <w:spacing w:after="0" w:line="276" w:lineRule="auto"/>
              <w:jc w:val="center"/>
              <w:rPr>
                <w:rFonts w:ascii="Times New Roman" w:eastAsia="Times New Roman" w:hAnsi="Times New Roman" w:cs="Times New Roman"/>
                <w:b/>
                <w:sz w:val="20"/>
                <w:szCs w:val="20"/>
                <w:highlight w:val="white"/>
                <w:lang w:val="ro-MD"/>
              </w:rPr>
            </w:pPr>
          </w:p>
        </w:tc>
        <w:tc>
          <w:tcPr>
            <w:tcW w:w="15837" w:type="dxa"/>
          </w:tcPr>
          <w:p w14:paraId="580A8735" w14:textId="77777777" w:rsidR="009B1317" w:rsidRPr="00DE15E9" w:rsidRDefault="00BD358E" w:rsidP="00514579">
            <w:pPr>
              <w:spacing w:after="0" w:line="276" w:lineRule="auto"/>
              <w:rPr>
                <w:rFonts w:ascii="Times New Roman" w:hAnsi="Times New Roman" w:cs="Times New Roman"/>
                <w:b/>
                <w:sz w:val="20"/>
                <w:szCs w:val="20"/>
                <w:lang w:val="ro-MD"/>
              </w:rPr>
            </w:pPr>
            <w:r w:rsidRPr="00DE15E9">
              <w:rPr>
                <w:rFonts w:ascii="Times New Roman" w:hAnsi="Times New Roman" w:cs="Times New Roman"/>
                <w:b/>
                <w:sz w:val="20"/>
                <w:szCs w:val="20"/>
                <w:lang w:val="ro-MD"/>
              </w:rPr>
              <w:t xml:space="preserve">Ministerul Agriculturii și Industriei Alimentare </w:t>
            </w:r>
          </w:p>
          <w:p w14:paraId="65DD4A79" w14:textId="4BEC7F8C" w:rsidR="006B10BA" w:rsidRPr="00DE15E9" w:rsidRDefault="006B10BA" w:rsidP="00514579">
            <w:pPr>
              <w:spacing w:after="0" w:line="276" w:lineRule="auto"/>
              <w:rPr>
                <w:rFonts w:ascii="Times New Roman" w:eastAsia="Times New Roman" w:hAnsi="Times New Roman" w:cs="Times New Roman"/>
                <w:b/>
                <w:sz w:val="20"/>
                <w:szCs w:val="20"/>
                <w:highlight w:val="white"/>
                <w:lang w:val="ro-MD"/>
              </w:rPr>
            </w:pPr>
            <w:r w:rsidRPr="00DE15E9">
              <w:rPr>
                <w:rFonts w:ascii="Times New Roman" w:eastAsia="Times New Roman" w:hAnsi="Times New Roman" w:cs="Times New Roman"/>
                <w:b/>
                <w:sz w:val="20"/>
                <w:szCs w:val="20"/>
                <w:highlight w:val="white"/>
                <w:lang w:val="ro-MD"/>
              </w:rPr>
              <w:t>Ministry of Agriculture and Food Industry</w:t>
            </w:r>
          </w:p>
        </w:tc>
      </w:tr>
      <w:tr w:rsidR="009B1317" w:rsidRPr="00DE15E9" w14:paraId="25C0C825" w14:textId="77777777" w:rsidTr="00033703">
        <w:trPr>
          <w:trHeight w:val="120"/>
        </w:trPr>
        <w:tc>
          <w:tcPr>
            <w:tcW w:w="465" w:type="dxa"/>
            <w:vMerge w:val="restart"/>
          </w:tcPr>
          <w:p w14:paraId="22234959" w14:textId="77777777" w:rsidR="009B1317" w:rsidRPr="00DE15E9" w:rsidRDefault="009B1317" w:rsidP="00514579">
            <w:pPr>
              <w:spacing w:after="0" w:line="276" w:lineRule="auto"/>
              <w:jc w:val="center"/>
              <w:rPr>
                <w:rFonts w:ascii="Times New Roman" w:eastAsia="Times New Roman" w:hAnsi="Times New Roman" w:cs="Times New Roman"/>
                <w:b/>
                <w:sz w:val="20"/>
                <w:szCs w:val="20"/>
                <w:highlight w:val="white"/>
                <w:lang w:val="ro-MD"/>
              </w:rPr>
            </w:pPr>
            <w:r w:rsidRPr="00DE15E9">
              <w:rPr>
                <w:rFonts w:ascii="Times New Roman" w:eastAsia="Times New Roman" w:hAnsi="Times New Roman" w:cs="Times New Roman"/>
                <w:b/>
                <w:sz w:val="20"/>
                <w:szCs w:val="20"/>
                <w:highlight w:val="white"/>
                <w:lang w:val="ro-MD"/>
              </w:rPr>
              <w:t>5</w:t>
            </w:r>
          </w:p>
        </w:tc>
        <w:tc>
          <w:tcPr>
            <w:tcW w:w="15837" w:type="dxa"/>
          </w:tcPr>
          <w:p w14:paraId="4459EECB" w14:textId="77777777" w:rsidR="009B1317" w:rsidRPr="00DE15E9" w:rsidRDefault="009B1317" w:rsidP="00514579">
            <w:pPr>
              <w:spacing w:after="0" w:line="276" w:lineRule="auto"/>
              <w:rPr>
                <w:rFonts w:ascii="Times New Roman" w:hAnsi="Times New Roman" w:cs="Times New Roman"/>
                <w:b/>
                <w:bCs/>
                <w:sz w:val="20"/>
                <w:szCs w:val="20"/>
                <w:lang w:val="ro-MD"/>
              </w:rPr>
            </w:pPr>
            <w:r w:rsidRPr="00DE15E9">
              <w:rPr>
                <w:rFonts w:ascii="Times New Roman" w:hAnsi="Times New Roman" w:cs="Times New Roman"/>
                <w:b/>
                <w:bCs/>
                <w:sz w:val="20"/>
                <w:szCs w:val="20"/>
                <w:lang w:val="ro-MD"/>
              </w:rPr>
              <w:t>Data întocmirii</w:t>
            </w:r>
            <w:r w:rsidR="003D4B24" w:rsidRPr="00DE15E9">
              <w:rPr>
                <w:rFonts w:ascii="Times New Roman" w:hAnsi="Times New Roman" w:cs="Times New Roman"/>
                <w:b/>
                <w:bCs/>
                <w:sz w:val="20"/>
                <w:szCs w:val="20"/>
                <w:lang w:val="ro-MD"/>
              </w:rPr>
              <w:t>/ revizuirii</w:t>
            </w:r>
          </w:p>
          <w:p w14:paraId="3EC1A416" w14:textId="766CE9D2" w:rsidR="006B10BA" w:rsidRPr="00DE15E9" w:rsidRDefault="006B10BA" w:rsidP="00514579">
            <w:pPr>
              <w:spacing w:after="0" w:line="276" w:lineRule="auto"/>
              <w:rPr>
                <w:rFonts w:ascii="Times New Roman" w:eastAsia="Times New Roman" w:hAnsi="Times New Roman" w:cs="Times New Roman"/>
                <w:b/>
                <w:sz w:val="20"/>
                <w:szCs w:val="20"/>
                <w:highlight w:val="white"/>
                <w:lang w:val="ro-MD"/>
              </w:rPr>
            </w:pPr>
            <w:r w:rsidRPr="00DE15E9">
              <w:rPr>
                <w:rFonts w:ascii="Times New Roman" w:hAnsi="Times New Roman" w:cs="Times New Roman"/>
                <w:sz w:val="20"/>
                <w:szCs w:val="20"/>
              </w:rPr>
              <w:t>Date of preparation/revision</w:t>
            </w:r>
          </w:p>
        </w:tc>
      </w:tr>
      <w:tr w:rsidR="009B1317" w:rsidRPr="00DE15E9" w14:paraId="409E1B7D" w14:textId="77777777" w:rsidTr="00033703">
        <w:trPr>
          <w:trHeight w:val="120"/>
        </w:trPr>
        <w:tc>
          <w:tcPr>
            <w:tcW w:w="465" w:type="dxa"/>
            <w:vMerge/>
          </w:tcPr>
          <w:p w14:paraId="6FCAF959" w14:textId="77777777" w:rsidR="009B1317" w:rsidRPr="00DE15E9" w:rsidRDefault="009B1317" w:rsidP="00514579">
            <w:pPr>
              <w:spacing w:after="0" w:line="276" w:lineRule="auto"/>
              <w:jc w:val="center"/>
              <w:rPr>
                <w:rFonts w:ascii="Times New Roman" w:eastAsia="Times New Roman" w:hAnsi="Times New Roman" w:cs="Times New Roman"/>
                <w:b/>
                <w:sz w:val="20"/>
                <w:szCs w:val="20"/>
                <w:highlight w:val="white"/>
                <w:lang w:val="ro-MD"/>
              </w:rPr>
            </w:pPr>
          </w:p>
        </w:tc>
        <w:tc>
          <w:tcPr>
            <w:tcW w:w="15837" w:type="dxa"/>
          </w:tcPr>
          <w:p w14:paraId="58CCB73A" w14:textId="1AC24B97" w:rsidR="009B1317" w:rsidRPr="00DE15E9" w:rsidRDefault="00214F4F" w:rsidP="00514579">
            <w:pPr>
              <w:spacing w:after="0" w:line="276" w:lineRule="auto"/>
              <w:rPr>
                <w:rFonts w:ascii="Times New Roman" w:eastAsia="Times New Roman" w:hAnsi="Times New Roman" w:cs="Times New Roman"/>
                <w:b/>
                <w:sz w:val="20"/>
                <w:szCs w:val="20"/>
                <w:highlight w:val="white"/>
                <w:lang w:val="ro-MD"/>
              </w:rPr>
            </w:pPr>
            <w:r w:rsidRPr="00DE15E9">
              <w:rPr>
                <w:rFonts w:ascii="Times New Roman" w:hAnsi="Times New Roman" w:cs="Times New Roman"/>
                <w:sz w:val="20"/>
                <w:szCs w:val="20"/>
                <w:lang w:val="ro-MD"/>
              </w:rPr>
              <w:t>04.02</w:t>
            </w:r>
            <w:r w:rsidR="009B1317" w:rsidRPr="00DE15E9">
              <w:rPr>
                <w:rFonts w:ascii="Times New Roman" w:hAnsi="Times New Roman" w:cs="Times New Roman"/>
                <w:sz w:val="20"/>
                <w:szCs w:val="20"/>
                <w:lang w:val="ro-MD"/>
              </w:rPr>
              <w:t>.202</w:t>
            </w:r>
            <w:r w:rsidR="00875C3B" w:rsidRPr="00DE15E9">
              <w:rPr>
                <w:rFonts w:ascii="Times New Roman" w:hAnsi="Times New Roman" w:cs="Times New Roman"/>
                <w:sz w:val="20"/>
                <w:szCs w:val="20"/>
                <w:lang w:val="ro-MD"/>
              </w:rPr>
              <w:t>6</w:t>
            </w:r>
            <w:r w:rsidR="003D4B24" w:rsidRPr="00DE15E9">
              <w:rPr>
                <w:rFonts w:ascii="Times New Roman" w:hAnsi="Times New Roman" w:cs="Times New Roman"/>
                <w:sz w:val="20"/>
                <w:szCs w:val="20"/>
                <w:lang w:val="ro-MD"/>
              </w:rPr>
              <w:t xml:space="preserve">/ </w:t>
            </w:r>
            <w:r w:rsidR="00067D0E" w:rsidRPr="00DE15E9">
              <w:rPr>
                <w:rFonts w:ascii="Times New Roman" w:hAnsi="Times New Roman" w:cs="Times New Roman"/>
                <w:sz w:val="20"/>
                <w:szCs w:val="20"/>
                <w:lang w:val="ro-MD"/>
              </w:rPr>
              <w:t>25.05</w:t>
            </w:r>
            <w:r w:rsidR="003D4B24" w:rsidRPr="00DE15E9">
              <w:rPr>
                <w:rFonts w:ascii="Times New Roman" w:hAnsi="Times New Roman" w:cs="Times New Roman"/>
                <w:sz w:val="20"/>
                <w:szCs w:val="20"/>
                <w:lang w:val="ro-MD"/>
              </w:rPr>
              <w:t>.2026</w:t>
            </w:r>
            <w:r w:rsidR="00875C3B" w:rsidRPr="00DE15E9">
              <w:rPr>
                <w:rFonts w:ascii="Times New Roman" w:hAnsi="Times New Roman" w:cs="Times New Roman"/>
                <w:sz w:val="20"/>
                <w:szCs w:val="20"/>
                <w:lang w:val="ro-MD"/>
              </w:rPr>
              <w:t>/ 11.06.2026</w:t>
            </w:r>
            <w:r w:rsidR="00580C0F">
              <w:rPr>
                <w:rFonts w:ascii="Times New Roman" w:hAnsi="Times New Roman" w:cs="Times New Roman"/>
                <w:sz w:val="20"/>
                <w:szCs w:val="20"/>
                <w:lang w:val="ro-MD"/>
              </w:rPr>
              <w:t>/ 29.09.2026 (coordonarea CE)</w:t>
            </w:r>
          </w:p>
        </w:tc>
      </w:tr>
      <w:tr w:rsidR="009B1317" w:rsidRPr="00DE15E9" w14:paraId="0EC69B8D" w14:textId="77777777" w:rsidTr="00033703">
        <w:tc>
          <w:tcPr>
            <w:tcW w:w="465" w:type="dxa"/>
            <w:vMerge w:val="restart"/>
          </w:tcPr>
          <w:p w14:paraId="0C916813" w14:textId="77777777" w:rsidR="009B1317" w:rsidRPr="00DE15E9" w:rsidRDefault="009B1317" w:rsidP="00514579">
            <w:pPr>
              <w:spacing w:after="0" w:line="276" w:lineRule="auto"/>
              <w:jc w:val="center"/>
              <w:rPr>
                <w:rFonts w:ascii="Times New Roman" w:eastAsia="Times New Roman" w:hAnsi="Times New Roman" w:cs="Times New Roman"/>
                <w:b/>
                <w:sz w:val="20"/>
                <w:szCs w:val="20"/>
                <w:highlight w:val="white"/>
                <w:lang w:val="ro-MD"/>
              </w:rPr>
            </w:pPr>
            <w:r w:rsidRPr="00DE15E9">
              <w:rPr>
                <w:rFonts w:ascii="Times New Roman" w:eastAsia="Times New Roman" w:hAnsi="Times New Roman" w:cs="Times New Roman"/>
                <w:b/>
                <w:sz w:val="20"/>
                <w:szCs w:val="20"/>
                <w:highlight w:val="white"/>
                <w:lang w:val="ro-MD"/>
              </w:rPr>
              <w:t>6</w:t>
            </w:r>
          </w:p>
        </w:tc>
        <w:tc>
          <w:tcPr>
            <w:tcW w:w="15837" w:type="dxa"/>
          </w:tcPr>
          <w:p w14:paraId="698A011B" w14:textId="77777777" w:rsidR="002850F9" w:rsidRPr="00DE15E9" w:rsidRDefault="009B1317" w:rsidP="00514579">
            <w:pPr>
              <w:spacing w:after="0" w:line="276" w:lineRule="auto"/>
              <w:rPr>
                <w:rFonts w:ascii="Times New Roman" w:hAnsi="Times New Roman" w:cs="Times New Roman"/>
                <w:b/>
                <w:bCs/>
                <w:sz w:val="20"/>
                <w:szCs w:val="20"/>
                <w:lang w:val="ro-MD"/>
              </w:rPr>
            </w:pPr>
            <w:r w:rsidRPr="00DE15E9">
              <w:rPr>
                <w:rFonts w:ascii="Times New Roman" w:hAnsi="Times New Roman" w:cs="Times New Roman"/>
                <w:b/>
                <w:bCs/>
                <w:sz w:val="20"/>
                <w:szCs w:val="20"/>
                <w:lang w:val="ro-MD"/>
              </w:rPr>
              <w:t>Traducere verificată de B</w:t>
            </w:r>
            <w:r w:rsidR="006B10BA" w:rsidRPr="00DE15E9">
              <w:rPr>
                <w:rFonts w:ascii="Times New Roman" w:hAnsi="Times New Roman" w:cs="Times New Roman"/>
                <w:b/>
                <w:bCs/>
                <w:sz w:val="20"/>
                <w:szCs w:val="20"/>
                <w:lang w:val="ro-MD"/>
              </w:rPr>
              <w:t xml:space="preserve">iroul pentru </w:t>
            </w:r>
            <w:r w:rsidRPr="00DE15E9">
              <w:rPr>
                <w:rFonts w:ascii="Times New Roman" w:hAnsi="Times New Roman" w:cs="Times New Roman"/>
                <w:b/>
                <w:bCs/>
                <w:sz w:val="20"/>
                <w:szCs w:val="20"/>
                <w:lang w:val="ro-MD"/>
              </w:rPr>
              <w:t>I</w:t>
            </w:r>
            <w:r w:rsidR="006B10BA" w:rsidRPr="00DE15E9">
              <w:rPr>
                <w:rFonts w:ascii="Times New Roman" w:hAnsi="Times New Roman" w:cs="Times New Roman"/>
                <w:b/>
                <w:bCs/>
                <w:sz w:val="20"/>
                <w:szCs w:val="20"/>
                <w:lang w:val="ro-MD"/>
              </w:rPr>
              <w:t xml:space="preserve">ntegrare </w:t>
            </w:r>
            <w:r w:rsidRPr="00DE15E9">
              <w:rPr>
                <w:rFonts w:ascii="Times New Roman" w:hAnsi="Times New Roman" w:cs="Times New Roman"/>
                <w:b/>
                <w:bCs/>
                <w:sz w:val="20"/>
                <w:szCs w:val="20"/>
                <w:lang w:val="ro-MD"/>
              </w:rPr>
              <w:t>E</w:t>
            </w:r>
            <w:r w:rsidR="006B10BA" w:rsidRPr="00DE15E9">
              <w:rPr>
                <w:rFonts w:ascii="Times New Roman" w:hAnsi="Times New Roman" w:cs="Times New Roman"/>
                <w:b/>
                <w:bCs/>
                <w:sz w:val="20"/>
                <w:szCs w:val="20"/>
                <w:lang w:val="ro-MD"/>
              </w:rPr>
              <w:t>uropeană</w:t>
            </w:r>
          </w:p>
          <w:p w14:paraId="41525654" w14:textId="68EED4CA" w:rsidR="006B10BA" w:rsidRPr="00DE15E9" w:rsidRDefault="006B10BA" w:rsidP="00514579">
            <w:pPr>
              <w:spacing w:after="0" w:line="276" w:lineRule="auto"/>
              <w:rPr>
                <w:rFonts w:ascii="Times New Roman" w:hAnsi="Times New Roman" w:cs="Times New Roman"/>
                <w:b/>
                <w:bCs/>
                <w:sz w:val="20"/>
                <w:szCs w:val="20"/>
                <w:lang w:val="ro-MD"/>
              </w:rPr>
            </w:pPr>
            <w:r w:rsidRPr="00DE15E9">
              <w:rPr>
                <w:rFonts w:ascii="Times New Roman" w:hAnsi="Times New Roman" w:cs="Times New Roman"/>
                <w:sz w:val="20"/>
                <w:szCs w:val="20"/>
              </w:rPr>
              <w:t>Translation verified by the Bureau for European Integration</w:t>
            </w:r>
          </w:p>
        </w:tc>
      </w:tr>
      <w:tr w:rsidR="009B1317" w:rsidRPr="00DE15E9" w14:paraId="157418A3" w14:textId="77777777" w:rsidTr="00033703">
        <w:tc>
          <w:tcPr>
            <w:tcW w:w="465" w:type="dxa"/>
            <w:vMerge/>
          </w:tcPr>
          <w:p w14:paraId="744A2B30" w14:textId="77777777" w:rsidR="009B1317" w:rsidRPr="00DE15E9" w:rsidRDefault="009B1317" w:rsidP="00514579">
            <w:pPr>
              <w:spacing w:after="0" w:line="276" w:lineRule="auto"/>
              <w:jc w:val="center"/>
              <w:rPr>
                <w:rFonts w:ascii="Times New Roman" w:eastAsia="Times New Roman" w:hAnsi="Times New Roman" w:cs="Times New Roman"/>
                <w:b/>
                <w:sz w:val="20"/>
                <w:szCs w:val="20"/>
                <w:highlight w:val="white"/>
                <w:lang w:val="ro-MD"/>
              </w:rPr>
            </w:pPr>
          </w:p>
        </w:tc>
        <w:tc>
          <w:tcPr>
            <w:tcW w:w="15837" w:type="dxa"/>
          </w:tcPr>
          <w:p w14:paraId="5C67CEC4" w14:textId="77777777" w:rsidR="009B1317" w:rsidRPr="00DE15E9" w:rsidRDefault="009B1317" w:rsidP="00514579">
            <w:pPr>
              <w:spacing w:after="0" w:line="276" w:lineRule="auto"/>
              <w:rPr>
                <w:rFonts w:ascii="Times New Roman" w:eastAsia="Times New Roman" w:hAnsi="Times New Roman" w:cs="Times New Roman"/>
                <w:b/>
                <w:sz w:val="20"/>
                <w:szCs w:val="20"/>
                <w:highlight w:val="white"/>
                <w:lang w:val="ro-MD"/>
              </w:rPr>
            </w:pPr>
          </w:p>
        </w:tc>
      </w:tr>
    </w:tbl>
    <w:p w14:paraId="21E1DA1E" w14:textId="77777777" w:rsidR="009B1317" w:rsidRPr="00DE15E9" w:rsidRDefault="009B1317" w:rsidP="00514579">
      <w:pPr>
        <w:widowControl w:val="0"/>
        <w:pBdr>
          <w:top w:val="nil"/>
          <w:left w:val="nil"/>
          <w:bottom w:val="nil"/>
          <w:right w:val="nil"/>
          <w:between w:val="nil"/>
        </w:pBdr>
        <w:spacing w:after="0" w:line="276" w:lineRule="auto"/>
        <w:rPr>
          <w:rFonts w:ascii="Times New Roman" w:eastAsia="Arial" w:hAnsi="Times New Roman" w:cs="Times New Roman"/>
          <w:sz w:val="20"/>
          <w:szCs w:val="20"/>
          <w:lang w:val="ro-MD"/>
        </w:rPr>
      </w:pPr>
    </w:p>
    <w:tbl>
      <w:tblPr>
        <w:tblW w:w="16302"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30"/>
        <w:gridCol w:w="2547"/>
        <w:gridCol w:w="2552"/>
        <w:gridCol w:w="2693"/>
        <w:gridCol w:w="2693"/>
        <w:gridCol w:w="1276"/>
        <w:gridCol w:w="1985"/>
        <w:gridCol w:w="2126"/>
      </w:tblGrid>
      <w:tr w:rsidR="000E2328" w:rsidRPr="00DE15E9" w14:paraId="6A01DD2B" w14:textId="77777777" w:rsidTr="00033703">
        <w:trPr>
          <w:tblHeader/>
        </w:trPr>
        <w:tc>
          <w:tcPr>
            <w:tcW w:w="430" w:type="dxa"/>
          </w:tcPr>
          <w:p w14:paraId="70796D83" w14:textId="77777777" w:rsidR="000E2328" w:rsidRPr="00DE15E9" w:rsidRDefault="000E2328" w:rsidP="00DE15E9">
            <w:pPr>
              <w:spacing w:after="0" w:line="240" w:lineRule="auto"/>
              <w:jc w:val="center"/>
              <w:rPr>
                <w:rFonts w:ascii="Times New Roman" w:hAnsi="Times New Roman" w:cs="Times New Roman"/>
                <w:b/>
                <w:bCs/>
                <w:sz w:val="20"/>
                <w:szCs w:val="20"/>
                <w:lang w:val="ro-MD"/>
              </w:rPr>
            </w:pPr>
          </w:p>
        </w:tc>
        <w:tc>
          <w:tcPr>
            <w:tcW w:w="2547" w:type="dxa"/>
            <w:vAlign w:val="center"/>
          </w:tcPr>
          <w:p w14:paraId="7D6B38C4" w14:textId="77777777" w:rsidR="000E2328" w:rsidRPr="00DE15E9" w:rsidRDefault="000E2328" w:rsidP="00DE15E9">
            <w:pPr>
              <w:spacing w:after="0" w:line="240" w:lineRule="auto"/>
              <w:jc w:val="center"/>
              <w:rPr>
                <w:rFonts w:ascii="Times New Roman" w:hAnsi="Times New Roman" w:cs="Times New Roman"/>
                <w:b/>
                <w:bCs/>
                <w:sz w:val="20"/>
                <w:szCs w:val="20"/>
                <w:lang w:val="ro-MD"/>
              </w:rPr>
            </w:pPr>
          </w:p>
          <w:p w14:paraId="156DB2EA" w14:textId="77777777" w:rsidR="000E2328" w:rsidRPr="00DE15E9" w:rsidRDefault="000E2328" w:rsidP="00DE15E9">
            <w:pPr>
              <w:spacing w:after="0" w:line="240" w:lineRule="auto"/>
              <w:jc w:val="center"/>
              <w:rPr>
                <w:rFonts w:ascii="Times New Roman" w:hAnsi="Times New Roman" w:cs="Times New Roman"/>
                <w:b/>
                <w:bCs/>
                <w:sz w:val="20"/>
                <w:szCs w:val="20"/>
                <w:lang w:val="ro-MD"/>
              </w:rPr>
            </w:pPr>
            <w:r w:rsidRPr="00DE15E9">
              <w:rPr>
                <w:rFonts w:ascii="Times New Roman" w:hAnsi="Times New Roman" w:cs="Times New Roman"/>
                <w:b/>
                <w:bCs/>
                <w:sz w:val="20"/>
                <w:szCs w:val="20"/>
                <w:lang w:val="ro-MD"/>
              </w:rPr>
              <w:t>Actul UE în limba română</w:t>
            </w:r>
          </w:p>
          <w:p w14:paraId="2C756A4A" w14:textId="77777777" w:rsidR="000E2328" w:rsidRPr="00DE15E9" w:rsidRDefault="000E2328" w:rsidP="00DE15E9">
            <w:pPr>
              <w:spacing w:after="0" w:line="240" w:lineRule="auto"/>
              <w:jc w:val="center"/>
              <w:rPr>
                <w:rFonts w:ascii="Times New Roman" w:eastAsia="Times New Roman" w:hAnsi="Times New Roman" w:cs="Times New Roman"/>
                <w:sz w:val="20"/>
                <w:szCs w:val="20"/>
                <w:lang w:val="ro-MD"/>
              </w:rPr>
            </w:pPr>
          </w:p>
        </w:tc>
        <w:tc>
          <w:tcPr>
            <w:tcW w:w="2552" w:type="dxa"/>
            <w:vAlign w:val="center"/>
          </w:tcPr>
          <w:p w14:paraId="2F7B63F6" w14:textId="77777777" w:rsidR="000E2328" w:rsidRPr="00DE15E9" w:rsidRDefault="000E2328" w:rsidP="00DE15E9">
            <w:pPr>
              <w:spacing w:after="0" w:line="240" w:lineRule="auto"/>
              <w:jc w:val="center"/>
              <w:rPr>
                <w:rFonts w:ascii="Times New Roman" w:hAnsi="Times New Roman" w:cs="Times New Roman"/>
                <w:b/>
                <w:bCs/>
                <w:sz w:val="20"/>
                <w:szCs w:val="20"/>
                <w:lang w:val="ro-MD"/>
              </w:rPr>
            </w:pPr>
            <w:r w:rsidRPr="00DE15E9">
              <w:rPr>
                <w:rFonts w:ascii="Times New Roman" w:hAnsi="Times New Roman" w:cs="Times New Roman"/>
                <w:b/>
                <w:bCs/>
                <w:sz w:val="20"/>
                <w:szCs w:val="20"/>
                <w:lang w:val="ro-MD"/>
              </w:rPr>
              <w:t>Actul Uniunii</w:t>
            </w:r>
          </w:p>
          <w:p w14:paraId="2BB6AE5C" w14:textId="77777777" w:rsidR="000E2328" w:rsidRPr="00DE15E9" w:rsidRDefault="000E2328" w:rsidP="00DE15E9">
            <w:pPr>
              <w:spacing w:after="0" w:line="240" w:lineRule="auto"/>
              <w:jc w:val="center"/>
              <w:rPr>
                <w:rFonts w:ascii="Times New Roman" w:hAnsi="Times New Roman" w:cs="Times New Roman"/>
                <w:b/>
                <w:bCs/>
                <w:sz w:val="20"/>
                <w:szCs w:val="20"/>
                <w:lang w:val="ro-MD"/>
              </w:rPr>
            </w:pPr>
            <w:r w:rsidRPr="00DE15E9">
              <w:rPr>
                <w:rFonts w:ascii="Times New Roman" w:hAnsi="Times New Roman" w:cs="Times New Roman"/>
                <w:b/>
                <w:bCs/>
                <w:sz w:val="20"/>
                <w:szCs w:val="20"/>
                <w:lang w:val="ro-MD"/>
              </w:rPr>
              <w:t>Europene în limba engleză</w:t>
            </w:r>
          </w:p>
          <w:p w14:paraId="1A4BB8AB" w14:textId="77777777" w:rsidR="000E2328" w:rsidRPr="00DE15E9" w:rsidRDefault="000E2328" w:rsidP="00DE15E9">
            <w:pPr>
              <w:spacing w:after="0" w:line="240" w:lineRule="auto"/>
              <w:jc w:val="center"/>
              <w:rPr>
                <w:rFonts w:ascii="Times New Roman" w:eastAsia="Times New Roman" w:hAnsi="Times New Roman" w:cs="Times New Roman"/>
                <w:sz w:val="20"/>
                <w:szCs w:val="20"/>
                <w:lang w:val="en-GB"/>
              </w:rPr>
            </w:pPr>
          </w:p>
        </w:tc>
        <w:tc>
          <w:tcPr>
            <w:tcW w:w="2693" w:type="dxa"/>
            <w:vAlign w:val="center"/>
          </w:tcPr>
          <w:p w14:paraId="65F84944" w14:textId="77777777" w:rsidR="000E2328" w:rsidRPr="00DE15E9" w:rsidRDefault="000E2328" w:rsidP="00DE15E9">
            <w:pPr>
              <w:tabs>
                <w:tab w:val="left" w:pos="311"/>
              </w:tabs>
              <w:spacing w:after="0" w:line="240" w:lineRule="auto"/>
              <w:jc w:val="center"/>
              <w:rPr>
                <w:rFonts w:ascii="Times New Roman" w:hAnsi="Times New Roman" w:cs="Times New Roman"/>
                <w:b/>
                <w:bCs/>
                <w:sz w:val="20"/>
                <w:szCs w:val="20"/>
                <w:lang w:val="ro-MD"/>
              </w:rPr>
            </w:pPr>
            <w:r w:rsidRPr="00DE15E9">
              <w:rPr>
                <w:rFonts w:ascii="Times New Roman" w:hAnsi="Times New Roman" w:cs="Times New Roman"/>
                <w:b/>
                <w:bCs/>
                <w:sz w:val="20"/>
                <w:szCs w:val="20"/>
                <w:lang w:val="ro-MD"/>
              </w:rPr>
              <w:t>Actul/actele</w:t>
            </w:r>
          </w:p>
          <w:p w14:paraId="011FAB0C" w14:textId="77777777" w:rsidR="000E2328" w:rsidRPr="00DE15E9" w:rsidRDefault="000E2328" w:rsidP="00DE15E9">
            <w:pPr>
              <w:tabs>
                <w:tab w:val="left" w:pos="311"/>
              </w:tabs>
              <w:spacing w:after="0" w:line="240" w:lineRule="auto"/>
              <w:jc w:val="center"/>
              <w:rPr>
                <w:rFonts w:ascii="Times New Roman" w:hAnsi="Times New Roman" w:cs="Times New Roman"/>
                <w:b/>
                <w:bCs/>
                <w:sz w:val="20"/>
                <w:szCs w:val="20"/>
                <w:lang w:val="ro-MD"/>
              </w:rPr>
            </w:pPr>
            <w:r w:rsidRPr="00DE15E9">
              <w:rPr>
                <w:rFonts w:ascii="Times New Roman" w:hAnsi="Times New Roman" w:cs="Times New Roman"/>
                <w:b/>
                <w:bCs/>
                <w:sz w:val="20"/>
                <w:szCs w:val="20"/>
                <w:lang w:val="ro-MD"/>
              </w:rPr>
              <w:t>normativ/e național/e în</w:t>
            </w:r>
          </w:p>
          <w:p w14:paraId="36F189B5" w14:textId="77777777" w:rsidR="000E2328" w:rsidRPr="00DE15E9" w:rsidRDefault="000E2328" w:rsidP="00DE15E9">
            <w:pPr>
              <w:tabs>
                <w:tab w:val="left" w:pos="311"/>
              </w:tabs>
              <w:spacing w:after="0" w:line="240" w:lineRule="auto"/>
              <w:jc w:val="center"/>
              <w:rPr>
                <w:rFonts w:ascii="Times New Roman" w:eastAsia="Times New Roman" w:hAnsi="Times New Roman" w:cs="Times New Roman"/>
                <w:b/>
                <w:sz w:val="20"/>
                <w:szCs w:val="20"/>
                <w:lang w:val="ro-MD"/>
              </w:rPr>
            </w:pPr>
            <w:r w:rsidRPr="00DE15E9">
              <w:rPr>
                <w:rFonts w:ascii="Times New Roman" w:hAnsi="Times New Roman" w:cs="Times New Roman"/>
                <w:b/>
                <w:bCs/>
                <w:sz w:val="20"/>
                <w:szCs w:val="20"/>
                <w:lang w:val="ro-MD"/>
              </w:rPr>
              <w:t>limba română</w:t>
            </w:r>
          </w:p>
        </w:tc>
        <w:tc>
          <w:tcPr>
            <w:tcW w:w="2693" w:type="dxa"/>
            <w:vAlign w:val="center"/>
          </w:tcPr>
          <w:p w14:paraId="6B3CADE2" w14:textId="77777777" w:rsidR="000E2328" w:rsidRPr="00DE15E9" w:rsidRDefault="000E2328" w:rsidP="00DE15E9">
            <w:pPr>
              <w:spacing w:after="0" w:line="240" w:lineRule="auto"/>
              <w:jc w:val="center"/>
              <w:rPr>
                <w:rFonts w:ascii="Times New Roman" w:hAnsi="Times New Roman" w:cs="Times New Roman"/>
                <w:b/>
                <w:bCs/>
                <w:sz w:val="20"/>
                <w:szCs w:val="20"/>
                <w:lang w:val="ro-MD"/>
              </w:rPr>
            </w:pPr>
            <w:r w:rsidRPr="00DE15E9">
              <w:rPr>
                <w:rFonts w:ascii="Times New Roman" w:hAnsi="Times New Roman" w:cs="Times New Roman"/>
                <w:b/>
                <w:bCs/>
                <w:sz w:val="20"/>
                <w:szCs w:val="20"/>
                <w:lang w:val="ro-MD"/>
              </w:rPr>
              <w:t>Traducerea</w:t>
            </w:r>
          </w:p>
          <w:p w14:paraId="11E7A733" w14:textId="77777777" w:rsidR="000E2328" w:rsidRPr="00DE15E9" w:rsidRDefault="000E2328" w:rsidP="00DE15E9">
            <w:pPr>
              <w:spacing w:after="0" w:line="240" w:lineRule="auto"/>
              <w:jc w:val="center"/>
              <w:rPr>
                <w:rFonts w:ascii="Times New Roman" w:hAnsi="Times New Roman" w:cs="Times New Roman"/>
                <w:b/>
                <w:bCs/>
                <w:sz w:val="20"/>
                <w:szCs w:val="20"/>
                <w:lang w:val="ro-MD"/>
              </w:rPr>
            </w:pPr>
            <w:r w:rsidRPr="00DE15E9">
              <w:rPr>
                <w:rFonts w:ascii="Times New Roman" w:hAnsi="Times New Roman" w:cs="Times New Roman"/>
                <w:b/>
                <w:bCs/>
                <w:sz w:val="20"/>
                <w:szCs w:val="20"/>
                <w:lang w:val="ro-MD"/>
              </w:rPr>
              <w:t>actului/actelor</w:t>
            </w:r>
          </w:p>
          <w:p w14:paraId="7F05F8CF" w14:textId="77777777" w:rsidR="000E2328" w:rsidRPr="00DE15E9" w:rsidRDefault="000E2328" w:rsidP="00DE15E9">
            <w:pPr>
              <w:spacing w:after="0" w:line="240" w:lineRule="auto"/>
              <w:jc w:val="center"/>
              <w:rPr>
                <w:rFonts w:ascii="Times New Roman" w:eastAsia="Times New Roman" w:hAnsi="Times New Roman" w:cs="Times New Roman"/>
                <w:sz w:val="20"/>
                <w:szCs w:val="20"/>
                <w:lang w:val="ro-MD"/>
              </w:rPr>
            </w:pPr>
            <w:r w:rsidRPr="00DE15E9">
              <w:rPr>
                <w:rFonts w:ascii="Times New Roman" w:hAnsi="Times New Roman" w:cs="Times New Roman"/>
                <w:b/>
                <w:bCs/>
                <w:sz w:val="20"/>
                <w:szCs w:val="20"/>
                <w:lang w:val="ro-MD"/>
              </w:rPr>
              <w:t>normativ/e în limba engleză</w:t>
            </w:r>
          </w:p>
        </w:tc>
        <w:tc>
          <w:tcPr>
            <w:tcW w:w="1276" w:type="dxa"/>
            <w:vAlign w:val="center"/>
          </w:tcPr>
          <w:p w14:paraId="232720A0" w14:textId="77777777" w:rsidR="000E2328" w:rsidRPr="00DE15E9" w:rsidRDefault="000E2328" w:rsidP="00DE15E9">
            <w:pPr>
              <w:spacing w:after="0" w:line="240" w:lineRule="auto"/>
              <w:jc w:val="center"/>
              <w:rPr>
                <w:rFonts w:ascii="Times New Roman" w:hAnsi="Times New Roman" w:cs="Times New Roman"/>
                <w:b/>
                <w:bCs/>
                <w:sz w:val="20"/>
                <w:szCs w:val="20"/>
                <w:lang w:val="ro-MD"/>
              </w:rPr>
            </w:pPr>
            <w:r w:rsidRPr="00DE15E9">
              <w:rPr>
                <w:rFonts w:ascii="Times New Roman" w:hAnsi="Times New Roman" w:cs="Times New Roman"/>
                <w:b/>
                <w:bCs/>
                <w:sz w:val="20"/>
                <w:szCs w:val="20"/>
                <w:lang w:val="ro-MD"/>
              </w:rPr>
              <w:t>Gradul de</w:t>
            </w:r>
          </w:p>
          <w:p w14:paraId="2F1B64AE" w14:textId="77777777" w:rsidR="000E2328" w:rsidRPr="00DE15E9" w:rsidRDefault="000E2328" w:rsidP="00DE15E9">
            <w:pPr>
              <w:spacing w:after="0" w:line="240" w:lineRule="auto"/>
              <w:jc w:val="center"/>
              <w:rPr>
                <w:rFonts w:ascii="Times New Roman" w:eastAsia="Times New Roman" w:hAnsi="Times New Roman" w:cs="Times New Roman"/>
                <w:sz w:val="20"/>
                <w:szCs w:val="20"/>
                <w:lang w:val="ro-MD"/>
              </w:rPr>
            </w:pPr>
            <w:r w:rsidRPr="00DE15E9">
              <w:rPr>
                <w:rFonts w:ascii="Times New Roman" w:hAnsi="Times New Roman" w:cs="Times New Roman"/>
                <w:b/>
                <w:bCs/>
                <w:sz w:val="20"/>
                <w:szCs w:val="20"/>
                <w:lang w:val="ro-MD"/>
              </w:rPr>
              <w:t>Compatibilitate</w:t>
            </w:r>
          </w:p>
        </w:tc>
        <w:tc>
          <w:tcPr>
            <w:tcW w:w="1985" w:type="dxa"/>
            <w:vAlign w:val="center"/>
          </w:tcPr>
          <w:p w14:paraId="48F236C9" w14:textId="77777777" w:rsidR="000E2328" w:rsidRPr="00DE15E9" w:rsidRDefault="000E2328" w:rsidP="00DE15E9">
            <w:pPr>
              <w:spacing w:after="0" w:line="240" w:lineRule="auto"/>
              <w:jc w:val="center"/>
              <w:rPr>
                <w:rFonts w:ascii="Times New Roman" w:hAnsi="Times New Roman" w:cs="Times New Roman"/>
                <w:b/>
                <w:bCs/>
                <w:sz w:val="20"/>
                <w:szCs w:val="20"/>
                <w:lang w:val="ro-MD"/>
              </w:rPr>
            </w:pPr>
            <w:r w:rsidRPr="00DE15E9">
              <w:rPr>
                <w:rFonts w:ascii="Times New Roman" w:hAnsi="Times New Roman" w:cs="Times New Roman"/>
                <w:b/>
                <w:bCs/>
                <w:sz w:val="20"/>
                <w:szCs w:val="20"/>
                <w:lang w:val="ro-MD"/>
              </w:rPr>
              <w:t>Observațiile</w:t>
            </w:r>
          </w:p>
          <w:p w14:paraId="0F2C931E" w14:textId="77777777" w:rsidR="000E2328" w:rsidRPr="00DE15E9" w:rsidRDefault="000E2328" w:rsidP="00DE15E9">
            <w:pPr>
              <w:spacing w:after="0" w:line="240" w:lineRule="auto"/>
              <w:jc w:val="center"/>
              <w:rPr>
                <w:rFonts w:ascii="Times New Roman" w:hAnsi="Times New Roman" w:cs="Times New Roman"/>
                <w:b/>
                <w:bCs/>
                <w:sz w:val="20"/>
                <w:szCs w:val="20"/>
                <w:lang w:val="ro-MD"/>
              </w:rPr>
            </w:pPr>
            <w:r w:rsidRPr="00DE15E9">
              <w:rPr>
                <w:rFonts w:ascii="Times New Roman" w:hAnsi="Times New Roman" w:cs="Times New Roman"/>
                <w:b/>
                <w:bCs/>
                <w:sz w:val="20"/>
                <w:szCs w:val="20"/>
                <w:lang w:val="ro-MD"/>
              </w:rPr>
              <w:t>Republicii</w:t>
            </w:r>
          </w:p>
          <w:p w14:paraId="3C148E10" w14:textId="77777777" w:rsidR="000E2328" w:rsidRPr="00DE15E9" w:rsidRDefault="000E2328" w:rsidP="00DE15E9">
            <w:pPr>
              <w:spacing w:after="0" w:line="240" w:lineRule="auto"/>
              <w:jc w:val="center"/>
              <w:rPr>
                <w:rFonts w:ascii="Times New Roman" w:eastAsia="Times New Roman" w:hAnsi="Times New Roman" w:cs="Times New Roman"/>
                <w:sz w:val="20"/>
                <w:szCs w:val="20"/>
                <w:lang w:val="ro-MD"/>
              </w:rPr>
            </w:pPr>
            <w:r w:rsidRPr="00DE15E9">
              <w:rPr>
                <w:rFonts w:ascii="Times New Roman" w:hAnsi="Times New Roman" w:cs="Times New Roman"/>
                <w:b/>
                <w:bCs/>
                <w:sz w:val="20"/>
                <w:szCs w:val="20"/>
                <w:lang w:val="ro-MD"/>
              </w:rPr>
              <w:t>Moldova</w:t>
            </w:r>
          </w:p>
        </w:tc>
        <w:tc>
          <w:tcPr>
            <w:tcW w:w="2126" w:type="dxa"/>
            <w:vAlign w:val="center"/>
          </w:tcPr>
          <w:p w14:paraId="7B9ABD12" w14:textId="77777777" w:rsidR="000E2328" w:rsidRPr="00DE15E9" w:rsidRDefault="000E2328" w:rsidP="00DE15E9">
            <w:pPr>
              <w:spacing w:after="0" w:line="240" w:lineRule="auto"/>
              <w:jc w:val="center"/>
              <w:rPr>
                <w:rFonts w:ascii="Times New Roman" w:hAnsi="Times New Roman" w:cs="Times New Roman"/>
                <w:b/>
                <w:bCs/>
                <w:sz w:val="20"/>
                <w:szCs w:val="20"/>
                <w:lang w:val="ro-MD"/>
              </w:rPr>
            </w:pPr>
            <w:r w:rsidRPr="00DE15E9">
              <w:rPr>
                <w:rFonts w:ascii="Times New Roman" w:hAnsi="Times New Roman" w:cs="Times New Roman"/>
                <w:b/>
                <w:bCs/>
                <w:sz w:val="20"/>
                <w:szCs w:val="20"/>
                <w:lang w:val="ro-MD"/>
              </w:rPr>
              <w:t>Observațiile</w:t>
            </w:r>
          </w:p>
          <w:p w14:paraId="7A5463C1" w14:textId="77777777" w:rsidR="000E2328" w:rsidRPr="00DE15E9" w:rsidRDefault="000E2328" w:rsidP="00DE15E9">
            <w:pPr>
              <w:spacing w:after="0" w:line="240" w:lineRule="auto"/>
              <w:jc w:val="center"/>
              <w:rPr>
                <w:rFonts w:ascii="Times New Roman" w:hAnsi="Times New Roman" w:cs="Times New Roman"/>
                <w:b/>
                <w:bCs/>
                <w:sz w:val="20"/>
                <w:szCs w:val="20"/>
                <w:lang w:val="ro-MD"/>
              </w:rPr>
            </w:pPr>
            <w:r w:rsidRPr="00DE15E9">
              <w:rPr>
                <w:rFonts w:ascii="Times New Roman" w:hAnsi="Times New Roman" w:cs="Times New Roman"/>
                <w:b/>
                <w:bCs/>
                <w:sz w:val="20"/>
                <w:szCs w:val="20"/>
                <w:lang w:val="ro-MD"/>
              </w:rPr>
              <w:t>Comisiei</w:t>
            </w:r>
          </w:p>
          <w:p w14:paraId="1283EC03" w14:textId="77777777" w:rsidR="000E2328" w:rsidRPr="00DE15E9" w:rsidRDefault="000E2328" w:rsidP="00DE15E9">
            <w:pPr>
              <w:spacing w:after="0" w:line="240" w:lineRule="auto"/>
              <w:jc w:val="center"/>
              <w:rPr>
                <w:rFonts w:ascii="Times New Roman" w:eastAsia="Times New Roman" w:hAnsi="Times New Roman" w:cs="Times New Roman"/>
                <w:sz w:val="20"/>
                <w:szCs w:val="20"/>
                <w:lang w:val="ro-MD"/>
              </w:rPr>
            </w:pPr>
            <w:r w:rsidRPr="00DE15E9">
              <w:rPr>
                <w:rFonts w:ascii="Times New Roman" w:hAnsi="Times New Roman" w:cs="Times New Roman"/>
                <w:b/>
                <w:bCs/>
                <w:sz w:val="20"/>
                <w:szCs w:val="20"/>
                <w:lang w:val="ro-MD"/>
              </w:rPr>
              <w:t>Europene</w:t>
            </w:r>
          </w:p>
        </w:tc>
      </w:tr>
      <w:tr w:rsidR="000E2328" w:rsidRPr="00DE15E9" w14:paraId="725A629D" w14:textId="77777777" w:rsidTr="00033703">
        <w:trPr>
          <w:tblHeader/>
        </w:trPr>
        <w:tc>
          <w:tcPr>
            <w:tcW w:w="430" w:type="dxa"/>
          </w:tcPr>
          <w:p w14:paraId="648EAFA8" w14:textId="77777777" w:rsidR="000E2328" w:rsidRPr="00DE15E9" w:rsidRDefault="000E2328" w:rsidP="00DE15E9">
            <w:pPr>
              <w:spacing w:after="0" w:line="240" w:lineRule="auto"/>
              <w:jc w:val="center"/>
              <w:rPr>
                <w:rFonts w:ascii="Times New Roman" w:hAnsi="Times New Roman" w:cs="Times New Roman"/>
                <w:b/>
                <w:bCs/>
                <w:sz w:val="20"/>
                <w:szCs w:val="20"/>
                <w:lang w:val="ro-MD"/>
              </w:rPr>
            </w:pPr>
          </w:p>
        </w:tc>
        <w:tc>
          <w:tcPr>
            <w:tcW w:w="2547" w:type="dxa"/>
            <w:vAlign w:val="center"/>
          </w:tcPr>
          <w:p w14:paraId="50F5B598" w14:textId="77777777" w:rsidR="000E2328" w:rsidRPr="00DE15E9" w:rsidRDefault="000E2328" w:rsidP="00DE15E9">
            <w:pPr>
              <w:spacing w:after="0" w:line="240" w:lineRule="auto"/>
              <w:jc w:val="center"/>
              <w:rPr>
                <w:rFonts w:ascii="Times New Roman" w:eastAsia="Times New Roman" w:hAnsi="Times New Roman" w:cs="Times New Roman"/>
                <w:sz w:val="20"/>
                <w:szCs w:val="20"/>
                <w:lang w:val="ro-MD"/>
              </w:rPr>
            </w:pPr>
            <w:r w:rsidRPr="00DE15E9">
              <w:rPr>
                <w:rFonts w:ascii="Times New Roman" w:hAnsi="Times New Roman" w:cs="Times New Roman"/>
                <w:b/>
                <w:bCs/>
                <w:sz w:val="20"/>
                <w:szCs w:val="20"/>
                <w:lang w:val="ro-MD"/>
              </w:rPr>
              <w:t>7.</w:t>
            </w:r>
          </w:p>
        </w:tc>
        <w:tc>
          <w:tcPr>
            <w:tcW w:w="2552" w:type="dxa"/>
            <w:vAlign w:val="center"/>
          </w:tcPr>
          <w:p w14:paraId="7D4461D4" w14:textId="77777777" w:rsidR="000E2328" w:rsidRPr="00DE15E9" w:rsidRDefault="000E2328" w:rsidP="00DE15E9">
            <w:pPr>
              <w:spacing w:after="0" w:line="240" w:lineRule="auto"/>
              <w:jc w:val="center"/>
              <w:rPr>
                <w:rFonts w:ascii="Times New Roman" w:eastAsia="Times New Roman" w:hAnsi="Times New Roman" w:cs="Times New Roman"/>
                <w:sz w:val="20"/>
                <w:szCs w:val="20"/>
                <w:lang w:val="en-GB"/>
              </w:rPr>
            </w:pPr>
            <w:r w:rsidRPr="00DE15E9">
              <w:rPr>
                <w:rFonts w:ascii="Times New Roman" w:hAnsi="Times New Roman" w:cs="Times New Roman"/>
                <w:b/>
                <w:bCs/>
                <w:sz w:val="20"/>
                <w:szCs w:val="20"/>
                <w:lang w:val="en-GB"/>
              </w:rPr>
              <w:t>8.</w:t>
            </w:r>
          </w:p>
        </w:tc>
        <w:tc>
          <w:tcPr>
            <w:tcW w:w="2693" w:type="dxa"/>
            <w:vAlign w:val="center"/>
          </w:tcPr>
          <w:p w14:paraId="436A0B82" w14:textId="77777777" w:rsidR="000E2328" w:rsidRPr="00DE15E9" w:rsidRDefault="000E2328" w:rsidP="00DE15E9">
            <w:pPr>
              <w:tabs>
                <w:tab w:val="left" w:pos="311"/>
              </w:tabs>
              <w:spacing w:after="0" w:line="240" w:lineRule="auto"/>
              <w:jc w:val="center"/>
              <w:rPr>
                <w:rFonts w:ascii="Times New Roman" w:eastAsia="Times New Roman" w:hAnsi="Times New Roman" w:cs="Times New Roman"/>
                <w:b/>
                <w:sz w:val="20"/>
                <w:szCs w:val="20"/>
                <w:lang w:val="ro-MD"/>
              </w:rPr>
            </w:pPr>
            <w:r w:rsidRPr="00DE15E9">
              <w:rPr>
                <w:rFonts w:ascii="Times New Roman" w:hAnsi="Times New Roman" w:cs="Times New Roman"/>
                <w:b/>
                <w:bCs/>
                <w:sz w:val="20"/>
                <w:szCs w:val="20"/>
                <w:lang w:val="ro-MD"/>
              </w:rPr>
              <w:t>9.</w:t>
            </w:r>
          </w:p>
        </w:tc>
        <w:tc>
          <w:tcPr>
            <w:tcW w:w="2693" w:type="dxa"/>
            <w:vAlign w:val="center"/>
          </w:tcPr>
          <w:p w14:paraId="5648600E" w14:textId="77777777" w:rsidR="000E2328" w:rsidRPr="00DE15E9" w:rsidRDefault="000E2328" w:rsidP="00DE15E9">
            <w:pPr>
              <w:spacing w:after="0" w:line="240" w:lineRule="auto"/>
              <w:jc w:val="center"/>
              <w:rPr>
                <w:rFonts w:ascii="Times New Roman" w:eastAsia="Times New Roman" w:hAnsi="Times New Roman" w:cs="Times New Roman"/>
                <w:sz w:val="20"/>
                <w:szCs w:val="20"/>
                <w:lang w:val="ro-MD"/>
              </w:rPr>
            </w:pPr>
            <w:r w:rsidRPr="00DE15E9">
              <w:rPr>
                <w:rFonts w:ascii="Times New Roman" w:hAnsi="Times New Roman" w:cs="Times New Roman"/>
                <w:b/>
                <w:bCs/>
                <w:sz w:val="20"/>
                <w:szCs w:val="20"/>
                <w:lang w:val="ro-MD"/>
              </w:rPr>
              <w:t>10.</w:t>
            </w:r>
          </w:p>
        </w:tc>
        <w:tc>
          <w:tcPr>
            <w:tcW w:w="1276" w:type="dxa"/>
            <w:vAlign w:val="center"/>
          </w:tcPr>
          <w:p w14:paraId="3199CD28" w14:textId="77777777" w:rsidR="000E2328" w:rsidRPr="00DE15E9" w:rsidRDefault="000E2328" w:rsidP="00DE15E9">
            <w:pPr>
              <w:spacing w:after="0" w:line="240" w:lineRule="auto"/>
              <w:jc w:val="center"/>
              <w:rPr>
                <w:rFonts w:ascii="Times New Roman" w:eastAsia="Times New Roman" w:hAnsi="Times New Roman" w:cs="Times New Roman"/>
                <w:sz w:val="20"/>
                <w:szCs w:val="20"/>
                <w:lang w:val="ro-MD"/>
              </w:rPr>
            </w:pPr>
            <w:r w:rsidRPr="00DE15E9">
              <w:rPr>
                <w:rFonts w:ascii="Times New Roman" w:hAnsi="Times New Roman" w:cs="Times New Roman"/>
                <w:b/>
                <w:bCs/>
                <w:sz w:val="20"/>
                <w:szCs w:val="20"/>
                <w:lang w:val="ro-MD"/>
              </w:rPr>
              <w:t>11.</w:t>
            </w:r>
          </w:p>
        </w:tc>
        <w:tc>
          <w:tcPr>
            <w:tcW w:w="1985" w:type="dxa"/>
            <w:vAlign w:val="center"/>
          </w:tcPr>
          <w:p w14:paraId="746049BA" w14:textId="77777777" w:rsidR="000E2328" w:rsidRPr="00DE15E9" w:rsidRDefault="000E2328" w:rsidP="00DE15E9">
            <w:pPr>
              <w:spacing w:after="0" w:line="240" w:lineRule="auto"/>
              <w:jc w:val="center"/>
              <w:rPr>
                <w:rFonts w:ascii="Times New Roman" w:eastAsia="Times New Roman" w:hAnsi="Times New Roman" w:cs="Times New Roman"/>
                <w:sz w:val="20"/>
                <w:szCs w:val="20"/>
                <w:lang w:val="ro-MD"/>
              </w:rPr>
            </w:pPr>
            <w:r w:rsidRPr="00DE15E9">
              <w:rPr>
                <w:rFonts w:ascii="Times New Roman" w:hAnsi="Times New Roman" w:cs="Times New Roman"/>
                <w:b/>
                <w:bCs/>
                <w:sz w:val="20"/>
                <w:szCs w:val="20"/>
                <w:lang w:val="ro-MD"/>
              </w:rPr>
              <w:t>12.</w:t>
            </w:r>
          </w:p>
        </w:tc>
        <w:tc>
          <w:tcPr>
            <w:tcW w:w="2126" w:type="dxa"/>
            <w:vAlign w:val="center"/>
          </w:tcPr>
          <w:p w14:paraId="2CF94860" w14:textId="77777777" w:rsidR="000E2328" w:rsidRPr="00DE15E9" w:rsidRDefault="000E2328" w:rsidP="00DE15E9">
            <w:pPr>
              <w:spacing w:after="0" w:line="240" w:lineRule="auto"/>
              <w:jc w:val="center"/>
              <w:rPr>
                <w:rFonts w:ascii="Times New Roman" w:eastAsia="Times New Roman" w:hAnsi="Times New Roman" w:cs="Times New Roman"/>
                <w:sz w:val="20"/>
                <w:szCs w:val="20"/>
                <w:lang w:val="ro-MD"/>
              </w:rPr>
            </w:pPr>
            <w:r w:rsidRPr="00DE15E9">
              <w:rPr>
                <w:rFonts w:ascii="Times New Roman" w:hAnsi="Times New Roman" w:cs="Times New Roman"/>
                <w:b/>
                <w:bCs/>
                <w:sz w:val="20"/>
                <w:szCs w:val="20"/>
                <w:lang w:val="ro-MD"/>
              </w:rPr>
              <w:t>13.</w:t>
            </w:r>
          </w:p>
        </w:tc>
      </w:tr>
      <w:tr w:rsidR="000E2328" w:rsidRPr="00DE15E9" w14:paraId="6C813355" w14:textId="77777777" w:rsidTr="00033703">
        <w:tc>
          <w:tcPr>
            <w:tcW w:w="430" w:type="dxa"/>
            <w:tcBorders>
              <w:top w:val="single" w:sz="4" w:space="0" w:color="000000"/>
              <w:left w:val="single" w:sz="4" w:space="0" w:color="000000"/>
              <w:bottom w:val="single" w:sz="4" w:space="0" w:color="000000"/>
              <w:right w:val="single" w:sz="4" w:space="0" w:color="000000"/>
            </w:tcBorders>
          </w:tcPr>
          <w:p w14:paraId="108615C7" w14:textId="77777777" w:rsidR="000E2328" w:rsidRPr="00DE15E9" w:rsidRDefault="000E2328"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1</w:t>
            </w:r>
          </w:p>
        </w:tc>
        <w:tc>
          <w:tcPr>
            <w:tcW w:w="2547" w:type="dxa"/>
            <w:tcBorders>
              <w:top w:val="single" w:sz="4" w:space="0" w:color="000000"/>
              <w:left w:val="single" w:sz="4" w:space="0" w:color="000000"/>
              <w:bottom w:val="single" w:sz="4" w:space="0" w:color="000000"/>
              <w:right w:val="single" w:sz="4" w:space="0" w:color="000000"/>
            </w:tcBorders>
          </w:tcPr>
          <w:p w14:paraId="02FE26C6" w14:textId="77777777" w:rsidR="000E2328" w:rsidRPr="00DE15E9" w:rsidRDefault="000E2328" w:rsidP="00DE15E9">
            <w:pPr>
              <w:spacing w:after="0" w:line="240" w:lineRule="auto"/>
              <w:jc w:val="both"/>
              <w:rPr>
                <w:rFonts w:ascii="Times New Roman" w:hAnsi="Times New Roman" w:cs="Times New Roman"/>
                <w:b/>
                <w:sz w:val="20"/>
                <w:szCs w:val="20"/>
                <w:shd w:val="clear" w:color="auto" w:fill="FFFFFF"/>
                <w:lang w:val="ro-MD"/>
              </w:rPr>
            </w:pPr>
            <w:r w:rsidRPr="00DE15E9">
              <w:rPr>
                <w:rFonts w:ascii="Times New Roman" w:hAnsi="Times New Roman" w:cs="Times New Roman"/>
                <w:b/>
                <w:sz w:val="20"/>
                <w:szCs w:val="20"/>
                <w:shd w:val="clear" w:color="auto" w:fill="FFFFFF"/>
                <w:lang w:val="ro-MD"/>
              </w:rPr>
              <w:t>Articolul 1</w:t>
            </w:r>
          </w:p>
          <w:p w14:paraId="6B22253C" w14:textId="77777777" w:rsidR="000E2328" w:rsidRPr="00DE15E9" w:rsidRDefault="000E2328"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b/>
                <w:bCs/>
                <w:color w:val="333333"/>
                <w:sz w:val="20"/>
                <w:szCs w:val="20"/>
                <w:shd w:val="clear" w:color="auto" w:fill="FFFFFF"/>
                <w:lang w:val="ro-MD"/>
              </w:rPr>
              <w:t>Obiect și domeniu de aplicare</w:t>
            </w:r>
          </w:p>
          <w:p w14:paraId="17FB6E8E"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 xml:space="preserve">(1)   Pentru a combate practicile care deviază considerabil de la buna conduită comercială, care </w:t>
            </w:r>
            <w:r w:rsidRPr="00DE15E9">
              <w:rPr>
                <w:rFonts w:ascii="Times New Roman" w:hAnsi="Times New Roman" w:cs="Times New Roman"/>
                <w:sz w:val="20"/>
                <w:szCs w:val="20"/>
                <w:shd w:val="clear" w:color="auto" w:fill="FFFFFF"/>
                <w:lang w:val="ro-MD"/>
              </w:rPr>
              <w:lastRenderedPageBreak/>
              <w:t>contravin bunei credințe și corectitudinii și care sunt impuse unilateral de un partener comercial altuia, prezenta directivă stabilește o listă minimă a practicilor comerciale neloiale interzise în relațiile dintre cumpărătorii și furnizorii din cadrul lanțului de aprovizionare agricol și alimentar și prevede norme minime de asigurare a aplicării respectivelor interdicții și modalitățile de coordonare între autoritățile de aplicare a legii.</w:t>
            </w:r>
          </w:p>
        </w:tc>
        <w:tc>
          <w:tcPr>
            <w:tcW w:w="2552" w:type="dxa"/>
            <w:tcBorders>
              <w:top w:val="single" w:sz="4" w:space="0" w:color="000000"/>
              <w:left w:val="single" w:sz="4" w:space="0" w:color="000000"/>
              <w:bottom w:val="single" w:sz="4" w:space="0" w:color="000000"/>
              <w:right w:val="single" w:sz="4" w:space="0" w:color="000000"/>
            </w:tcBorders>
          </w:tcPr>
          <w:p w14:paraId="23CCFC74" w14:textId="77777777" w:rsidR="000E2328" w:rsidRPr="00DE15E9" w:rsidRDefault="000E2328" w:rsidP="00DE15E9">
            <w:pPr>
              <w:spacing w:after="0" w:line="240" w:lineRule="auto"/>
              <w:jc w:val="both"/>
              <w:rPr>
                <w:rFonts w:ascii="Times New Roman" w:hAnsi="Times New Roman" w:cs="Times New Roman"/>
                <w:b/>
                <w:sz w:val="20"/>
                <w:szCs w:val="20"/>
                <w:shd w:val="clear" w:color="auto" w:fill="FFFFFF"/>
                <w:lang w:val="en-GB"/>
              </w:rPr>
            </w:pPr>
            <w:r w:rsidRPr="00DE15E9">
              <w:rPr>
                <w:rFonts w:ascii="Times New Roman" w:hAnsi="Times New Roman" w:cs="Times New Roman"/>
                <w:b/>
                <w:sz w:val="20"/>
                <w:szCs w:val="20"/>
                <w:shd w:val="clear" w:color="auto" w:fill="FFFFFF"/>
                <w:lang w:val="en-GB"/>
              </w:rPr>
              <w:lastRenderedPageBreak/>
              <w:t>Article 1</w:t>
            </w:r>
          </w:p>
          <w:p w14:paraId="09FDB0D5" w14:textId="77777777" w:rsidR="000E2328" w:rsidRPr="00DE15E9" w:rsidRDefault="000E2328" w:rsidP="00DE15E9">
            <w:pPr>
              <w:spacing w:after="0" w:line="240" w:lineRule="auto"/>
              <w:jc w:val="both"/>
              <w:rPr>
                <w:rFonts w:ascii="Times New Roman" w:hAnsi="Times New Roman" w:cs="Times New Roman"/>
                <w:b/>
                <w:sz w:val="20"/>
                <w:szCs w:val="20"/>
                <w:shd w:val="clear" w:color="auto" w:fill="FFFFFF"/>
                <w:lang w:val="en-GB"/>
              </w:rPr>
            </w:pPr>
            <w:r w:rsidRPr="00DE15E9">
              <w:rPr>
                <w:rFonts w:ascii="Times New Roman" w:hAnsi="Times New Roman" w:cs="Times New Roman"/>
                <w:b/>
                <w:bCs/>
                <w:color w:val="333333"/>
                <w:sz w:val="20"/>
                <w:szCs w:val="20"/>
                <w:shd w:val="clear" w:color="auto" w:fill="FFFFFF"/>
                <w:lang w:val="en-GB"/>
              </w:rPr>
              <w:t>Subject matter and scope</w:t>
            </w:r>
          </w:p>
          <w:p w14:paraId="647581D1"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 xml:space="preserve">1.   With a view to combating practices that grossly deviate from good commercial conduct, that are contrary to good faith and </w:t>
            </w:r>
            <w:r w:rsidRPr="00DE15E9">
              <w:rPr>
                <w:rFonts w:ascii="Times New Roman" w:hAnsi="Times New Roman" w:cs="Times New Roman"/>
                <w:sz w:val="20"/>
                <w:szCs w:val="20"/>
                <w:shd w:val="clear" w:color="auto" w:fill="FFFFFF"/>
                <w:lang w:val="en-GB"/>
              </w:rPr>
              <w:lastRenderedPageBreak/>
              <w:t>fair dealing and that are unilaterally imposed by one trading partner on another, this Directive establishes a minimum list of prohibited unfair trading practices in relations between buyers and suppliers in the agricultural and food supply chain and lays down minimum rules concerning the enforcement of those prohibitions and arrangements for coordination between enforcement authorities.</w:t>
            </w:r>
          </w:p>
        </w:tc>
        <w:tc>
          <w:tcPr>
            <w:tcW w:w="2693" w:type="dxa"/>
            <w:tcBorders>
              <w:top w:val="single" w:sz="4" w:space="0" w:color="000000"/>
              <w:left w:val="single" w:sz="4" w:space="0" w:color="000000"/>
              <w:bottom w:val="single" w:sz="4" w:space="0" w:color="000000"/>
              <w:right w:val="single" w:sz="4" w:space="0" w:color="000000"/>
            </w:tcBorders>
          </w:tcPr>
          <w:p w14:paraId="6C7A8FDD" w14:textId="77777777" w:rsidR="00875C3B" w:rsidRPr="00DE15E9" w:rsidRDefault="00875C3B" w:rsidP="00DE15E9">
            <w:pPr>
              <w:spacing w:after="0" w:line="240" w:lineRule="auto"/>
              <w:jc w:val="both"/>
              <w:rPr>
                <w:rFonts w:ascii="Times New Roman" w:eastAsiaTheme="minorHAnsi" w:hAnsi="Times New Roman" w:cs="Times New Roman"/>
                <w:bCs/>
                <w:sz w:val="20"/>
                <w:szCs w:val="20"/>
                <w:lang w:val="ro-MD"/>
              </w:rPr>
            </w:pPr>
            <w:r w:rsidRPr="00DE15E9">
              <w:rPr>
                <w:rFonts w:ascii="Times New Roman" w:hAnsi="Times New Roman" w:cs="Times New Roman"/>
                <w:bCs/>
                <w:sz w:val="20"/>
                <w:szCs w:val="20"/>
                <w:lang w:val="ro-MD"/>
              </w:rPr>
              <w:lastRenderedPageBreak/>
              <w:t>Articolul 1. Obiectul și scopul legii</w:t>
            </w:r>
          </w:p>
          <w:p w14:paraId="34EDF4B7" w14:textId="77777777" w:rsidR="00875C3B" w:rsidRPr="00DE15E9" w:rsidRDefault="00875C3B" w:rsidP="00DE15E9">
            <w:pPr>
              <w:spacing w:after="0" w:line="240" w:lineRule="auto"/>
              <w:ind w:firstLine="426"/>
              <w:jc w:val="both"/>
              <w:rPr>
                <w:rFonts w:ascii="Times New Roman" w:hAnsi="Times New Roman" w:cs="Times New Roman"/>
                <w:sz w:val="20"/>
                <w:szCs w:val="20"/>
                <w:lang w:val="ro-MD"/>
              </w:rPr>
            </w:pPr>
            <w:r w:rsidRPr="00DE15E9">
              <w:rPr>
                <w:rFonts w:ascii="Times New Roman" w:hAnsi="Times New Roman" w:cs="Times New Roman"/>
                <w:sz w:val="20"/>
                <w:szCs w:val="20"/>
                <w:lang w:val="ro-MD"/>
              </w:rPr>
              <w:t xml:space="preserve">(1) </w:t>
            </w:r>
            <w:r w:rsidRPr="00DE15E9">
              <w:rPr>
                <w:rFonts w:ascii="Times New Roman" w:hAnsi="Times New Roman" w:cs="Times New Roman"/>
                <w:sz w:val="20"/>
                <w:szCs w:val="20"/>
              </w:rPr>
              <w:t xml:space="preserve">Prezenta lege reglementează relațiile comerciale dintre cumpărători și furnizori în cadrul lanțului de aprovizionare agricol și </w:t>
            </w:r>
            <w:r w:rsidRPr="00DE15E9">
              <w:rPr>
                <w:rFonts w:ascii="Times New Roman" w:hAnsi="Times New Roman" w:cs="Times New Roman"/>
                <w:sz w:val="20"/>
                <w:szCs w:val="20"/>
              </w:rPr>
              <w:lastRenderedPageBreak/>
              <w:t>alimentar și stabilește lista practicilor comerciale neloiale interzise, determină autoritățile de aplicare a legii și procedura de examinare și sancționare a practicilor comerciale neloiale.</w:t>
            </w:r>
          </w:p>
          <w:p w14:paraId="27D1EBD2" w14:textId="77777777" w:rsidR="00875C3B" w:rsidRPr="00DE15E9" w:rsidRDefault="00875C3B" w:rsidP="00DE15E9">
            <w:pPr>
              <w:spacing w:after="0" w:line="240" w:lineRule="auto"/>
              <w:ind w:firstLine="426"/>
              <w:jc w:val="both"/>
              <w:rPr>
                <w:rFonts w:ascii="Times New Roman" w:hAnsi="Times New Roman" w:cs="Times New Roman"/>
                <w:sz w:val="20"/>
                <w:szCs w:val="20"/>
                <w:lang w:val="ro-MD"/>
              </w:rPr>
            </w:pPr>
            <w:r w:rsidRPr="00DE15E9">
              <w:rPr>
                <w:rFonts w:ascii="Times New Roman" w:hAnsi="Times New Roman" w:cs="Times New Roman"/>
                <w:sz w:val="20"/>
                <w:szCs w:val="20"/>
                <w:lang w:val="ro-MD"/>
              </w:rPr>
              <w:t>(2) Scopul prezentei legi este:</w:t>
            </w:r>
          </w:p>
          <w:p w14:paraId="3B509AE0" w14:textId="77777777" w:rsidR="00875C3B" w:rsidRPr="00DE15E9" w:rsidRDefault="00875C3B" w:rsidP="00DE15E9">
            <w:pPr>
              <w:spacing w:after="0" w:line="240" w:lineRule="auto"/>
              <w:ind w:firstLine="426"/>
              <w:jc w:val="both"/>
              <w:rPr>
                <w:rFonts w:ascii="Times New Roman" w:hAnsi="Times New Roman" w:cs="Times New Roman"/>
                <w:sz w:val="20"/>
                <w:szCs w:val="20"/>
                <w:lang w:val="ro-MD"/>
              </w:rPr>
            </w:pPr>
            <w:r w:rsidRPr="00DE15E9">
              <w:rPr>
                <w:rFonts w:ascii="Times New Roman" w:hAnsi="Times New Roman" w:cs="Times New Roman"/>
                <w:sz w:val="20"/>
                <w:szCs w:val="20"/>
                <w:lang w:val="ro-MD"/>
              </w:rPr>
              <w:t>a) prevenirea și combaterea practicilor comerciale neloiale interzise în relațiile dintre cumpărători și furnizori din cadrul lanțului de aprovizionare agricol și alimentar;</w:t>
            </w:r>
          </w:p>
          <w:p w14:paraId="68B69A98" w14:textId="20F0683A" w:rsidR="000E2328" w:rsidRPr="00DE15E9" w:rsidRDefault="00875C3B" w:rsidP="00DE15E9">
            <w:pPr>
              <w:spacing w:after="0" w:line="240" w:lineRule="auto"/>
              <w:ind w:firstLine="426"/>
              <w:jc w:val="both"/>
              <w:rPr>
                <w:rFonts w:ascii="Times New Roman" w:hAnsi="Times New Roman" w:cs="Times New Roman"/>
                <w:sz w:val="20"/>
                <w:szCs w:val="20"/>
                <w:lang w:val="ro-MD"/>
              </w:rPr>
            </w:pPr>
            <w:r w:rsidRPr="00DE15E9">
              <w:rPr>
                <w:rFonts w:ascii="Times New Roman" w:hAnsi="Times New Roman" w:cs="Times New Roman"/>
                <w:sz w:val="20"/>
                <w:szCs w:val="20"/>
                <w:lang w:val="ro-MD"/>
              </w:rPr>
              <w:t xml:space="preserve">b) promovarea corectitudinii și transparenței în relațiile comerciale. </w:t>
            </w:r>
          </w:p>
        </w:tc>
        <w:tc>
          <w:tcPr>
            <w:tcW w:w="2693" w:type="dxa"/>
            <w:tcBorders>
              <w:top w:val="single" w:sz="4" w:space="0" w:color="000000"/>
              <w:left w:val="single" w:sz="4" w:space="0" w:color="000000"/>
              <w:bottom w:val="single" w:sz="4" w:space="0" w:color="000000"/>
              <w:right w:val="single" w:sz="4" w:space="0" w:color="000000"/>
            </w:tcBorders>
          </w:tcPr>
          <w:p w14:paraId="217C4224" w14:textId="77777777" w:rsidR="006B10BA" w:rsidRPr="00DE15E9" w:rsidRDefault="006B10BA" w:rsidP="00DE15E9">
            <w:pPr>
              <w:pStyle w:val="isselectedend"/>
              <w:spacing w:before="0" w:beforeAutospacing="0" w:after="0" w:afterAutospacing="0"/>
              <w:jc w:val="both"/>
              <w:rPr>
                <w:sz w:val="20"/>
                <w:szCs w:val="20"/>
              </w:rPr>
            </w:pPr>
            <w:r w:rsidRPr="00DE15E9">
              <w:rPr>
                <w:sz w:val="20"/>
                <w:szCs w:val="20"/>
              </w:rPr>
              <w:lastRenderedPageBreak/>
              <w:t>Article 1. Subject matter and purpose of the Law</w:t>
            </w:r>
          </w:p>
          <w:p w14:paraId="37022403" w14:textId="77777777" w:rsidR="006B10BA" w:rsidRPr="00DE15E9" w:rsidRDefault="006B10BA" w:rsidP="00DE15E9">
            <w:pPr>
              <w:pStyle w:val="isselectedend"/>
              <w:spacing w:before="0" w:beforeAutospacing="0" w:after="0" w:afterAutospacing="0"/>
              <w:jc w:val="both"/>
              <w:rPr>
                <w:sz w:val="20"/>
                <w:szCs w:val="20"/>
              </w:rPr>
            </w:pPr>
            <w:r w:rsidRPr="00DE15E9">
              <w:rPr>
                <w:sz w:val="20"/>
                <w:szCs w:val="20"/>
              </w:rPr>
              <w:t xml:space="preserve">(1) This Law regulates commercial relationships between buyers and suppliers within the agricultural and food supply chain, establishes </w:t>
            </w:r>
            <w:r w:rsidRPr="00DE15E9">
              <w:rPr>
                <w:sz w:val="20"/>
                <w:szCs w:val="20"/>
              </w:rPr>
              <w:lastRenderedPageBreak/>
              <w:t>the list of prohibited unfair trading practices, determines the enforcement authorities and lays down the procedure for examining and sanctioning unfair trading practices.</w:t>
            </w:r>
          </w:p>
          <w:p w14:paraId="682C651F" w14:textId="77777777" w:rsidR="006B10BA" w:rsidRPr="00DE15E9" w:rsidRDefault="006B10BA" w:rsidP="00DE15E9">
            <w:pPr>
              <w:pStyle w:val="isselectedend"/>
              <w:spacing w:before="0" w:beforeAutospacing="0" w:after="0" w:afterAutospacing="0"/>
              <w:jc w:val="both"/>
              <w:rPr>
                <w:sz w:val="20"/>
                <w:szCs w:val="20"/>
              </w:rPr>
            </w:pPr>
            <w:r w:rsidRPr="00DE15E9">
              <w:rPr>
                <w:sz w:val="20"/>
                <w:szCs w:val="20"/>
              </w:rPr>
              <w:t>(2) The purpose of this Law is to:</w:t>
            </w:r>
          </w:p>
          <w:p w14:paraId="0A3054E5" w14:textId="77777777" w:rsidR="006B10BA" w:rsidRPr="00DE15E9" w:rsidRDefault="006B10BA" w:rsidP="00DE15E9">
            <w:pPr>
              <w:pStyle w:val="isselectedend"/>
              <w:spacing w:before="0" w:beforeAutospacing="0" w:after="0" w:afterAutospacing="0"/>
              <w:jc w:val="both"/>
              <w:rPr>
                <w:sz w:val="20"/>
                <w:szCs w:val="20"/>
              </w:rPr>
            </w:pPr>
            <w:r w:rsidRPr="00DE15E9">
              <w:rPr>
                <w:sz w:val="20"/>
                <w:szCs w:val="20"/>
              </w:rPr>
              <w:t>a) prevent and combat prohibited unfair trading practices in relationships between buyers and suppliers within the agricultural and food supply chain;</w:t>
            </w:r>
          </w:p>
          <w:p w14:paraId="4055AA49" w14:textId="7B35879D" w:rsidR="000E2328" w:rsidRPr="00DE15E9" w:rsidRDefault="006B10BA"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rPr>
              <w:t>b) promote fairness and transparency in commercial relationships</w:t>
            </w:r>
          </w:p>
        </w:tc>
        <w:tc>
          <w:tcPr>
            <w:tcW w:w="1276" w:type="dxa"/>
            <w:tcBorders>
              <w:top w:val="single" w:sz="4" w:space="0" w:color="000000"/>
              <w:left w:val="single" w:sz="4" w:space="0" w:color="000000"/>
              <w:bottom w:val="single" w:sz="4" w:space="0" w:color="000000"/>
              <w:right w:val="single" w:sz="4" w:space="0" w:color="000000"/>
            </w:tcBorders>
          </w:tcPr>
          <w:p w14:paraId="31729008"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130C50C3" w14:textId="77777777" w:rsidR="000E2328" w:rsidRPr="00DE15E9" w:rsidRDefault="00BD358E"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Adaptat </w:t>
            </w:r>
            <w:r w:rsidR="003330DB" w:rsidRPr="00DE15E9">
              <w:rPr>
                <w:rFonts w:ascii="Times New Roman" w:eastAsia="Times New Roman" w:hAnsi="Times New Roman" w:cs="Times New Roman"/>
                <w:sz w:val="20"/>
                <w:szCs w:val="20"/>
                <w:lang w:val="ro-MD"/>
              </w:rPr>
              <w:t>caracterului</w:t>
            </w:r>
            <w:r w:rsidR="000E2328" w:rsidRPr="00DE15E9">
              <w:rPr>
                <w:rFonts w:ascii="Times New Roman" w:eastAsia="Times New Roman" w:hAnsi="Times New Roman" w:cs="Times New Roman"/>
                <w:sz w:val="20"/>
                <w:szCs w:val="20"/>
                <w:lang w:val="ro-MD"/>
              </w:rPr>
              <w:t xml:space="preserve"> </w:t>
            </w:r>
            <w:r w:rsidRPr="00DE15E9">
              <w:rPr>
                <w:rFonts w:ascii="Times New Roman" w:eastAsia="Times New Roman" w:hAnsi="Times New Roman" w:cs="Times New Roman"/>
                <w:sz w:val="20"/>
                <w:szCs w:val="20"/>
                <w:lang w:val="ro-MD"/>
              </w:rPr>
              <w:t xml:space="preserve">juridic </w:t>
            </w:r>
            <w:r w:rsidR="000E2328" w:rsidRPr="00DE15E9">
              <w:rPr>
                <w:rFonts w:ascii="Times New Roman" w:eastAsia="Times New Roman" w:hAnsi="Times New Roman" w:cs="Times New Roman"/>
                <w:sz w:val="20"/>
                <w:szCs w:val="20"/>
                <w:lang w:val="ro-MD"/>
              </w:rPr>
              <w:t>național</w:t>
            </w:r>
            <w:r w:rsidR="003330DB" w:rsidRPr="00DE15E9">
              <w:rPr>
                <w:rFonts w:ascii="Times New Roman" w:eastAsia="Times New Roman" w:hAnsi="Times New Roman" w:cs="Times New Roman"/>
                <w:sz w:val="20"/>
                <w:szCs w:val="20"/>
                <w:lang w:val="ro-MD"/>
              </w:rPr>
              <w:t xml:space="preserve"> al actelor normative</w:t>
            </w:r>
          </w:p>
        </w:tc>
        <w:tc>
          <w:tcPr>
            <w:tcW w:w="2126" w:type="dxa"/>
            <w:tcBorders>
              <w:top w:val="single" w:sz="4" w:space="0" w:color="000000"/>
              <w:left w:val="single" w:sz="4" w:space="0" w:color="000000"/>
              <w:bottom w:val="single" w:sz="4" w:space="0" w:color="000000"/>
              <w:right w:val="single" w:sz="4" w:space="0" w:color="000000"/>
            </w:tcBorders>
          </w:tcPr>
          <w:p w14:paraId="5A82F1C0"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p>
        </w:tc>
      </w:tr>
      <w:tr w:rsidR="000E2328" w:rsidRPr="00DE15E9" w14:paraId="67047433" w14:textId="77777777" w:rsidTr="00033703">
        <w:tc>
          <w:tcPr>
            <w:tcW w:w="430" w:type="dxa"/>
            <w:tcBorders>
              <w:top w:val="single" w:sz="4" w:space="0" w:color="000000"/>
              <w:left w:val="single" w:sz="4" w:space="0" w:color="000000"/>
              <w:bottom w:val="single" w:sz="4" w:space="0" w:color="000000"/>
              <w:right w:val="single" w:sz="4" w:space="0" w:color="000000"/>
            </w:tcBorders>
          </w:tcPr>
          <w:p w14:paraId="339B22E4" w14:textId="77777777" w:rsidR="000E2328" w:rsidRPr="00DE15E9" w:rsidRDefault="000E2328" w:rsidP="00DE15E9">
            <w:pPr>
              <w:shd w:val="clear" w:color="auto" w:fill="FFFFFF"/>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2</w:t>
            </w:r>
          </w:p>
        </w:tc>
        <w:tc>
          <w:tcPr>
            <w:tcW w:w="2547" w:type="dxa"/>
            <w:tcBorders>
              <w:top w:val="single" w:sz="4" w:space="0" w:color="000000"/>
              <w:left w:val="single" w:sz="4" w:space="0" w:color="000000"/>
              <w:bottom w:val="single" w:sz="4" w:space="0" w:color="000000"/>
              <w:right w:val="single" w:sz="4" w:space="0" w:color="000000"/>
            </w:tcBorders>
          </w:tcPr>
          <w:p w14:paraId="61964497" w14:textId="77777777" w:rsidR="000E2328" w:rsidRPr="00DE15E9" w:rsidRDefault="000E2328" w:rsidP="00DE15E9">
            <w:pPr>
              <w:shd w:val="clear" w:color="auto" w:fill="FFFFFF"/>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(2)   Prezenta directivă se aplică anumitor practici comerciale neloiale care apar în legătură cu vânzarea de produse agricole și alimentare de către:</w:t>
            </w:r>
          </w:p>
          <w:tbl>
            <w:tblPr>
              <w:tblW w:w="4804" w:type="pct"/>
              <w:shd w:val="clear" w:color="auto" w:fill="FFFFFF"/>
              <w:tblLayout w:type="fixed"/>
              <w:tblCellMar>
                <w:left w:w="0" w:type="dxa"/>
                <w:right w:w="0" w:type="dxa"/>
              </w:tblCellMar>
              <w:tblLook w:val="04A0" w:firstRow="1" w:lastRow="0" w:firstColumn="1" w:lastColumn="0" w:noHBand="0" w:noVBand="1"/>
            </w:tblPr>
            <w:tblGrid>
              <w:gridCol w:w="2226"/>
            </w:tblGrid>
            <w:tr w:rsidR="000E2328" w:rsidRPr="00DE15E9" w14:paraId="09A62E30" w14:textId="77777777" w:rsidTr="009F06BF">
              <w:tc>
                <w:tcPr>
                  <w:tcW w:w="2236" w:type="dxa"/>
                  <w:shd w:val="clear" w:color="auto" w:fill="FFFFFF"/>
                  <w:hideMark/>
                </w:tcPr>
                <w:p w14:paraId="5CD244CC"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a)furnizori a căror cifră de afaceri anuală nu depășește2 000 000 EUR către cumpărători a căror cifră de afaceri anuală depășește 2 000 000 EUR;</w:t>
                  </w:r>
                </w:p>
              </w:tc>
            </w:tr>
          </w:tbl>
          <w:p w14:paraId="4746A661" w14:textId="77777777" w:rsidR="000E2328" w:rsidRPr="00DE15E9" w:rsidRDefault="000E2328" w:rsidP="00DE15E9">
            <w:pPr>
              <w:spacing w:after="0" w:line="240" w:lineRule="auto"/>
              <w:rPr>
                <w:rFonts w:ascii="Times New Roman" w:eastAsia="Times New Roman" w:hAnsi="Times New Roman" w:cs="Times New Roman"/>
                <w:vanish/>
                <w:sz w:val="20"/>
                <w:szCs w:val="20"/>
                <w:lang w:val="ro-MD"/>
              </w:rPr>
            </w:pPr>
          </w:p>
          <w:tbl>
            <w:tblPr>
              <w:tblW w:w="4796" w:type="pct"/>
              <w:shd w:val="clear" w:color="auto" w:fill="FFFFFF"/>
              <w:tblLayout w:type="fixed"/>
              <w:tblCellMar>
                <w:left w:w="0" w:type="dxa"/>
                <w:right w:w="0" w:type="dxa"/>
              </w:tblCellMar>
              <w:tblLook w:val="04A0" w:firstRow="1" w:lastRow="0" w:firstColumn="1" w:lastColumn="0" w:noHBand="0" w:noVBand="1"/>
            </w:tblPr>
            <w:tblGrid>
              <w:gridCol w:w="2222"/>
            </w:tblGrid>
            <w:tr w:rsidR="000E2328" w:rsidRPr="00DE15E9" w14:paraId="7B4E39DE" w14:textId="77777777" w:rsidTr="009F06BF">
              <w:tc>
                <w:tcPr>
                  <w:tcW w:w="2232" w:type="dxa"/>
                  <w:shd w:val="clear" w:color="auto" w:fill="FFFFFF"/>
                  <w:hideMark/>
                </w:tcPr>
                <w:p w14:paraId="7C69A0E4"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furnizori a căror cifră de afaceri anuală depășește 2 000 000 EUR, dar este de maximum 10 000 000 EUR, către cumpărători a căror cifră de afaceri anuală depășește 10 000 000 EUR;</w:t>
                  </w:r>
                </w:p>
              </w:tc>
            </w:tr>
          </w:tbl>
          <w:p w14:paraId="030F0159" w14:textId="77777777" w:rsidR="000E2328" w:rsidRPr="00DE15E9" w:rsidRDefault="000E2328" w:rsidP="00DE15E9">
            <w:pPr>
              <w:spacing w:after="0" w:line="240" w:lineRule="auto"/>
              <w:rPr>
                <w:rFonts w:ascii="Times New Roman" w:eastAsia="Times New Roman" w:hAnsi="Times New Roman" w:cs="Times New Roman"/>
                <w:vanish/>
                <w:sz w:val="20"/>
                <w:szCs w:val="20"/>
                <w:lang w:val="ro-MD"/>
              </w:rPr>
            </w:pPr>
          </w:p>
          <w:tbl>
            <w:tblPr>
              <w:tblW w:w="4804" w:type="pct"/>
              <w:shd w:val="clear" w:color="auto" w:fill="FFFFFF"/>
              <w:tblLayout w:type="fixed"/>
              <w:tblCellMar>
                <w:left w:w="0" w:type="dxa"/>
                <w:right w:w="0" w:type="dxa"/>
              </w:tblCellMar>
              <w:tblLook w:val="04A0" w:firstRow="1" w:lastRow="0" w:firstColumn="1" w:lastColumn="0" w:noHBand="0" w:noVBand="1"/>
            </w:tblPr>
            <w:tblGrid>
              <w:gridCol w:w="2226"/>
            </w:tblGrid>
            <w:tr w:rsidR="000E2328" w:rsidRPr="00DE15E9" w14:paraId="0A36E7FB" w14:textId="77777777" w:rsidTr="009F06BF">
              <w:tc>
                <w:tcPr>
                  <w:tcW w:w="2236" w:type="dxa"/>
                  <w:shd w:val="clear" w:color="auto" w:fill="FFFFFF"/>
                  <w:hideMark/>
                </w:tcPr>
                <w:p w14:paraId="71B36502"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furnizori a căror cifră de afaceri anuală depășește 10 000 000 EUR, dar este de maximum 50 000 000 EUR, către cumpărători a căror cifră de afaceri anuală depășește 50 000 000 EUR;</w:t>
                  </w:r>
                </w:p>
              </w:tc>
            </w:tr>
          </w:tbl>
          <w:p w14:paraId="776E421A" w14:textId="77777777" w:rsidR="000E2328" w:rsidRPr="00DE15E9" w:rsidRDefault="000E2328" w:rsidP="00DE15E9">
            <w:pPr>
              <w:spacing w:after="0" w:line="240" w:lineRule="auto"/>
              <w:rPr>
                <w:rFonts w:ascii="Times New Roman" w:eastAsia="Times New Roman" w:hAnsi="Times New Roman" w:cs="Times New Roman"/>
                <w:vanish/>
                <w:sz w:val="20"/>
                <w:szCs w:val="20"/>
                <w:lang w:val="ro-MD"/>
              </w:rPr>
            </w:pPr>
          </w:p>
          <w:tbl>
            <w:tblPr>
              <w:tblW w:w="4796" w:type="pct"/>
              <w:shd w:val="clear" w:color="auto" w:fill="FFFFFF"/>
              <w:tblLayout w:type="fixed"/>
              <w:tblCellMar>
                <w:left w:w="0" w:type="dxa"/>
                <w:right w:w="0" w:type="dxa"/>
              </w:tblCellMar>
              <w:tblLook w:val="04A0" w:firstRow="1" w:lastRow="0" w:firstColumn="1" w:lastColumn="0" w:noHBand="0" w:noVBand="1"/>
            </w:tblPr>
            <w:tblGrid>
              <w:gridCol w:w="2222"/>
            </w:tblGrid>
            <w:tr w:rsidR="000E2328" w:rsidRPr="00DE15E9" w14:paraId="592BBC29" w14:textId="77777777" w:rsidTr="009F06BF">
              <w:tc>
                <w:tcPr>
                  <w:tcW w:w="2232" w:type="dxa"/>
                  <w:shd w:val="clear" w:color="auto" w:fill="FFFFFF"/>
                  <w:hideMark/>
                </w:tcPr>
                <w:p w14:paraId="5BEAC8F1"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furnizori a căror cifră de afaceri anuală depășește 50 000 000 EUR, dar este de maximum 150 000 000 EUR, către cumpărători a căror cifră de afaceri anuală depășește 150 000 000 EUR;</w:t>
                  </w:r>
                </w:p>
              </w:tc>
            </w:tr>
          </w:tbl>
          <w:p w14:paraId="7DDE5F56" w14:textId="77777777" w:rsidR="000E2328" w:rsidRPr="00DE15E9" w:rsidRDefault="000E2328" w:rsidP="00DE15E9">
            <w:pPr>
              <w:spacing w:after="0" w:line="240" w:lineRule="auto"/>
              <w:rPr>
                <w:rFonts w:ascii="Times New Roman" w:eastAsia="Times New Roman" w:hAnsi="Times New Roman" w:cs="Times New Roman"/>
                <w:vanish/>
                <w:sz w:val="20"/>
                <w:szCs w:val="20"/>
                <w:lang w:val="ro-MD"/>
              </w:rPr>
            </w:pPr>
          </w:p>
          <w:tbl>
            <w:tblPr>
              <w:tblW w:w="4804" w:type="pct"/>
              <w:shd w:val="clear" w:color="auto" w:fill="FFFFFF"/>
              <w:tblLayout w:type="fixed"/>
              <w:tblCellMar>
                <w:left w:w="0" w:type="dxa"/>
                <w:right w:w="0" w:type="dxa"/>
              </w:tblCellMar>
              <w:tblLook w:val="04A0" w:firstRow="1" w:lastRow="0" w:firstColumn="1" w:lastColumn="0" w:noHBand="0" w:noVBand="1"/>
            </w:tblPr>
            <w:tblGrid>
              <w:gridCol w:w="2226"/>
            </w:tblGrid>
            <w:tr w:rsidR="000E2328" w:rsidRPr="00DE15E9" w14:paraId="2A71C67E" w14:textId="77777777" w:rsidTr="009F06BF">
              <w:tc>
                <w:tcPr>
                  <w:tcW w:w="2236" w:type="dxa"/>
                  <w:shd w:val="clear" w:color="auto" w:fill="FFFFFF"/>
                  <w:hideMark/>
                </w:tcPr>
                <w:p w14:paraId="56FC5C67"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furnizori a căror cifră de afaceri anuală depășește 150 000 000 EUR, dar este de maximum 350 000 000 EUR, către cumpărători a căror cifră de afaceri anuală depășește 350 000 000 EUR.</w:t>
                  </w:r>
                </w:p>
              </w:tc>
            </w:tr>
          </w:tbl>
          <w:p w14:paraId="69D898E7"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356EBA8C" w14:textId="77777777" w:rsidR="000E2328" w:rsidRPr="00DE15E9" w:rsidRDefault="000E2328" w:rsidP="00DE15E9">
            <w:pPr>
              <w:shd w:val="clear" w:color="auto" w:fill="FFFFFF"/>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lastRenderedPageBreak/>
              <w:t>2.   This Directive applies to certain unfair trading practices which occur in relation to sales of agricultural and food products by:</w:t>
            </w:r>
          </w:p>
          <w:tbl>
            <w:tblPr>
              <w:tblW w:w="4804" w:type="pct"/>
              <w:shd w:val="clear" w:color="auto" w:fill="FFFFFF"/>
              <w:tblLayout w:type="fixed"/>
              <w:tblCellMar>
                <w:left w:w="0" w:type="dxa"/>
                <w:right w:w="0" w:type="dxa"/>
              </w:tblCellMar>
              <w:tblLook w:val="04A0" w:firstRow="1" w:lastRow="0" w:firstColumn="1" w:lastColumn="0" w:noHBand="0" w:noVBand="1"/>
            </w:tblPr>
            <w:tblGrid>
              <w:gridCol w:w="2231"/>
            </w:tblGrid>
            <w:tr w:rsidR="000E2328" w:rsidRPr="00DE15E9" w14:paraId="74D85672" w14:textId="77777777" w:rsidTr="009F06BF">
              <w:tc>
                <w:tcPr>
                  <w:tcW w:w="2231" w:type="dxa"/>
                  <w:shd w:val="clear" w:color="auto" w:fill="FFFFFF"/>
                  <w:hideMark/>
                </w:tcPr>
                <w:p w14:paraId="73F76486"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suppliers which have an annual turnover not exceeding EUR 2 000 000 to buyers which have an annual turnover of more than EUR 2 000 000;</w:t>
                  </w:r>
                </w:p>
              </w:tc>
            </w:tr>
          </w:tbl>
          <w:p w14:paraId="2A7957AA" w14:textId="77777777" w:rsidR="000E2328" w:rsidRPr="00DE15E9" w:rsidRDefault="000E2328" w:rsidP="00DE15E9">
            <w:pPr>
              <w:spacing w:after="0" w:line="240" w:lineRule="auto"/>
              <w:rPr>
                <w:rFonts w:ascii="Times New Roman" w:eastAsia="Times New Roman" w:hAnsi="Times New Roman" w:cs="Times New Roman"/>
                <w:vanish/>
                <w:sz w:val="20"/>
                <w:szCs w:val="20"/>
                <w:lang w:val="en-GB"/>
              </w:rPr>
            </w:pPr>
          </w:p>
          <w:tbl>
            <w:tblPr>
              <w:tblW w:w="4795" w:type="pct"/>
              <w:shd w:val="clear" w:color="auto" w:fill="FFFFFF"/>
              <w:tblLayout w:type="fixed"/>
              <w:tblCellMar>
                <w:left w:w="0" w:type="dxa"/>
                <w:right w:w="0" w:type="dxa"/>
              </w:tblCellMar>
              <w:tblLook w:val="04A0" w:firstRow="1" w:lastRow="0" w:firstColumn="1" w:lastColumn="0" w:noHBand="0" w:noVBand="1"/>
            </w:tblPr>
            <w:tblGrid>
              <w:gridCol w:w="2227"/>
            </w:tblGrid>
            <w:tr w:rsidR="000E2328" w:rsidRPr="00DE15E9" w14:paraId="7D920FE4" w14:textId="77777777" w:rsidTr="009F06BF">
              <w:tc>
                <w:tcPr>
                  <w:tcW w:w="2227" w:type="dxa"/>
                  <w:shd w:val="clear" w:color="auto" w:fill="FFFFFF"/>
                  <w:hideMark/>
                </w:tcPr>
                <w:p w14:paraId="0C24DF2A"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suppliers which have an annual turnover of more than EUR 2 000 000 and not exceeding EUR 10 000 000 to buyers which have an annual turnover of more than EUR 10 000 000;</w:t>
                  </w:r>
                </w:p>
              </w:tc>
            </w:tr>
          </w:tbl>
          <w:p w14:paraId="6778A286" w14:textId="77777777" w:rsidR="000E2328" w:rsidRPr="00DE15E9" w:rsidRDefault="000E2328" w:rsidP="00DE15E9">
            <w:pPr>
              <w:spacing w:after="0" w:line="240" w:lineRule="auto"/>
              <w:rPr>
                <w:rFonts w:ascii="Times New Roman" w:eastAsia="Times New Roman" w:hAnsi="Times New Roman" w:cs="Times New Roman"/>
                <w:vanish/>
                <w:sz w:val="20"/>
                <w:szCs w:val="20"/>
                <w:lang w:val="en-GB"/>
              </w:rPr>
            </w:pPr>
          </w:p>
          <w:tbl>
            <w:tblPr>
              <w:tblW w:w="4804" w:type="pct"/>
              <w:shd w:val="clear" w:color="auto" w:fill="FFFFFF"/>
              <w:tblLayout w:type="fixed"/>
              <w:tblCellMar>
                <w:left w:w="0" w:type="dxa"/>
                <w:right w:w="0" w:type="dxa"/>
              </w:tblCellMar>
              <w:tblLook w:val="04A0" w:firstRow="1" w:lastRow="0" w:firstColumn="1" w:lastColumn="0" w:noHBand="0" w:noVBand="1"/>
            </w:tblPr>
            <w:tblGrid>
              <w:gridCol w:w="2231"/>
            </w:tblGrid>
            <w:tr w:rsidR="000E2328" w:rsidRPr="00DE15E9" w14:paraId="08B03A78" w14:textId="77777777" w:rsidTr="009F06BF">
              <w:tc>
                <w:tcPr>
                  <w:tcW w:w="2231" w:type="dxa"/>
                  <w:shd w:val="clear" w:color="auto" w:fill="FFFFFF"/>
                  <w:hideMark/>
                </w:tcPr>
                <w:p w14:paraId="19FFE2E5"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lastRenderedPageBreak/>
                    <w:t>suppliers which have an annual turnover of more than EUR 10 000 000 and not exceeding EUR 50 000 000 to buyers which have an annual turnover of more than EUR 50 000 000;</w:t>
                  </w:r>
                </w:p>
              </w:tc>
            </w:tr>
          </w:tbl>
          <w:p w14:paraId="6BBFC7D0" w14:textId="77777777" w:rsidR="000E2328" w:rsidRPr="00DE15E9" w:rsidRDefault="000E2328" w:rsidP="00DE15E9">
            <w:pPr>
              <w:spacing w:after="0" w:line="240" w:lineRule="auto"/>
              <w:rPr>
                <w:rFonts w:ascii="Times New Roman" w:eastAsia="Times New Roman" w:hAnsi="Times New Roman" w:cs="Times New Roman"/>
                <w:vanish/>
                <w:sz w:val="20"/>
                <w:szCs w:val="20"/>
                <w:lang w:val="en-GB"/>
              </w:rPr>
            </w:pPr>
          </w:p>
          <w:tbl>
            <w:tblPr>
              <w:tblW w:w="4795" w:type="pct"/>
              <w:shd w:val="clear" w:color="auto" w:fill="FFFFFF"/>
              <w:tblLayout w:type="fixed"/>
              <w:tblCellMar>
                <w:left w:w="0" w:type="dxa"/>
                <w:right w:w="0" w:type="dxa"/>
              </w:tblCellMar>
              <w:tblLook w:val="04A0" w:firstRow="1" w:lastRow="0" w:firstColumn="1" w:lastColumn="0" w:noHBand="0" w:noVBand="1"/>
            </w:tblPr>
            <w:tblGrid>
              <w:gridCol w:w="2227"/>
            </w:tblGrid>
            <w:tr w:rsidR="000E2328" w:rsidRPr="00DE15E9" w14:paraId="2C1CA82B" w14:textId="77777777" w:rsidTr="009F06BF">
              <w:tc>
                <w:tcPr>
                  <w:tcW w:w="2227" w:type="dxa"/>
                  <w:shd w:val="clear" w:color="auto" w:fill="FFFFFF"/>
                  <w:hideMark/>
                </w:tcPr>
                <w:p w14:paraId="37615593"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suppliers which have an annual turnover of more than EUR 50 000 000 and not exceeding EUR 150 000 000 to buyers which have an annual turnover of more than EUR 150 000 000;</w:t>
                  </w:r>
                </w:p>
              </w:tc>
            </w:tr>
          </w:tbl>
          <w:p w14:paraId="626C4333" w14:textId="77777777" w:rsidR="000E2328" w:rsidRPr="00DE15E9" w:rsidRDefault="000E2328" w:rsidP="00DE15E9">
            <w:pPr>
              <w:spacing w:after="0" w:line="240" w:lineRule="auto"/>
              <w:rPr>
                <w:rFonts w:ascii="Times New Roman" w:eastAsia="Times New Roman" w:hAnsi="Times New Roman" w:cs="Times New Roman"/>
                <w:vanish/>
                <w:sz w:val="20"/>
                <w:szCs w:val="20"/>
                <w:lang w:val="en-GB"/>
              </w:rPr>
            </w:pPr>
          </w:p>
          <w:tbl>
            <w:tblPr>
              <w:tblW w:w="4804" w:type="pct"/>
              <w:shd w:val="clear" w:color="auto" w:fill="FFFFFF"/>
              <w:tblLayout w:type="fixed"/>
              <w:tblCellMar>
                <w:left w:w="0" w:type="dxa"/>
                <w:right w:w="0" w:type="dxa"/>
              </w:tblCellMar>
              <w:tblLook w:val="04A0" w:firstRow="1" w:lastRow="0" w:firstColumn="1" w:lastColumn="0" w:noHBand="0" w:noVBand="1"/>
            </w:tblPr>
            <w:tblGrid>
              <w:gridCol w:w="2231"/>
            </w:tblGrid>
            <w:tr w:rsidR="000E2328" w:rsidRPr="00DE15E9" w14:paraId="2FDA7040" w14:textId="77777777" w:rsidTr="009F06BF">
              <w:tc>
                <w:tcPr>
                  <w:tcW w:w="2231" w:type="dxa"/>
                  <w:shd w:val="clear" w:color="auto" w:fill="FFFFFF"/>
                  <w:hideMark/>
                </w:tcPr>
                <w:p w14:paraId="6E5AE39A"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suppliers which have an annual turnover of more than EUR 150 000 000 and not exceeding EUR 350 000 000 to buyers which have an annual turnover of more than EUR 350 000 000.</w:t>
                  </w:r>
                </w:p>
              </w:tc>
            </w:tr>
          </w:tbl>
          <w:p w14:paraId="6A1110E7"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44F081A1" w14:textId="77777777" w:rsidR="00875C3B" w:rsidRPr="00DE15E9" w:rsidRDefault="00875C3B" w:rsidP="00DE15E9">
            <w:pPr>
              <w:spacing w:after="0" w:line="240" w:lineRule="auto"/>
              <w:ind w:firstLine="426"/>
              <w:jc w:val="both"/>
              <w:rPr>
                <w:rFonts w:ascii="Times New Roman" w:eastAsiaTheme="minorHAnsi" w:hAnsi="Times New Roman" w:cs="Times New Roman"/>
                <w:bCs/>
                <w:sz w:val="20"/>
                <w:szCs w:val="20"/>
                <w:lang w:val="ro-MD"/>
              </w:rPr>
            </w:pPr>
            <w:r w:rsidRPr="00DE15E9">
              <w:rPr>
                <w:rFonts w:ascii="Times New Roman" w:hAnsi="Times New Roman" w:cs="Times New Roman"/>
                <w:bCs/>
                <w:sz w:val="20"/>
                <w:szCs w:val="20"/>
                <w:lang w:val="ro-MD"/>
              </w:rPr>
              <w:lastRenderedPageBreak/>
              <w:t xml:space="preserve">Articolul 2. Domeniul de aplicare </w:t>
            </w:r>
          </w:p>
          <w:p w14:paraId="59A9D4B4" w14:textId="77777777" w:rsidR="00875C3B" w:rsidRPr="00DE15E9" w:rsidRDefault="00875C3B" w:rsidP="00DE15E9">
            <w:pPr>
              <w:pStyle w:val="ListParagraph"/>
              <w:numPr>
                <w:ilvl w:val="0"/>
                <w:numId w:val="1"/>
              </w:numPr>
              <w:spacing w:after="0" w:line="240" w:lineRule="auto"/>
              <w:ind w:left="0" w:firstLine="426"/>
              <w:jc w:val="both"/>
              <w:rPr>
                <w:rFonts w:ascii="Times New Roman" w:hAnsi="Times New Roman" w:cs="Times New Roman"/>
                <w:sz w:val="20"/>
                <w:szCs w:val="20"/>
                <w:lang w:val="ro-MD"/>
              </w:rPr>
            </w:pPr>
            <w:r w:rsidRPr="00DE15E9">
              <w:rPr>
                <w:rFonts w:ascii="Times New Roman" w:hAnsi="Times New Roman" w:cs="Times New Roman"/>
                <w:sz w:val="20"/>
                <w:szCs w:val="20"/>
                <w:lang w:val="ro-MD"/>
              </w:rPr>
              <w:t xml:space="preserve"> Prezenta lege se aplică  relațiilor contractuale între furnizori și cumpărători de produse din cadrul lanțului de aprovizionare agricol și alimentar, în funcție de cifra de afaceri:  </w:t>
            </w:r>
          </w:p>
          <w:p w14:paraId="6351E7B6" w14:textId="77777777" w:rsidR="00875C3B" w:rsidRPr="00DE15E9" w:rsidRDefault="00875C3B" w:rsidP="00DE15E9">
            <w:pPr>
              <w:pStyle w:val="ListParagraph"/>
              <w:numPr>
                <w:ilvl w:val="1"/>
                <w:numId w:val="1"/>
              </w:numPr>
              <w:tabs>
                <w:tab w:val="left" w:pos="709"/>
              </w:tabs>
              <w:spacing w:after="0" w:line="240" w:lineRule="auto"/>
              <w:ind w:left="0" w:firstLine="426"/>
              <w:jc w:val="both"/>
              <w:rPr>
                <w:rFonts w:ascii="Times New Roman" w:eastAsia="Times New Roman" w:hAnsi="Times New Roman" w:cs="Times New Roman"/>
                <w:sz w:val="20"/>
                <w:szCs w:val="20"/>
                <w:lang w:val="ro-RO"/>
              </w:rPr>
            </w:pPr>
            <w:r w:rsidRPr="00DE15E9">
              <w:rPr>
                <w:rFonts w:ascii="Times New Roman" w:eastAsia="Times New Roman" w:hAnsi="Times New Roman" w:cs="Times New Roman"/>
                <w:sz w:val="20"/>
                <w:szCs w:val="20"/>
              </w:rPr>
              <w:t>furnizori a căror cifră de afaceri totală nu depășește 2 milioane de euro către cumpărători a căror cifră de afaceri totală depășește 2 milioane de euro;</w:t>
            </w:r>
          </w:p>
          <w:p w14:paraId="583327A7" w14:textId="77777777" w:rsidR="00875C3B" w:rsidRPr="00DE15E9" w:rsidRDefault="00875C3B" w:rsidP="00DE15E9">
            <w:pPr>
              <w:pStyle w:val="ListParagraph"/>
              <w:numPr>
                <w:ilvl w:val="1"/>
                <w:numId w:val="1"/>
              </w:numPr>
              <w:tabs>
                <w:tab w:val="left" w:pos="709"/>
              </w:tabs>
              <w:spacing w:after="0" w:line="240" w:lineRule="auto"/>
              <w:ind w:left="0" w:firstLine="426"/>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 xml:space="preserve">furnizori a căror cifră de afaceri totală depășește 2 milioane de euro, dar este de maximum 10 milioane de euro, către cumpărători a căror cifră </w:t>
            </w:r>
            <w:r w:rsidRPr="00DE15E9">
              <w:rPr>
                <w:rFonts w:ascii="Times New Roman" w:eastAsia="Times New Roman" w:hAnsi="Times New Roman" w:cs="Times New Roman"/>
                <w:sz w:val="20"/>
                <w:szCs w:val="20"/>
              </w:rPr>
              <w:lastRenderedPageBreak/>
              <w:t>de afaceri totală depășește 10 milioane de euro;</w:t>
            </w:r>
          </w:p>
          <w:p w14:paraId="3D851925" w14:textId="77777777" w:rsidR="00875C3B" w:rsidRPr="00DE15E9" w:rsidRDefault="00875C3B" w:rsidP="00DE15E9">
            <w:pPr>
              <w:pStyle w:val="ListParagraph"/>
              <w:numPr>
                <w:ilvl w:val="1"/>
                <w:numId w:val="1"/>
              </w:numPr>
              <w:tabs>
                <w:tab w:val="left" w:pos="709"/>
              </w:tabs>
              <w:spacing w:after="0" w:line="240" w:lineRule="auto"/>
              <w:ind w:left="0" w:firstLine="426"/>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furnizori a căror cifră de afaceri totală depășește 10 milioane de euro, dar este de maximum 50 milioane de euro, către cumpărători a căror cifră de afaceri totală depășește 50 milioane de euro;</w:t>
            </w:r>
          </w:p>
          <w:p w14:paraId="30CCA5F0" w14:textId="77777777" w:rsidR="006B10BA" w:rsidRPr="00DE15E9" w:rsidRDefault="00875C3B" w:rsidP="00DE15E9">
            <w:pPr>
              <w:pStyle w:val="ListParagraph"/>
              <w:numPr>
                <w:ilvl w:val="1"/>
                <w:numId w:val="1"/>
              </w:numPr>
              <w:tabs>
                <w:tab w:val="left" w:pos="709"/>
              </w:tabs>
              <w:spacing w:after="0" w:line="240" w:lineRule="auto"/>
              <w:ind w:left="0" w:firstLine="426"/>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furnizori a căror cifră de afaceri totală depășește 50 milioane de euro, dar este de maximum 150 milioane de euro, către cumpărători a căror cifră de afaceri totală depășește 150 milioane de euro;</w:t>
            </w:r>
          </w:p>
          <w:p w14:paraId="3BD415E7" w14:textId="54573658" w:rsidR="000E2328" w:rsidRPr="00DE15E9" w:rsidRDefault="00875C3B" w:rsidP="00DE15E9">
            <w:pPr>
              <w:pStyle w:val="ListParagraph"/>
              <w:numPr>
                <w:ilvl w:val="1"/>
                <w:numId w:val="1"/>
              </w:numPr>
              <w:tabs>
                <w:tab w:val="left" w:pos="709"/>
              </w:tabs>
              <w:spacing w:after="0" w:line="240" w:lineRule="auto"/>
              <w:ind w:left="0" w:firstLine="426"/>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furnizori a căror cifră de afaceri totală depășește 150 milioane de euro, dar este de maximum 350 milioane de euro, către cumpărători a căror cifră de afaceri totală depășește 350 milioane de euro.</w:t>
            </w:r>
          </w:p>
        </w:tc>
        <w:tc>
          <w:tcPr>
            <w:tcW w:w="2693" w:type="dxa"/>
            <w:tcBorders>
              <w:top w:val="single" w:sz="4" w:space="0" w:color="000000"/>
              <w:left w:val="single" w:sz="4" w:space="0" w:color="000000"/>
              <w:bottom w:val="single" w:sz="4" w:space="0" w:color="000000"/>
              <w:right w:val="single" w:sz="4" w:space="0" w:color="000000"/>
            </w:tcBorders>
          </w:tcPr>
          <w:p w14:paraId="1AE7AC49" w14:textId="77777777" w:rsidR="006B10BA" w:rsidRPr="00DE15E9" w:rsidRDefault="006B10BA" w:rsidP="00DE15E9">
            <w:pPr>
              <w:pStyle w:val="isselectedend"/>
              <w:spacing w:before="0" w:beforeAutospacing="0" w:after="0" w:afterAutospacing="0"/>
              <w:jc w:val="both"/>
              <w:rPr>
                <w:sz w:val="20"/>
                <w:szCs w:val="20"/>
              </w:rPr>
            </w:pPr>
            <w:r w:rsidRPr="00DE15E9">
              <w:rPr>
                <w:sz w:val="20"/>
                <w:szCs w:val="20"/>
              </w:rPr>
              <w:lastRenderedPageBreak/>
              <w:t>Article 2. Scope of application</w:t>
            </w:r>
          </w:p>
          <w:p w14:paraId="44C928D6" w14:textId="77777777" w:rsidR="006B10BA" w:rsidRPr="00DE15E9" w:rsidRDefault="006B10BA" w:rsidP="00DE15E9">
            <w:pPr>
              <w:pStyle w:val="isselectedend"/>
              <w:spacing w:before="0" w:beforeAutospacing="0" w:after="0" w:afterAutospacing="0"/>
              <w:jc w:val="both"/>
              <w:rPr>
                <w:sz w:val="20"/>
                <w:szCs w:val="20"/>
              </w:rPr>
            </w:pPr>
            <w:r w:rsidRPr="00DE15E9">
              <w:rPr>
                <w:sz w:val="20"/>
                <w:szCs w:val="20"/>
              </w:rPr>
              <w:t>(1) This Law shall apply to contractual relationships between suppliers and buyers concerning agricultural and food products within the agricultural and food supply chain, depending on turnover, as follows:</w:t>
            </w:r>
          </w:p>
          <w:p w14:paraId="74307C0C" w14:textId="77777777" w:rsidR="006B10BA" w:rsidRPr="00DE15E9" w:rsidRDefault="006B10BA" w:rsidP="00DE15E9">
            <w:pPr>
              <w:pStyle w:val="isselectedend"/>
              <w:spacing w:before="0" w:beforeAutospacing="0" w:after="0" w:afterAutospacing="0"/>
              <w:jc w:val="both"/>
              <w:rPr>
                <w:sz w:val="20"/>
                <w:szCs w:val="20"/>
              </w:rPr>
            </w:pPr>
            <w:r w:rsidRPr="00DE15E9">
              <w:rPr>
                <w:sz w:val="20"/>
                <w:szCs w:val="20"/>
              </w:rPr>
              <w:t>a) suppliers whose total turnover does not exceed EUR 2 million, where the buyer has a total turnover exceeding EUR 2 million;</w:t>
            </w:r>
          </w:p>
          <w:p w14:paraId="0313BE31" w14:textId="77777777" w:rsidR="006B10BA" w:rsidRPr="00DE15E9" w:rsidRDefault="006B10BA" w:rsidP="00DE15E9">
            <w:pPr>
              <w:pStyle w:val="isselectedend"/>
              <w:spacing w:before="0" w:beforeAutospacing="0" w:after="0" w:afterAutospacing="0"/>
              <w:jc w:val="both"/>
              <w:rPr>
                <w:sz w:val="20"/>
                <w:szCs w:val="20"/>
              </w:rPr>
            </w:pPr>
            <w:r w:rsidRPr="00DE15E9">
              <w:rPr>
                <w:sz w:val="20"/>
                <w:szCs w:val="20"/>
              </w:rPr>
              <w:t>b) suppliers whose total turnover exceeds EUR 2 million but does not exceed EUR 10 million, where the buyer has a total turnover exceeding EUR 10 million;</w:t>
            </w:r>
          </w:p>
          <w:p w14:paraId="27740B95" w14:textId="77777777" w:rsidR="006B10BA" w:rsidRPr="00DE15E9" w:rsidRDefault="006B10BA" w:rsidP="00DE15E9">
            <w:pPr>
              <w:pStyle w:val="isselectedend"/>
              <w:spacing w:before="0" w:beforeAutospacing="0" w:after="0" w:afterAutospacing="0"/>
              <w:jc w:val="both"/>
              <w:rPr>
                <w:sz w:val="20"/>
                <w:szCs w:val="20"/>
              </w:rPr>
            </w:pPr>
            <w:r w:rsidRPr="00DE15E9">
              <w:rPr>
                <w:sz w:val="20"/>
                <w:szCs w:val="20"/>
              </w:rPr>
              <w:lastRenderedPageBreak/>
              <w:t>c) suppliers whose total turnover exceeds EUR 10 million but does not exceed EUR 50 million, where the buyer has a total turnover exceeding EUR 50 million;</w:t>
            </w:r>
          </w:p>
          <w:p w14:paraId="29ED2C4C" w14:textId="77777777" w:rsidR="006B10BA" w:rsidRPr="00DE15E9" w:rsidRDefault="006B10BA" w:rsidP="00DE15E9">
            <w:pPr>
              <w:pStyle w:val="isselectedend"/>
              <w:spacing w:before="0" w:beforeAutospacing="0" w:after="0" w:afterAutospacing="0"/>
              <w:jc w:val="both"/>
              <w:rPr>
                <w:sz w:val="20"/>
                <w:szCs w:val="20"/>
              </w:rPr>
            </w:pPr>
            <w:r w:rsidRPr="00DE15E9">
              <w:rPr>
                <w:sz w:val="20"/>
                <w:szCs w:val="20"/>
              </w:rPr>
              <w:t>d) suppliers whose total turnover exceeds EUR 50 million but does not exceed EUR 150 million, where the buyer has a total turnover exceeding EUR 150 million;</w:t>
            </w:r>
          </w:p>
          <w:p w14:paraId="0AC92FF0" w14:textId="77777777" w:rsidR="006B10BA" w:rsidRPr="00DE15E9" w:rsidRDefault="006B10BA" w:rsidP="00DE15E9">
            <w:pPr>
              <w:pStyle w:val="isselectedend"/>
              <w:spacing w:before="0" w:beforeAutospacing="0" w:after="0" w:afterAutospacing="0"/>
              <w:jc w:val="both"/>
              <w:rPr>
                <w:sz w:val="20"/>
                <w:szCs w:val="20"/>
              </w:rPr>
            </w:pPr>
            <w:r w:rsidRPr="00DE15E9">
              <w:rPr>
                <w:sz w:val="20"/>
                <w:szCs w:val="20"/>
              </w:rPr>
              <w:t>e) suppliers whose total turnover exceeds EUR 150 million but does not exceed EUR 350 million, where the buyer has a total turnover exceeding EUR 350 million.</w:t>
            </w:r>
          </w:p>
          <w:p w14:paraId="5259178F" w14:textId="77777777" w:rsidR="000E2328" w:rsidRPr="00DE15E9" w:rsidRDefault="000E2328" w:rsidP="00DE15E9">
            <w:pPr>
              <w:spacing w:after="0" w:line="240" w:lineRule="auto"/>
              <w:ind w:firstLine="426"/>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3EE99E38" w14:textId="75BD4C57" w:rsidR="000E2328" w:rsidRPr="00DE15E9" w:rsidRDefault="00875C3B"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C</w:t>
            </w:r>
            <w:r w:rsidR="002C4103" w:rsidRPr="00DE15E9">
              <w:rPr>
                <w:rFonts w:ascii="Times New Roman" w:eastAsia="Times New Roman" w:hAnsi="Times New Roman" w:cs="Times New Roman"/>
                <w:sz w:val="20"/>
                <w:szCs w:val="20"/>
                <w:lang w:val="ro-MD"/>
              </w:rPr>
              <w:t>ompatibil</w:t>
            </w:r>
          </w:p>
          <w:p w14:paraId="236798F2" w14:textId="77777777" w:rsidR="00764133" w:rsidRPr="00DE15E9" w:rsidRDefault="00764133"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 </w:t>
            </w:r>
          </w:p>
          <w:p w14:paraId="58634425" w14:textId="77777777" w:rsidR="00764133" w:rsidRPr="00DE15E9" w:rsidRDefault="00764133" w:rsidP="00DE15E9">
            <w:pPr>
              <w:spacing w:after="0" w:line="240" w:lineRule="auto"/>
              <w:jc w:val="both"/>
              <w:rPr>
                <w:rFonts w:ascii="Times New Roman" w:eastAsia="Times New Roman" w:hAnsi="Times New Roman" w:cs="Times New Roman"/>
                <w:sz w:val="20"/>
                <w:szCs w:val="20"/>
                <w:lang w:val="ro-MD"/>
              </w:rPr>
            </w:pPr>
          </w:p>
          <w:p w14:paraId="733A1D2D" w14:textId="77777777" w:rsidR="00764133" w:rsidRPr="00DE15E9" w:rsidRDefault="003E580E"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 </w:t>
            </w:r>
          </w:p>
          <w:p w14:paraId="177E2A1B" w14:textId="77777777" w:rsidR="003E580E" w:rsidRPr="00DE15E9" w:rsidRDefault="003E580E" w:rsidP="00DE15E9">
            <w:pPr>
              <w:spacing w:after="0" w:line="240" w:lineRule="auto"/>
              <w:jc w:val="both"/>
              <w:rPr>
                <w:rFonts w:ascii="Times New Roman" w:eastAsia="Times New Roman" w:hAnsi="Times New Roman" w:cs="Times New Roman"/>
                <w:sz w:val="20"/>
                <w:szCs w:val="20"/>
                <w:lang w:val="ro-MD"/>
              </w:rPr>
            </w:pPr>
          </w:p>
          <w:p w14:paraId="5E2210DE" w14:textId="77777777" w:rsidR="003E580E" w:rsidRPr="00DE15E9" w:rsidRDefault="003E580E" w:rsidP="00DE15E9">
            <w:pPr>
              <w:spacing w:after="0" w:line="240" w:lineRule="auto"/>
              <w:jc w:val="both"/>
              <w:rPr>
                <w:rFonts w:ascii="Times New Roman" w:eastAsia="Times New Roman" w:hAnsi="Times New Roman" w:cs="Times New Roman"/>
                <w:sz w:val="20"/>
                <w:szCs w:val="20"/>
                <w:lang w:val="ro-MD"/>
              </w:rPr>
            </w:pPr>
          </w:p>
        </w:tc>
        <w:tc>
          <w:tcPr>
            <w:tcW w:w="1985" w:type="dxa"/>
            <w:tcBorders>
              <w:top w:val="single" w:sz="4" w:space="0" w:color="000000"/>
              <w:left w:val="single" w:sz="4" w:space="0" w:color="000000"/>
              <w:bottom w:val="single" w:sz="4" w:space="0" w:color="000000"/>
              <w:right w:val="single" w:sz="4" w:space="0" w:color="000000"/>
            </w:tcBorders>
          </w:tcPr>
          <w:p w14:paraId="5BEE044A" w14:textId="2EA030E2" w:rsidR="00AE1D91" w:rsidRPr="00DE15E9" w:rsidRDefault="00AE1D91"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55277D72"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p>
        </w:tc>
      </w:tr>
      <w:tr w:rsidR="000E2328" w:rsidRPr="00DE15E9" w14:paraId="022DF2F6" w14:textId="77777777" w:rsidTr="00033703">
        <w:tc>
          <w:tcPr>
            <w:tcW w:w="430" w:type="dxa"/>
            <w:tcBorders>
              <w:top w:val="single" w:sz="4" w:space="0" w:color="000000"/>
              <w:left w:val="single" w:sz="4" w:space="0" w:color="000000"/>
              <w:bottom w:val="single" w:sz="4" w:space="0" w:color="000000"/>
              <w:right w:val="single" w:sz="4" w:space="0" w:color="000000"/>
            </w:tcBorders>
          </w:tcPr>
          <w:p w14:paraId="30EAB70C" w14:textId="77777777" w:rsidR="000E2328" w:rsidRPr="00DE15E9" w:rsidRDefault="000E2328"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3</w:t>
            </w:r>
          </w:p>
        </w:tc>
        <w:tc>
          <w:tcPr>
            <w:tcW w:w="2547" w:type="dxa"/>
            <w:tcBorders>
              <w:top w:val="single" w:sz="4" w:space="0" w:color="000000"/>
              <w:left w:val="single" w:sz="4" w:space="0" w:color="000000"/>
              <w:bottom w:val="single" w:sz="4" w:space="0" w:color="000000"/>
              <w:right w:val="single" w:sz="4" w:space="0" w:color="000000"/>
            </w:tcBorders>
          </w:tcPr>
          <w:p w14:paraId="377D1E21"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Cifra de afaceri anuală a furnizorilor și a cumpărătorilor menționată la literele (a)-(e) de la primul paragraf se interpretează în conformitate cu părțile relevante din anexa la Recomandarea 2003/361/CE a Comisiei </w:t>
            </w:r>
            <w:hyperlink r:id="rId7" w:anchor="ntr8-L_2019111RO.01005901-E0008" w:history="1">
              <w:r w:rsidRPr="00DE15E9">
                <w:rPr>
                  <w:rStyle w:val="Hyperlink"/>
                  <w:rFonts w:ascii="Times New Roman" w:hAnsi="Times New Roman" w:cs="Times New Roman"/>
                  <w:color w:val="auto"/>
                  <w:sz w:val="20"/>
                  <w:szCs w:val="20"/>
                  <w:shd w:val="clear" w:color="auto" w:fill="FFFFFF"/>
                  <w:lang w:val="ro-MD"/>
                </w:rPr>
                <w:t>(</w:t>
              </w:r>
              <w:r w:rsidRPr="00DE15E9">
                <w:rPr>
                  <w:rStyle w:val="oj-super"/>
                  <w:rFonts w:ascii="Times New Roman" w:hAnsi="Times New Roman" w:cs="Times New Roman"/>
                  <w:sz w:val="20"/>
                  <w:szCs w:val="20"/>
                  <w:shd w:val="clear" w:color="auto" w:fill="FFFFFF"/>
                  <w:vertAlign w:val="superscript"/>
                  <w:lang w:val="ro-MD"/>
                </w:rPr>
                <w:t>8</w:t>
              </w:r>
              <w:r w:rsidRPr="00DE15E9">
                <w:rPr>
                  <w:rStyle w:val="Hyperlink"/>
                  <w:rFonts w:ascii="Times New Roman" w:hAnsi="Times New Roman" w:cs="Times New Roman"/>
                  <w:color w:val="auto"/>
                  <w:sz w:val="20"/>
                  <w:szCs w:val="20"/>
                  <w:shd w:val="clear" w:color="auto" w:fill="FFFFFF"/>
                  <w:lang w:val="ro-MD"/>
                </w:rPr>
                <w:t>)</w:t>
              </w:r>
            </w:hyperlink>
            <w:r w:rsidRPr="00DE15E9">
              <w:rPr>
                <w:rFonts w:ascii="Times New Roman" w:hAnsi="Times New Roman" w:cs="Times New Roman"/>
                <w:sz w:val="20"/>
                <w:szCs w:val="20"/>
                <w:shd w:val="clear" w:color="auto" w:fill="FFFFFF"/>
                <w:lang w:val="ro-MD"/>
              </w:rPr>
              <w:t xml:space="preserve"> și în special articolele 3, 4 și 6 din aceasta, inclusiv definițiile privind „întreprinderea autonomă”, „întreprinderea parteneră” și „întreprinderea asociată”, și alte chestiuni </w:t>
            </w:r>
            <w:r w:rsidRPr="00DE15E9">
              <w:rPr>
                <w:rFonts w:ascii="Times New Roman" w:hAnsi="Times New Roman" w:cs="Times New Roman"/>
                <w:sz w:val="20"/>
                <w:szCs w:val="20"/>
                <w:shd w:val="clear" w:color="auto" w:fill="FFFFFF"/>
                <w:lang w:val="ro-MD"/>
              </w:rPr>
              <w:lastRenderedPageBreak/>
              <w:t>privind cifra de afaceri anuală.</w:t>
            </w:r>
          </w:p>
        </w:tc>
        <w:tc>
          <w:tcPr>
            <w:tcW w:w="2552" w:type="dxa"/>
            <w:tcBorders>
              <w:top w:val="single" w:sz="4" w:space="0" w:color="000000"/>
              <w:left w:val="single" w:sz="4" w:space="0" w:color="000000"/>
              <w:bottom w:val="single" w:sz="4" w:space="0" w:color="000000"/>
              <w:right w:val="single" w:sz="4" w:space="0" w:color="000000"/>
            </w:tcBorders>
          </w:tcPr>
          <w:p w14:paraId="55F99880"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lastRenderedPageBreak/>
              <w:t>The annual turnover of the suppliers and buyers referred to in points (a) to (e) of the first subparagraph shall be understood in accordance with the relevant parts of the Annex to Commission Recommendation 2003/361/EC </w:t>
            </w:r>
            <w:hyperlink r:id="rId8" w:anchor="ntr8-L_2019111EN.01005901-E0008" w:history="1">
              <w:r w:rsidRPr="00DE15E9">
                <w:rPr>
                  <w:rStyle w:val="Hyperlink"/>
                  <w:rFonts w:ascii="Times New Roman" w:hAnsi="Times New Roman" w:cs="Times New Roman"/>
                  <w:color w:val="auto"/>
                  <w:sz w:val="20"/>
                  <w:szCs w:val="20"/>
                  <w:shd w:val="clear" w:color="auto" w:fill="FFFFFF"/>
                  <w:lang w:val="en-GB"/>
                </w:rPr>
                <w:t>(</w:t>
              </w:r>
              <w:r w:rsidRPr="00DE15E9">
                <w:rPr>
                  <w:rStyle w:val="oj-super"/>
                  <w:rFonts w:ascii="Times New Roman" w:hAnsi="Times New Roman" w:cs="Times New Roman"/>
                  <w:sz w:val="20"/>
                  <w:szCs w:val="20"/>
                  <w:shd w:val="clear" w:color="auto" w:fill="FFFFFF"/>
                  <w:vertAlign w:val="superscript"/>
                  <w:lang w:val="en-GB"/>
                </w:rPr>
                <w:t>8</w:t>
              </w:r>
              <w:r w:rsidRPr="00DE15E9">
                <w:rPr>
                  <w:rStyle w:val="Hyperlink"/>
                  <w:rFonts w:ascii="Times New Roman" w:hAnsi="Times New Roman" w:cs="Times New Roman"/>
                  <w:color w:val="auto"/>
                  <w:sz w:val="20"/>
                  <w:szCs w:val="20"/>
                  <w:shd w:val="clear" w:color="auto" w:fill="FFFFFF"/>
                  <w:lang w:val="en-GB"/>
                </w:rPr>
                <w:t>)</w:t>
              </w:r>
            </w:hyperlink>
            <w:r w:rsidRPr="00DE15E9">
              <w:rPr>
                <w:rFonts w:ascii="Times New Roman" w:hAnsi="Times New Roman" w:cs="Times New Roman"/>
                <w:sz w:val="20"/>
                <w:szCs w:val="20"/>
                <w:shd w:val="clear" w:color="auto" w:fill="FFFFFF"/>
                <w:lang w:val="en-GB"/>
              </w:rPr>
              <w:t xml:space="preserve"> and in particular Articles 3, 4 and 6 thereof, including the definitions of ‘autonomous enterprise’, ‘partner enterprise’ and ‘linked enterprise’, and other issues </w:t>
            </w:r>
            <w:r w:rsidRPr="00DE15E9">
              <w:rPr>
                <w:rFonts w:ascii="Times New Roman" w:hAnsi="Times New Roman" w:cs="Times New Roman"/>
                <w:sz w:val="20"/>
                <w:szCs w:val="20"/>
                <w:shd w:val="clear" w:color="auto" w:fill="FFFFFF"/>
                <w:lang w:val="en-GB"/>
              </w:rPr>
              <w:lastRenderedPageBreak/>
              <w:t>relating to the annual turnover.</w:t>
            </w:r>
          </w:p>
        </w:tc>
        <w:tc>
          <w:tcPr>
            <w:tcW w:w="2693" w:type="dxa"/>
            <w:tcBorders>
              <w:top w:val="single" w:sz="4" w:space="0" w:color="000000"/>
              <w:left w:val="single" w:sz="4" w:space="0" w:color="000000"/>
              <w:bottom w:val="single" w:sz="4" w:space="0" w:color="000000"/>
              <w:right w:val="single" w:sz="4" w:space="0" w:color="000000"/>
            </w:tcBorders>
          </w:tcPr>
          <w:p w14:paraId="3DF57035" w14:textId="08CB9E76" w:rsidR="00CA14B6" w:rsidRPr="00DE15E9" w:rsidRDefault="00875C3B" w:rsidP="00DE15E9">
            <w:pPr>
              <w:pStyle w:val="ListParagraph"/>
              <w:numPr>
                <w:ilvl w:val="0"/>
                <w:numId w:val="2"/>
              </w:numPr>
              <w:tabs>
                <w:tab w:val="left" w:pos="450"/>
                <w:tab w:val="left" w:pos="993"/>
              </w:tabs>
              <w:spacing w:after="0" w:line="240" w:lineRule="auto"/>
              <w:ind w:left="0" w:firstLine="25"/>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lastRenderedPageBreak/>
              <w:t xml:space="preserve">Cifra de afaceri totală a furnizorilor și a cumpărătorilor prevăzută la alin. (1) se determină </w:t>
            </w:r>
            <w:r w:rsidRPr="00DE15E9">
              <w:rPr>
                <w:rFonts w:ascii="Times New Roman" w:hAnsi="Times New Roman" w:cs="Times New Roman"/>
                <w:sz w:val="20"/>
                <w:szCs w:val="20"/>
              </w:rPr>
              <w:t>pe baza ultimei situații financiare anuale aprobate</w:t>
            </w:r>
            <w:r w:rsidRPr="00DE15E9">
              <w:rPr>
                <w:rFonts w:ascii="Times New Roman" w:eastAsia="Times New Roman" w:hAnsi="Times New Roman" w:cs="Times New Roman"/>
                <w:sz w:val="20"/>
                <w:szCs w:val="20"/>
              </w:rPr>
              <w:t xml:space="preserve">, </w:t>
            </w:r>
            <w:r w:rsidRPr="00DE15E9">
              <w:rPr>
                <w:rFonts w:ascii="Times New Roman" w:hAnsi="Times New Roman" w:cs="Times New Roman"/>
                <w:sz w:val="20"/>
                <w:szCs w:val="20"/>
              </w:rPr>
              <w:t>cu aplicarea corespunzătoare a regulilor privind întreprinderile autonome, partenere și legate, potrivit Legii nr. 179/2016 cu privire la întreprinderile mici și mijlocii.</w:t>
            </w:r>
            <w:r w:rsidRPr="00DE15E9">
              <w:rPr>
                <w:rFonts w:ascii="Times New Roman" w:hAnsi="Times New Roman" w:cs="Times New Roman"/>
                <w:sz w:val="20"/>
                <w:szCs w:val="20"/>
                <w:lang w:val="ro-MD"/>
              </w:rPr>
              <w:t xml:space="preserve"> </w:t>
            </w:r>
            <w:r w:rsidRPr="00DE15E9">
              <w:rPr>
                <w:rFonts w:ascii="Times New Roman" w:hAnsi="Times New Roman" w:cs="Times New Roman"/>
                <w:sz w:val="20"/>
                <w:szCs w:val="20"/>
              </w:rPr>
              <w:t xml:space="preserve">Echivalentul în lei al plafoanelor exprimate în euro prevăzute la alin. (1) se calculează la rata oficială de schimb a Băncii Naționale a </w:t>
            </w:r>
            <w:r w:rsidRPr="00DE15E9">
              <w:rPr>
                <w:rFonts w:ascii="Times New Roman" w:hAnsi="Times New Roman" w:cs="Times New Roman"/>
                <w:sz w:val="20"/>
                <w:szCs w:val="20"/>
              </w:rPr>
              <w:lastRenderedPageBreak/>
              <w:t>Moldovei valabilă la ultima zi a exercițiului financiar pentru care a fost aprobată situația financiară anuală.</w:t>
            </w:r>
          </w:p>
        </w:tc>
        <w:tc>
          <w:tcPr>
            <w:tcW w:w="2693" w:type="dxa"/>
            <w:tcBorders>
              <w:top w:val="single" w:sz="4" w:space="0" w:color="000000"/>
              <w:left w:val="single" w:sz="4" w:space="0" w:color="000000"/>
              <w:bottom w:val="single" w:sz="4" w:space="0" w:color="000000"/>
              <w:right w:val="single" w:sz="4" w:space="0" w:color="000000"/>
            </w:tcBorders>
          </w:tcPr>
          <w:p w14:paraId="3CE597C1" w14:textId="77777777" w:rsidR="006B10BA" w:rsidRPr="00DE15E9" w:rsidRDefault="006B10BA" w:rsidP="00DE15E9">
            <w:pPr>
              <w:pStyle w:val="isselectedend"/>
              <w:spacing w:before="0" w:beforeAutospacing="0" w:after="0" w:afterAutospacing="0"/>
              <w:jc w:val="both"/>
              <w:rPr>
                <w:sz w:val="20"/>
                <w:szCs w:val="20"/>
              </w:rPr>
            </w:pPr>
            <w:r w:rsidRPr="00DE15E9">
              <w:rPr>
                <w:sz w:val="20"/>
                <w:szCs w:val="20"/>
              </w:rPr>
              <w:lastRenderedPageBreak/>
              <w:t xml:space="preserve">(2) The total turnover of suppliers and buyers referred to in paragraph (1) shall be determined on the basis of the latest approved annual financial statements, with the corresponding application of the rules on autonomous, partner and linked enterprises, pursuant to Law No. 179/2016 on small and medium-sized enterprises. The Moldovan leu equivalent of the thresholds expressed in euro referred to in paragraph (1) shall be calculated at the official </w:t>
            </w:r>
            <w:r w:rsidRPr="00DE15E9">
              <w:rPr>
                <w:sz w:val="20"/>
                <w:szCs w:val="20"/>
              </w:rPr>
              <w:lastRenderedPageBreak/>
              <w:t>exchange rate of the National Bank of Moldova valid on the last day of the financial year for which the annual financial statements were approved.</w:t>
            </w:r>
          </w:p>
          <w:p w14:paraId="0BDE6E0F" w14:textId="6340B2DF" w:rsidR="000E2328" w:rsidRPr="00DE15E9" w:rsidRDefault="000E2328"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6F30EFE4"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 xml:space="preserve">Parțial </w:t>
            </w:r>
            <w:r w:rsidR="000338AD" w:rsidRPr="00DE15E9">
              <w:rPr>
                <w:rFonts w:ascii="Times New Roman" w:eastAsia="Times New Roman" w:hAnsi="Times New Roman" w:cs="Times New Roman"/>
                <w:sz w:val="20"/>
                <w:szCs w:val="20"/>
                <w:lang w:val="ro-MD"/>
              </w:rPr>
              <w:t xml:space="preserve"> compatibil</w:t>
            </w:r>
          </w:p>
        </w:tc>
        <w:tc>
          <w:tcPr>
            <w:tcW w:w="1985" w:type="dxa"/>
            <w:tcBorders>
              <w:top w:val="single" w:sz="4" w:space="0" w:color="000000"/>
              <w:left w:val="single" w:sz="4" w:space="0" w:color="000000"/>
              <w:bottom w:val="single" w:sz="4" w:space="0" w:color="000000"/>
              <w:right w:val="single" w:sz="4" w:space="0" w:color="000000"/>
            </w:tcBorders>
          </w:tcPr>
          <w:p w14:paraId="436FF1BE" w14:textId="24D0CBCE" w:rsidR="000E2328" w:rsidRPr="00DE15E9" w:rsidRDefault="00C46BCA"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Prevedere adaptată. </w:t>
            </w:r>
            <w:r w:rsidR="000E2328" w:rsidRPr="00DE15E9">
              <w:rPr>
                <w:rFonts w:ascii="Times New Roman" w:eastAsia="Times New Roman" w:hAnsi="Times New Roman" w:cs="Times New Roman"/>
                <w:sz w:val="20"/>
                <w:szCs w:val="20"/>
                <w:lang w:val="ro-MD"/>
              </w:rPr>
              <w:t xml:space="preserve">Legislația RM </w:t>
            </w:r>
            <w:r w:rsidR="00875C3B" w:rsidRPr="00DE15E9">
              <w:rPr>
                <w:rFonts w:ascii="Times New Roman" w:eastAsia="Times New Roman" w:hAnsi="Times New Roman" w:cs="Times New Roman"/>
                <w:sz w:val="20"/>
                <w:szCs w:val="20"/>
                <w:lang w:val="ro-MD"/>
              </w:rPr>
              <w:t xml:space="preserve">încă </w:t>
            </w:r>
            <w:r w:rsidR="000E2328" w:rsidRPr="00DE15E9">
              <w:rPr>
                <w:rFonts w:ascii="Times New Roman" w:eastAsia="Times New Roman" w:hAnsi="Times New Roman" w:cs="Times New Roman"/>
                <w:sz w:val="20"/>
                <w:szCs w:val="20"/>
                <w:lang w:val="ro-MD"/>
              </w:rPr>
              <w:t xml:space="preserve">nu prevede noțiuni de </w:t>
            </w:r>
            <w:r w:rsidR="000E2328" w:rsidRPr="00DE15E9">
              <w:rPr>
                <w:rFonts w:ascii="Times New Roman" w:hAnsi="Times New Roman" w:cs="Times New Roman"/>
                <w:sz w:val="20"/>
                <w:szCs w:val="20"/>
                <w:shd w:val="clear" w:color="auto" w:fill="FFFFFF"/>
                <w:lang w:val="ro-MD"/>
              </w:rPr>
              <w:t>„întreprinderea autonomă”, „întreprinderea parteneră” și „întreprinderea asociată”.</w:t>
            </w:r>
            <w:r w:rsidR="00AE1D91" w:rsidRPr="00DE15E9">
              <w:rPr>
                <w:rFonts w:ascii="Times New Roman" w:hAnsi="Times New Roman" w:cs="Times New Roman"/>
                <w:sz w:val="20"/>
                <w:szCs w:val="20"/>
                <w:shd w:val="clear" w:color="auto" w:fill="FFFFFF"/>
                <w:lang w:val="ro-MD"/>
              </w:rPr>
              <w:t xml:space="preserve"> </w:t>
            </w:r>
            <w:r w:rsidR="00AE1D91" w:rsidRPr="00DE15E9">
              <w:rPr>
                <w:rFonts w:ascii="Times New Roman" w:hAnsi="Times New Roman" w:cs="Times New Roman"/>
                <w:sz w:val="20"/>
                <w:szCs w:val="20"/>
                <w:lang w:val="ro-MD"/>
              </w:rPr>
              <w:t xml:space="preserve">Legea nr. 179/2016 privind IMM conține mecanisme funcțional echivalente pentru determinarea dimensiunii întreprinderii, </w:t>
            </w:r>
            <w:r w:rsidR="00AE1D91" w:rsidRPr="00DE15E9">
              <w:rPr>
                <w:rFonts w:ascii="Times New Roman" w:hAnsi="Times New Roman" w:cs="Times New Roman"/>
                <w:sz w:val="20"/>
                <w:szCs w:val="20"/>
                <w:lang w:val="ro-MD"/>
              </w:rPr>
              <w:lastRenderedPageBreak/>
              <w:t>inclusiv criterii de control și legături economice, ceea ce permite aplicarea efectivă a prevederilor Directivei</w:t>
            </w:r>
            <w:r w:rsidR="00875C3B" w:rsidRPr="00DE15E9">
              <w:rPr>
                <w:rFonts w:ascii="Times New Roman" w:hAnsi="Times New Roman" w:cs="Times New Roman"/>
                <w:sz w:val="20"/>
                <w:szCs w:val="20"/>
                <w:lang w:val="ro-MD"/>
              </w:rPr>
              <w:t xml:space="preserve"> până la armonizarea completă a legii cu actele UE.</w:t>
            </w:r>
          </w:p>
        </w:tc>
        <w:tc>
          <w:tcPr>
            <w:tcW w:w="2126" w:type="dxa"/>
            <w:tcBorders>
              <w:top w:val="single" w:sz="4" w:space="0" w:color="000000"/>
              <w:left w:val="single" w:sz="4" w:space="0" w:color="000000"/>
              <w:bottom w:val="single" w:sz="4" w:space="0" w:color="000000"/>
              <w:right w:val="single" w:sz="4" w:space="0" w:color="000000"/>
            </w:tcBorders>
          </w:tcPr>
          <w:p w14:paraId="3899DFDD"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p>
        </w:tc>
      </w:tr>
      <w:tr w:rsidR="000E2328" w:rsidRPr="00DE15E9" w14:paraId="4957EA9E" w14:textId="77777777" w:rsidTr="00033703">
        <w:tc>
          <w:tcPr>
            <w:tcW w:w="430" w:type="dxa"/>
            <w:tcBorders>
              <w:top w:val="single" w:sz="4" w:space="0" w:color="000000"/>
              <w:left w:val="single" w:sz="4" w:space="0" w:color="000000"/>
              <w:bottom w:val="single" w:sz="4" w:space="0" w:color="000000"/>
              <w:right w:val="single" w:sz="4" w:space="0" w:color="000000"/>
            </w:tcBorders>
          </w:tcPr>
          <w:p w14:paraId="37CE7A65" w14:textId="77777777" w:rsidR="000E2328" w:rsidRPr="00DE15E9" w:rsidRDefault="000E2328"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4</w:t>
            </w:r>
          </w:p>
        </w:tc>
        <w:tc>
          <w:tcPr>
            <w:tcW w:w="2547" w:type="dxa"/>
            <w:tcBorders>
              <w:top w:val="single" w:sz="4" w:space="0" w:color="000000"/>
              <w:left w:val="single" w:sz="4" w:space="0" w:color="000000"/>
              <w:bottom w:val="single" w:sz="4" w:space="0" w:color="000000"/>
              <w:right w:val="single" w:sz="4" w:space="0" w:color="000000"/>
            </w:tcBorders>
          </w:tcPr>
          <w:p w14:paraId="073A42EC"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Prin derogare de la primul paragraf, prezenta directivă se aplică în ceea ce privește vânzările de produse agricole și alimentare de către furnizori a căror cifră de afaceri anuală este de maximum 350 000 000 EUR către toți cumpărătorii care sunt autorități publice.</w:t>
            </w:r>
          </w:p>
        </w:tc>
        <w:tc>
          <w:tcPr>
            <w:tcW w:w="2552" w:type="dxa"/>
            <w:tcBorders>
              <w:top w:val="single" w:sz="4" w:space="0" w:color="000000"/>
              <w:left w:val="single" w:sz="4" w:space="0" w:color="000000"/>
              <w:bottom w:val="single" w:sz="4" w:space="0" w:color="000000"/>
              <w:right w:val="single" w:sz="4" w:space="0" w:color="000000"/>
            </w:tcBorders>
          </w:tcPr>
          <w:p w14:paraId="61261420"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By way of derogation from the first subparagraph, this Directive applies in relation to sales of agricultural and food products by suppliers which have an annual turnover not exceeding EUR 350 000 000 to all buyers which are public authorities.</w:t>
            </w:r>
          </w:p>
        </w:tc>
        <w:tc>
          <w:tcPr>
            <w:tcW w:w="2693" w:type="dxa"/>
            <w:tcBorders>
              <w:top w:val="single" w:sz="4" w:space="0" w:color="000000"/>
              <w:left w:val="single" w:sz="4" w:space="0" w:color="000000"/>
              <w:bottom w:val="single" w:sz="4" w:space="0" w:color="000000"/>
              <w:right w:val="single" w:sz="4" w:space="0" w:color="000000"/>
            </w:tcBorders>
          </w:tcPr>
          <w:p w14:paraId="42A8EBC9" w14:textId="0E3196FE" w:rsidR="00C46BCA" w:rsidRPr="00DE15E9" w:rsidRDefault="006B10BA" w:rsidP="00DE15E9">
            <w:pPr>
              <w:tabs>
                <w:tab w:val="left" w:pos="311"/>
              </w:tabs>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 xml:space="preserve">(4) Prin derogare de la prevederile alin. (1), prezenta lege se aplică furnizorilor cu cifră de afaceri totală de maximum 350 milioane de euro către toți cumpărătorii care sunt autorități publice </w:t>
            </w:r>
          </w:p>
        </w:tc>
        <w:tc>
          <w:tcPr>
            <w:tcW w:w="2693" w:type="dxa"/>
            <w:tcBorders>
              <w:top w:val="single" w:sz="4" w:space="0" w:color="000000"/>
              <w:left w:val="single" w:sz="4" w:space="0" w:color="000000"/>
              <w:bottom w:val="single" w:sz="4" w:space="0" w:color="000000"/>
              <w:right w:val="single" w:sz="4" w:space="0" w:color="000000"/>
            </w:tcBorders>
          </w:tcPr>
          <w:p w14:paraId="656A4CB1" w14:textId="3463247F" w:rsidR="000E2328" w:rsidRPr="00DE15E9" w:rsidRDefault="006B10BA"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rPr>
              <w:t>(4) By way of derogation from paragraph (1), this Law shall apply to suppliers with a total turnover not exceeding EUR 350 million in relation to all buyers that are public authorities</w:t>
            </w:r>
          </w:p>
        </w:tc>
        <w:tc>
          <w:tcPr>
            <w:tcW w:w="1276" w:type="dxa"/>
            <w:tcBorders>
              <w:top w:val="single" w:sz="4" w:space="0" w:color="000000"/>
              <w:left w:val="single" w:sz="4" w:space="0" w:color="000000"/>
              <w:bottom w:val="single" w:sz="4" w:space="0" w:color="000000"/>
              <w:right w:val="single" w:sz="4" w:space="0" w:color="000000"/>
            </w:tcBorders>
          </w:tcPr>
          <w:p w14:paraId="3A0D17DD" w14:textId="3F7B4348" w:rsidR="000E2328" w:rsidRPr="00DE15E9" w:rsidRDefault="00875C3B"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Compatibil</w:t>
            </w:r>
          </w:p>
        </w:tc>
        <w:tc>
          <w:tcPr>
            <w:tcW w:w="1985" w:type="dxa"/>
            <w:tcBorders>
              <w:top w:val="single" w:sz="4" w:space="0" w:color="000000"/>
              <w:left w:val="single" w:sz="4" w:space="0" w:color="000000"/>
              <w:bottom w:val="single" w:sz="4" w:space="0" w:color="000000"/>
              <w:right w:val="single" w:sz="4" w:space="0" w:color="000000"/>
            </w:tcBorders>
          </w:tcPr>
          <w:p w14:paraId="34CE24B0" w14:textId="76D10435" w:rsidR="000E2328" w:rsidRPr="00DE15E9" w:rsidRDefault="00E83D21"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63623353"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p>
        </w:tc>
      </w:tr>
      <w:tr w:rsidR="000E2328" w:rsidRPr="00DE15E9" w14:paraId="49BB8EC5" w14:textId="77777777" w:rsidTr="00033703">
        <w:tc>
          <w:tcPr>
            <w:tcW w:w="430" w:type="dxa"/>
            <w:tcBorders>
              <w:top w:val="single" w:sz="4" w:space="0" w:color="000000"/>
              <w:left w:val="single" w:sz="4" w:space="0" w:color="000000"/>
              <w:bottom w:val="single" w:sz="4" w:space="0" w:color="000000"/>
              <w:right w:val="single" w:sz="4" w:space="0" w:color="000000"/>
            </w:tcBorders>
          </w:tcPr>
          <w:p w14:paraId="4CD085B7" w14:textId="77777777" w:rsidR="000E2328" w:rsidRPr="00DE15E9" w:rsidRDefault="000E2328"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5</w:t>
            </w:r>
          </w:p>
        </w:tc>
        <w:tc>
          <w:tcPr>
            <w:tcW w:w="2547" w:type="dxa"/>
            <w:tcBorders>
              <w:top w:val="single" w:sz="4" w:space="0" w:color="000000"/>
              <w:left w:val="single" w:sz="4" w:space="0" w:color="000000"/>
              <w:bottom w:val="single" w:sz="4" w:space="0" w:color="000000"/>
              <w:right w:val="single" w:sz="4" w:space="0" w:color="000000"/>
            </w:tcBorders>
          </w:tcPr>
          <w:p w14:paraId="76A6A0E8"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Prezenta directivă se aplică vânzărilor în cazul cărora fie furnizorul, fie cumpărătorul, fie ambii sunt stabiliți în Uniune.</w:t>
            </w:r>
          </w:p>
        </w:tc>
        <w:tc>
          <w:tcPr>
            <w:tcW w:w="2552" w:type="dxa"/>
            <w:tcBorders>
              <w:top w:val="single" w:sz="4" w:space="0" w:color="000000"/>
              <w:left w:val="single" w:sz="4" w:space="0" w:color="000000"/>
              <w:bottom w:val="single" w:sz="4" w:space="0" w:color="000000"/>
              <w:right w:val="single" w:sz="4" w:space="0" w:color="000000"/>
            </w:tcBorders>
          </w:tcPr>
          <w:p w14:paraId="7177E5E8"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This Directive applies to sales where either the supplier or the buyer, or both, are established in the Union.</w:t>
            </w:r>
          </w:p>
        </w:tc>
        <w:tc>
          <w:tcPr>
            <w:tcW w:w="2693" w:type="dxa"/>
            <w:tcBorders>
              <w:top w:val="single" w:sz="4" w:space="0" w:color="000000"/>
              <w:left w:val="single" w:sz="4" w:space="0" w:color="000000"/>
              <w:bottom w:val="single" w:sz="4" w:space="0" w:color="000000"/>
              <w:right w:val="single" w:sz="4" w:space="0" w:color="000000"/>
            </w:tcBorders>
          </w:tcPr>
          <w:p w14:paraId="7541F846" w14:textId="77777777" w:rsidR="006B10BA" w:rsidRPr="00DE15E9" w:rsidRDefault="006B10BA" w:rsidP="00DE15E9">
            <w:pPr>
              <w:pStyle w:val="ListParagraph"/>
              <w:numPr>
                <w:ilvl w:val="0"/>
                <w:numId w:val="3"/>
              </w:numPr>
              <w:tabs>
                <w:tab w:val="left" w:pos="34"/>
                <w:tab w:val="left" w:pos="993"/>
              </w:tabs>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Interdicțiile prevăzute la art. 4 și 5 se aplică practicilor comerciale neloiale care apar în cadrul relațiilor contractuale de furnizare a produselor agricole și alimentare reglementate de legislația Republicii Moldova.</w:t>
            </w:r>
          </w:p>
          <w:p w14:paraId="75733986" w14:textId="17B0D0AB" w:rsidR="001E1DE0" w:rsidRPr="00DE15E9" w:rsidRDefault="001E1DE0" w:rsidP="00DE15E9">
            <w:pPr>
              <w:tabs>
                <w:tab w:val="left" w:pos="311"/>
              </w:tabs>
              <w:spacing w:after="0" w:line="240" w:lineRule="auto"/>
              <w:jc w:val="both"/>
              <w:rPr>
                <w:rFonts w:ascii="Times New Roman" w:eastAsia="Times New Roman" w:hAnsi="Times New Roman" w:cs="Times New Roman"/>
                <w:sz w:val="20"/>
                <w:szCs w:val="20"/>
                <w:lang w:val="ro"/>
              </w:rPr>
            </w:pPr>
          </w:p>
        </w:tc>
        <w:tc>
          <w:tcPr>
            <w:tcW w:w="2693" w:type="dxa"/>
            <w:tcBorders>
              <w:top w:val="single" w:sz="4" w:space="0" w:color="000000"/>
              <w:left w:val="single" w:sz="4" w:space="0" w:color="000000"/>
              <w:bottom w:val="single" w:sz="4" w:space="0" w:color="000000"/>
              <w:right w:val="single" w:sz="4" w:space="0" w:color="000000"/>
            </w:tcBorders>
          </w:tcPr>
          <w:p w14:paraId="54744EBF" w14:textId="77777777" w:rsidR="006B10BA" w:rsidRPr="00DE15E9" w:rsidRDefault="006B10BA" w:rsidP="00DE15E9">
            <w:pPr>
              <w:pStyle w:val="NormalWeb"/>
              <w:spacing w:before="0" w:beforeAutospacing="0" w:after="0" w:afterAutospacing="0"/>
              <w:jc w:val="both"/>
              <w:rPr>
                <w:sz w:val="20"/>
                <w:szCs w:val="20"/>
              </w:rPr>
            </w:pPr>
            <w:r w:rsidRPr="00DE15E9">
              <w:rPr>
                <w:sz w:val="20"/>
                <w:szCs w:val="20"/>
              </w:rPr>
              <w:t>(7) The prohibitions laid down in Articles 4 and 5 shall apply to unfair trading practices occurring within contractual relationships for the supply of agricultural and food products governed by the legislation of the Republic of Moldova.</w:t>
            </w:r>
          </w:p>
          <w:p w14:paraId="6072C23D" w14:textId="77777777" w:rsidR="000E2328" w:rsidRPr="00DE15E9" w:rsidRDefault="000E2328"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D92820B" w14:textId="6D9F3EEE" w:rsidR="000E2328" w:rsidRPr="00DE15E9" w:rsidRDefault="000E2328" w:rsidP="00DE15E9">
            <w:pPr>
              <w:spacing w:after="0" w:line="240" w:lineRule="auto"/>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 </w:t>
            </w:r>
            <w:r w:rsidR="006B10BA" w:rsidRPr="00DE15E9">
              <w:rPr>
                <w:rFonts w:ascii="Times New Roman" w:eastAsia="Times New Roman" w:hAnsi="Times New Roman" w:cs="Times New Roman"/>
                <w:sz w:val="20"/>
                <w:szCs w:val="20"/>
                <w:lang w:val="ro-MD"/>
              </w:rPr>
              <w:t>Parțial c</w:t>
            </w:r>
            <w:r w:rsidR="000338AD" w:rsidRPr="00DE15E9">
              <w:rPr>
                <w:rFonts w:ascii="Times New Roman" w:eastAsia="Times New Roman" w:hAnsi="Times New Roman" w:cs="Times New Roman"/>
                <w:sz w:val="20"/>
                <w:szCs w:val="20"/>
                <w:lang w:val="ro-MD"/>
              </w:rPr>
              <w:t>ompatibil</w:t>
            </w:r>
          </w:p>
        </w:tc>
        <w:tc>
          <w:tcPr>
            <w:tcW w:w="1985" w:type="dxa"/>
            <w:tcBorders>
              <w:top w:val="single" w:sz="4" w:space="0" w:color="000000"/>
              <w:left w:val="single" w:sz="4" w:space="0" w:color="000000"/>
              <w:bottom w:val="single" w:sz="4" w:space="0" w:color="000000"/>
              <w:right w:val="single" w:sz="4" w:space="0" w:color="000000"/>
            </w:tcBorders>
          </w:tcPr>
          <w:p w14:paraId="68939857" w14:textId="7E465D36" w:rsidR="000E2328" w:rsidRPr="00DE15E9" w:rsidRDefault="006B10BA"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Legea produce efect doar pe teritoriul RM</w:t>
            </w:r>
          </w:p>
        </w:tc>
        <w:tc>
          <w:tcPr>
            <w:tcW w:w="2126" w:type="dxa"/>
            <w:tcBorders>
              <w:top w:val="single" w:sz="4" w:space="0" w:color="000000"/>
              <w:left w:val="single" w:sz="4" w:space="0" w:color="000000"/>
              <w:bottom w:val="single" w:sz="4" w:space="0" w:color="000000"/>
              <w:right w:val="single" w:sz="4" w:space="0" w:color="000000"/>
            </w:tcBorders>
          </w:tcPr>
          <w:p w14:paraId="0148323A"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p>
        </w:tc>
      </w:tr>
      <w:tr w:rsidR="000E2328" w:rsidRPr="00DE15E9" w14:paraId="555C8016" w14:textId="77777777" w:rsidTr="00033703">
        <w:tc>
          <w:tcPr>
            <w:tcW w:w="430" w:type="dxa"/>
            <w:tcBorders>
              <w:top w:val="single" w:sz="4" w:space="0" w:color="000000"/>
              <w:left w:val="single" w:sz="4" w:space="0" w:color="000000"/>
              <w:bottom w:val="single" w:sz="4" w:space="0" w:color="000000"/>
              <w:right w:val="single" w:sz="4" w:space="0" w:color="000000"/>
            </w:tcBorders>
          </w:tcPr>
          <w:p w14:paraId="3B610225" w14:textId="77777777" w:rsidR="000E2328" w:rsidRPr="00DE15E9" w:rsidRDefault="000E2328"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6</w:t>
            </w:r>
          </w:p>
        </w:tc>
        <w:tc>
          <w:tcPr>
            <w:tcW w:w="2547" w:type="dxa"/>
            <w:tcBorders>
              <w:top w:val="single" w:sz="4" w:space="0" w:color="000000"/>
              <w:left w:val="single" w:sz="4" w:space="0" w:color="000000"/>
              <w:bottom w:val="single" w:sz="4" w:space="0" w:color="000000"/>
              <w:right w:val="single" w:sz="4" w:space="0" w:color="000000"/>
            </w:tcBorders>
          </w:tcPr>
          <w:p w14:paraId="139C1DEF"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Prezenta directivă se aplică, de asemenea, serviciilor, în măsura în care se face referire la acestea în mod explicit la articolul 3, prestate de cumpărător în beneficiul furnizorului.</w:t>
            </w:r>
          </w:p>
        </w:tc>
        <w:tc>
          <w:tcPr>
            <w:tcW w:w="2552" w:type="dxa"/>
            <w:tcBorders>
              <w:top w:val="single" w:sz="4" w:space="0" w:color="000000"/>
              <w:left w:val="single" w:sz="4" w:space="0" w:color="000000"/>
              <w:bottom w:val="single" w:sz="4" w:space="0" w:color="000000"/>
              <w:right w:val="single" w:sz="4" w:space="0" w:color="000000"/>
            </w:tcBorders>
          </w:tcPr>
          <w:p w14:paraId="67352127"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This Directive also applies to services, insofar as explicitly referred to in Article 3, provided by the buyer to the supplier.</w:t>
            </w:r>
          </w:p>
        </w:tc>
        <w:tc>
          <w:tcPr>
            <w:tcW w:w="2693" w:type="dxa"/>
            <w:tcBorders>
              <w:top w:val="single" w:sz="4" w:space="0" w:color="000000"/>
              <w:left w:val="single" w:sz="4" w:space="0" w:color="000000"/>
              <w:bottom w:val="single" w:sz="4" w:space="0" w:color="000000"/>
              <w:right w:val="single" w:sz="4" w:space="0" w:color="000000"/>
            </w:tcBorders>
          </w:tcPr>
          <w:p w14:paraId="4910ABFD" w14:textId="3A2F0B90" w:rsidR="000E2328" w:rsidRPr="00DE15E9" w:rsidRDefault="006B10BA" w:rsidP="00DE15E9">
            <w:pPr>
              <w:tabs>
                <w:tab w:val="left" w:pos="311"/>
              </w:tabs>
              <w:spacing w:after="0" w:line="240" w:lineRule="auto"/>
              <w:jc w:val="both"/>
              <w:rPr>
                <w:rFonts w:ascii="Times New Roman" w:hAnsi="Times New Roman" w:cs="Times New Roman"/>
                <w:sz w:val="20"/>
                <w:szCs w:val="20"/>
                <w:lang w:val="ro-MD"/>
              </w:rPr>
            </w:pPr>
            <w:r w:rsidRPr="00DE15E9">
              <w:rPr>
                <w:rFonts w:ascii="Times New Roman" w:hAnsi="Times New Roman" w:cs="Times New Roman"/>
                <w:sz w:val="20"/>
                <w:szCs w:val="20"/>
                <w:lang w:val="ro-MD"/>
              </w:rPr>
              <w:t xml:space="preserve">(3) Prezenta lege se aplică, de asemenea, </w:t>
            </w:r>
            <w:r w:rsidRPr="00DE15E9">
              <w:rPr>
                <w:rFonts w:ascii="Times New Roman" w:eastAsia="Times New Roman" w:hAnsi="Times New Roman" w:cs="Times New Roman"/>
                <w:sz w:val="20"/>
                <w:szCs w:val="20"/>
              </w:rPr>
              <w:t>serviciilor prestate de cumpărător furnizorului, în măsura în care acestea vizează practicile comerciale neloiale prevăzute la art. 4 și 5</w:t>
            </w:r>
          </w:p>
        </w:tc>
        <w:tc>
          <w:tcPr>
            <w:tcW w:w="2693" w:type="dxa"/>
            <w:tcBorders>
              <w:top w:val="single" w:sz="4" w:space="0" w:color="000000"/>
              <w:left w:val="single" w:sz="4" w:space="0" w:color="000000"/>
              <w:bottom w:val="single" w:sz="4" w:space="0" w:color="000000"/>
              <w:right w:val="single" w:sz="4" w:space="0" w:color="000000"/>
            </w:tcBorders>
          </w:tcPr>
          <w:p w14:paraId="69C3B8FE" w14:textId="77777777" w:rsidR="006B10BA" w:rsidRPr="00DE15E9" w:rsidRDefault="006B10BA" w:rsidP="00DE15E9">
            <w:pPr>
              <w:pStyle w:val="isselectedend"/>
              <w:spacing w:before="0" w:beforeAutospacing="0" w:after="0" w:afterAutospacing="0"/>
              <w:jc w:val="both"/>
              <w:rPr>
                <w:sz w:val="20"/>
                <w:szCs w:val="20"/>
              </w:rPr>
            </w:pPr>
            <w:r w:rsidRPr="00DE15E9">
              <w:rPr>
                <w:sz w:val="20"/>
                <w:szCs w:val="20"/>
              </w:rPr>
              <w:t>(3) This Law shall also apply to services provided by the buyer to the supplier, in so far as they concern the unfair trading practices referred to in Articles 4 and 5.</w:t>
            </w:r>
          </w:p>
          <w:p w14:paraId="1FA2D617" w14:textId="77777777" w:rsidR="000E2328" w:rsidRPr="00DE15E9" w:rsidRDefault="000E2328"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44FBE747"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0EE46E1B"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6C60B715"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p>
        </w:tc>
      </w:tr>
      <w:tr w:rsidR="000E2328" w:rsidRPr="00DE15E9" w14:paraId="660B135F" w14:textId="77777777" w:rsidTr="00033703">
        <w:tc>
          <w:tcPr>
            <w:tcW w:w="430" w:type="dxa"/>
            <w:tcBorders>
              <w:top w:val="single" w:sz="4" w:space="0" w:color="000000"/>
              <w:left w:val="single" w:sz="4" w:space="0" w:color="000000"/>
              <w:bottom w:val="single" w:sz="4" w:space="0" w:color="000000"/>
              <w:right w:val="single" w:sz="4" w:space="0" w:color="000000"/>
            </w:tcBorders>
          </w:tcPr>
          <w:p w14:paraId="58AAB5B7" w14:textId="77777777" w:rsidR="000E2328" w:rsidRPr="00DE15E9" w:rsidRDefault="000E2328"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7</w:t>
            </w:r>
          </w:p>
        </w:tc>
        <w:tc>
          <w:tcPr>
            <w:tcW w:w="2547" w:type="dxa"/>
            <w:tcBorders>
              <w:top w:val="single" w:sz="4" w:space="0" w:color="000000"/>
              <w:left w:val="single" w:sz="4" w:space="0" w:color="000000"/>
              <w:bottom w:val="single" w:sz="4" w:space="0" w:color="000000"/>
              <w:right w:val="single" w:sz="4" w:space="0" w:color="000000"/>
            </w:tcBorders>
          </w:tcPr>
          <w:p w14:paraId="280A12A3"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Prezenta directivă nu se aplică acordurilor dintre furnizori și consumatori.</w:t>
            </w:r>
          </w:p>
        </w:tc>
        <w:tc>
          <w:tcPr>
            <w:tcW w:w="2552" w:type="dxa"/>
            <w:tcBorders>
              <w:top w:val="single" w:sz="4" w:space="0" w:color="000000"/>
              <w:left w:val="single" w:sz="4" w:space="0" w:color="000000"/>
              <w:bottom w:val="single" w:sz="4" w:space="0" w:color="000000"/>
              <w:right w:val="single" w:sz="4" w:space="0" w:color="000000"/>
            </w:tcBorders>
          </w:tcPr>
          <w:p w14:paraId="2579B2EF"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This Directive does not apply to agreements between suppliers and consumers.</w:t>
            </w:r>
          </w:p>
        </w:tc>
        <w:tc>
          <w:tcPr>
            <w:tcW w:w="2693" w:type="dxa"/>
            <w:tcBorders>
              <w:top w:val="single" w:sz="4" w:space="0" w:color="000000"/>
              <w:left w:val="single" w:sz="4" w:space="0" w:color="000000"/>
              <w:bottom w:val="single" w:sz="4" w:space="0" w:color="000000"/>
              <w:right w:val="single" w:sz="4" w:space="0" w:color="000000"/>
            </w:tcBorders>
          </w:tcPr>
          <w:p w14:paraId="0DAF2AB2" w14:textId="3810EF64" w:rsidR="006B10BA" w:rsidRPr="00DE15E9" w:rsidRDefault="006B10BA" w:rsidP="00DE15E9">
            <w:pPr>
              <w:tabs>
                <w:tab w:val="left" w:pos="851"/>
                <w:tab w:val="left" w:pos="993"/>
              </w:tabs>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(5)</w:t>
            </w:r>
            <w:r w:rsidR="00E0260F" w:rsidRPr="00DE15E9">
              <w:rPr>
                <w:rFonts w:ascii="Times New Roman" w:eastAsia="Times New Roman" w:hAnsi="Times New Roman" w:cs="Times New Roman"/>
                <w:sz w:val="20"/>
                <w:szCs w:val="20"/>
              </w:rPr>
              <w:t xml:space="preserve"> </w:t>
            </w:r>
            <w:r w:rsidRPr="00DE15E9">
              <w:rPr>
                <w:rFonts w:ascii="Times New Roman" w:eastAsia="Times New Roman" w:hAnsi="Times New Roman" w:cs="Times New Roman"/>
                <w:sz w:val="20"/>
                <w:szCs w:val="20"/>
              </w:rPr>
              <w:t xml:space="preserve">Prezenta lege </w:t>
            </w:r>
            <w:r w:rsidRPr="00DE15E9">
              <w:rPr>
                <w:rFonts w:ascii="Times New Roman" w:hAnsi="Times New Roman" w:cs="Times New Roman"/>
                <w:sz w:val="20"/>
                <w:szCs w:val="20"/>
              </w:rPr>
              <w:t>nu afectează relațiile dintre furnizori și consumatori finali.</w:t>
            </w:r>
          </w:p>
          <w:p w14:paraId="05954F5E" w14:textId="77B59F5A" w:rsidR="007247D5" w:rsidRPr="00DE15E9" w:rsidRDefault="007247D5" w:rsidP="00DE15E9">
            <w:pPr>
              <w:tabs>
                <w:tab w:val="left" w:pos="311"/>
              </w:tabs>
              <w:spacing w:after="0" w:line="240" w:lineRule="auto"/>
              <w:jc w:val="both"/>
              <w:rPr>
                <w:rFonts w:ascii="Times New Roman" w:eastAsia="Times New Roman" w:hAnsi="Times New Roman" w:cs="Times New Roman"/>
                <w:sz w:val="20"/>
                <w:szCs w:val="20"/>
                <w:lang w:val="ro"/>
              </w:rPr>
            </w:pPr>
          </w:p>
        </w:tc>
        <w:tc>
          <w:tcPr>
            <w:tcW w:w="2693" w:type="dxa"/>
            <w:tcBorders>
              <w:top w:val="single" w:sz="4" w:space="0" w:color="000000"/>
              <w:left w:val="single" w:sz="4" w:space="0" w:color="000000"/>
              <w:bottom w:val="single" w:sz="4" w:space="0" w:color="000000"/>
              <w:right w:val="single" w:sz="4" w:space="0" w:color="000000"/>
            </w:tcBorders>
          </w:tcPr>
          <w:p w14:paraId="6EE6919B" w14:textId="77777777" w:rsidR="00E0260F" w:rsidRPr="00DE15E9" w:rsidRDefault="00E0260F" w:rsidP="00DE15E9">
            <w:pPr>
              <w:pStyle w:val="isselectedend"/>
              <w:spacing w:before="0" w:beforeAutospacing="0" w:after="0" w:afterAutospacing="0"/>
              <w:jc w:val="both"/>
              <w:rPr>
                <w:sz w:val="20"/>
                <w:szCs w:val="20"/>
              </w:rPr>
            </w:pPr>
            <w:r w:rsidRPr="00DE15E9">
              <w:rPr>
                <w:sz w:val="20"/>
                <w:szCs w:val="20"/>
              </w:rPr>
              <w:lastRenderedPageBreak/>
              <w:t>(5) This Law shall not affect relationships between suppliers and final consumers.</w:t>
            </w:r>
          </w:p>
          <w:p w14:paraId="4C126ACA" w14:textId="77777777" w:rsidR="000E2328" w:rsidRPr="00DE15E9" w:rsidRDefault="000E2328"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7997B693"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Compatibil</w:t>
            </w:r>
          </w:p>
        </w:tc>
        <w:tc>
          <w:tcPr>
            <w:tcW w:w="1985" w:type="dxa"/>
            <w:tcBorders>
              <w:top w:val="single" w:sz="4" w:space="0" w:color="000000"/>
              <w:left w:val="single" w:sz="4" w:space="0" w:color="000000"/>
              <w:bottom w:val="single" w:sz="4" w:space="0" w:color="000000"/>
              <w:right w:val="single" w:sz="4" w:space="0" w:color="000000"/>
            </w:tcBorders>
          </w:tcPr>
          <w:p w14:paraId="4C441485"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6AD41A8A"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p>
        </w:tc>
      </w:tr>
      <w:tr w:rsidR="000E2328" w:rsidRPr="00DE15E9" w14:paraId="12CF78D1" w14:textId="77777777" w:rsidTr="00033703">
        <w:tc>
          <w:tcPr>
            <w:tcW w:w="430" w:type="dxa"/>
            <w:tcBorders>
              <w:top w:val="single" w:sz="4" w:space="0" w:color="000000"/>
              <w:left w:val="single" w:sz="4" w:space="0" w:color="000000"/>
              <w:bottom w:val="single" w:sz="4" w:space="0" w:color="000000"/>
              <w:right w:val="single" w:sz="4" w:space="0" w:color="000000"/>
            </w:tcBorders>
          </w:tcPr>
          <w:p w14:paraId="51F30B70" w14:textId="77777777" w:rsidR="000E2328" w:rsidRPr="00DE15E9" w:rsidRDefault="000E2328"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8</w:t>
            </w:r>
          </w:p>
        </w:tc>
        <w:tc>
          <w:tcPr>
            <w:tcW w:w="2547" w:type="dxa"/>
            <w:tcBorders>
              <w:top w:val="single" w:sz="4" w:space="0" w:color="000000"/>
              <w:left w:val="single" w:sz="4" w:space="0" w:color="000000"/>
              <w:bottom w:val="single" w:sz="4" w:space="0" w:color="000000"/>
              <w:right w:val="single" w:sz="4" w:space="0" w:color="000000"/>
            </w:tcBorders>
          </w:tcPr>
          <w:p w14:paraId="740A9F0D"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(3)   Prezenta directivă se aplică acordurilor de furnizare încheiate după data aplicării actelor de transpunere a prezentei directive în conformitate cu articolul 13 alineatul (1) al doilea paragraf.</w:t>
            </w:r>
          </w:p>
        </w:tc>
        <w:tc>
          <w:tcPr>
            <w:tcW w:w="2552" w:type="dxa"/>
            <w:tcBorders>
              <w:top w:val="single" w:sz="4" w:space="0" w:color="000000"/>
              <w:left w:val="single" w:sz="4" w:space="0" w:color="000000"/>
              <w:bottom w:val="single" w:sz="4" w:space="0" w:color="000000"/>
              <w:right w:val="single" w:sz="4" w:space="0" w:color="000000"/>
            </w:tcBorders>
          </w:tcPr>
          <w:p w14:paraId="5684ADFB"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3.   This Directive applies to supply agreements concluded after the date of application of the measures transposing this Directive in accordance with the second subparagraph of Article 13(1).</w:t>
            </w:r>
          </w:p>
        </w:tc>
        <w:tc>
          <w:tcPr>
            <w:tcW w:w="2693" w:type="dxa"/>
            <w:tcBorders>
              <w:top w:val="single" w:sz="4" w:space="0" w:color="000000"/>
              <w:left w:val="single" w:sz="4" w:space="0" w:color="000000"/>
              <w:bottom w:val="single" w:sz="4" w:space="0" w:color="000000"/>
              <w:right w:val="single" w:sz="4" w:space="0" w:color="000000"/>
            </w:tcBorders>
          </w:tcPr>
          <w:p w14:paraId="3B13648E" w14:textId="77777777" w:rsidR="000E2328" w:rsidRPr="00DE15E9" w:rsidRDefault="000E2328"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205646A"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53EA25A0" w14:textId="2CBE8F4A" w:rsidR="00F50500" w:rsidRPr="00DE15E9" w:rsidRDefault="004779E9"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Prevedere UE neaplicabilă</w:t>
            </w:r>
          </w:p>
        </w:tc>
        <w:tc>
          <w:tcPr>
            <w:tcW w:w="1985" w:type="dxa"/>
            <w:tcBorders>
              <w:top w:val="single" w:sz="4" w:space="0" w:color="000000"/>
              <w:left w:val="single" w:sz="4" w:space="0" w:color="000000"/>
              <w:bottom w:val="single" w:sz="4" w:space="0" w:color="000000"/>
              <w:right w:val="single" w:sz="4" w:space="0" w:color="000000"/>
            </w:tcBorders>
          </w:tcPr>
          <w:p w14:paraId="58B25359" w14:textId="35A344B0" w:rsidR="000E2328" w:rsidRPr="00DE15E9" w:rsidRDefault="000E2328"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4C347092" w14:textId="77777777" w:rsidR="000E2328" w:rsidRPr="00DE15E9" w:rsidRDefault="000E2328"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31E68F0B" w14:textId="77777777" w:rsidTr="00033703">
        <w:tc>
          <w:tcPr>
            <w:tcW w:w="430" w:type="dxa"/>
            <w:tcBorders>
              <w:top w:val="single" w:sz="4" w:space="0" w:color="000000"/>
              <w:left w:val="single" w:sz="4" w:space="0" w:color="000000"/>
              <w:bottom w:val="single" w:sz="4" w:space="0" w:color="000000"/>
              <w:right w:val="single" w:sz="4" w:space="0" w:color="000000"/>
            </w:tcBorders>
          </w:tcPr>
          <w:p w14:paraId="3C5AB35B"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9</w:t>
            </w:r>
          </w:p>
        </w:tc>
        <w:tc>
          <w:tcPr>
            <w:tcW w:w="2547" w:type="dxa"/>
            <w:tcBorders>
              <w:top w:val="single" w:sz="4" w:space="0" w:color="000000"/>
              <w:left w:val="single" w:sz="4" w:space="0" w:color="000000"/>
              <w:bottom w:val="single" w:sz="4" w:space="0" w:color="000000"/>
              <w:right w:val="single" w:sz="4" w:space="0" w:color="000000"/>
            </w:tcBorders>
          </w:tcPr>
          <w:p w14:paraId="7E9F843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(4)   Acordurile de furnizare încheiate înainte de data publicării actelor de transpunere a prezentei directive în conformitate cu articolul 13 alineatul (1) primul paragraf trebuie să devină conforme cu prezenta directivă în termen de 12 luni de la data publicării.</w:t>
            </w:r>
          </w:p>
        </w:tc>
        <w:tc>
          <w:tcPr>
            <w:tcW w:w="2552" w:type="dxa"/>
            <w:tcBorders>
              <w:top w:val="single" w:sz="4" w:space="0" w:color="000000"/>
              <w:left w:val="single" w:sz="4" w:space="0" w:color="000000"/>
              <w:bottom w:val="single" w:sz="4" w:space="0" w:color="000000"/>
              <w:right w:val="single" w:sz="4" w:space="0" w:color="000000"/>
            </w:tcBorders>
          </w:tcPr>
          <w:p w14:paraId="489F5FB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4.   Supply agreements concluded before the date of publication of the measures transposing this Directive in accordance with the first subparagraph of Article 13(1) shall be brought into compliance with this Directive within 12 months after that date of publication.</w:t>
            </w:r>
          </w:p>
        </w:tc>
        <w:tc>
          <w:tcPr>
            <w:tcW w:w="2693" w:type="dxa"/>
            <w:tcBorders>
              <w:top w:val="single" w:sz="4" w:space="0" w:color="000000"/>
              <w:left w:val="single" w:sz="4" w:space="0" w:color="000000"/>
              <w:bottom w:val="single" w:sz="4" w:space="0" w:color="000000"/>
              <w:right w:val="single" w:sz="4" w:space="0" w:color="000000"/>
            </w:tcBorders>
          </w:tcPr>
          <w:p w14:paraId="2570B8BB" w14:textId="281E57EC"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706BA50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6CA758EE" w14:textId="0854611D"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Prevedere UE neaplicabilă</w:t>
            </w:r>
          </w:p>
        </w:tc>
        <w:tc>
          <w:tcPr>
            <w:tcW w:w="1985" w:type="dxa"/>
            <w:tcBorders>
              <w:top w:val="single" w:sz="4" w:space="0" w:color="000000"/>
              <w:left w:val="single" w:sz="4" w:space="0" w:color="000000"/>
              <w:bottom w:val="single" w:sz="4" w:space="0" w:color="000000"/>
              <w:right w:val="single" w:sz="4" w:space="0" w:color="000000"/>
            </w:tcBorders>
          </w:tcPr>
          <w:p w14:paraId="6B0B9CAB" w14:textId="3AA9591F"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lang w:val="ro-MD"/>
              </w:rPr>
              <w:t>În conformitate cu art. 73 din Legea nr. 100/2017 actul normativ produce efecte doar cât este în vigoare şi, de regulă, nu poate fi retroactiv sau ultraactiv, cu atât mai mult având în vedere termenul de 6 luni din data publicării până la intrarea în vigoare a legii.</w:t>
            </w:r>
          </w:p>
        </w:tc>
        <w:tc>
          <w:tcPr>
            <w:tcW w:w="2126" w:type="dxa"/>
            <w:tcBorders>
              <w:top w:val="single" w:sz="4" w:space="0" w:color="000000"/>
              <w:left w:val="single" w:sz="4" w:space="0" w:color="000000"/>
              <w:bottom w:val="single" w:sz="4" w:space="0" w:color="000000"/>
              <w:right w:val="single" w:sz="4" w:space="0" w:color="000000"/>
            </w:tcBorders>
          </w:tcPr>
          <w:p w14:paraId="37862FD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0C01C2A8" w14:textId="77777777" w:rsidTr="00033703">
        <w:tc>
          <w:tcPr>
            <w:tcW w:w="430" w:type="dxa"/>
            <w:tcBorders>
              <w:top w:val="single" w:sz="4" w:space="0" w:color="000000"/>
              <w:left w:val="single" w:sz="4" w:space="0" w:color="000000"/>
              <w:bottom w:val="single" w:sz="4" w:space="0" w:color="000000"/>
              <w:right w:val="single" w:sz="4" w:space="0" w:color="000000"/>
            </w:tcBorders>
          </w:tcPr>
          <w:p w14:paraId="750A727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10</w:t>
            </w:r>
          </w:p>
        </w:tc>
        <w:tc>
          <w:tcPr>
            <w:tcW w:w="2547" w:type="dxa"/>
            <w:tcBorders>
              <w:top w:val="single" w:sz="4" w:space="0" w:color="000000"/>
              <w:left w:val="single" w:sz="4" w:space="0" w:color="000000"/>
              <w:bottom w:val="single" w:sz="4" w:space="0" w:color="000000"/>
              <w:right w:val="single" w:sz="4" w:space="0" w:color="000000"/>
            </w:tcBorders>
          </w:tcPr>
          <w:p w14:paraId="2CD5EE1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b/>
                <w:sz w:val="20"/>
                <w:szCs w:val="20"/>
                <w:lang w:val="ro-MD"/>
              </w:rPr>
              <w:t>Articolul 2</w:t>
            </w:r>
            <w:r w:rsidRPr="00DE15E9">
              <w:rPr>
                <w:rFonts w:ascii="Times New Roman" w:eastAsia="Times New Roman" w:hAnsi="Times New Roman" w:cs="Times New Roman"/>
                <w:sz w:val="20"/>
                <w:szCs w:val="20"/>
                <w:lang w:val="ro-MD"/>
              </w:rPr>
              <w:t xml:space="preserve"> </w:t>
            </w:r>
            <w:r w:rsidRPr="00DE15E9">
              <w:rPr>
                <w:rFonts w:ascii="Times New Roman" w:hAnsi="Times New Roman" w:cs="Times New Roman"/>
                <w:b/>
                <w:bCs/>
                <w:sz w:val="20"/>
                <w:szCs w:val="20"/>
                <w:shd w:val="clear" w:color="auto" w:fill="FFFFFF"/>
                <w:lang w:val="ro-MD"/>
              </w:rPr>
              <w:t>Definiții</w:t>
            </w:r>
          </w:p>
          <w:p w14:paraId="261AA385"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În sensul prezentei directive:</w:t>
            </w:r>
          </w:p>
          <w:tbl>
            <w:tblPr>
              <w:tblW w:w="4860" w:type="pct"/>
              <w:shd w:val="clear" w:color="auto" w:fill="FFFFFF"/>
              <w:tblLayout w:type="fixed"/>
              <w:tblCellMar>
                <w:left w:w="0" w:type="dxa"/>
                <w:right w:w="0" w:type="dxa"/>
              </w:tblCellMar>
              <w:tblLook w:val="04A0" w:firstRow="1" w:lastRow="0" w:firstColumn="1" w:lastColumn="0" w:noHBand="0" w:noVBand="1"/>
            </w:tblPr>
            <w:tblGrid>
              <w:gridCol w:w="2252"/>
            </w:tblGrid>
            <w:tr w:rsidR="00E0260F" w:rsidRPr="00DE15E9" w14:paraId="04F25E75" w14:textId="77777777" w:rsidTr="009F06BF">
              <w:tc>
                <w:tcPr>
                  <w:tcW w:w="2262" w:type="dxa"/>
                  <w:shd w:val="clear" w:color="auto" w:fill="FFFFFF"/>
                  <w:hideMark/>
                </w:tcPr>
                <w:p w14:paraId="66FFF8A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„produse agricole și alimentare” înseamnă produsele enumerate în anexa I la TFUE, precum și produsele care nu sunt enumerate în anexa respectivă, dar care sunt procesate în scopul utilizării ca alimente prin utilizarea produselor enumerate în anexa respectivă;</w:t>
                  </w:r>
                </w:p>
              </w:tc>
            </w:tr>
          </w:tbl>
          <w:p w14:paraId="611E6EC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678D35B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b/>
                <w:sz w:val="20"/>
                <w:szCs w:val="20"/>
                <w:lang w:val="en-GB"/>
              </w:rPr>
              <w:t>Article 2</w:t>
            </w:r>
            <w:r w:rsidRPr="00DE15E9">
              <w:rPr>
                <w:rFonts w:ascii="Times New Roman" w:eastAsia="Times New Roman" w:hAnsi="Times New Roman" w:cs="Times New Roman"/>
                <w:sz w:val="20"/>
                <w:szCs w:val="20"/>
                <w:lang w:val="en-GB"/>
              </w:rPr>
              <w:t xml:space="preserve"> </w:t>
            </w:r>
            <w:r w:rsidRPr="00DE15E9">
              <w:rPr>
                <w:rFonts w:ascii="Times New Roman" w:hAnsi="Times New Roman" w:cs="Times New Roman"/>
                <w:b/>
                <w:bCs/>
                <w:sz w:val="20"/>
                <w:szCs w:val="20"/>
                <w:shd w:val="clear" w:color="auto" w:fill="FFFFFF"/>
                <w:lang w:val="en-GB"/>
              </w:rPr>
              <w:t>Definitions</w:t>
            </w:r>
          </w:p>
          <w:p w14:paraId="2F538541"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For the purposes of this Directive, the following definitions apply:</w:t>
            </w:r>
          </w:p>
          <w:tbl>
            <w:tblPr>
              <w:tblW w:w="4802" w:type="pct"/>
              <w:shd w:val="clear" w:color="auto" w:fill="FFFFFF"/>
              <w:tblLayout w:type="fixed"/>
              <w:tblCellMar>
                <w:left w:w="0" w:type="dxa"/>
                <w:right w:w="0" w:type="dxa"/>
              </w:tblCellMar>
              <w:tblLook w:val="04A0" w:firstRow="1" w:lastRow="0" w:firstColumn="1" w:lastColumn="0" w:noHBand="0" w:noVBand="1"/>
            </w:tblPr>
            <w:tblGrid>
              <w:gridCol w:w="2230"/>
            </w:tblGrid>
            <w:tr w:rsidR="00E0260F" w:rsidRPr="00DE15E9" w14:paraId="55DE25B7" w14:textId="77777777" w:rsidTr="009F06BF">
              <w:tc>
                <w:tcPr>
                  <w:tcW w:w="2230" w:type="dxa"/>
                  <w:shd w:val="clear" w:color="auto" w:fill="FFFFFF"/>
                  <w:hideMark/>
                </w:tcPr>
                <w:p w14:paraId="322BD02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‘agricultural and food products’ means products listed in Annex I to the TFEU as well as products not listed in that Annex, but processed for use as food using products listed in that Annex;</w:t>
                  </w:r>
                </w:p>
              </w:tc>
            </w:tr>
          </w:tbl>
          <w:p w14:paraId="4659AF6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79A9E42B" w14:textId="77777777" w:rsidR="00E0260F" w:rsidRPr="00DE15E9" w:rsidRDefault="00E0260F" w:rsidP="00DE15E9">
            <w:pPr>
              <w:tabs>
                <w:tab w:val="left" w:pos="311"/>
              </w:tabs>
              <w:spacing w:after="0" w:line="240" w:lineRule="auto"/>
              <w:jc w:val="both"/>
              <w:rPr>
                <w:rFonts w:ascii="Times New Roman" w:hAnsi="Times New Roman" w:cs="Times New Roman"/>
                <w:bCs/>
                <w:sz w:val="20"/>
                <w:szCs w:val="20"/>
                <w:lang w:val="ro-MD"/>
              </w:rPr>
            </w:pPr>
            <w:r w:rsidRPr="00DE15E9">
              <w:rPr>
                <w:rFonts w:ascii="Times New Roman" w:hAnsi="Times New Roman" w:cs="Times New Roman"/>
                <w:bCs/>
                <w:sz w:val="20"/>
                <w:szCs w:val="20"/>
                <w:lang w:val="ro-MD"/>
              </w:rPr>
              <w:t>Articolul 3. Noțiuni</w:t>
            </w:r>
          </w:p>
          <w:p w14:paraId="05A32DDA" w14:textId="576D1F53" w:rsidR="00E0260F" w:rsidRPr="00DE15E9" w:rsidRDefault="00E0260F" w:rsidP="00DE15E9">
            <w:pPr>
              <w:spacing w:after="0" w:line="240" w:lineRule="auto"/>
              <w:jc w:val="both"/>
              <w:rPr>
                <w:rFonts w:ascii="Times New Roman" w:eastAsiaTheme="minorHAnsi" w:hAnsi="Times New Roman" w:cs="Times New Roman"/>
                <w:sz w:val="20"/>
                <w:szCs w:val="20"/>
                <w:u w:val="single"/>
                <w:lang w:val="ro"/>
              </w:rPr>
            </w:pPr>
            <w:r w:rsidRPr="00DE15E9">
              <w:rPr>
                <w:rFonts w:ascii="Times New Roman" w:hAnsi="Times New Roman" w:cs="Times New Roman"/>
                <w:bCs/>
                <w:sz w:val="20"/>
                <w:szCs w:val="20"/>
                <w:lang w:val="ro-MD"/>
              </w:rPr>
              <w:t>f)</w:t>
            </w:r>
            <w:r w:rsidRPr="00DE15E9">
              <w:rPr>
                <w:rFonts w:ascii="Times New Roman" w:hAnsi="Times New Roman" w:cs="Times New Roman"/>
                <w:sz w:val="20"/>
                <w:szCs w:val="20"/>
                <w:lang w:val="ro-MD"/>
              </w:rPr>
              <w:t xml:space="preserve"> </w:t>
            </w:r>
            <w:r w:rsidRPr="00DE15E9">
              <w:rPr>
                <w:rFonts w:ascii="Times New Roman" w:hAnsi="Times New Roman" w:cs="Times New Roman"/>
                <w:i/>
                <w:iCs/>
                <w:sz w:val="20"/>
                <w:szCs w:val="20"/>
                <w:shd w:val="clear" w:color="auto" w:fill="D0CECE" w:themeFill="background2" w:themeFillShade="E6"/>
                <w:lang w:val="ro-MD"/>
              </w:rPr>
              <w:t>produse agricole și alimentare</w:t>
            </w:r>
            <w:r w:rsidRPr="00DE15E9">
              <w:rPr>
                <w:rFonts w:ascii="Times New Roman" w:hAnsi="Times New Roman" w:cs="Times New Roman"/>
                <w:sz w:val="20"/>
                <w:szCs w:val="20"/>
                <w:shd w:val="clear" w:color="auto" w:fill="D0CECE" w:themeFill="background2" w:themeFillShade="E6"/>
                <w:lang w:val="ro-MD"/>
              </w:rPr>
              <w:t xml:space="preserve"> - produsele enumerate în lista produselor agricole și alimentare aprobată de Guvern, precum și produsele care nu sunt enumerate în lista respectivă, dar care sunt procesate în scopul utilizării drept alimente prin utilizarea produselor enumerate în lista respectivă;</w:t>
            </w:r>
          </w:p>
        </w:tc>
        <w:tc>
          <w:tcPr>
            <w:tcW w:w="2693" w:type="dxa"/>
            <w:tcBorders>
              <w:top w:val="single" w:sz="4" w:space="0" w:color="000000"/>
              <w:left w:val="single" w:sz="4" w:space="0" w:color="000000"/>
              <w:bottom w:val="single" w:sz="4" w:space="0" w:color="000000"/>
              <w:right w:val="single" w:sz="4" w:space="0" w:color="000000"/>
            </w:tcBorders>
          </w:tcPr>
          <w:p w14:paraId="18C2637B" w14:textId="432A4050" w:rsidR="00E0260F" w:rsidRPr="00DE15E9" w:rsidRDefault="00E0260F" w:rsidP="00DE15E9">
            <w:pPr>
              <w:pStyle w:val="isselectedend"/>
              <w:spacing w:before="0" w:beforeAutospacing="0" w:after="0" w:afterAutospacing="0"/>
              <w:jc w:val="both"/>
              <w:rPr>
                <w:sz w:val="20"/>
                <w:szCs w:val="20"/>
              </w:rPr>
            </w:pPr>
            <w:r w:rsidRPr="00DE15E9">
              <w:rPr>
                <w:sz w:val="20"/>
                <w:szCs w:val="20"/>
              </w:rPr>
              <w:t>Article 3. Definitions</w:t>
            </w:r>
          </w:p>
          <w:p w14:paraId="42451BF7" w14:textId="77FF508F" w:rsidR="00E0260F" w:rsidRPr="00DE15E9" w:rsidRDefault="00E0260F" w:rsidP="00DE15E9">
            <w:pPr>
              <w:pStyle w:val="isselectedend"/>
              <w:spacing w:before="0" w:beforeAutospacing="0" w:after="0" w:afterAutospacing="0"/>
              <w:jc w:val="both"/>
              <w:rPr>
                <w:sz w:val="20"/>
                <w:szCs w:val="20"/>
              </w:rPr>
            </w:pPr>
            <w:r w:rsidRPr="00DE15E9">
              <w:rPr>
                <w:sz w:val="20"/>
                <w:szCs w:val="20"/>
              </w:rPr>
              <w:t xml:space="preserve">f) </w:t>
            </w:r>
            <w:r w:rsidRPr="00DE15E9">
              <w:rPr>
                <w:i/>
                <w:sz w:val="20"/>
                <w:szCs w:val="20"/>
              </w:rPr>
              <w:t>agricultural and food products</w:t>
            </w:r>
            <w:r w:rsidRPr="00DE15E9">
              <w:rPr>
                <w:sz w:val="20"/>
                <w:szCs w:val="20"/>
              </w:rPr>
              <w:t xml:space="preserve"> means the products listed in the list of agricultural and food products approved by the Government, as well as products not listed therein but processed for use as food by using products listed in that list;</w:t>
            </w:r>
          </w:p>
          <w:p w14:paraId="6022AAC8"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CFEA96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2942278E" w14:textId="77777777" w:rsidR="001D5D0C" w:rsidRPr="00DE15E9" w:rsidRDefault="001D5D0C" w:rsidP="00DE15E9">
            <w:pPr>
              <w:pStyle w:val="pdq2pgselectionanchorcontainer"/>
              <w:jc w:val="both"/>
              <w:rPr>
                <w:sz w:val="20"/>
                <w:szCs w:val="20"/>
                <w:highlight w:val="yellow"/>
              </w:rPr>
            </w:pPr>
            <w:r w:rsidRPr="00DE15E9">
              <w:rPr>
                <w:sz w:val="20"/>
                <w:szCs w:val="20"/>
                <w:highlight w:val="yellow"/>
              </w:rPr>
              <w:t xml:space="preserve">Republica Moldova dispune de un act normativ național prin care este aprobată Lista produselor agricole și alimentare, și anume </w:t>
            </w:r>
            <w:r w:rsidRPr="00DE15E9">
              <w:rPr>
                <w:rStyle w:val="Strong"/>
                <w:b w:val="0"/>
                <w:bCs w:val="0"/>
                <w:sz w:val="20"/>
                <w:szCs w:val="20"/>
                <w:highlight w:val="yellow"/>
              </w:rPr>
              <w:t>HG nr. 328/2023</w:t>
            </w:r>
            <w:r w:rsidRPr="00DE15E9">
              <w:rPr>
                <w:sz w:val="20"/>
                <w:szCs w:val="20"/>
                <w:highlight w:val="yellow"/>
              </w:rPr>
              <w:t xml:space="preserve">. Lista a fost elaborată în contextul alinierii cadrului național la produsele agricole și alimentare prevăzute în </w:t>
            </w:r>
            <w:r w:rsidRPr="00DE15E9">
              <w:rPr>
                <w:rStyle w:val="Strong"/>
                <w:b w:val="0"/>
                <w:bCs w:val="0"/>
                <w:sz w:val="20"/>
                <w:szCs w:val="20"/>
                <w:highlight w:val="yellow"/>
              </w:rPr>
              <w:t>anexa I la TFUE</w:t>
            </w:r>
            <w:r w:rsidRPr="00DE15E9">
              <w:rPr>
                <w:b/>
                <w:bCs/>
                <w:sz w:val="20"/>
                <w:szCs w:val="20"/>
                <w:highlight w:val="yellow"/>
              </w:rPr>
              <w:t>,</w:t>
            </w:r>
            <w:r w:rsidRPr="00DE15E9">
              <w:rPr>
                <w:sz w:val="20"/>
                <w:szCs w:val="20"/>
                <w:highlight w:val="yellow"/>
              </w:rPr>
              <w:t xml:space="preserve"> hotărârea menționând expres caracterul de </w:t>
            </w:r>
            <w:r w:rsidRPr="00DE15E9">
              <w:rPr>
                <w:sz w:val="20"/>
                <w:szCs w:val="20"/>
                <w:highlight w:val="yellow"/>
              </w:rPr>
              <w:lastRenderedPageBreak/>
              <w:t>transpunere parțială a acesteia.</w:t>
            </w:r>
          </w:p>
          <w:p w14:paraId="69F43113" w14:textId="77777777" w:rsidR="001D5D0C" w:rsidRPr="00DE15E9" w:rsidRDefault="001D5D0C" w:rsidP="00DE15E9">
            <w:pPr>
              <w:pStyle w:val="NormalWeb"/>
              <w:jc w:val="both"/>
              <w:rPr>
                <w:sz w:val="20"/>
                <w:szCs w:val="20"/>
                <w:highlight w:val="yellow"/>
              </w:rPr>
            </w:pPr>
            <w:r w:rsidRPr="00DE15E9">
              <w:rPr>
                <w:sz w:val="20"/>
                <w:szCs w:val="20"/>
                <w:highlight w:val="yellow"/>
              </w:rPr>
              <w:t xml:space="preserve">Totodată, având în vedere că HG nr. 328/2023 este un act normativ de nivel inferior legii, aceasta nu poate constitui, prin trimitere expresă, sursa juridică determinantă pentru stabilirea domeniului de aplicare al legii. Potrivit </w:t>
            </w:r>
            <w:r w:rsidRPr="00DE15E9">
              <w:rPr>
                <w:rStyle w:val="Strong"/>
                <w:b w:val="0"/>
                <w:bCs w:val="0"/>
                <w:sz w:val="20"/>
                <w:szCs w:val="20"/>
                <w:highlight w:val="yellow"/>
              </w:rPr>
              <w:t>art. 55 alin. (3) din Legea nr. 100/2017 cu privire la actele normative</w:t>
            </w:r>
            <w:r w:rsidRPr="00DE15E9">
              <w:rPr>
                <w:sz w:val="20"/>
                <w:szCs w:val="20"/>
                <w:highlight w:val="yellow"/>
              </w:rPr>
              <w:t>, nu se admite trimiterea în actul normativ de nivel superior la un act normativ de nivel inferior.</w:t>
            </w:r>
          </w:p>
          <w:p w14:paraId="40B599BA" w14:textId="6CF2C1F2" w:rsidR="005227F8" w:rsidRPr="00DE15E9" w:rsidRDefault="001D5D0C" w:rsidP="00DE15E9">
            <w:pPr>
              <w:pStyle w:val="NormalWeb"/>
              <w:jc w:val="both"/>
              <w:rPr>
                <w:sz w:val="20"/>
                <w:szCs w:val="20"/>
              </w:rPr>
            </w:pPr>
            <w:r w:rsidRPr="00DE15E9">
              <w:rPr>
                <w:sz w:val="20"/>
                <w:szCs w:val="20"/>
                <w:highlight w:val="yellow"/>
              </w:rPr>
              <w:t xml:space="preserve">În acest context, proiectul de lege utilizează formularea </w:t>
            </w:r>
            <w:r w:rsidRPr="00DE15E9">
              <w:rPr>
                <w:rStyle w:val="Strong"/>
                <w:b w:val="0"/>
                <w:bCs w:val="0"/>
                <w:sz w:val="20"/>
                <w:szCs w:val="20"/>
                <w:highlight w:val="yellow"/>
              </w:rPr>
              <w:t>„produsele enumerate în lista produselor agricole și alimentare aprobată de Guvern”</w:t>
            </w:r>
            <w:r w:rsidRPr="00DE15E9">
              <w:rPr>
                <w:b/>
                <w:bCs/>
                <w:sz w:val="20"/>
                <w:szCs w:val="20"/>
                <w:highlight w:val="yellow"/>
              </w:rPr>
              <w:t>,</w:t>
            </w:r>
            <w:r w:rsidRPr="00DE15E9">
              <w:rPr>
                <w:sz w:val="20"/>
                <w:szCs w:val="20"/>
                <w:highlight w:val="yellow"/>
              </w:rPr>
              <w:t xml:space="preserve"> fără indicarea expresă a HG nr. 328/2023.</w:t>
            </w:r>
            <w:r w:rsidRPr="00DE15E9">
              <w:rPr>
                <w:sz w:val="20"/>
                <w:szCs w:val="20"/>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5FBEE71" w14:textId="393F81A4" w:rsidR="004C59AF" w:rsidRPr="00DE15E9" w:rsidRDefault="004C59AF" w:rsidP="00DE15E9">
            <w:pPr>
              <w:shd w:val="clear" w:color="auto" w:fill="FDFCFB"/>
              <w:tabs>
                <w:tab w:val="left" w:pos="0"/>
              </w:tabs>
              <w:spacing w:after="0" w:line="240" w:lineRule="auto"/>
              <w:ind w:left="29"/>
              <w:jc w:val="both"/>
              <w:rPr>
                <w:rFonts w:ascii="Times New Roman" w:eastAsia="Times New Roman" w:hAnsi="Times New Roman" w:cs="Times New Roman"/>
                <w:color w:val="002451"/>
                <w:sz w:val="20"/>
                <w:szCs w:val="20"/>
              </w:rPr>
            </w:pPr>
            <w:r w:rsidRPr="00DE15E9">
              <w:rPr>
                <w:rFonts w:ascii="Times New Roman" w:eastAsia="Times New Roman" w:hAnsi="Times New Roman" w:cs="Times New Roman"/>
                <w:i/>
                <w:iCs/>
                <w:color w:val="0000FF"/>
                <w:sz w:val="20"/>
                <w:szCs w:val="20"/>
              </w:rPr>
              <w:lastRenderedPageBreak/>
              <w:t>I.1.Definirea produselor agricole și alimentare „de către Guvern” nu pare a fi o modalitate adecvată de stabilire a domeniului de aplicare al legislației respective. Recomandăm utilizarea unei definiții similare celei prevăzute în Directiva (UE) 2019/633.</w:t>
            </w:r>
          </w:p>
          <w:p w14:paraId="0A18331C" w14:textId="4C1CD0D1" w:rsidR="004C59AF" w:rsidRPr="00DE15E9" w:rsidRDefault="004C59AF" w:rsidP="00DE15E9">
            <w:pPr>
              <w:shd w:val="clear" w:color="auto" w:fill="FFFFFF"/>
              <w:spacing w:after="0" w:line="240" w:lineRule="auto"/>
              <w:jc w:val="both"/>
              <w:rPr>
                <w:rFonts w:ascii="Times New Roman" w:eastAsia="Times New Roman" w:hAnsi="Times New Roman" w:cs="Times New Roman"/>
                <w:color w:val="000000"/>
                <w:sz w:val="20"/>
                <w:szCs w:val="20"/>
              </w:rPr>
            </w:pPr>
            <w:r w:rsidRPr="00DE15E9">
              <w:rPr>
                <w:rFonts w:ascii="Times New Roman" w:eastAsia="Times New Roman" w:hAnsi="Times New Roman" w:cs="Times New Roman"/>
                <w:sz w:val="20"/>
                <w:szCs w:val="20"/>
                <w:highlight w:val="yellow"/>
              </w:rPr>
              <w:t xml:space="preserve"> II. </w:t>
            </w:r>
            <w:r w:rsidRPr="00DE15E9">
              <w:rPr>
                <w:rFonts w:ascii="Times New Roman" w:eastAsia="Times New Roman" w:hAnsi="Times New Roman" w:cs="Times New Roman"/>
                <w:i/>
                <w:iCs/>
                <w:color w:val="0000FF"/>
                <w:sz w:val="20"/>
                <w:szCs w:val="20"/>
              </w:rPr>
              <w:t xml:space="preserve">„1. În ceea ce privește definiția produselor agricole și </w:t>
            </w:r>
            <w:r w:rsidRPr="00DE15E9">
              <w:rPr>
                <w:rFonts w:ascii="Times New Roman" w:eastAsia="Times New Roman" w:hAnsi="Times New Roman" w:cs="Times New Roman"/>
                <w:i/>
                <w:iCs/>
                <w:color w:val="0000FF"/>
                <w:sz w:val="20"/>
                <w:szCs w:val="20"/>
              </w:rPr>
              <w:lastRenderedPageBreak/>
              <w:t>alimentare, în cazul în care nu se face trimitere la definițiile similare prevăzute de Directiva (UE) 2019/633, ar trebui prezentat actul normativ la care se face referire în proiectul de lege, pentru a putea verifica dacă produsele prevăzute în Anexa I la TFUE sunt enumerate în mod exhaustiv. Din examinarea prezentului proiect rezultă că lista nu pare a fi exhaustivă.</w:t>
            </w:r>
          </w:p>
          <w:p w14:paraId="11D74F16" w14:textId="5D6D7424" w:rsidR="00E0260F" w:rsidRPr="00DE15E9" w:rsidRDefault="00E0260F" w:rsidP="00DE15E9">
            <w:pPr>
              <w:spacing w:after="0" w:line="240" w:lineRule="auto"/>
              <w:jc w:val="both"/>
              <w:rPr>
                <w:rFonts w:ascii="Times New Roman" w:eastAsia="Times New Roman" w:hAnsi="Times New Roman" w:cs="Times New Roman"/>
                <w:sz w:val="20"/>
                <w:szCs w:val="20"/>
                <w:highlight w:val="yellow"/>
              </w:rPr>
            </w:pPr>
          </w:p>
        </w:tc>
      </w:tr>
      <w:tr w:rsidR="00E0260F" w:rsidRPr="00DE15E9" w14:paraId="4343A4EC" w14:textId="77777777" w:rsidTr="00033703">
        <w:tc>
          <w:tcPr>
            <w:tcW w:w="430" w:type="dxa"/>
            <w:tcBorders>
              <w:top w:val="single" w:sz="4" w:space="0" w:color="000000"/>
              <w:left w:val="single" w:sz="4" w:space="0" w:color="000000"/>
              <w:bottom w:val="single" w:sz="4" w:space="0" w:color="000000"/>
              <w:right w:val="single" w:sz="4" w:space="0" w:color="000000"/>
            </w:tcBorders>
          </w:tcPr>
          <w:p w14:paraId="3A955B5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11</w:t>
            </w:r>
          </w:p>
        </w:tc>
        <w:tc>
          <w:tcPr>
            <w:tcW w:w="2547" w:type="dxa"/>
            <w:tcBorders>
              <w:top w:val="single" w:sz="4" w:space="0" w:color="000000"/>
              <w:left w:val="single" w:sz="4" w:space="0" w:color="000000"/>
              <w:bottom w:val="single" w:sz="4" w:space="0" w:color="000000"/>
              <w:right w:val="single" w:sz="4" w:space="0" w:color="000000"/>
            </w:tcBorders>
          </w:tcPr>
          <w:tbl>
            <w:tblPr>
              <w:tblW w:w="4860" w:type="pct"/>
              <w:shd w:val="clear" w:color="auto" w:fill="FFFFFF"/>
              <w:tblLayout w:type="fixed"/>
              <w:tblCellMar>
                <w:left w:w="0" w:type="dxa"/>
                <w:right w:w="0" w:type="dxa"/>
              </w:tblCellMar>
              <w:tblLook w:val="04A0" w:firstRow="1" w:lastRow="0" w:firstColumn="1" w:lastColumn="0" w:noHBand="0" w:noVBand="1"/>
            </w:tblPr>
            <w:tblGrid>
              <w:gridCol w:w="2252"/>
            </w:tblGrid>
            <w:tr w:rsidR="00E0260F" w:rsidRPr="00DE15E9" w14:paraId="66EF23BD" w14:textId="77777777" w:rsidTr="009F06BF">
              <w:tc>
                <w:tcPr>
                  <w:tcW w:w="2262" w:type="dxa"/>
                  <w:shd w:val="clear" w:color="auto" w:fill="FFFFFF"/>
                  <w:hideMark/>
                </w:tcPr>
                <w:p w14:paraId="0EDD9D7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„cumpărător” înseamnă orice persoană fizică sau juridică, indiferent de locul de stabilire al persoanei respective, sau orice autoritate publică din </w:t>
                  </w:r>
                  <w:r w:rsidRPr="00DE15E9">
                    <w:rPr>
                      <w:rFonts w:ascii="Times New Roman" w:eastAsia="Times New Roman" w:hAnsi="Times New Roman" w:cs="Times New Roman"/>
                      <w:sz w:val="20"/>
                      <w:szCs w:val="20"/>
                      <w:lang w:val="ro-MD"/>
                    </w:rPr>
                    <w:lastRenderedPageBreak/>
                    <w:t>Uniune, care cumpără produse agricole și alimentare; termenul „cumpărător” poate include un grup de astfel de persoane fizice și juridice;</w:t>
                  </w:r>
                </w:p>
              </w:tc>
            </w:tr>
          </w:tbl>
          <w:p w14:paraId="7F3B025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02" w:type="pct"/>
              <w:shd w:val="clear" w:color="auto" w:fill="FFFFFF"/>
              <w:tblLayout w:type="fixed"/>
              <w:tblCellMar>
                <w:left w:w="0" w:type="dxa"/>
                <w:right w:w="0" w:type="dxa"/>
              </w:tblCellMar>
              <w:tblLook w:val="04A0" w:firstRow="1" w:lastRow="0" w:firstColumn="1" w:lastColumn="0" w:noHBand="0" w:noVBand="1"/>
            </w:tblPr>
            <w:tblGrid>
              <w:gridCol w:w="2230"/>
            </w:tblGrid>
            <w:tr w:rsidR="00E0260F" w:rsidRPr="00DE15E9" w14:paraId="6AD9177A" w14:textId="77777777" w:rsidTr="009F06BF">
              <w:tc>
                <w:tcPr>
                  <w:tcW w:w="2230" w:type="dxa"/>
                  <w:shd w:val="clear" w:color="auto" w:fill="FFFFFF"/>
                  <w:hideMark/>
                </w:tcPr>
                <w:p w14:paraId="15D6C1E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lastRenderedPageBreak/>
                    <w:t xml:space="preserve">‘buyer’ means any natural or legal person, irrespective of that person's place of establishment, or any public authority in the Union, who buys agricultural and food </w:t>
                  </w:r>
                  <w:r w:rsidRPr="00DE15E9">
                    <w:rPr>
                      <w:rFonts w:ascii="Times New Roman" w:eastAsia="Times New Roman" w:hAnsi="Times New Roman" w:cs="Times New Roman"/>
                      <w:sz w:val="20"/>
                      <w:szCs w:val="20"/>
                      <w:lang w:val="en-GB"/>
                    </w:rPr>
                    <w:lastRenderedPageBreak/>
                    <w:t>products; the term ‘buyer’ may include a group of such natural and legal persons;</w:t>
                  </w:r>
                </w:p>
              </w:tc>
            </w:tr>
          </w:tbl>
          <w:p w14:paraId="2566806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0BBEA030" w14:textId="77777777" w:rsidR="00E0260F" w:rsidRPr="00DE15E9" w:rsidRDefault="00E0260F" w:rsidP="00DE15E9">
            <w:pPr>
              <w:spacing w:after="0" w:line="240" w:lineRule="auto"/>
              <w:jc w:val="both"/>
              <w:rPr>
                <w:rFonts w:ascii="Times New Roman" w:eastAsiaTheme="minorHAnsi" w:hAnsi="Times New Roman" w:cs="Times New Roman"/>
                <w:sz w:val="20"/>
                <w:szCs w:val="20"/>
                <w:u w:val="single"/>
              </w:rPr>
            </w:pPr>
            <w:r w:rsidRPr="00DE15E9">
              <w:rPr>
                <w:rFonts w:ascii="Times New Roman" w:hAnsi="Times New Roman" w:cs="Times New Roman"/>
                <w:bCs/>
                <w:sz w:val="20"/>
                <w:szCs w:val="20"/>
                <w:lang w:val="ro-MD"/>
              </w:rPr>
              <w:lastRenderedPageBreak/>
              <w:t>b)</w:t>
            </w:r>
            <w:r w:rsidRPr="00DE15E9">
              <w:rPr>
                <w:rFonts w:ascii="Times New Roman" w:hAnsi="Times New Roman" w:cs="Times New Roman"/>
                <w:sz w:val="20"/>
                <w:szCs w:val="20"/>
                <w:lang w:val="ro-MD"/>
              </w:rPr>
              <w:t xml:space="preserve"> </w:t>
            </w:r>
            <w:r w:rsidRPr="00DE15E9">
              <w:rPr>
                <w:rFonts w:ascii="Times New Roman" w:eastAsia="Times New Roman" w:hAnsi="Times New Roman" w:cs="Times New Roman"/>
                <w:i/>
                <w:iCs/>
                <w:sz w:val="20"/>
                <w:szCs w:val="20"/>
              </w:rPr>
              <w:t>cumpărător</w:t>
            </w:r>
            <w:r w:rsidRPr="00DE15E9">
              <w:rPr>
                <w:rFonts w:ascii="Times New Roman" w:eastAsia="Times New Roman" w:hAnsi="Times New Roman" w:cs="Times New Roman"/>
                <w:sz w:val="20"/>
                <w:szCs w:val="20"/>
              </w:rPr>
              <w:t xml:space="preserve"> - orice persoană fizică sau juridică ori grup de astfel de persoane, indiferent de locul de stabilire a acestora, precum și orice autoritate publică, care cumpără produse </w:t>
            </w:r>
            <w:r w:rsidRPr="00DE15E9">
              <w:rPr>
                <w:rFonts w:ascii="Times New Roman" w:eastAsia="Times New Roman" w:hAnsi="Times New Roman" w:cs="Times New Roman"/>
                <w:sz w:val="20"/>
                <w:szCs w:val="20"/>
              </w:rPr>
              <w:lastRenderedPageBreak/>
              <w:t>agricole și alimentare, în scop comercial sau profesional;</w:t>
            </w:r>
          </w:p>
          <w:p w14:paraId="1224A01C" w14:textId="0EB3332B"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
              </w:rPr>
            </w:pPr>
          </w:p>
        </w:tc>
        <w:tc>
          <w:tcPr>
            <w:tcW w:w="2693" w:type="dxa"/>
            <w:tcBorders>
              <w:top w:val="single" w:sz="4" w:space="0" w:color="000000"/>
              <w:left w:val="single" w:sz="4" w:space="0" w:color="000000"/>
              <w:bottom w:val="single" w:sz="4" w:space="0" w:color="000000"/>
              <w:right w:val="single" w:sz="4" w:space="0" w:color="000000"/>
            </w:tcBorders>
          </w:tcPr>
          <w:p w14:paraId="5FD59C63" w14:textId="77777777" w:rsidR="00E0260F" w:rsidRPr="00DE15E9" w:rsidRDefault="00E0260F" w:rsidP="00DE15E9">
            <w:pPr>
              <w:pStyle w:val="isselectedend"/>
              <w:spacing w:before="0" w:beforeAutospacing="0" w:after="0" w:afterAutospacing="0"/>
              <w:jc w:val="both"/>
              <w:rPr>
                <w:sz w:val="20"/>
                <w:szCs w:val="20"/>
              </w:rPr>
            </w:pPr>
            <w:r w:rsidRPr="00DE15E9">
              <w:rPr>
                <w:sz w:val="20"/>
                <w:szCs w:val="20"/>
              </w:rPr>
              <w:lastRenderedPageBreak/>
              <w:t xml:space="preserve">b) </w:t>
            </w:r>
            <w:r w:rsidRPr="00DE15E9">
              <w:rPr>
                <w:i/>
                <w:sz w:val="20"/>
                <w:szCs w:val="20"/>
              </w:rPr>
              <w:t>buyer</w:t>
            </w:r>
            <w:r w:rsidRPr="00DE15E9">
              <w:rPr>
                <w:sz w:val="20"/>
                <w:szCs w:val="20"/>
              </w:rPr>
              <w:t xml:space="preserve"> means any natural or legal person, or any group of such persons, irrespective of their place of establishment, as well as any public authority, that purchases agricultural and </w:t>
            </w:r>
            <w:r w:rsidRPr="00DE15E9">
              <w:rPr>
                <w:sz w:val="20"/>
                <w:szCs w:val="20"/>
              </w:rPr>
              <w:lastRenderedPageBreak/>
              <w:t>food products for commercial or professional purposes;</w:t>
            </w:r>
          </w:p>
          <w:p w14:paraId="221F01E7"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1A98C97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Compatibil</w:t>
            </w:r>
          </w:p>
        </w:tc>
        <w:tc>
          <w:tcPr>
            <w:tcW w:w="1985" w:type="dxa"/>
            <w:tcBorders>
              <w:top w:val="single" w:sz="4" w:space="0" w:color="000000"/>
              <w:left w:val="single" w:sz="4" w:space="0" w:color="000000"/>
              <w:bottom w:val="single" w:sz="4" w:space="0" w:color="000000"/>
              <w:right w:val="single" w:sz="4" w:space="0" w:color="000000"/>
            </w:tcBorders>
          </w:tcPr>
          <w:p w14:paraId="7274DBA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081C5DB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7A41274D" w14:textId="77777777" w:rsidTr="00033703">
        <w:tc>
          <w:tcPr>
            <w:tcW w:w="430" w:type="dxa"/>
            <w:tcBorders>
              <w:top w:val="single" w:sz="4" w:space="0" w:color="000000"/>
              <w:left w:val="single" w:sz="4" w:space="0" w:color="000000"/>
              <w:bottom w:val="single" w:sz="4" w:space="0" w:color="000000"/>
              <w:right w:val="single" w:sz="4" w:space="0" w:color="000000"/>
            </w:tcBorders>
          </w:tcPr>
          <w:p w14:paraId="151AC61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12</w:t>
            </w:r>
          </w:p>
        </w:tc>
        <w:tc>
          <w:tcPr>
            <w:tcW w:w="2547" w:type="dxa"/>
            <w:tcBorders>
              <w:top w:val="single" w:sz="4" w:space="0" w:color="000000"/>
              <w:left w:val="single" w:sz="4" w:space="0" w:color="000000"/>
              <w:bottom w:val="single" w:sz="4" w:space="0" w:color="000000"/>
              <w:right w:val="single" w:sz="4" w:space="0" w:color="000000"/>
            </w:tcBorders>
          </w:tcPr>
          <w:tbl>
            <w:tblPr>
              <w:tblW w:w="4860" w:type="pct"/>
              <w:shd w:val="clear" w:color="auto" w:fill="FFFFFF"/>
              <w:tblLayout w:type="fixed"/>
              <w:tblCellMar>
                <w:left w:w="0" w:type="dxa"/>
                <w:right w:w="0" w:type="dxa"/>
              </w:tblCellMar>
              <w:tblLook w:val="04A0" w:firstRow="1" w:lastRow="0" w:firstColumn="1" w:lastColumn="0" w:noHBand="0" w:noVBand="1"/>
            </w:tblPr>
            <w:tblGrid>
              <w:gridCol w:w="2252"/>
            </w:tblGrid>
            <w:tr w:rsidR="00E0260F" w:rsidRPr="00DE15E9" w14:paraId="7FC2B845" w14:textId="77777777" w:rsidTr="009F06BF">
              <w:tc>
                <w:tcPr>
                  <w:tcW w:w="2262" w:type="dxa"/>
                  <w:shd w:val="clear" w:color="auto" w:fill="FFFFFF"/>
                  <w:hideMark/>
                </w:tcPr>
                <w:p w14:paraId="3F2EC18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„autoritate publică” înseamnă autorități naționale, regionale sau locale, organisme de drept public sau asociații formate din una sau mai multe astfel de autorități sau din unul sau mai multe astfel de organisme de drept public;</w:t>
                  </w:r>
                </w:p>
              </w:tc>
            </w:tr>
          </w:tbl>
          <w:p w14:paraId="6C242EA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49" w:type="pct"/>
              <w:shd w:val="clear" w:color="auto" w:fill="FFFFFF"/>
              <w:tblLayout w:type="fixed"/>
              <w:tblCellMar>
                <w:left w:w="0" w:type="dxa"/>
                <w:right w:w="0" w:type="dxa"/>
              </w:tblCellMar>
              <w:tblLook w:val="04A0" w:firstRow="1" w:lastRow="0" w:firstColumn="1" w:lastColumn="0" w:noHBand="0" w:noVBand="1"/>
            </w:tblPr>
            <w:tblGrid>
              <w:gridCol w:w="2252"/>
            </w:tblGrid>
            <w:tr w:rsidR="00E0260F" w:rsidRPr="00DE15E9" w14:paraId="206E2BDF" w14:textId="77777777" w:rsidTr="009F06BF">
              <w:tc>
                <w:tcPr>
                  <w:tcW w:w="2252" w:type="dxa"/>
                  <w:shd w:val="clear" w:color="auto" w:fill="FFFFFF"/>
                  <w:hideMark/>
                </w:tcPr>
                <w:p w14:paraId="431F3CD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‘public authority’ means national, regional or local authorities, bodies governed by public law or associations formed by one or more such authorities or one or more such bodies governed by public law;</w:t>
                  </w:r>
                </w:p>
              </w:tc>
            </w:tr>
          </w:tbl>
          <w:p w14:paraId="3D95D81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7A337433" w14:textId="038FACDD" w:rsidR="00E0260F" w:rsidRPr="00DE15E9" w:rsidRDefault="00E0260F" w:rsidP="00DE15E9">
            <w:pPr>
              <w:pStyle w:val="ListParagraph"/>
              <w:numPr>
                <w:ilvl w:val="0"/>
                <w:numId w:val="4"/>
              </w:numPr>
              <w:tabs>
                <w:tab w:val="left" w:pos="318"/>
              </w:tabs>
              <w:spacing w:after="0" w:line="240" w:lineRule="auto"/>
              <w:ind w:left="0" w:firstLine="0"/>
              <w:jc w:val="both"/>
              <w:rPr>
                <w:rFonts w:ascii="Times New Roman" w:eastAsiaTheme="minorHAnsi" w:hAnsi="Times New Roman" w:cs="Times New Roman"/>
                <w:sz w:val="20"/>
                <w:szCs w:val="20"/>
                <w:u w:val="single"/>
              </w:rPr>
            </w:pPr>
            <w:r w:rsidRPr="00DE15E9">
              <w:rPr>
                <w:rFonts w:ascii="Times New Roman" w:hAnsi="Times New Roman" w:cs="Times New Roman"/>
                <w:i/>
                <w:iCs/>
                <w:sz w:val="20"/>
                <w:szCs w:val="20"/>
                <w:lang w:val="ro-MD"/>
              </w:rPr>
              <w:t>autoritate publică</w:t>
            </w:r>
            <w:r w:rsidRPr="00DE15E9">
              <w:rPr>
                <w:rFonts w:ascii="Times New Roman" w:hAnsi="Times New Roman" w:cs="Times New Roman"/>
                <w:sz w:val="20"/>
                <w:szCs w:val="20"/>
                <w:lang w:val="ro-MD"/>
              </w:rPr>
              <w:t xml:space="preserve"> - autoritățile publice definite în sensul prevederilor art. 7 din Codul administrativ nr. 116/2018;</w:t>
            </w:r>
          </w:p>
        </w:tc>
        <w:tc>
          <w:tcPr>
            <w:tcW w:w="2693" w:type="dxa"/>
            <w:tcBorders>
              <w:top w:val="single" w:sz="4" w:space="0" w:color="000000"/>
              <w:left w:val="single" w:sz="4" w:space="0" w:color="000000"/>
              <w:bottom w:val="single" w:sz="4" w:space="0" w:color="000000"/>
              <w:right w:val="single" w:sz="4" w:space="0" w:color="000000"/>
            </w:tcBorders>
          </w:tcPr>
          <w:p w14:paraId="4DF2DC41" w14:textId="77777777" w:rsidR="00E0260F" w:rsidRPr="00DE15E9" w:rsidRDefault="00E0260F" w:rsidP="00DE15E9">
            <w:pPr>
              <w:pStyle w:val="isselectedend"/>
              <w:spacing w:before="0" w:beforeAutospacing="0" w:after="0" w:afterAutospacing="0"/>
              <w:jc w:val="both"/>
              <w:rPr>
                <w:sz w:val="20"/>
                <w:szCs w:val="20"/>
              </w:rPr>
            </w:pPr>
            <w:r w:rsidRPr="00DE15E9">
              <w:rPr>
                <w:sz w:val="20"/>
                <w:szCs w:val="20"/>
              </w:rPr>
              <w:t xml:space="preserve">a) </w:t>
            </w:r>
            <w:r w:rsidRPr="00DE15E9">
              <w:rPr>
                <w:i/>
                <w:sz w:val="20"/>
                <w:szCs w:val="20"/>
              </w:rPr>
              <w:t>public authority</w:t>
            </w:r>
            <w:r w:rsidRPr="00DE15E9">
              <w:rPr>
                <w:sz w:val="20"/>
                <w:szCs w:val="20"/>
              </w:rPr>
              <w:t xml:space="preserve"> means public authorities as defined within the meaning of Article 7 of Administrative Code No. 116/2018;</w:t>
            </w:r>
          </w:p>
          <w:p w14:paraId="22FDCF07"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7DFBF4D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45EBD56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Noțiune corelată cu Codul administrativ al RM </w:t>
            </w:r>
          </w:p>
        </w:tc>
        <w:tc>
          <w:tcPr>
            <w:tcW w:w="2126" w:type="dxa"/>
            <w:tcBorders>
              <w:top w:val="single" w:sz="4" w:space="0" w:color="000000"/>
              <w:left w:val="single" w:sz="4" w:space="0" w:color="000000"/>
              <w:bottom w:val="single" w:sz="4" w:space="0" w:color="000000"/>
              <w:right w:val="single" w:sz="4" w:space="0" w:color="000000"/>
            </w:tcBorders>
          </w:tcPr>
          <w:p w14:paraId="0365FA5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19B7D2D8" w14:textId="77777777" w:rsidTr="00033703">
        <w:tc>
          <w:tcPr>
            <w:tcW w:w="430" w:type="dxa"/>
            <w:tcBorders>
              <w:top w:val="single" w:sz="4" w:space="0" w:color="000000"/>
              <w:left w:val="single" w:sz="4" w:space="0" w:color="000000"/>
              <w:bottom w:val="single" w:sz="4" w:space="0" w:color="000000"/>
              <w:right w:val="single" w:sz="4" w:space="0" w:color="000000"/>
            </w:tcBorders>
          </w:tcPr>
          <w:p w14:paraId="308DBD6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13</w:t>
            </w:r>
          </w:p>
        </w:tc>
        <w:tc>
          <w:tcPr>
            <w:tcW w:w="2547" w:type="dxa"/>
            <w:tcBorders>
              <w:top w:val="single" w:sz="4" w:space="0" w:color="000000"/>
              <w:left w:val="single" w:sz="4" w:space="0" w:color="000000"/>
              <w:bottom w:val="single" w:sz="4" w:space="0" w:color="000000"/>
              <w:right w:val="single" w:sz="4" w:space="0" w:color="000000"/>
            </w:tcBorders>
          </w:tcPr>
          <w:tbl>
            <w:tblPr>
              <w:tblW w:w="4860" w:type="pct"/>
              <w:shd w:val="clear" w:color="auto" w:fill="FFFFFF"/>
              <w:tblLayout w:type="fixed"/>
              <w:tblCellMar>
                <w:left w:w="0" w:type="dxa"/>
                <w:right w:w="0" w:type="dxa"/>
              </w:tblCellMar>
              <w:tblLook w:val="04A0" w:firstRow="1" w:lastRow="0" w:firstColumn="1" w:lastColumn="0" w:noHBand="0" w:noVBand="1"/>
            </w:tblPr>
            <w:tblGrid>
              <w:gridCol w:w="2252"/>
            </w:tblGrid>
            <w:tr w:rsidR="00E0260F" w:rsidRPr="00DE15E9" w14:paraId="03B1660E" w14:textId="77777777" w:rsidTr="009F06BF">
              <w:tc>
                <w:tcPr>
                  <w:tcW w:w="2262" w:type="dxa"/>
                  <w:shd w:val="clear" w:color="auto" w:fill="FFFFFF"/>
                  <w:hideMark/>
                </w:tcPr>
                <w:p w14:paraId="48A882D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„furnizor” înseamnă orice producător agricol sau orice persoană fizică sau juridică, indiferent de locul de stabilire al acestora, care vinde produse agricole și alimentare; termenul „furnizor” poate include un grup de astfel de producători agricoli sau un grup de astfel de persoane fizice și juridice, precum organizațiile de producători, organizațiile de furnizori și asociațiile unor astfel de organizații;</w:t>
                  </w:r>
                </w:p>
              </w:tc>
            </w:tr>
          </w:tbl>
          <w:p w14:paraId="47A4CDA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02" w:type="pct"/>
              <w:shd w:val="clear" w:color="auto" w:fill="FFFFFF"/>
              <w:tblLayout w:type="fixed"/>
              <w:tblCellMar>
                <w:left w:w="0" w:type="dxa"/>
                <w:right w:w="0" w:type="dxa"/>
              </w:tblCellMar>
              <w:tblLook w:val="04A0" w:firstRow="1" w:lastRow="0" w:firstColumn="1" w:lastColumn="0" w:noHBand="0" w:noVBand="1"/>
            </w:tblPr>
            <w:tblGrid>
              <w:gridCol w:w="2230"/>
            </w:tblGrid>
            <w:tr w:rsidR="00E0260F" w:rsidRPr="00DE15E9" w14:paraId="15C152BF" w14:textId="77777777" w:rsidTr="009F06BF">
              <w:tc>
                <w:tcPr>
                  <w:tcW w:w="2230" w:type="dxa"/>
                  <w:shd w:val="clear" w:color="auto" w:fill="FFFFFF"/>
                  <w:hideMark/>
                </w:tcPr>
                <w:p w14:paraId="18732E3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‘supplier’ means any agricultural producer or any natural or legal person, irrespective of their place of establishment, who sells agricultural and food products; the term ‘supplier’ may include a group of such agricultural producers or a group of such natural and legal persons, such as producer organisations, organisations of suppliers and associations of such organisations;</w:t>
                  </w:r>
                </w:p>
              </w:tc>
            </w:tr>
          </w:tbl>
          <w:p w14:paraId="34901D8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4DB89BE3" w14:textId="77777777" w:rsidR="00EE386A" w:rsidRPr="00DE15E9" w:rsidRDefault="00E0260F" w:rsidP="00DE15E9">
            <w:pPr>
              <w:pStyle w:val="ListParagraph"/>
              <w:spacing w:after="0" w:line="240" w:lineRule="auto"/>
              <w:ind w:left="0"/>
              <w:jc w:val="both"/>
              <w:rPr>
                <w:rFonts w:ascii="Times New Roman" w:eastAsiaTheme="minorHAnsi" w:hAnsi="Times New Roman" w:cs="Times New Roman"/>
                <w:sz w:val="20"/>
                <w:szCs w:val="20"/>
                <w:u w:val="single"/>
              </w:rPr>
            </w:pPr>
            <w:r w:rsidRPr="00DE15E9">
              <w:rPr>
                <w:rFonts w:ascii="Times New Roman" w:hAnsi="Times New Roman" w:cs="Times New Roman"/>
                <w:bCs/>
                <w:sz w:val="20"/>
                <w:szCs w:val="20"/>
                <w:lang w:val="ro-MD"/>
              </w:rPr>
              <w:t>c)</w:t>
            </w:r>
            <w:r w:rsidRPr="00DE15E9">
              <w:rPr>
                <w:rFonts w:ascii="Times New Roman" w:hAnsi="Times New Roman" w:cs="Times New Roman"/>
                <w:sz w:val="20"/>
                <w:szCs w:val="20"/>
                <w:lang w:val="ro-MD"/>
              </w:rPr>
              <w:t xml:space="preserve"> </w:t>
            </w:r>
            <w:r w:rsidRPr="00DE15E9">
              <w:rPr>
                <w:rFonts w:ascii="Times New Roman" w:hAnsi="Times New Roman" w:cs="Times New Roman"/>
                <w:i/>
                <w:iCs/>
                <w:sz w:val="20"/>
                <w:szCs w:val="20"/>
                <w:lang w:val="ro-MD"/>
              </w:rPr>
              <w:t>furnizor</w:t>
            </w:r>
            <w:r w:rsidRPr="00DE15E9">
              <w:rPr>
                <w:rFonts w:ascii="Times New Roman" w:hAnsi="Times New Roman" w:cs="Times New Roman"/>
                <w:sz w:val="20"/>
                <w:szCs w:val="20"/>
                <w:lang w:val="ro-MD"/>
              </w:rPr>
              <w:t xml:space="preserve"> –  </w:t>
            </w:r>
            <w:r w:rsidR="00EE386A" w:rsidRPr="00DE15E9">
              <w:rPr>
                <w:rFonts w:ascii="Times New Roman" w:hAnsi="Times New Roman" w:cs="Times New Roman"/>
                <w:sz w:val="20"/>
                <w:szCs w:val="20"/>
                <w:lang w:val="ro-MD"/>
              </w:rPr>
              <w:t xml:space="preserve">orice producător agricol sau orice persoană fizică sau juridică, indiferent de locul de stabilire al sediului acestora, care vinde produse agricole și alimentare. Noțiunea de </w:t>
            </w:r>
            <w:r w:rsidR="00EE386A" w:rsidRPr="00DE15E9">
              <w:rPr>
                <w:rFonts w:ascii="Times New Roman" w:hAnsi="Times New Roman" w:cs="Times New Roman"/>
                <w:i/>
                <w:iCs/>
                <w:sz w:val="20"/>
                <w:szCs w:val="20"/>
                <w:lang w:val="ro-MD"/>
              </w:rPr>
              <w:t>furnizor</w:t>
            </w:r>
            <w:r w:rsidR="00EE386A" w:rsidRPr="00DE15E9">
              <w:rPr>
                <w:rFonts w:ascii="Times New Roman" w:hAnsi="Times New Roman" w:cs="Times New Roman"/>
                <w:sz w:val="20"/>
                <w:szCs w:val="20"/>
                <w:lang w:val="ro-MD"/>
              </w:rPr>
              <w:t xml:space="preserve"> poate include organizații de producători și asociații ale organizațiilor de producători, astfel cum prevede cadrul legislativ cu privire la </w:t>
            </w:r>
            <w:r w:rsidR="00EE386A" w:rsidRPr="00DE15E9">
              <w:rPr>
                <w:rFonts w:ascii="Times New Roman" w:hAnsi="Times New Roman" w:cs="Times New Roman"/>
                <w:sz w:val="20"/>
                <w:szCs w:val="20"/>
              </w:rPr>
              <w:t>organizațiile și asociațiile producătorilor și organizațiile interprofesionale în domeniul agroalimentar</w:t>
            </w:r>
            <w:r w:rsidR="00EE386A" w:rsidRPr="00DE15E9">
              <w:rPr>
                <w:rFonts w:ascii="Times New Roman" w:hAnsi="Times New Roman" w:cs="Times New Roman"/>
                <w:sz w:val="20"/>
                <w:szCs w:val="20"/>
                <w:lang w:val="ro-MD"/>
              </w:rPr>
              <w:t>;</w:t>
            </w:r>
          </w:p>
          <w:p w14:paraId="3AA71869" w14:textId="3DAA6A31" w:rsidR="00E0260F" w:rsidRPr="00DE15E9" w:rsidRDefault="00E0260F" w:rsidP="00DE15E9">
            <w:pPr>
              <w:tabs>
                <w:tab w:val="left" w:pos="34"/>
              </w:tabs>
              <w:spacing w:after="0" w:line="240" w:lineRule="auto"/>
              <w:jc w:val="both"/>
              <w:rPr>
                <w:rFonts w:ascii="Times New Roman" w:eastAsia="Times New Roman" w:hAnsi="Times New Roman" w:cs="Times New Roman"/>
                <w:sz w:val="20"/>
                <w:szCs w:val="20"/>
                <w:lang w:val="ro"/>
              </w:rPr>
            </w:pPr>
          </w:p>
        </w:tc>
        <w:tc>
          <w:tcPr>
            <w:tcW w:w="2693" w:type="dxa"/>
            <w:tcBorders>
              <w:top w:val="single" w:sz="4" w:space="0" w:color="000000"/>
              <w:left w:val="single" w:sz="4" w:space="0" w:color="000000"/>
              <w:bottom w:val="single" w:sz="4" w:space="0" w:color="000000"/>
              <w:right w:val="single" w:sz="4" w:space="0" w:color="000000"/>
            </w:tcBorders>
          </w:tcPr>
          <w:p w14:paraId="376045BE" w14:textId="763411F3" w:rsidR="00E0260F" w:rsidRPr="00DE15E9" w:rsidRDefault="00EE386A" w:rsidP="00DE15E9">
            <w:pPr>
              <w:pStyle w:val="isselectedend"/>
              <w:spacing w:before="0" w:beforeAutospacing="0" w:after="0" w:afterAutospacing="0"/>
              <w:jc w:val="both"/>
              <w:rPr>
                <w:sz w:val="20"/>
                <w:szCs w:val="20"/>
              </w:rPr>
            </w:pPr>
            <w:r w:rsidRPr="00DE15E9">
              <w:rPr>
                <w:sz w:val="20"/>
                <w:szCs w:val="20"/>
              </w:rPr>
              <w:t xml:space="preserve">c) </w:t>
            </w:r>
            <w:r w:rsidRPr="00DE15E9">
              <w:rPr>
                <w:i/>
                <w:sz w:val="20"/>
                <w:szCs w:val="20"/>
              </w:rPr>
              <w:t>supplier</w:t>
            </w:r>
            <w:r w:rsidRPr="00DE15E9">
              <w:rPr>
                <w:sz w:val="20"/>
                <w:szCs w:val="20"/>
              </w:rPr>
              <w:t xml:space="preserve"> means any agricultural producer or any natural or legal person, irrespective of the place where its registered office is established, that sells agricultural and food products. The term “supplier” may include producer organisations and associations of producer organisations, as provided for by the legal framework on producer organisations, associations of producers and interbranch organisations in the agri-food sector;</w:t>
            </w:r>
          </w:p>
        </w:tc>
        <w:tc>
          <w:tcPr>
            <w:tcW w:w="1276" w:type="dxa"/>
            <w:tcBorders>
              <w:top w:val="single" w:sz="4" w:space="0" w:color="000000"/>
              <w:left w:val="single" w:sz="4" w:space="0" w:color="000000"/>
              <w:bottom w:val="single" w:sz="4" w:space="0" w:color="000000"/>
              <w:right w:val="single" w:sz="4" w:space="0" w:color="000000"/>
            </w:tcBorders>
          </w:tcPr>
          <w:p w14:paraId="03605C7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22C753C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53E52B3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1CE1ECB1" w14:textId="77777777" w:rsidTr="00033703">
        <w:tc>
          <w:tcPr>
            <w:tcW w:w="430" w:type="dxa"/>
            <w:tcBorders>
              <w:top w:val="single" w:sz="4" w:space="0" w:color="000000"/>
              <w:left w:val="single" w:sz="4" w:space="0" w:color="000000"/>
              <w:bottom w:val="single" w:sz="4" w:space="0" w:color="000000"/>
              <w:right w:val="single" w:sz="4" w:space="0" w:color="000000"/>
            </w:tcBorders>
          </w:tcPr>
          <w:p w14:paraId="3C20779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14</w:t>
            </w:r>
          </w:p>
        </w:tc>
        <w:tc>
          <w:tcPr>
            <w:tcW w:w="2547" w:type="dxa"/>
            <w:tcBorders>
              <w:top w:val="single" w:sz="4" w:space="0" w:color="000000"/>
              <w:left w:val="single" w:sz="4" w:space="0" w:color="000000"/>
              <w:bottom w:val="single" w:sz="4" w:space="0" w:color="000000"/>
              <w:right w:val="single" w:sz="4" w:space="0" w:color="000000"/>
            </w:tcBorders>
          </w:tcPr>
          <w:tbl>
            <w:tblPr>
              <w:tblW w:w="4860" w:type="pct"/>
              <w:shd w:val="clear" w:color="auto" w:fill="FFFFFF"/>
              <w:tblLayout w:type="fixed"/>
              <w:tblCellMar>
                <w:left w:w="0" w:type="dxa"/>
                <w:right w:w="0" w:type="dxa"/>
              </w:tblCellMar>
              <w:tblLook w:val="04A0" w:firstRow="1" w:lastRow="0" w:firstColumn="1" w:lastColumn="0" w:noHBand="0" w:noVBand="1"/>
            </w:tblPr>
            <w:tblGrid>
              <w:gridCol w:w="2252"/>
            </w:tblGrid>
            <w:tr w:rsidR="00E0260F" w:rsidRPr="00DE15E9" w14:paraId="362B098A" w14:textId="77777777" w:rsidTr="009F06BF">
              <w:tc>
                <w:tcPr>
                  <w:tcW w:w="2262" w:type="dxa"/>
                  <w:shd w:val="clear" w:color="auto" w:fill="FFFFFF"/>
                  <w:hideMark/>
                </w:tcPr>
                <w:p w14:paraId="4498D4D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„produse agricole și alimentare perisabile” înseamnă produse agricole și alimentare care, prin natura lor sau la stadiul lor de procesare, sunt susceptibile să devină </w:t>
                  </w:r>
                  <w:r w:rsidRPr="00DE15E9">
                    <w:rPr>
                      <w:rFonts w:ascii="Times New Roman" w:eastAsia="Times New Roman" w:hAnsi="Times New Roman" w:cs="Times New Roman"/>
                      <w:sz w:val="20"/>
                      <w:szCs w:val="20"/>
                      <w:lang w:val="ro-MD"/>
                    </w:rPr>
                    <w:lastRenderedPageBreak/>
                    <w:t>improprii pentru vânzare în termen de 30 de zile după recoltare, producere sau procesare.</w:t>
                  </w:r>
                </w:p>
              </w:tc>
            </w:tr>
          </w:tbl>
          <w:p w14:paraId="2C19B22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21" w:type="pct"/>
              <w:tblLayout w:type="fixed"/>
              <w:tblCellMar>
                <w:left w:w="0" w:type="dxa"/>
                <w:right w:w="0" w:type="dxa"/>
              </w:tblCellMar>
              <w:tblLook w:val="04A0" w:firstRow="1" w:lastRow="0" w:firstColumn="1" w:lastColumn="0" w:noHBand="0" w:noVBand="1"/>
            </w:tblPr>
            <w:tblGrid>
              <w:gridCol w:w="2239"/>
            </w:tblGrid>
            <w:tr w:rsidR="00E0260F" w:rsidRPr="00DE15E9" w14:paraId="16B93C86" w14:textId="77777777" w:rsidTr="009F06BF">
              <w:tc>
                <w:tcPr>
                  <w:tcW w:w="2239" w:type="dxa"/>
                  <w:hideMark/>
                </w:tcPr>
                <w:p w14:paraId="70D42C6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lastRenderedPageBreak/>
                    <w:t xml:space="preserve">‘perishable agricultural and food products’ means agricultural and food products that by their nature or at their stage of processing are liable to become unfit for sale within </w:t>
                  </w:r>
                  <w:r w:rsidRPr="00DE15E9">
                    <w:rPr>
                      <w:rFonts w:ascii="Times New Roman" w:eastAsia="Times New Roman" w:hAnsi="Times New Roman" w:cs="Times New Roman"/>
                      <w:sz w:val="20"/>
                      <w:szCs w:val="20"/>
                      <w:lang w:val="en-GB"/>
                    </w:rPr>
                    <w:lastRenderedPageBreak/>
                    <w:t>30 days after harvest, production or processing.</w:t>
                  </w:r>
                </w:p>
              </w:tc>
            </w:tr>
          </w:tbl>
          <w:p w14:paraId="5B539BF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5D486CE8" w14:textId="76DF5493" w:rsidR="00E0260F" w:rsidRPr="00DE15E9" w:rsidRDefault="00B77064" w:rsidP="00DE15E9">
            <w:pPr>
              <w:tabs>
                <w:tab w:val="left" w:pos="311"/>
              </w:tabs>
              <w:spacing w:after="0" w:line="240" w:lineRule="auto"/>
              <w:rPr>
                <w:rFonts w:ascii="Times New Roman" w:eastAsia="Times New Roman" w:hAnsi="Times New Roman" w:cs="Times New Roman"/>
                <w:sz w:val="20"/>
                <w:szCs w:val="20"/>
                <w:highlight w:val="yellow"/>
              </w:rPr>
            </w:pPr>
            <w:r w:rsidRPr="00DE15E9">
              <w:rPr>
                <w:rFonts w:ascii="Times New Roman" w:hAnsi="Times New Roman" w:cs="Times New Roman"/>
                <w:bCs/>
                <w:sz w:val="20"/>
                <w:szCs w:val="20"/>
                <w:highlight w:val="yellow"/>
                <w:lang w:val="ro-MD"/>
              </w:rPr>
              <w:lastRenderedPageBreak/>
              <w:t>g</w:t>
            </w:r>
            <w:r w:rsidR="00E0260F" w:rsidRPr="00DE15E9">
              <w:rPr>
                <w:rFonts w:ascii="Times New Roman" w:hAnsi="Times New Roman" w:cs="Times New Roman"/>
                <w:bCs/>
                <w:sz w:val="20"/>
                <w:szCs w:val="20"/>
                <w:highlight w:val="yellow"/>
                <w:lang w:val="ro-MD"/>
              </w:rPr>
              <w:t>)</w:t>
            </w:r>
            <w:r w:rsidR="00E0260F" w:rsidRPr="00DE15E9">
              <w:rPr>
                <w:rFonts w:ascii="Times New Roman" w:hAnsi="Times New Roman" w:cs="Times New Roman"/>
                <w:sz w:val="20"/>
                <w:szCs w:val="20"/>
                <w:highlight w:val="yellow"/>
                <w:lang w:val="ro-MD"/>
              </w:rPr>
              <w:t xml:space="preserve"> </w:t>
            </w:r>
            <w:r w:rsidR="00EE386A" w:rsidRPr="00DE15E9">
              <w:rPr>
                <w:rFonts w:ascii="Times New Roman" w:hAnsi="Times New Roman" w:cs="Times New Roman"/>
                <w:i/>
                <w:iCs/>
                <w:sz w:val="20"/>
                <w:szCs w:val="20"/>
                <w:highlight w:val="yellow"/>
                <w:lang w:val="ro-MD"/>
              </w:rPr>
              <w:t>produse agricole și alimentare perisabile</w:t>
            </w:r>
            <w:r w:rsidR="00EE386A" w:rsidRPr="00DE15E9">
              <w:rPr>
                <w:rFonts w:ascii="Times New Roman" w:hAnsi="Times New Roman" w:cs="Times New Roman"/>
                <w:sz w:val="20"/>
                <w:szCs w:val="20"/>
                <w:highlight w:val="yellow"/>
                <w:lang w:val="ro-MD"/>
              </w:rPr>
              <w:t xml:space="preserve"> - </w:t>
            </w:r>
            <w:r w:rsidRPr="00DE15E9">
              <w:rPr>
                <w:rFonts w:ascii="Times New Roman" w:eastAsia="Times New Roman" w:hAnsi="Times New Roman" w:cs="Times New Roman"/>
                <w:sz w:val="20"/>
                <w:szCs w:val="20"/>
                <w:highlight w:val="yellow"/>
                <w:lang w:val="ro-MD"/>
              </w:rPr>
              <w:t xml:space="preserve">produse agricole și alimentare care, prin natura lor sau la stadiul lor de procesare, sunt susceptibile să devină improprii pentru vânzare în </w:t>
            </w:r>
            <w:r w:rsidRPr="00DE15E9">
              <w:rPr>
                <w:rFonts w:ascii="Times New Roman" w:eastAsia="Times New Roman" w:hAnsi="Times New Roman" w:cs="Times New Roman"/>
                <w:sz w:val="20"/>
                <w:szCs w:val="20"/>
                <w:highlight w:val="yellow"/>
                <w:lang w:val="ro-MD"/>
              </w:rPr>
              <w:lastRenderedPageBreak/>
              <w:t>termen de 30 de zile după recoltare, producere sau procesare.</w:t>
            </w:r>
          </w:p>
        </w:tc>
        <w:tc>
          <w:tcPr>
            <w:tcW w:w="2693" w:type="dxa"/>
            <w:tcBorders>
              <w:top w:val="single" w:sz="4" w:space="0" w:color="000000"/>
              <w:left w:val="single" w:sz="4" w:space="0" w:color="000000"/>
              <w:bottom w:val="single" w:sz="4" w:space="0" w:color="000000"/>
              <w:right w:val="single" w:sz="4" w:space="0" w:color="000000"/>
            </w:tcBorders>
          </w:tcPr>
          <w:p w14:paraId="3E86F578" w14:textId="0DBA3A3F" w:rsidR="00E0260F" w:rsidRPr="00DE15E9" w:rsidRDefault="00B77064" w:rsidP="00DE15E9">
            <w:pPr>
              <w:spacing w:after="0" w:line="240" w:lineRule="auto"/>
              <w:jc w:val="both"/>
              <w:rPr>
                <w:rFonts w:ascii="Times New Roman" w:eastAsia="Times New Roman" w:hAnsi="Times New Roman" w:cs="Times New Roman"/>
                <w:sz w:val="20"/>
                <w:szCs w:val="20"/>
                <w:highlight w:val="yellow"/>
              </w:rPr>
            </w:pPr>
            <w:proofErr w:type="gramStart"/>
            <w:r w:rsidRPr="00DE15E9">
              <w:rPr>
                <w:rFonts w:ascii="Times New Roman" w:eastAsia="Times New Roman" w:hAnsi="Times New Roman" w:cs="Times New Roman"/>
                <w:sz w:val="20"/>
                <w:szCs w:val="20"/>
                <w:highlight w:val="yellow"/>
                <w:lang w:val="en-GB"/>
              </w:rPr>
              <w:lastRenderedPageBreak/>
              <w:t>g)‘</w:t>
            </w:r>
            <w:proofErr w:type="gramEnd"/>
            <w:r w:rsidRPr="00DE15E9">
              <w:rPr>
                <w:rFonts w:ascii="Times New Roman" w:eastAsia="Times New Roman" w:hAnsi="Times New Roman" w:cs="Times New Roman"/>
                <w:sz w:val="20"/>
                <w:szCs w:val="20"/>
                <w:highlight w:val="yellow"/>
                <w:lang w:val="en-GB"/>
              </w:rPr>
              <w:t xml:space="preserve">perishable agricultural and food products’ means agricultural and food products that by their nature or at their stage of processing are liable to become unfit for sale within </w:t>
            </w:r>
            <w:r w:rsidRPr="00DE15E9">
              <w:rPr>
                <w:rFonts w:ascii="Times New Roman" w:eastAsia="Times New Roman" w:hAnsi="Times New Roman" w:cs="Times New Roman"/>
                <w:sz w:val="20"/>
                <w:szCs w:val="20"/>
                <w:highlight w:val="yellow"/>
                <w:lang w:val="en-GB"/>
              </w:rPr>
              <w:lastRenderedPageBreak/>
              <w:t>30 days after harvest, production or processing</w:t>
            </w:r>
            <w:r w:rsidRPr="00DE15E9">
              <w:rPr>
                <w:rFonts w:ascii="Times New Roman" w:eastAsia="Times New Roman" w:hAnsi="Times New Roman" w:cs="Times New Roman"/>
                <w:sz w:val="20"/>
                <w:szCs w:val="20"/>
                <w:highlight w:val="yellow"/>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459204B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 xml:space="preserve">Compatibil </w:t>
            </w:r>
          </w:p>
          <w:p w14:paraId="5A83D9BA" w14:textId="41B48CD4" w:rsidR="00B77064" w:rsidRPr="00DE15E9" w:rsidRDefault="00B77064" w:rsidP="00DE15E9">
            <w:pPr>
              <w:spacing w:after="0" w:line="240" w:lineRule="auto"/>
              <w:jc w:val="both"/>
              <w:rPr>
                <w:rFonts w:ascii="Times New Roman" w:eastAsia="Times New Roman" w:hAnsi="Times New Roman" w:cs="Times New Roman"/>
                <w:sz w:val="20"/>
                <w:szCs w:val="20"/>
                <w:lang w:val="ro-MD"/>
              </w:rPr>
            </w:pPr>
          </w:p>
        </w:tc>
        <w:tc>
          <w:tcPr>
            <w:tcW w:w="1985" w:type="dxa"/>
            <w:tcBorders>
              <w:top w:val="single" w:sz="4" w:space="0" w:color="000000"/>
              <w:left w:val="single" w:sz="4" w:space="0" w:color="000000"/>
              <w:bottom w:val="single" w:sz="4" w:space="0" w:color="000000"/>
              <w:right w:val="single" w:sz="4" w:space="0" w:color="000000"/>
            </w:tcBorders>
          </w:tcPr>
          <w:p w14:paraId="1D4503B3" w14:textId="77777777" w:rsidR="00425D0E" w:rsidRPr="00DE15E9" w:rsidRDefault="00425D0E" w:rsidP="00DE15E9">
            <w:pPr>
              <w:spacing w:before="100" w:beforeAutospacing="1" w:after="100" w:afterAutospacing="1" w:line="240" w:lineRule="auto"/>
              <w:rPr>
                <w:rFonts w:ascii="Times New Roman" w:eastAsia="Times New Roman" w:hAnsi="Times New Roman" w:cs="Times New Roman"/>
                <w:sz w:val="20"/>
                <w:szCs w:val="20"/>
                <w:highlight w:val="yellow"/>
                <w:lang w:val="ro-MD"/>
              </w:rPr>
            </w:pPr>
            <w:r w:rsidRPr="00DE15E9">
              <w:rPr>
                <w:rFonts w:ascii="Times New Roman" w:eastAsia="Times New Roman" w:hAnsi="Times New Roman" w:cs="Times New Roman"/>
                <w:sz w:val="20"/>
                <w:szCs w:val="20"/>
                <w:highlight w:val="yellow"/>
                <w:lang w:val="ro-MD"/>
              </w:rPr>
              <w:t>Acceptat</w:t>
            </w:r>
          </w:p>
          <w:p w14:paraId="401FFC99" w14:textId="6870BA14" w:rsidR="00B77064" w:rsidRPr="00DE15E9" w:rsidRDefault="00B77064" w:rsidP="00DE15E9">
            <w:pPr>
              <w:spacing w:before="100" w:beforeAutospacing="1" w:after="100" w:afterAutospacing="1" w:line="240" w:lineRule="auto"/>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highlight w:val="yellow"/>
                <w:lang w:val="ro-MD"/>
              </w:rPr>
              <w:t xml:space="preserve">Ajustat </w:t>
            </w:r>
            <w:r w:rsidRPr="00DE15E9">
              <w:rPr>
                <w:rFonts w:ascii="Times New Roman" w:eastAsia="Times New Roman" w:hAnsi="Times New Roman" w:cs="Times New Roman"/>
                <w:sz w:val="20"/>
                <w:szCs w:val="20"/>
                <w:highlight w:val="yellow"/>
              </w:rPr>
              <w:t xml:space="preserve">pentru a </w:t>
            </w:r>
            <w:r w:rsidR="00360703" w:rsidRPr="00DE15E9">
              <w:rPr>
                <w:rFonts w:ascii="Times New Roman" w:eastAsia="Times New Roman" w:hAnsi="Times New Roman" w:cs="Times New Roman"/>
                <w:sz w:val="20"/>
                <w:szCs w:val="20"/>
                <w:highlight w:val="yellow"/>
              </w:rPr>
              <w:t>reflecta</w:t>
            </w:r>
            <w:r w:rsidRPr="00DE15E9">
              <w:rPr>
                <w:rFonts w:ascii="Times New Roman" w:eastAsia="Times New Roman" w:hAnsi="Times New Roman" w:cs="Times New Roman"/>
                <w:sz w:val="20"/>
                <w:szCs w:val="20"/>
                <w:highlight w:val="yellow"/>
              </w:rPr>
              <w:t xml:space="preserve"> integral definiția Directivei;</w:t>
            </w:r>
          </w:p>
          <w:p w14:paraId="0F44AC4F" w14:textId="262A5825"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58931037" w14:textId="7C0716F5" w:rsidR="00E0260F" w:rsidRPr="00DE15E9" w:rsidRDefault="00360703"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highlight w:val="yellow"/>
                <w:lang w:val="ro-MD"/>
              </w:rPr>
              <w:t>Definiția produselor perisabile nu pare să corespundă definiției prevăzute în Directivă</w:t>
            </w:r>
          </w:p>
        </w:tc>
      </w:tr>
      <w:tr w:rsidR="00E0260F" w:rsidRPr="00DE15E9" w14:paraId="5DDAC701" w14:textId="77777777" w:rsidTr="00033703">
        <w:tc>
          <w:tcPr>
            <w:tcW w:w="430" w:type="dxa"/>
            <w:tcBorders>
              <w:top w:val="single" w:sz="4" w:space="0" w:color="000000"/>
              <w:left w:val="single" w:sz="4" w:space="0" w:color="000000"/>
              <w:bottom w:val="single" w:sz="4" w:space="0" w:color="000000"/>
              <w:right w:val="single" w:sz="4" w:space="0" w:color="000000"/>
            </w:tcBorders>
          </w:tcPr>
          <w:p w14:paraId="22420C8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15</w:t>
            </w:r>
          </w:p>
        </w:tc>
        <w:tc>
          <w:tcPr>
            <w:tcW w:w="2547" w:type="dxa"/>
            <w:tcBorders>
              <w:top w:val="single" w:sz="4" w:space="0" w:color="000000"/>
              <w:left w:val="single" w:sz="4" w:space="0" w:color="000000"/>
              <w:bottom w:val="single" w:sz="4" w:space="0" w:color="000000"/>
              <w:right w:val="single" w:sz="4" w:space="0" w:color="000000"/>
            </w:tcBorders>
          </w:tcPr>
          <w:p w14:paraId="5AE87DA6" w14:textId="77777777" w:rsidR="00E0260F" w:rsidRPr="00DE15E9" w:rsidRDefault="00E0260F" w:rsidP="00DE15E9">
            <w:pPr>
              <w:spacing w:after="0" w:line="240" w:lineRule="auto"/>
              <w:jc w:val="both"/>
              <w:rPr>
                <w:rFonts w:ascii="Times New Roman" w:eastAsia="Times New Roman" w:hAnsi="Times New Roman" w:cs="Times New Roman"/>
                <w:b/>
                <w:sz w:val="20"/>
                <w:szCs w:val="20"/>
                <w:lang w:val="ro-MD"/>
              </w:rPr>
            </w:pPr>
            <w:r w:rsidRPr="00DE15E9">
              <w:rPr>
                <w:rFonts w:ascii="Times New Roman" w:eastAsia="Times New Roman" w:hAnsi="Times New Roman" w:cs="Times New Roman"/>
                <w:b/>
                <w:sz w:val="20"/>
                <w:szCs w:val="20"/>
                <w:lang w:val="ro-MD"/>
              </w:rPr>
              <w:t>Articolul 3</w:t>
            </w:r>
          </w:p>
          <w:p w14:paraId="24292FE2" w14:textId="77777777" w:rsidR="00E0260F" w:rsidRPr="00DE15E9" w:rsidRDefault="00E0260F" w:rsidP="00DE15E9">
            <w:pPr>
              <w:shd w:val="clear" w:color="auto" w:fill="FFFFFF"/>
              <w:spacing w:after="0" w:line="240" w:lineRule="auto"/>
              <w:jc w:val="center"/>
              <w:rPr>
                <w:rFonts w:ascii="Times New Roman" w:eastAsia="Times New Roman" w:hAnsi="Times New Roman" w:cs="Times New Roman"/>
                <w:b/>
                <w:bCs/>
                <w:sz w:val="20"/>
                <w:szCs w:val="20"/>
                <w:lang w:val="ro-MD"/>
              </w:rPr>
            </w:pPr>
            <w:r w:rsidRPr="00DE15E9">
              <w:rPr>
                <w:rFonts w:ascii="Times New Roman" w:eastAsia="Times New Roman" w:hAnsi="Times New Roman" w:cs="Times New Roman"/>
                <w:b/>
                <w:bCs/>
                <w:sz w:val="20"/>
                <w:szCs w:val="20"/>
                <w:lang w:val="ro-MD"/>
              </w:rPr>
              <w:t>Interzicerea practicilor comerciale neloiale</w:t>
            </w:r>
          </w:p>
          <w:p w14:paraId="5B1EBE20"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(1)   Statele membre se asigură că cel puțin toate următoarele practici comerciale neloiale sunt interzise:</w:t>
            </w:r>
          </w:p>
          <w:tbl>
            <w:tblPr>
              <w:tblW w:w="4828" w:type="pct"/>
              <w:tblLayout w:type="fixed"/>
              <w:tblCellMar>
                <w:left w:w="0" w:type="dxa"/>
                <w:right w:w="0" w:type="dxa"/>
              </w:tblCellMar>
              <w:tblLook w:val="04A0" w:firstRow="1" w:lastRow="0" w:firstColumn="1" w:lastColumn="0" w:noHBand="0" w:noVBand="1"/>
            </w:tblPr>
            <w:tblGrid>
              <w:gridCol w:w="2237"/>
            </w:tblGrid>
            <w:tr w:rsidR="00E0260F" w:rsidRPr="00DE15E9" w14:paraId="16EFEF0F" w14:textId="77777777" w:rsidTr="009F06BF">
              <w:tc>
                <w:tcPr>
                  <w:tcW w:w="2247" w:type="dxa"/>
                  <w:hideMark/>
                </w:tcPr>
                <w:p w14:paraId="4570C75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cumpărătorul plătește furnizorului,</w:t>
                  </w:r>
                </w:p>
                <w:tbl>
                  <w:tblPr>
                    <w:tblW w:w="5000" w:type="pct"/>
                    <w:tblLayout w:type="fixed"/>
                    <w:tblCellMar>
                      <w:left w:w="0" w:type="dxa"/>
                      <w:right w:w="0" w:type="dxa"/>
                    </w:tblCellMar>
                    <w:tblLook w:val="04A0" w:firstRow="1" w:lastRow="0" w:firstColumn="1" w:lastColumn="0" w:noHBand="0" w:noVBand="1"/>
                  </w:tblPr>
                  <w:tblGrid>
                    <w:gridCol w:w="20"/>
                    <w:gridCol w:w="2217"/>
                  </w:tblGrid>
                  <w:tr w:rsidR="00E0260F" w:rsidRPr="00DE15E9" w14:paraId="421EB053" w14:textId="77777777" w:rsidTr="00204054">
                    <w:tc>
                      <w:tcPr>
                        <w:tcW w:w="20" w:type="dxa"/>
                        <w:hideMark/>
                      </w:tcPr>
                      <w:p w14:paraId="129C15C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(i)</w:t>
                        </w:r>
                      </w:p>
                    </w:tc>
                    <w:tc>
                      <w:tcPr>
                        <w:tcW w:w="2227" w:type="dxa"/>
                        <w:hideMark/>
                      </w:tcPr>
                      <w:p w14:paraId="08FCE7A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în cazul în care acordul de furnizare prevede livrarea produselor în mod regulat:</w:t>
                        </w:r>
                      </w:p>
                      <w:tbl>
                        <w:tblPr>
                          <w:tblW w:w="4834" w:type="pct"/>
                          <w:tblLayout w:type="fixed"/>
                          <w:tblCellMar>
                            <w:left w:w="0" w:type="dxa"/>
                            <w:right w:w="0" w:type="dxa"/>
                          </w:tblCellMar>
                          <w:tblLook w:val="04A0" w:firstRow="1" w:lastRow="0" w:firstColumn="1" w:lastColumn="0" w:noHBand="0" w:noVBand="1"/>
                        </w:tblPr>
                        <w:tblGrid>
                          <w:gridCol w:w="2143"/>
                        </w:tblGrid>
                        <w:tr w:rsidR="00E0260F" w:rsidRPr="00DE15E9" w14:paraId="1A66211F" w14:textId="77777777" w:rsidTr="009F06BF">
                          <w:tc>
                            <w:tcPr>
                              <w:tcW w:w="2153" w:type="dxa"/>
                              <w:hideMark/>
                            </w:tcPr>
                            <w:p w14:paraId="694F185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pentru produsele agricole și alimentare perisabile, mai târziu de 30 de zile de la încheierea unei perioade de livrare convenite în care au fost efectuate livrări sau mai târziu de 30 de zile de la data la care suma de plată aferentă respectivei perioade de livrare a fost stabilită, dintre aceste două date fiind luată în considerare cea care survine mai târziu;</w:t>
                              </w:r>
                            </w:p>
                          </w:tc>
                        </w:tr>
                      </w:tbl>
                      <w:p w14:paraId="5B114F5E" w14:textId="77777777" w:rsidR="00E0260F" w:rsidRPr="00DE15E9" w:rsidRDefault="00E0260F" w:rsidP="00DE15E9">
                        <w:pPr>
                          <w:spacing w:after="0" w:line="240" w:lineRule="auto"/>
                          <w:rPr>
                            <w:rFonts w:ascii="Times New Roman" w:eastAsia="Times New Roman" w:hAnsi="Times New Roman" w:cs="Times New Roman"/>
                            <w:sz w:val="20"/>
                            <w:szCs w:val="20"/>
                            <w:lang w:val="ro-MD"/>
                          </w:rPr>
                        </w:pPr>
                      </w:p>
                    </w:tc>
                  </w:tr>
                </w:tbl>
                <w:p w14:paraId="2E5F3E90" w14:textId="77777777" w:rsidR="00E0260F" w:rsidRPr="00DE15E9" w:rsidRDefault="00E0260F" w:rsidP="00DE15E9">
                  <w:pPr>
                    <w:spacing w:after="0" w:line="240" w:lineRule="auto"/>
                    <w:rPr>
                      <w:rFonts w:ascii="Times New Roman" w:eastAsia="Times New Roman" w:hAnsi="Times New Roman" w:cs="Times New Roman"/>
                      <w:sz w:val="20"/>
                      <w:szCs w:val="20"/>
                      <w:lang w:val="ro-MD"/>
                    </w:rPr>
                  </w:pPr>
                </w:p>
              </w:tc>
            </w:tr>
          </w:tbl>
          <w:p w14:paraId="0DB2D6A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20E0E9EF" w14:textId="77777777" w:rsidR="00E0260F" w:rsidRPr="00DE15E9" w:rsidRDefault="00E0260F" w:rsidP="00DE15E9">
            <w:pPr>
              <w:spacing w:after="0" w:line="240" w:lineRule="auto"/>
              <w:jc w:val="both"/>
              <w:rPr>
                <w:rFonts w:ascii="Times New Roman" w:eastAsia="Times New Roman" w:hAnsi="Times New Roman" w:cs="Times New Roman"/>
                <w:b/>
                <w:sz w:val="20"/>
                <w:szCs w:val="20"/>
                <w:lang w:val="en-GB"/>
              </w:rPr>
            </w:pPr>
            <w:r w:rsidRPr="00DE15E9">
              <w:rPr>
                <w:rFonts w:ascii="Times New Roman" w:eastAsia="Times New Roman" w:hAnsi="Times New Roman" w:cs="Times New Roman"/>
                <w:b/>
                <w:sz w:val="20"/>
                <w:szCs w:val="20"/>
                <w:lang w:val="en-GB"/>
              </w:rPr>
              <w:t>Article 3</w:t>
            </w:r>
          </w:p>
          <w:p w14:paraId="6F7B2A92" w14:textId="77777777" w:rsidR="00E0260F" w:rsidRPr="00DE15E9" w:rsidRDefault="00E0260F" w:rsidP="00DE15E9">
            <w:pPr>
              <w:shd w:val="clear" w:color="auto" w:fill="FFFFFF"/>
              <w:spacing w:after="0" w:line="240" w:lineRule="auto"/>
              <w:jc w:val="center"/>
              <w:rPr>
                <w:rFonts w:ascii="Times New Roman" w:eastAsia="Times New Roman" w:hAnsi="Times New Roman" w:cs="Times New Roman"/>
                <w:b/>
                <w:bCs/>
                <w:sz w:val="20"/>
                <w:szCs w:val="20"/>
                <w:lang w:val="en-GB"/>
              </w:rPr>
            </w:pPr>
            <w:r w:rsidRPr="00DE15E9">
              <w:rPr>
                <w:rFonts w:ascii="Times New Roman" w:eastAsia="Times New Roman" w:hAnsi="Times New Roman" w:cs="Times New Roman"/>
                <w:b/>
                <w:bCs/>
                <w:sz w:val="20"/>
                <w:szCs w:val="20"/>
                <w:lang w:val="en-GB"/>
              </w:rPr>
              <w:t>Prohibition of unfair trading practices</w:t>
            </w:r>
          </w:p>
          <w:p w14:paraId="631D1E72"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1.   Member States shall ensure that at least all the following unfair trading practices are prohibited:</w:t>
            </w:r>
          </w:p>
          <w:tbl>
            <w:tblPr>
              <w:tblW w:w="4828" w:type="pct"/>
              <w:tblLayout w:type="fixed"/>
              <w:tblCellMar>
                <w:left w:w="0" w:type="dxa"/>
                <w:right w:w="0" w:type="dxa"/>
              </w:tblCellMar>
              <w:tblLook w:val="04A0" w:firstRow="1" w:lastRow="0" w:firstColumn="1" w:lastColumn="0" w:noHBand="0" w:noVBand="1"/>
            </w:tblPr>
            <w:tblGrid>
              <w:gridCol w:w="2242"/>
            </w:tblGrid>
            <w:tr w:rsidR="00E0260F" w:rsidRPr="00DE15E9" w14:paraId="4E917372" w14:textId="77777777" w:rsidTr="00A176B1">
              <w:tc>
                <w:tcPr>
                  <w:tcW w:w="2242" w:type="dxa"/>
                  <w:hideMark/>
                </w:tcPr>
                <w:p w14:paraId="6F25DB8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the buyer pays the supplier,</w:t>
                  </w:r>
                </w:p>
                <w:tbl>
                  <w:tblPr>
                    <w:tblW w:w="4844" w:type="pct"/>
                    <w:tblLayout w:type="fixed"/>
                    <w:tblCellMar>
                      <w:left w:w="0" w:type="dxa"/>
                      <w:right w:w="0" w:type="dxa"/>
                    </w:tblCellMar>
                    <w:tblLook w:val="04A0" w:firstRow="1" w:lastRow="0" w:firstColumn="1" w:lastColumn="0" w:noHBand="0" w:noVBand="1"/>
                  </w:tblPr>
                  <w:tblGrid>
                    <w:gridCol w:w="2172"/>
                  </w:tblGrid>
                  <w:tr w:rsidR="00E0260F" w:rsidRPr="00DE15E9" w14:paraId="4752B2CD" w14:textId="77777777" w:rsidTr="00A176B1">
                    <w:tc>
                      <w:tcPr>
                        <w:tcW w:w="2172" w:type="dxa"/>
                        <w:hideMark/>
                      </w:tcPr>
                      <w:p w14:paraId="1A64656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where the supply agreement provides for the delivery of products on a regular basis:</w:t>
                        </w:r>
                      </w:p>
                      <w:tbl>
                        <w:tblPr>
                          <w:tblW w:w="4832" w:type="pct"/>
                          <w:tblLayout w:type="fixed"/>
                          <w:tblCellMar>
                            <w:left w:w="0" w:type="dxa"/>
                            <w:right w:w="0" w:type="dxa"/>
                          </w:tblCellMar>
                          <w:tblLook w:val="04A0" w:firstRow="1" w:lastRow="0" w:firstColumn="1" w:lastColumn="0" w:noHBand="0" w:noVBand="1"/>
                        </w:tblPr>
                        <w:tblGrid>
                          <w:gridCol w:w="2099"/>
                        </w:tblGrid>
                        <w:tr w:rsidR="00E0260F" w:rsidRPr="00DE15E9" w14:paraId="76283EA4" w14:textId="77777777" w:rsidTr="00A176B1">
                          <w:tc>
                            <w:tcPr>
                              <w:tcW w:w="2099" w:type="dxa"/>
                              <w:hideMark/>
                            </w:tcPr>
                            <w:p w14:paraId="1893B8E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for perishable agricultural and food products, later than 30 days after the end of an agreed delivery period in which deliveries have been made or later than 30 days after the date on which the amount payable for that delivery period is set, whichever of those two dates is the later;</w:t>
                              </w:r>
                            </w:p>
                          </w:tc>
                        </w:tr>
                      </w:tbl>
                      <w:p w14:paraId="00F80E8C" w14:textId="77777777" w:rsidR="00E0260F" w:rsidRPr="00DE15E9" w:rsidRDefault="00E0260F" w:rsidP="00DE15E9">
                        <w:pPr>
                          <w:spacing w:after="0" w:line="240" w:lineRule="auto"/>
                          <w:rPr>
                            <w:rFonts w:ascii="Times New Roman" w:eastAsia="Times New Roman" w:hAnsi="Times New Roman" w:cs="Times New Roman"/>
                            <w:sz w:val="20"/>
                            <w:szCs w:val="20"/>
                            <w:lang w:val="en-GB"/>
                          </w:rPr>
                        </w:pPr>
                      </w:p>
                    </w:tc>
                  </w:tr>
                </w:tbl>
                <w:p w14:paraId="4AA2472D" w14:textId="77777777" w:rsidR="00E0260F" w:rsidRPr="00DE15E9" w:rsidRDefault="00E0260F" w:rsidP="00DE15E9">
                  <w:pPr>
                    <w:spacing w:after="0" w:line="240" w:lineRule="auto"/>
                    <w:rPr>
                      <w:rFonts w:ascii="Times New Roman" w:eastAsia="Times New Roman" w:hAnsi="Times New Roman" w:cs="Times New Roman"/>
                      <w:sz w:val="20"/>
                      <w:szCs w:val="20"/>
                      <w:lang w:val="en-GB"/>
                    </w:rPr>
                  </w:pPr>
                </w:p>
              </w:tc>
            </w:tr>
          </w:tbl>
          <w:p w14:paraId="3D06BE0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351FCDC9" w14:textId="5AB082EC" w:rsidR="00E0260F" w:rsidRPr="00DE15E9" w:rsidRDefault="00E0260F" w:rsidP="00DE15E9">
            <w:pPr>
              <w:tabs>
                <w:tab w:val="left" w:pos="311"/>
              </w:tabs>
              <w:spacing w:after="0" w:line="240" w:lineRule="auto"/>
              <w:jc w:val="center"/>
              <w:rPr>
                <w:rFonts w:ascii="Times New Roman" w:hAnsi="Times New Roman" w:cs="Times New Roman"/>
                <w:bCs/>
                <w:sz w:val="20"/>
                <w:szCs w:val="20"/>
                <w:lang w:val="ro-MD"/>
              </w:rPr>
            </w:pPr>
            <w:r w:rsidRPr="00DE15E9">
              <w:rPr>
                <w:rFonts w:ascii="Times New Roman" w:hAnsi="Times New Roman" w:cs="Times New Roman"/>
                <w:bCs/>
                <w:sz w:val="20"/>
                <w:szCs w:val="20"/>
                <w:lang w:val="ro-MD"/>
              </w:rPr>
              <w:t>Capitolul II. Practici comerciale neloiale</w:t>
            </w:r>
          </w:p>
          <w:p w14:paraId="1FE6F798" w14:textId="77777777" w:rsidR="00EE386A" w:rsidRPr="00DE15E9" w:rsidRDefault="00EE386A" w:rsidP="00DE15E9">
            <w:pPr>
              <w:spacing w:after="0" w:line="240" w:lineRule="auto"/>
              <w:ind w:firstLine="34"/>
              <w:rPr>
                <w:rFonts w:ascii="Times New Roman" w:eastAsiaTheme="minorHAnsi" w:hAnsi="Times New Roman" w:cs="Times New Roman"/>
                <w:bCs/>
                <w:sz w:val="20"/>
                <w:szCs w:val="20"/>
                <w:lang w:val="ro-MD"/>
              </w:rPr>
            </w:pPr>
            <w:r w:rsidRPr="00DE15E9">
              <w:rPr>
                <w:rFonts w:ascii="Times New Roman" w:hAnsi="Times New Roman" w:cs="Times New Roman"/>
                <w:bCs/>
                <w:sz w:val="20"/>
                <w:szCs w:val="20"/>
                <w:lang w:val="ro-MD"/>
              </w:rPr>
              <w:t>Articolul 4. Practici comerciale neloiale interzise legate de plăți</w:t>
            </w:r>
          </w:p>
          <w:p w14:paraId="7AB54174" w14:textId="77777777" w:rsidR="00EE386A" w:rsidRPr="00DE15E9" w:rsidRDefault="00EE386A" w:rsidP="00DE15E9">
            <w:pPr>
              <w:pStyle w:val="ListParagraph"/>
              <w:numPr>
                <w:ilvl w:val="0"/>
                <w:numId w:val="5"/>
              </w:numPr>
              <w:tabs>
                <w:tab w:val="left" w:pos="567"/>
                <w:tab w:val="left" w:pos="851"/>
              </w:tabs>
              <w:spacing w:after="0" w:line="240" w:lineRule="auto"/>
              <w:ind w:left="0" w:firstLine="34"/>
              <w:jc w:val="both"/>
              <w:rPr>
                <w:rFonts w:ascii="Times New Roman" w:hAnsi="Times New Roman" w:cs="Times New Roman"/>
                <w:sz w:val="20"/>
                <w:szCs w:val="20"/>
                <w:lang w:val="ro-RO"/>
              </w:rPr>
            </w:pPr>
            <w:r w:rsidRPr="00DE15E9">
              <w:rPr>
                <w:rFonts w:ascii="Times New Roman" w:eastAsia="Times New Roman" w:hAnsi="Times New Roman" w:cs="Times New Roman"/>
                <w:sz w:val="20"/>
                <w:szCs w:val="20"/>
              </w:rPr>
              <w:t>Sunt interzise următoarele practici comerciale legate de întârzierea plăților către furnizori:</w:t>
            </w:r>
          </w:p>
          <w:p w14:paraId="169D0B09" w14:textId="77777777" w:rsidR="00EE386A" w:rsidRPr="00DE15E9" w:rsidRDefault="00EE386A" w:rsidP="00DE15E9">
            <w:pPr>
              <w:pStyle w:val="ListParagraph"/>
              <w:numPr>
                <w:ilvl w:val="0"/>
                <w:numId w:val="6"/>
              </w:numPr>
              <w:spacing w:after="0" w:line="240" w:lineRule="auto"/>
              <w:ind w:left="0" w:firstLine="34"/>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în cazul în care contractul prevede livrarea produselor în mod regulat:</w:t>
            </w:r>
          </w:p>
          <w:p w14:paraId="15239974" w14:textId="4A348469" w:rsidR="00E0260F" w:rsidRPr="00DE15E9" w:rsidRDefault="00EE386A" w:rsidP="00DE15E9">
            <w:pPr>
              <w:pStyle w:val="ListParagraph"/>
              <w:numPr>
                <w:ilvl w:val="0"/>
                <w:numId w:val="7"/>
              </w:numPr>
              <w:spacing w:after="0" w:line="240" w:lineRule="auto"/>
              <w:ind w:left="0" w:firstLine="34"/>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pentru produsele agricole și alimentare perisabile, cumpărătorul plătește furnizorului mai târziu de 30 de zile de la încheierea unei perioade de livrare convenite în care au fost efectuate livrări sau mai târziu de 30 de zile de la data la care suma de plată aferentă respectivei perioade de livrare a fost stabilită, dintre aceste două date fiind luată în considerare cea care survine mai târziu;</w:t>
            </w:r>
          </w:p>
        </w:tc>
        <w:tc>
          <w:tcPr>
            <w:tcW w:w="2693" w:type="dxa"/>
            <w:tcBorders>
              <w:top w:val="single" w:sz="4" w:space="0" w:color="000000"/>
              <w:left w:val="single" w:sz="4" w:space="0" w:color="000000"/>
              <w:bottom w:val="single" w:sz="4" w:space="0" w:color="000000"/>
              <w:right w:val="single" w:sz="4" w:space="0" w:color="000000"/>
            </w:tcBorders>
          </w:tcPr>
          <w:p w14:paraId="6C9F65A9" w14:textId="77777777" w:rsidR="00EE386A" w:rsidRPr="00DE15E9" w:rsidRDefault="00EE386A" w:rsidP="00DE15E9">
            <w:pPr>
              <w:spacing w:after="0" w:line="240" w:lineRule="auto"/>
              <w:jc w:val="center"/>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Chapter II</w:t>
            </w:r>
            <w:r w:rsidRPr="00DE15E9">
              <w:rPr>
                <w:rFonts w:ascii="Times New Roman" w:eastAsia="Times New Roman" w:hAnsi="Times New Roman" w:cs="Times New Roman"/>
                <w:sz w:val="20"/>
                <w:szCs w:val="20"/>
              </w:rPr>
              <w:br/>
              <w:t>Unfair trading practices</w:t>
            </w:r>
          </w:p>
          <w:p w14:paraId="3A0BEB6C" w14:textId="77777777" w:rsidR="00EE386A" w:rsidRPr="00DE15E9" w:rsidRDefault="00EE386A"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Article 4. Prohibited unfair trading practices related to payments</w:t>
            </w:r>
          </w:p>
          <w:p w14:paraId="76535EC8" w14:textId="77777777" w:rsidR="00EE386A" w:rsidRPr="00DE15E9" w:rsidRDefault="00EE386A"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(1) The following trading practices related to late payments to suppliers shall be prohibited:</w:t>
            </w:r>
          </w:p>
          <w:p w14:paraId="7768029C" w14:textId="77777777" w:rsidR="00EE386A" w:rsidRPr="00DE15E9" w:rsidRDefault="00EE386A" w:rsidP="00DE15E9">
            <w:pPr>
              <w:numPr>
                <w:ilvl w:val="0"/>
                <w:numId w:val="8"/>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where the contract provides for the regular delivery of products:</w:t>
            </w:r>
          </w:p>
          <w:p w14:paraId="6C39007F" w14:textId="77777777" w:rsidR="00EE386A" w:rsidRPr="00DE15E9" w:rsidRDefault="00EE386A"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a) for perishable agricultural and food products, the buyer pays the supplier later than 30 days after the end of an agreed delivery period in which deliveries have been made, or later than 30 days after the date on which the amount payable for that delivery period was established, whichever of those two dates is the later;</w:t>
            </w:r>
          </w:p>
          <w:p w14:paraId="11C2B4A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75996FB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1A60964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0671FBE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755FA4F8" w14:textId="77777777" w:rsidTr="00033703">
        <w:tc>
          <w:tcPr>
            <w:tcW w:w="430" w:type="dxa"/>
            <w:tcBorders>
              <w:top w:val="single" w:sz="4" w:space="0" w:color="000000"/>
              <w:left w:val="single" w:sz="4" w:space="0" w:color="000000"/>
              <w:bottom w:val="single" w:sz="4" w:space="0" w:color="000000"/>
              <w:right w:val="single" w:sz="4" w:space="0" w:color="000000"/>
            </w:tcBorders>
          </w:tcPr>
          <w:p w14:paraId="2D1160A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16</w:t>
            </w:r>
          </w:p>
        </w:tc>
        <w:tc>
          <w:tcPr>
            <w:tcW w:w="2547" w:type="dxa"/>
            <w:tcBorders>
              <w:top w:val="single" w:sz="4" w:space="0" w:color="000000"/>
              <w:left w:val="single" w:sz="4" w:space="0" w:color="000000"/>
              <w:bottom w:val="single" w:sz="4" w:space="0" w:color="000000"/>
              <w:right w:val="single" w:sz="4" w:space="0" w:color="000000"/>
            </w:tcBorders>
          </w:tcPr>
          <w:tbl>
            <w:tblPr>
              <w:tblW w:w="5000" w:type="pct"/>
              <w:shd w:val="clear" w:color="auto" w:fill="FFFFFF"/>
              <w:tblLayout w:type="fixed"/>
              <w:tblCellMar>
                <w:left w:w="0" w:type="dxa"/>
                <w:right w:w="0" w:type="dxa"/>
              </w:tblCellMar>
              <w:tblLook w:val="04A0" w:firstRow="1" w:lastRow="0" w:firstColumn="1" w:lastColumn="0" w:noHBand="0" w:noVBand="1"/>
            </w:tblPr>
            <w:tblGrid>
              <w:gridCol w:w="81"/>
              <w:gridCol w:w="2236"/>
            </w:tblGrid>
            <w:tr w:rsidR="00E0260F" w:rsidRPr="00DE15E9" w14:paraId="5561ED9B" w14:textId="77777777" w:rsidTr="00FE1408">
              <w:tc>
                <w:tcPr>
                  <w:tcW w:w="270" w:type="dxa"/>
                  <w:shd w:val="clear" w:color="auto" w:fill="FFFFFF"/>
                  <w:hideMark/>
                </w:tcPr>
                <w:p w14:paraId="0EB4F69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w:t>
                  </w:r>
                </w:p>
              </w:tc>
              <w:tc>
                <w:tcPr>
                  <w:tcW w:w="9136" w:type="dxa"/>
                  <w:shd w:val="clear" w:color="auto" w:fill="FFFFFF"/>
                  <w:hideMark/>
                </w:tcPr>
                <w:p w14:paraId="4F64496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pentru alte produse agricole și alimentare perisabile, mai târziu de 60 de zile de la încheierea unei perioade de livrare convenite în care au fost efectuate livrări sau mai târziu de 60 de zile de la </w:t>
                  </w:r>
                  <w:r w:rsidRPr="00DE15E9">
                    <w:rPr>
                      <w:rFonts w:ascii="Times New Roman" w:eastAsia="Times New Roman" w:hAnsi="Times New Roman" w:cs="Times New Roman"/>
                      <w:sz w:val="20"/>
                      <w:szCs w:val="20"/>
                      <w:lang w:val="ro-MD"/>
                    </w:rPr>
                    <w:lastRenderedPageBreak/>
                    <w:t>data la care suma de plată aferentă respectivei perioade de livrare a fost stabilită, dintre aceste două date fiind luată în considerare cea care survine mai târziu,</w:t>
                  </w:r>
                </w:p>
              </w:tc>
            </w:tr>
          </w:tbl>
          <w:p w14:paraId="28E53BA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5000" w:type="pct"/>
              <w:shd w:val="clear" w:color="auto" w:fill="FFFFFF"/>
              <w:tblLayout w:type="fixed"/>
              <w:tblCellMar>
                <w:left w:w="0" w:type="dxa"/>
                <w:right w:w="0" w:type="dxa"/>
              </w:tblCellMar>
              <w:tblLook w:val="04A0" w:firstRow="1" w:lastRow="0" w:firstColumn="1" w:lastColumn="0" w:noHBand="0" w:noVBand="1"/>
            </w:tblPr>
            <w:tblGrid>
              <w:gridCol w:w="81"/>
              <w:gridCol w:w="2241"/>
            </w:tblGrid>
            <w:tr w:rsidR="00E0260F" w:rsidRPr="00DE15E9" w14:paraId="2C1394C1" w14:textId="77777777" w:rsidTr="00FE1408">
              <w:tc>
                <w:tcPr>
                  <w:tcW w:w="270" w:type="dxa"/>
                  <w:shd w:val="clear" w:color="auto" w:fill="FFFFFF"/>
                  <w:hideMark/>
                </w:tcPr>
                <w:p w14:paraId="7D2F836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lastRenderedPageBreak/>
                    <w:t>—</w:t>
                  </w:r>
                </w:p>
              </w:tc>
              <w:tc>
                <w:tcPr>
                  <w:tcW w:w="9136" w:type="dxa"/>
                  <w:shd w:val="clear" w:color="auto" w:fill="FFFFFF"/>
                  <w:hideMark/>
                </w:tcPr>
                <w:p w14:paraId="22D04C8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 xml:space="preserve">for other agricultural and food products, later than 60 days after the end of an agreed delivery period in which deliveries have been made or later than 60 days after the date on which the </w:t>
                  </w:r>
                  <w:r w:rsidRPr="00DE15E9">
                    <w:rPr>
                      <w:rFonts w:ascii="Times New Roman" w:eastAsia="Times New Roman" w:hAnsi="Times New Roman" w:cs="Times New Roman"/>
                      <w:sz w:val="20"/>
                      <w:szCs w:val="20"/>
                      <w:lang w:val="en-GB"/>
                    </w:rPr>
                    <w:lastRenderedPageBreak/>
                    <w:t>amount payable for that delivery period is set, whichever of those two dates is the later;</w:t>
                  </w:r>
                </w:p>
              </w:tc>
            </w:tr>
          </w:tbl>
          <w:p w14:paraId="063E8A2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7409790F" w14:textId="77777777" w:rsidR="00EE386A" w:rsidRPr="00DE15E9" w:rsidRDefault="00EE386A"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lastRenderedPageBreak/>
              <w:t xml:space="preserve">b) pentru alte produse agricole și alimentare perisabile, cumpărătorul plătește furnizorului mai târziu de 45 de zile de la încheierea unei perioade de livrare convenite în care au fost efectuate livrări </w:t>
            </w:r>
            <w:r w:rsidRPr="00DE15E9">
              <w:rPr>
                <w:rFonts w:ascii="Times New Roman" w:eastAsia="Times New Roman" w:hAnsi="Times New Roman" w:cs="Times New Roman"/>
                <w:sz w:val="20"/>
                <w:szCs w:val="20"/>
              </w:rPr>
              <w:lastRenderedPageBreak/>
              <w:t>sau mai târziu de 45 de zile de la data la care suma de plată aferentă respectivei perioade de livrare a fost stabilită, dintre aceste două date fiind luată în considerare cea care survine mai târziu.</w:t>
            </w:r>
          </w:p>
          <w:p w14:paraId="64A73F1F" w14:textId="6811201A"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3C398A3F" w14:textId="77777777" w:rsidR="00EE386A" w:rsidRPr="00DE15E9" w:rsidRDefault="00EE386A"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lastRenderedPageBreak/>
              <w:t xml:space="preserve">b) for other agricultural and food products, the buyer pays the supplier later than 45 days after the end of an agreed delivery period in which deliveries have been made, or later than 45 days after the date </w:t>
            </w:r>
            <w:r w:rsidRPr="00DE15E9">
              <w:rPr>
                <w:rFonts w:ascii="Times New Roman" w:eastAsia="Times New Roman" w:hAnsi="Times New Roman" w:cs="Times New Roman"/>
                <w:sz w:val="20"/>
                <w:szCs w:val="20"/>
              </w:rPr>
              <w:lastRenderedPageBreak/>
              <w:t>on which the amount payable for that delivery period was established, whichever of those two dates is the later.</w:t>
            </w:r>
          </w:p>
          <w:p w14:paraId="7F2D7DF8"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0F46A10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239BA4C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lang w:val="ro-MD"/>
              </w:rPr>
              <w:t xml:space="preserve">Stabilirea unor termene de plată mai scurte decât cele prevăzute de Directivă urmărește consolidarea disciplinei de plată în </w:t>
            </w:r>
            <w:r w:rsidRPr="00DE15E9">
              <w:rPr>
                <w:rFonts w:ascii="Times New Roman" w:hAnsi="Times New Roman" w:cs="Times New Roman"/>
                <w:sz w:val="20"/>
                <w:szCs w:val="20"/>
                <w:lang w:val="ro-MD"/>
              </w:rPr>
              <w:lastRenderedPageBreak/>
              <w:t>lanțul de aprovizionare agricol și alimentar și prevenirea transferului disproporționat al riscului financiar către furnizori. Măsura este proporțională și justificată de structura pieței naționale, caracterizată printr-o pondere ridicată a IMM-urilor, fără a aduce atingere libertății contractuale.</w:t>
            </w:r>
          </w:p>
        </w:tc>
        <w:tc>
          <w:tcPr>
            <w:tcW w:w="2126" w:type="dxa"/>
            <w:tcBorders>
              <w:top w:val="single" w:sz="4" w:space="0" w:color="000000"/>
              <w:left w:val="single" w:sz="4" w:space="0" w:color="000000"/>
              <w:bottom w:val="single" w:sz="4" w:space="0" w:color="000000"/>
              <w:right w:val="single" w:sz="4" w:space="0" w:color="000000"/>
            </w:tcBorders>
          </w:tcPr>
          <w:p w14:paraId="250CC14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41037204" w14:textId="77777777" w:rsidTr="00033703">
        <w:tc>
          <w:tcPr>
            <w:tcW w:w="430" w:type="dxa"/>
            <w:tcBorders>
              <w:top w:val="single" w:sz="4" w:space="0" w:color="000000"/>
              <w:left w:val="single" w:sz="4" w:space="0" w:color="000000"/>
              <w:bottom w:val="single" w:sz="4" w:space="0" w:color="000000"/>
              <w:right w:val="single" w:sz="4" w:space="0" w:color="000000"/>
            </w:tcBorders>
          </w:tcPr>
          <w:p w14:paraId="7148B8A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17</w:t>
            </w:r>
          </w:p>
        </w:tc>
        <w:tc>
          <w:tcPr>
            <w:tcW w:w="2547" w:type="dxa"/>
            <w:tcBorders>
              <w:top w:val="single" w:sz="4" w:space="0" w:color="000000"/>
              <w:left w:val="single" w:sz="4" w:space="0" w:color="000000"/>
              <w:bottom w:val="single" w:sz="4" w:space="0" w:color="000000"/>
              <w:right w:val="single" w:sz="4" w:space="0" w:color="000000"/>
            </w:tcBorders>
          </w:tcPr>
          <w:tbl>
            <w:tblPr>
              <w:tblW w:w="5000" w:type="pct"/>
              <w:shd w:val="clear" w:color="auto" w:fill="FFFFFF"/>
              <w:tblLayout w:type="fixed"/>
              <w:tblCellMar>
                <w:left w:w="0" w:type="dxa"/>
                <w:right w:w="0" w:type="dxa"/>
              </w:tblCellMar>
              <w:tblLook w:val="04A0" w:firstRow="1" w:lastRow="0" w:firstColumn="1" w:lastColumn="0" w:noHBand="0" w:noVBand="1"/>
            </w:tblPr>
            <w:tblGrid>
              <w:gridCol w:w="2317"/>
            </w:tblGrid>
            <w:tr w:rsidR="00E0260F" w:rsidRPr="00DE15E9" w14:paraId="24830CD3" w14:textId="77777777" w:rsidTr="00FE1408">
              <w:tc>
                <w:tcPr>
                  <w:tcW w:w="9406" w:type="dxa"/>
                  <w:shd w:val="clear" w:color="auto" w:fill="FFFFFF"/>
                  <w:hideMark/>
                </w:tcPr>
                <w:p w14:paraId="0DE1A4F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în ceea ce privește termenele de plată prevăzute la prezentul punct, se consideră, în orice caz, că perioadele de livrare convenite nu depășesc o lună;</w:t>
                  </w:r>
                </w:p>
              </w:tc>
            </w:tr>
          </w:tbl>
          <w:p w14:paraId="528FB3BF" w14:textId="77777777" w:rsidR="00E0260F" w:rsidRPr="00DE15E9" w:rsidRDefault="00E0260F" w:rsidP="00DE15E9">
            <w:pPr>
              <w:spacing w:after="0" w:line="240" w:lineRule="auto"/>
              <w:jc w:val="center"/>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6DEF8FF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for the purposes of the payment periods in this point, the agreed delivery periods shall in any event be considered not to exceed one month;</w:t>
            </w:r>
          </w:p>
        </w:tc>
        <w:tc>
          <w:tcPr>
            <w:tcW w:w="2693" w:type="dxa"/>
            <w:tcBorders>
              <w:top w:val="single" w:sz="4" w:space="0" w:color="000000"/>
              <w:left w:val="single" w:sz="4" w:space="0" w:color="000000"/>
              <w:bottom w:val="single" w:sz="4" w:space="0" w:color="000000"/>
              <w:right w:val="single" w:sz="4" w:space="0" w:color="000000"/>
            </w:tcBorders>
          </w:tcPr>
          <w:p w14:paraId="1DA547FD" w14:textId="77777777" w:rsidR="00EE386A" w:rsidRPr="00DE15E9" w:rsidRDefault="00EE386A" w:rsidP="00DE15E9">
            <w:pPr>
              <w:spacing w:after="0" w:line="240" w:lineRule="auto"/>
              <w:ind w:firstLine="425"/>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Cu referire la termenele de plată prevăzute la prezentul punct, se consideră, în orice caz, că perioadele de livrare convenite nu depășesc o lună.</w:t>
            </w:r>
          </w:p>
          <w:p w14:paraId="3B93E974" w14:textId="2AE13B1B" w:rsidR="00E0260F" w:rsidRPr="00DE15E9" w:rsidRDefault="00E0260F" w:rsidP="00DE15E9">
            <w:pPr>
              <w:tabs>
                <w:tab w:val="left" w:pos="169"/>
                <w:tab w:val="left" w:pos="311"/>
              </w:tabs>
              <w:spacing w:after="0" w:line="240" w:lineRule="auto"/>
              <w:jc w:val="both"/>
              <w:rPr>
                <w:rFonts w:ascii="Times New Roman" w:eastAsia="Times New Roman" w:hAnsi="Times New Roman" w:cs="Times New Roman"/>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6750122B" w14:textId="6C33C6A6" w:rsidR="00EE386A" w:rsidRPr="00DE15E9" w:rsidRDefault="00EE386A"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For the purposes of the payment periods provided for in this point, the agreed delivery periods shall, in any event, be considered not to exceed one month.</w:t>
            </w:r>
          </w:p>
          <w:p w14:paraId="346FD751"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41A3FF8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Compatibil</w:t>
            </w:r>
          </w:p>
        </w:tc>
        <w:tc>
          <w:tcPr>
            <w:tcW w:w="1985" w:type="dxa"/>
            <w:tcBorders>
              <w:top w:val="single" w:sz="4" w:space="0" w:color="000000"/>
              <w:left w:val="single" w:sz="4" w:space="0" w:color="000000"/>
              <w:bottom w:val="single" w:sz="4" w:space="0" w:color="000000"/>
              <w:right w:val="single" w:sz="4" w:space="0" w:color="000000"/>
            </w:tcBorders>
          </w:tcPr>
          <w:p w14:paraId="4B8F250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4D8D4E5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031222BD" w14:textId="77777777" w:rsidTr="00033703">
        <w:tc>
          <w:tcPr>
            <w:tcW w:w="430" w:type="dxa"/>
            <w:tcBorders>
              <w:top w:val="single" w:sz="4" w:space="0" w:color="000000"/>
              <w:left w:val="single" w:sz="4" w:space="0" w:color="000000"/>
              <w:bottom w:val="single" w:sz="4" w:space="0" w:color="000000"/>
              <w:right w:val="single" w:sz="4" w:space="0" w:color="000000"/>
            </w:tcBorders>
          </w:tcPr>
          <w:p w14:paraId="3C39DA7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18</w:t>
            </w:r>
          </w:p>
        </w:tc>
        <w:tc>
          <w:tcPr>
            <w:tcW w:w="2547" w:type="dxa"/>
            <w:tcBorders>
              <w:top w:val="single" w:sz="4" w:space="0" w:color="000000"/>
              <w:left w:val="single" w:sz="4" w:space="0" w:color="000000"/>
              <w:bottom w:val="single" w:sz="4" w:space="0" w:color="000000"/>
              <w:right w:val="single" w:sz="4" w:space="0" w:color="000000"/>
            </w:tcBorders>
          </w:tcPr>
          <w:tbl>
            <w:tblPr>
              <w:tblW w:w="4794" w:type="pct"/>
              <w:shd w:val="clear" w:color="auto" w:fill="FFFFFF"/>
              <w:tblLayout w:type="fixed"/>
              <w:tblCellMar>
                <w:left w:w="0" w:type="dxa"/>
                <w:right w:w="0" w:type="dxa"/>
              </w:tblCellMar>
              <w:tblLook w:val="04A0" w:firstRow="1" w:lastRow="0" w:firstColumn="1" w:lastColumn="0" w:noHBand="0" w:noVBand="1"/>
            </w:tblPr>
            <w:tblGrid>
              <w:gridCol w:w="2222"/>
            </w:tblGrid>
            <w:tr w:rsidR="00E0260F" w:rsidRPr="00DE15E9" w14:paraId="08290EB4" w14:textId="77777777" w:rsidTr="00A176B1">
              <w:tc>
                <w:tcPr>
                  <w:tcW w:w="2231" w:type="dxa"/>
                  <w:shd w:val="clear" w:color="auto" w:fill="FFFFFF"/>
                  <w:hideMark/>
                </w:tcPr>
                <w:p w14:paraId="127E1CD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în cazul în care acordul de furnizare nu prevede livrarea produselor în mod regulat:</w:t>
                  </w:r>
                </w:p>
                <w:tbl>
                  <w:tblPr>
                    <w:tblW w:w="5000" w:type="pct"/>
                    <w:tblLayout w:type="fixed"/>
                    <w:tblCellMar>
                      <w:left w:w="0" w:type="dxa"/>
                      <w:right w:w="0" w:type="dxa"/>
                    </w:tblCellMar>
                    <w:tblLook w:val="04A0" w:firstRow="1" w:lastRow="0" w:firstColumn="1" w:lastColumn="0" w:noHBand="0" w:noVBand="1"/>
                  </w:tblPr>
                  <w:tblGrid>
                    <w:gridCol w:w="73"/>
                    <w:gridCol w:w="2149"/>
                  </w:tblGrid>
                  <w:tr w:rsidR="00E0260F" w:rsidRPr="00DE15E9" w14:paraId="6E9B2DE7" w14:textId="77777777">
                    <w:tc>
                      <w:tcPr>
                        <w:tcW w:w="240" w:type="dxa"/>
                        <w:hideMark/>
                      </w:tcPr>
                      <w:p w14:paraId="0B24F3E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w:t>
                        </w:r>
                      </w:p>
                    </w:tc>
                    <w:tc>
                      <w:tcPr>
                        <w:tcW w:w="8836" w:type="dxa"/>
                        <w:hideMark/>
                      </w:tcPr>
                      <w:p w14:paraId="23AE3E5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pentru produsele agricole și alimentare perisabile, mai târziu de 30 de zile de la data livrării sau mai târziu de 30 de zile de la data stabilirii sumei de plată, dintre aceste două date fiind luată în considerare cea care survine mai târziu;</w:t>
                        </w:r>
                      </w:p>
                    </w:tc>
                  </w:tr>
                </w:tbl>
                <w:p w14:paraId="523CF8FE" w14:textId="77777777" w:rsidR="00E0260F" w:rsidRPr="00DE15E9" w:rsidRDefault="00E0260F" w:rsidP="00DE15E9">
                  <w:pPr>
                    <w:spacing w:after="0" w:line="240" w:lineRule="auto"/>
                    <w:rPr>
                      <w:rFonts w:ascii="Times New Roman" w:eastAsia="Times New Roman" w:hAnsi="Times New Roman" w:cs="Times New Roman"/>
                      <w:sz w:val="20"/>
                      <w:szCs w:val="20"/>
                      <w:lang w:val="ro-MD"/>
                    </w:rPr>
                  </w:pPr>
                </w:p>
              </w:tc>
            </w:tr>
          </w:tbl>
          <w:p w14:paraId="2A25CE7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793" w:type="pct"/>
              <w:shd w:val="clear" w:color="auto" w:fill="FFFFFF"/>
              <w:tblLayout w:type="fixed"/>
              <w:tblCellMar>
                <w:left w:w="0" w:type="dxa"/>
                <w:right w:w="0" w:type="dxa"/>
              </w:tblCellMar>
              <w:tblLook w:val="04A0" w:firstRow="1" w:lastRow="0" w:firstColumn="1" w:lastColumn="0" w:noHBand="0" w:noVBand="1"/>
            </w:tblPr>
            <w:tblGrid>
              <w:gridCol w:w="2226"/>
            </w:tblGrid>
            <w:tr w:rsidR="00E0260F" w:rsidRPr="00DE15E9" w14:paraId="22BDC7DE" w14:textId="77777777" w:rsidTr="00A176B1">
              <w:tc>
                <w:tcPr>
                  <w:tcW w:w="2226" w:type="dxa"/>
                  <w:shd w:val="clear" w:color="auto" w:fill="FFFFFF"/>
                  <w:hideMark/>
                </w:tcPr>
                <w:p w14:paraId="076F1C4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where the supply agreement does not provide for the delivery of products on a regular basis:</w:t>
                  </w:r>
                </w:p>
                <w:tbl>
                  <w:tblPr>
                    <w:tblW w:w="5000" w:type="pct"/>
                    <w:tblLayout w:type="fixed"/>
                    <w:tblCellMar>
                      <w:left w:w="0" w:type="dxa"/>
                      <w:right w:w="0" w:type="dxa"/>
                    </w:tblCellMar>
                    <w:tblLook w:val="04A0" w:firstRow="1" w:lastRow="0" w:firstColumn="1" w:lastColumn="0" w:noHBand="0" w:noVBand="1"/>
                  </w:tblPr>
                  <w:tblGrid>
                    <w:gridCol w:w="73"/>
                    <w:gridCol w:w="2153"/>
                  </w:tblGrid>
                  <w:tr w:rsidR="00E0260F" w:rsidRPr="00DE15E9" w14:paraId="58B21E22" w14:textId="77777777">
                    <w:tc>
                      <w:tcPr>
                        <w:tcW w:w="240" w:type="dxa"/>
                        <w:hideMark/>
                      </w:tcPr>
                      <w:p w14:paraId="4C9C903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w:t>
                        </w:r>
                      </w:p>
                    </w:tc>
                    <w:tc>
                      <w:tcPr>
                        <w:tcW w:w="8836" w:type="dxa"/>
                        <w:hideMark/>
                      </w:tcPr>
                      <w:p w14:paraId="2D56095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for perishable agricultural and food products, later than 30 days after the date of delivery or later than 30 days after the date on which the amount payable is set, whichever of those two dates is the later;</w:t>
                        </w:r>
                      </w:p>
                    </w:tc>
                  </w:tr>
                </w:tbl>
                <w:p w14:paraId="443AE707" w14:textId="77777777" w:rsidR="00E0260F" w:rsidRPr="00DE15E9" w:rsidRDefault="00E0260F" w:rsidP="00DE15E9">
                  <w:pPr>
                    <w:spacing w:after="0" w:line="240" w:lineRule="auto"/>
                    <w:rPr>
                      <w:rFonts w:ascii="Times New Roman" w:eastAsia="Times New Roman" w:hAnsi="Times New Roman" w:cs="Times New Roman"/>
                      <w:sz w:val="20"/>
                      <w:szCs w:val="20"/>
                      <w:lang w:val="en-GB"/>
                    </w:rPr>
                  </w:pPr>
                </w:p>
              </w:tc>
            </w:tr>
          </w:tbl>
          <w:p w14:paraId="65A95EB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28F1DB50" w14:textId="4751AF46" w:rsidR="00EE386A" w:rsidRPr="00DE15E9" w:rsidRDefault="00EE386A"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2) în cazul în care contractul nu prevede livrarea produselor în mod regulat:</w:t>
            </w:r>
          </w:p>
          <w:p w14:paraId="586118C3" w14:textId="71E16960" w:rsidR="00E0260F" w:rsidRPr="00DE15E9" w:rsidRDefault="00EE386A" w:rsidP="00DE15E9">
            <w:pPr>
              <w:pStyle w:val="ListParagraph"/>
              <w:numPr>
                <w:ilvl w:val="0"/>
                <w:numId w:val="9"/>
              </w:numPr>
              <w:spacing w:after="0" w:line="240" w:lineRule="auto"/>
              <w:ind w:left="0" w:firstLine="425"/>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pentru produsele agricole și alimentare perisabile, a căror dată-limită de consum nu depășește 30 de zile inclusiv, cumpărătorul plătește furnizorului mai târziu de 30 de zile de la data livrării sau mai târziu de 30 de zile de la data stabilirii sumei de plată, dintre aceste două date fiind luată în considerare cea care survine mai târziu;</w:t>
            </w:r>
          </w:p>
        </w:tc>
        <w:tc>
          <w:tcPr>
            <w:tcW w:w="2693" w:type="dxa"/>
            <w:tcBorders>
              <w:top w:val="single" w:sz="4" w:space="0" w:color="000000"/>
              <w:left w:val="single" w:sz="4" w:space="0" w:color="000000"/>
              <w:bottom w:val="single" w:sz="4" w:space="0" w:color="000000"/>
              <w:right w:val="single" w:sz="4" w:space="0" w:color="000000"/>
            </w:tcBorders>
          </w:tcPr>
          <w:p w14:paraId="19929C23" w14:textId="77777777" w:rsidR="00EE386A" w:rsidRPr="00DE15E9" w:rsidRDefault="00EE386A" w:rsidP="00DE15E9">
            <w:pPr>
              <w:numPr>
                <w:ilvl w:val="0"/>
                <w:numId w:val="10"/>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where the contract does not provide for the regular delivery of products:</w:t>
            </w:r>
          </w:p>
          <w:p w14:paraId="287CAA8E" w14:textId="77777777" w:rsidR="00EE386A" w:rsidRPr="00DE15E9" w:rsidRDefault="00EE386A"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a) for perishable agricultural and food products whose use-by date does not exceed 30 days inclusive, the buyer pays the supplier later than 30 days after the date of delivery, or later than 30 days after the date on which the amount payable was established, whichever of those two dates is the later;</w:t>
            </w:r>
          </w:p>
          <w:p w14:paraId="1FFFD5D8"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34BB939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Compatibil</w:t>
            </w:r>
          </w:p>
        </w:tc>
        <w:tc>
          <w:tcPr>
            <w:tcW w:w="1985" w:type="dxa"/>
            <w:tcBorders>
              <w:top w:val="single" w:sz="4" w:space="0" w:color="000000"/>
              <w:left w:val="single" w:sz="4" w:space="0" w:color="000000"/>
              <w:bottom w:val="single" w:sz="4" w:space="0" w:color="000000"/>
              <w:right w:val="single" w:sz="4" w:space="0" w:color="000000"/>
            </w:tcBorders>
          </w:tcPr>
          <w:p w14:paraId="1B1AC73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6D58CF3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0DE392F1" w14:textId="77777777" w:rsidTr="00033703">
        <w:tc>
          <w:tcPr>
            <w:tcW w:w="430" w:type="dxa"/>
            <w:tcBorders>
              <w:top w:val="single" w:sz="4" w:space="0" w:color="000000"/>
              <w:left w:val="single" w:sz="4" w:space="0" w:color="000000"/>
              <w:bottom w:val="single" w:sz="4" w:space="0" w:color="000000"/>
              <w:right w:val="single" w:sz="4" w:space="0" w:color="000000"/>
            </w:tcBorders>
          </w:tcPr>
          <w:p w14:paraId="69CB512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19</w:t>
            </w:r>
          </w:p>
        </w:tc>
        <w:tc>
          <w:tcPr>
            <w:tcW w:w="2547" w:type="dxa"/>
            <w:tcBorders>
              <w:top w:val="single" w:sz="4" w:space="0" w:color="000000"/>
              <w:left w:val="single" w:sz="4" w:space="0" w:color="000000"/>
              <w:bottom w:val="single" w:sz="4" w:space="0" w:color="000000"/>
              <w:right w:val="single" w:sz="4" w:space="0" w:color="000000"/>
            </w:tcBorders>
          </w:tcPr>
          <w:tbl>
            <w:tblPr>
              <w:tblW w:w="5000" w:type="pct"/>
              <w:shd w:val="clear" w:color="auto" w:fill="FFFFFF"/>
              <w:tblLayout w:type="fixed"/>
              <w:tblCellMar>
                <w:left w:w="0" w:type="dxa"/>
                <w:right w:w="0" w:type="dxa"/>
              </w:tblCellMar>
              <w:tblLook w:val="04A0" w:firstRow="1" w:lastRow="0" w:firstColumn="1" w:lastColumn="0" w:noHBand="0" w:noVBand="1"/>
            </w:tblPr>
            <w:tblGrid>
              <w:gridCol w:w="81"/>
              <w:gridCol w:w="2236"/>
            </w:tblGrid>
            <w:tr w:rsidR="00E0260F" w:rsidRPr="00DE15E9" w14:paraId="1AEE4408" w14:textId="77777777" w:rsidTr="00FE1408">
              <w:tc>
                <w:tcPr>
                  <w:tcW w:w="270" w:type="dxa"/>
                  <w:shd w:val="clear" w:color="auto" w:fill="FFFFFF"/>
                  <w:hideMark/>
                </w:tcPr>
                <w:p w14:paraId="37F50A4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w:t>
                  </w:r>
                </w:p>
              </w:tc>
              <w:tc>
                <w:tcPr>
                  <w:tcW w:w="9136" w:type="dxa"/>
                  <w:shd w:val="clear" w:color="auto" w:fill="FFFFFF"/>
                  <w:hideMark/>
                </w:tcPr>
                <w:p w14:paraId="4E973C3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pentru alte produse agricole și alimentare perisabile, mai târziu de 60 de zile de la data livrării sau mai târziu de 60 de zile de la data stabilirii sumei de plată, dintre aceste două date fiind luată în considerare cea care survine mai târziu.</w:t>
                  </w:r>
                </w:p>
              </w:tc>
            </w:tr>
          </w:tbl>
          <w:p w14:paraId="41B49AE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5000" w:type="pct"/>
              <w:shd w:val="clear" w:color="auto" w:fill="FFFFFF"/>
              <w:tblLayout w:type="fixed"/>
              <w:tblCellMar>
                <w:left w:w="0" w:type="dxa"/>
                <w:right w:w="0" w:type="dxa"/>
              </w:tblCellMar>
              <w:tblLook w:val="04A0" w:firstRow="1" w:lastRow="0" w:firstColumn="1" w:lastColumn="0" w:noHBand="0" w:noVBand="1"/>
            </w:tblPr>
            <w:tblGrid>
              <w:gridCol w:w="81"/>
              <w:gridCol w:w="2241"/>
            </w:tblGrid>
            <w:tr w:rsidR="00E0260F" w:rsidRPr="00DE15E9" w14:paraId="252D00EF" w14:textId="77777777" w:rsidTr="00FE1408">
              <w:tc>
                <w:tcPr>
                  <w:tcW w:w="270" w:type="dxa"/>
                  <w:shd w:val="clear" w:color="auto" w:fill="FFFFFF"/>
                  <w:hideMark/>
                </w:tcPr>
                <w:p w14:paraId="48A7925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w:t>
                  </w:r>
                </w:p>
              </w:tc>
              <w:tc>
                <w:tcPr>
                  <w:tcW w:w="9136" w:type="dxa"/>
                  <w:shd w:val="clear" w:color="auto" w:fill="FFFFFF"/>
                  <w:hideMark/>
                </w:tcPr>
                <w:p w14:paraId="5FA7030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for other agricultural and food products, later than 60 days after the date of delivery or later than 60 days after the date on which the amount payable is set, whichever of those two dates is the later.</w:t>
                  </w:r>
                </w:p>
              </w:tc>
            </w:tr>
          </w:tbl>
          <w:p w14:paraId="4A89AA4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p w14:paraId="1E56AE1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7E60FCE5" w14:textId="7394BAE2" w:rsidR="00E0260F" w:rsidRPr="00DE15E9" w:rsidRDefault="00EE386A"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rPr>
              <w:t>pentru alte produse agricole și alimentare perisabile, cumpărătorul plătește furnizorului mai târziu de 45 de zile de la data livrării sau mai târziu de 45 de zile de la data stabilirii sumei de plată, dintre aceste două date fiind luată în considerare cea care survine mai târziu.</w:t>
            </w:r>
          </w:p>
        </w:tc>
        <w:tc>
          <w:tcPr>
            <w:tcW w:w="2693" w:type="dxa"/>
            <w:tcBorders>
              <w:top w:val="single" w:sz="4" w:space="0" w:color="000000"/>
              <w:left w:val="single" w:sz="4" w:space="0" w:color="000000"/>
              <w:bottom w:val="single" w:sz="4" w:space="0" w:color="000000"/>
              <w:right w:val="single" w:sz="4" w:space="0" w:color="000000"/>
            </w:tcBorders>
          </w:tcPr>
          <w:p w14:paraId="69D2CFE8" w14:textId="43A817C8" w:rsidR="00E0260F" w:rsidRPr="00DE15E9" w:rsidRDefault="00EE386A"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rPr>
              <w:t>b) for other agricultural and food products, the buyer pays the supplier later than 45 days after the date of delivery, or later than 45 days after the date on which the amount payable was established, whichever of those two dates is the later.</w:t>
            </w:r>
          </w:p>
        </w:tc>
        <w:tc>
          <w:tcPr>
            <w:tcW w:w="1276" w:type="dxa"/>
            <w:tcBorders>
              <w:top w:val="single" w:sz="4" w:space="0" w:color="000000"/>
              <w:left w:val="single" w:sz="4" w:space="0" w:color="000000"/>
              <w:bottom w:val="single" w:sz="4" w:space="0" w:color="000000"/>
              <w:right w:val="single" w:sz="4" w:space="0" w:color="000000"/>
            </w:tcBorders>
          </w:tcPr>
          <w:p w14:paraId="577ED4B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Compatibil</w:t>
            </w:r>
          </w:p>
        </w:tc>
        <w:tc>
          <w:tcPr>
            <w:tcW w:w="1985" w:type="dxa"/>
            <w:tcBorders>
              <w:top w:val="single" w:sz="4" w:space="0" w:color="000000"/>
              <w:left w:val="single" w:sz="4" w:space="0" w:color="000000"/>
              <w:bottom w:val="single" w:sz="4" w:space="0" w:color="000000"/>
              <w:right w:val="single" w:sz="4" w:space="0" w:color="000000"/>
            </w:tcBorders>
          </w:tcPr>
          <w:p w14:paraId="37B35DB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Similar rândului 16</w:t>
            </w:r>
          </w:p>
        </w:tc>
        <w:tc>
          <w:tcPr>
            <w:tcW w:w="2126" w:type="dxa"/>
            <w:tcBorders>
              <w:top w:val="single" w:sz="4" w:space="0" w:color="000000"/>
              <w:left w:val="single" w:sz="4" w:space="0" w:color="000000"/>
              <w:bottom w:val="single" w:sz="4" w:space="0" w:color="000000"/>
              <w:right w:val="single" w:sz="4" w:space="0" w:color="000000"/>
            </w:tcBorders>
          </w:tcPr>
          <w:p w14:paraId="771F7BF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264C75F3" w14:textId="77777777" w:rsidTr="00033703">
        <w:tc>
          <w:tcPr>
            <w:tcW w:w="430" w:type="dxa"/>
            <w:tcBorders>
              <w:top w:val="single" w:sz="4" w:space="0" w:color="000000"/>
              <w:left w:val="single" w:sz="4" w:space="0" w:color="000000"/>
              <w:bottom w:val="single" w:sz="4" w:space="0" w:color="000000"/>
              <w:right w:val="single" w:sz="4" w:space="0" w:color="000000"/>
            </w:tcBorders>
          </w:tcPr>
          <w:p w14:paraId="6E88E3B7"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20</w:t>
            </w:r>
          </w:p>
        </w:tc>
        <w:tc>
          <w:tcPr>
            <w:tcW w:w="2547" w:type="dxa"/>
            <w:tcBorders>
              <w:top w:val="single" w:sz="4" w:space="0" w:color="000000"/>
              <w:left w:val="single" w:sz="4" w:space="0" w:color="000000"/>
              <w:bottom w:val="single" w:sz="4" w:space="0" w:color="000000"/>
              <w:right w:val="single" w:sz="4" w:space="0" w:color="000000"/>
            </w:tcBorders>
          </w:tcPr>
          <w:p w14:paraId="1494DE37"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În pofida punctelor (i) și (ii) de la prezenta literă, în cazul în care cumpărătorul stabilește suma de plată:</w:t>
            </w:r>
          </w:p>
          <w:tbl>
            <w:tblPr>
              <w:tblW w:w="5000" w:type="pct"/>
              <w:shd w:val="clear" w:color="auto" w:fill="FFFFFF"/>
              <w:tblLayout w:type="fixed"/>
              <w:tblCellMar>
                <w:left w:w="0" w:type="dxa"/>
                <w:right w:w="0" w:type="dxa"/>
              </w:tblCellMar>
              <w:tblLook w:val="04A0" w:firstRow="1" w:lastRow="0" w:firstColumn="1" w:lastColumn="0" w:noHBand="0" w:noVBand="1"/>
            </w:tblPr>
            <w:tblGrid>
              <w:gridCol w:w="81"/>
              <w:gridCol w:w="2236"/>
            </w:tblGrid>
            <w:tr w:rsidR="00E0260F" w:rsidRPr="00DE15E9" w14:paraId="57FD5AFF" w14:textId="77777777" w:rsidTr="009F06BF">
              <w:tc>
                <w:tcPr>
                  <w:tcW w:w="270" w:type="dxa"/>
                  <w:shd w:val="clear" w:color="auto" w:fill="FFFFFF"/>
                  <w:hideMark/>
                </w:tcPr>
                <w:p w14:paraId="2E1DABD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w:t>
                  </w:r>
                </w:p>
              </w:tc>
              <w:tc>
                <w:tcPr>
                  <w:tcW w:w="9136" w:type="dxa"/>
                  <w:shd w:val="clear" w:color="auto" w:fill="FFFFFF"/>
                  <w:hideMark/>
                </w:tcPr>
                <w:p w14:paraId="4356120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termenele de plată menționate la punctul (i) încep să curgă după încheierea unei perioade de livrare convenite în care au fost efectuate livrări; și</w:t>
                  </w:r>
                </w:p>
              </w:tc>
            </w:tr>
          </w:tbl>
          <w:p w14:paraId="2D98D00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5A71DC95"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Notwithstanding points (</w:t>
            </w:r>
            <w:proofErr w:type="spellStart"/>
            <w:r w:rsidRPr="00DE15E9">
              <w:rPr>
                <w:rFonts w:ascii="Times New Roman" w:eastAsia="Times New Roman" w:hAnsi="Times New Roman" w:cs="Times New Roman"/>
                <w:sz w:val="20"/>
                <w:szCs w:val="20"/>
                <w:lang w:val="en-GB"/>
              </w:rPr>
              <w:t>i</w:t>
            </w:r>
            <w:proofErr w:type="spellEnd"/>
            <w:r w:rsidRPr="00DE15E9">
              <w:rPr>
                <w:rFonts w:ascii="Times New Roman" w:eastAsia="Times New Roman" w:hAnsi="Times New Roman" w:cs="Times New Roman"/>
                <w:sz w:val="20"/>
                <w:szCs w:val="20"/>
                <w:lang w:val="en-GB"/>
              </w:rPr>
              <w:t>) and (ii) of this point, where the buyer sets the amount payable:</w:t>
            </w:r>
          </w:p>
          <w:tbl>
            <w:tblPr>
              <w:tblW w:w="5000" w:type="pct"/>
              <w:shd w:val="clear" w:color="auto" w:fill="FFFFFF"/>
              <w:tblLayout w:type="fixed"/>
              <w:tblCellMar>
                <w:left w:w="0" w:type="dxa"/>
                <w:right w:w="0" w:type="dxa"/>
              </w:tblCellMar>
              <w:tblLook w:val="04A0" w:firstRow="1" w:lastRow="0" w:firstColumn="1" w:lastColumn="0" w:noHBand="0" w:noVBand="1"/>
            </w:tblPr>
            <w:tblGrid>
              <w:gridCol w:w="81"/>
              <w:gridCol w:w="2241"/>
            </w:tblGrid>
            <w:tr w:rsidR="00E0260F" w:rsidRPr="00DE15E9" w14:paraId="7C427016" w14:textId="77777777" w:rsidTr="009F06BF">
              <w:tc>
                <w:tcPr>
                  <w:tcW w:w="270" w:type="dxa"/>
                  <w:shd w:val="clear" w:color="auto" w:fill="FFFFFF"/>
                  <w:hideMark/>
                </w:tcPr>
                <w:p w14:paraId="5D282ED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w:t>
                  </w:r>
                </w:p>
              </w:tc>
              <w:tc>
                <w:tcPr>
                  <w:tcW w:w="9136" w:type="dxa"/>
                  <w:shd w:val="clear" w:color="auto" w:fill="FFFFFF"/>
                  <w:hideMark/>
                </w:tcPr>
                <w:p w14:paraId="699B0CA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the payment periods referred to in point (</w:t>
                  </w:r>
                  <w:proofErr w:type="spellStart"/>
                  <w:r w:rsidRPr="00DE15E9">
                    <w:rPr>
                      <w:rFonts w:ascii="Times New Roman" w:eastAsia="Times New Roman" w:hAnsi="Times New Roman" w:cs="Times New Roman"/>
                      <w:sz w:val="20"/>
                      <w:szCs w:val="20"/>
                      <w:lang w:val="en-GB"/>
                    </w:rPr>
                    <w:t>i</w:t>
                  </w:r>
                  <w:proofErr w:type="spellEnd"/>
                  <w:r w:rsidRPr="00DE15E9">
                    <w:rPr>
                      <w:rFonts w:ascii="Times New Roman" w:eastAsia="Times New Roman" w:hAnsi="Times New Roman" w:cs="Times New Roman"/>
                      <w:sz w:val="20"/>
                      <w:szCs w:val="20"/>
                      <w:lang w:val="en-GB"/>
                    </w:rPr>
                    <w:t>) shall start to run from the end of an agreed delivery period in which the deliveries have been made; and</w:t>
                  </w:r>
                </w:p>
              </w:tc>
            </w:tr>
          </w:tbl>
          <w:p w14:paraId="1BD2E60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238CDD46" w14:textId="7E6D5692" w:rsidR="00EE386A" w:rsidRPr="00DE15E9" w:rsidRDefault="00EE386A" w:rsidP="00DE15E9">
            <w:pPr>
              <w:tabs>
                <w:tab w:val="left" w:pos="851"/>
              </w:tabs>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3) în cazul în care cumpărătorul stabilește suma de plată:</w:t>
            </w:r>
          </w:p>
          <w:p w14:paraId="639F9C7F" w14:textId="6E117DE0" w:rsidR="00E0260F" w:rsidRPr="00DE15E9" w:rsidRDefault="00EE386A"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rPr>
              <w:t xml:space="preserve">a)  </w:t>
            </w:r>
            <w:r w:rsidRPr="00DE15E9">
              <w:rPr>
                <w:rFonts w:ascii="Times New Roman" w:eastAsia="Times New Roman" w:hAnsi="Times New Roman" w:cs="Times New Roman"/>
                <w:sz w:val="20"/>
                <w:szCs w:val="20"/>
              </w:rPr>
              <w:tab/>
              <w:t>termenele de plată menționate la pct. 1) încep să curgă după încheierea unei perioade de livrare convenite în care au fost efectuate livrări;</w:t>
            </w:r>
          </w:p>
        </w:tc>
        <w:tc>
          <w:tcPr>
            <w:tcW w:w="2693" w:type="dxa"/>
            <w:tcBorders>
              <w:top w:val="single" w:sz="4" w:space="0" w:color="000000"/>
              <w:left w:val="single" w:sz="4" w:space="0" w:color="000000"/>
              <w:bottom w:val="single" w:sz="4" w:space="0" w:color="000000"/>
              <w:right w:val="single" w:sz="4" w:space="0" w:color="000000"/>
            </w:tcBorders>
          </w:tcPr>
          <w:p w14:paraId="13866901" w14:textId="77777777" w:rsidR="00EE386A" w:rsidRPr="00DE15E9" w:rsidRDefault="00EE386A" w:rsidP="00DE15E9">
            <w:pPr>
              <w:numPr>
                <w:ilvl w:val="0"/>
                <w:numId w:val="11"/>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where the buyer establishes the amount payable:</w:t>
            </w:r>
          </w:p>
          <w:p w14:paraId="2676F553" w14:textId="77777777" w:rsidR="00EE386A" w:rsidRPr="00DE15E9" w:rsidRDefault="00EE386A"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a) the payment periods referred to in point 1) shall start to run after the end of an agreed delivery period in which deliveries have been made;</w:t>
            </w:r>
          </w:p>
          <w:p w14:paraId="7D43A25A"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6B85E5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Compatibil</w:t>
            </w:r>
          </w:p>
        </w:tc>
        <w:tc>
          <w:tcPr>
            <w:tcW w:w="1985" w:type="dxa"/>
            <w:tcBorders>
              <w:top w:val="single" w:sz="4" w:space="0" w:color="000000"/>
              <w:left w:val="single" w:sz="4" w:space="0" w:color="000000"/>
              <w:bottom w:val="single" w:sz="4" w:space="0" w:color="000000"/>
              <w:right w:val="single" w:sz="4" w:space="0" w:color="000000"/>
            </w:tcBorders>
          </w:tcPr>
          <w:p w14:paraId="0A071A94" w14:textId="77777777" w:rsidR="00E0260F" w:rsidRPr="00DE15E9" w:rsidRDefault="00E0260F" w:rsidP="00DE15E9">
            <w:pPr>
              <w:spacing w:after="0" w:line="240" w:lineRule="auto"/>
              <w:jc w:val="both"/>
              <w:rPr>
                <w:rFonts w:ascii="Times New Roman" w:eastAsia="Times New Roman" w:hAnsi="Times New Roman" w:cs="Times New Roman"/>
                <w:sz w:val="20"/>
                <w:szCs w:val="20"/>
                <w:highlight w:val="yellow"/>
                <w:lang w:val="ro-MD"/>
              </w:rPr>
            </w:pPr>
          </w:p>
        </w:tc>
        <w:tc>
          <w:tcPr>
            <w:tcW w:w="2126" w:type="dxa"/>
            <w:tcBorders>
              <w:top w:val="single" w:sz="4" w:space="0" w:color="000000"/>
              <w:left w:val="single" w:sz="4" w:space="0" w:color="000000"/>
              <w:bottom w:val="single" w:sz="4" w:space="0" w:color="000000"/>
              <w:right w:val="single" w:sz="4" w:space="0" w:color="000000"/>
            </w:tcBorders>
          </w:tcPr>
          <w:p w14:paraId="4D934860" w14:textId="77777777" w:rsidR="00E0260F" w:rsidRPr="00DE15E9" w:rsidRDefault="00E0260F" w:rsidP="00DE15E9">
            <w:pPr>
              <w:spacing w:after="0" w:line="240" w:lineRule="auto"/>
              <w:jc w:val="both"/>
              <w:rPr>
                <w:rFonts w:ascii="Times New Roman" w:eastAsia="Times New Roman" w:hAnsi="Times New Roman" w:cs="Times New Roman"/>
                <w:sz w:val="20"/>
                <w:szCs w:val="20"/>
                <w:highlight w:val="yellow"/>
                <w:lang w:val="ro-MD"/>
              </w:rPr>
            </w:pPr>
          </w:p>
        </w:tc>
      </w:tr>
      <w:tr w:rsidR="00E0260F" w:rsidRPr="00DE15E9" w14:paraId="71FB3554" w14:textId="77777777" w:rsidTr="00033703">
        <w:tc>
          <w:tcPr>
            <w:tcW w:w="430" w:type="dxa"/>
            <w:tcBorders>
              <w:top w:val="single" w:sz="4" w:space="0" w:color="000000"/>
              <w:left w:val="single" w:sz="4" w:space="0" w:color="000000"/>
              <w:bottom w:val="single" w:sz="4" w:space="0" w:color="000000"/>
              <w:right w:val="single" w:sz="4" w:space="0" w:color="000000"/>
            </w:tcBorders>
          </w:tcPr>
          <w:p w14:paraId="5E55B46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21</w:t>
            </w:r>
          </w:p>
        </w:tc>
        <w:tc>
          <w:tcPr>
            <w:tcW w:w="2547" w:type="dxa"/>
            <w:tcBorders>
              <w:top w:val="single" w:sz="4" w:space="0" w:color="000000"/>
              <w:left w:val="single" w:sz="4" w:space="0" w:color="000000"/>
              <w:bottom w:val="single" w:sz="4" w:space="0" w:color="000000"/>
              <w:right w:val="single" w:sz="4" w:space="0" w:color="000000"/>
            </w:tcBorders>
          </w:tcPr>
          <w:tbl>
            <w:tblPr>
              <w:tblW w:w="5000" w:type="pct"/>
              <w:shd w:val="clear" w:color="auto" w:fill="FFFFFF"/>
              <w:tblLayout w:type="fixed"/>
              <w:tblCellMar>
                <w:left w:w="0" w:type="dxa"/>
                <w:right w:w="0" w:type="dxa"/>
              </w:tblCellMar>
              <w:tblLook w:val="04A0" w:firstRow="1" w:lastRow="0" w:firstColumn="1" w:lastColumn="0" w:noHBand="0" w:noVBand="1"/>
            </w:tblPr>
            <w:tblGrid>
              <w:gridCol w:w="87"/>
              <w:gridCol w:w="2230"/>
            </w:tblGrid>
            <w:tr w:rsidR="00E0260F" w:rsidRPr="00DE15E9" w14:paraId="3019A7F8" w14:textId="77777777" w:rsidTr="00FE1408">
              <w:tc>
                <w:tcPr>
                  <w:tcW w:w="294" w:type="dxa"/>
                  <w:shd w:val="clear" w:color="auto" w:fill="FFFFFF"/>
                  <w:hideMark/>
                </w:tcPr>
                <w:p w14:paraId="18F6DE6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w:t>
                  </w:r>
                </w:p>
              </w:tc>
              <w:tc>
                <w:tcPr>
                  <w:tcW w:w="9112" w:type="dxa"/>
                  <w:shd w:val="clear" w:color="auto" w:fill="FFFFFF"/>
                  <w:hideMark/>
                </w:tcPr>
                <w:p w14:paraId="51BF39C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termenele de plată menționate la punctul (ii) încep să curgă de la data livrării;</w:t>
                  </w:r>
                </w:p>
              </w:tc>
            </w:tr>
          </w:tbl>
          <w:p w14:paraId="634DB2E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5000" w:type="pct"/>
              <w:shd w:val="clear" w:color="auto" w:fill="FFFFFF"/>
              <w:tblLayout w:type="fixed"/>
              <w:tblCellMar>
                <w:left w:w="0" w:type="dxa"/>
                <w:right w:w="0" w:type="dxa"/>
              </w:tblCellMar>
              <w:tblLook w:val="04A0" w:firstRow="1" w:lastRow="0" w:firstColumn="1" w:lastColumn="0" w:noHBand="0" w:noVBand="1"/>
            </w:tblPr>
            <w:tblGrid>
              <w:gridCol w:w="81"/>
              <w:gridCol w:w="2241"/>
            </w:tblGrid>
            <w:tr w:rsidR="00E0260F" w:rsidRPr="00DE15E9" w14:paraId="0925F905" w14:textId="77777777" w:rsidTr="00FE1408">
              <w:tc>
                <w:tcPr>
                  <w:tcW w:w="270" w:type="dxa"/>
                  <w:shd w:val="clear" w:color="auto" w:fill="FFFFFF"/>
                  <w:hideMark/>
                </w:tcPr>
                <w:p w14:paraId="36D531A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w:t>
                  </w:r>
                </w:p>
              </w:tc>
              <w:tc>
                <w:tcPr>
                  <w:tcW w:w="9136" w:type="dxa"/>
                  <w:shd w:val="clear" w:color="auto" w:fill="FFFFFF"/>
                  <w:hideMark/>
                </w:tcPr>
                <w:p w14:paraId="2BDE45B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the payment periods referred to in point (ii) shall start to run from the date of delivery;</w:t>
                  </w:r>
                </w:p>
              </w:tc>
            </w:tr>
          </w:tbl>
          <w:p w14:paraId="10CEDF6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3AD7C3C3" w14:textId="46FAFB47" w:rsidR="00E0260F" w:rsidRPr="00DE15E9" w:rsidRDefault="00EE386A" w:rsidP="00DE15E9">
            <w:pPr>
              <w:tabs>
                <w:tab w:val="left" w:pos="567"/>
                <w:tab w:val="left" w:pos="851"/>
              </w:tabs>
              <w:spacing w:after="0" w:line="240" w:lineRule="auto"/>
              <w:ind w:firstLine="425"/>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 xml:space="preserve">b) </w:t>
            </w:r>
            <w:r w:rsidRPr="00DE15E9">
              <w:rPr>
                <w:rFonts w:ascii="Times New Roman" w:eastAsia="Times New Roman" w:hAnsi="Times New Roman" w:cs="Times New Roman"/>
                <w:sz w:val="20"/>
                <w:szCs w:val="20"/>
              </w:rPr>
              <w:tab/>
              <w:t>termenele de plată menționate la pct. 2) încep să curgă de la data livrării.</w:t>
            </w:r>
          </w:p>
        </w:tc>
        <w:tc>
          <w:tcPr>
            <w:tcW w:w="2693" w:type="dxa"/>
            <w:tcBorders>
              <w:top w:val="single" w:sz="4" w:space="0" w:color="000000"/>
              <w:left w:val="single" w:sz="4" w:space="0" w:color="000000"/>
              <w:bottom w:val="single" w:sz="4" w:space="0" w:color="000000"/>
              <w:right w:val="single" w:sz="4" w:space="0" w:color="000000"/>
            </w:tcBorders>
          </w:tcPr>
          <w:p w14:paraId="027DD05B" w14:textId="74BA5240" w:rsidR="00E0260F" w:rsidRPr="00DE15E9" w:rsidRDefault="00EE386A"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b) the payment periods referred to in point 2) shall start to run from the date of delivery.</w:t>
            </w:r>
          </w:p>
        </w:tc>
        <w:tc>
          <w:tcPr>
            <w:tcW w:w="1276" w:type="dxa"/>
            <w:tcBorders>
              <w:top w:val="single" w:sz="4" w:space="0" w:color="000000"/>
              <w:left w:val="single" w:sz="4" w:space="0" w:color="000000"/>
              <w:bottom w:val="single" w:sz="4" w:space="0" w:color="000000"/>
              <w:right w:val="single" w:sz="4" w:space="0" w:color="000000"/>
            </w:tcBorders>
          </w:tcPr>
          <w:p w14:paraId="2FAEF59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Compatibil</w:t>
            </w:r>
          </w:p>
        </w:tc>
        <w:tc>
          <w:tcPr>
            <w:tcW w:w="1985" w:type="dxa"/>
            <w:tcBorders>
              <w:top w:val="single" w:sz="4" w:space="0" w:color="000000"/>
              <w:left w:val="single" w:sz="4" w:space="0" w:color="000000"/>
              <w:bottom w:val="single" w:sz="4" w:space="0" w:color="000000"/>
              <w:right w:val="single" w:sz="4" w:space="0" w:color="000000"/>
            </w:tcBorders>
          </w:tcPr>
          <w:p w14:paraId="6610AD72" w14:textId="77777777" w:rsidR="00E0260F" w:rsidRPr="00DE15E9" w:rsidRDefault="00E0260F" w:rsidP="00DE15E9">
            <w:pPr>
              <w:spacing w:after="0" w:line="240" w:lineRule="auto"/>
              <w:jc w:val="both"/>
              <w:rPr>
                <w:rFonts w:ascii="Times New Roman" w:eastAsia="Times New Roman" w:hAnsi="Times New Roman" w:cs="Times New Roman"/>
                <w:sz w:val="20"/>
                <w:szCs w:val="20"/>
                <w:highlight w:val="yellow"/>
                <w:lang w:val="ro-MD"/>
              </w:rPr>
            </w:pPr>
          </w:p>
        </w:tc>
        <w:tc>
          <w:tcPr>
            <w:tcW w:w="2126" w:type="dxa"/>
            <w:tcBorders>
              <w:top w:val="single" w:sz="4" w:space="0" w:color="000000"/>
              <w:left w:val="single" w:sz="4" w:space="0" w:color="000000"/>
              <w:bottom w:val="single" w:sz="4" w:space="0" w:color="000000"/>
              <w:right w:val="single" w:sz="4" w:space="0" w:color="000000"/>
            </w:tcBorders>
          </w:tcPr>
          <w:p w14:paraId="28DAEE78" w14:textId="77777777" w:rsidR="00E0260F" w:rsidRPr="00DE15E9" w:rsidRDefault="00E0260F" w:rsidP="00DE15E9">
            <w:pPr>
              <w:spacing w:after="0" w:line="240" w:lineRule="auto"/>
              <w:jc w:val="both"/>
              <w:rPr>
                <w:rFonts w:ascii="Times New Roman" w:eastAsia="Times New Roman" w:hAnsi="Times New Roman" w:cs="Times New Roman"/>
                <w:sz w:val="20"/>
                <w:szCs w:val="20"/>
                <w:highlight w:val="yellow"/>
                <w:lang w:val="ro-MD"/>
              </w:rPr>
            </w:pPr>
          </w:p>
        </w:tc>
      </w:tr>
      <w:tr w:rsidR="00E0260F" w:rsidRPr="00DE15E9" w14:paraId="4EC2F692" w14:textId="77777777" w:rsidTr="00033703">
        <w:tc>
          <w:tcPr>
            <w:tcW w:w="430" w:type="dxa"/>
            <w:tcBorders>
              <w:top w:val="single" w:sz="4" w:space="0" w:color="000000"/>
              <w:left w:val="single" w:sz="4" w:space="0" w:color="000000"/>
              <w:bottom w:val="single" w:sz="4" w:space="0" w:color="000000"/>
              <w:right w:val="single" w:sz="4" w:space="0" w:color="000000"/>
            </w:tcBorders>
          </w:tcPr>
          <w:p w14:paraId="4D39B92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22</w:t>
            </w:r>
          </w:p>
        </w:tc>
        <w:tc>
          <w:tcPr>
            <w:tcW w:w="2547" w:type="dxa"/>
            <w:tcBorders>
              <w:top w:val="single" w:sz="4" w:space="0" w:color="000000"/>
              <w:left w:val="single" w:sz="4" w:space="0" w:color="000000"/>
              <w:bottom w:val="single" w:sz="4" w:space="0" w:color="000000"/>
              <w:right w:val="single" w:sz="4" w:space="0" w:color="000000"/>
            </w:tcBorders>
          </w:tcPr>
          <w:tbl>
            <w:tblPr>
              <w:tblW w:w="4802" w:type="pct"/>
              <w:shd w:val="clear" w:color="auto" w:fill="FFFFFF"/>
              <w:tblLayout w:type="fixed"/>
              <w:tblCellMar>
                <w:left w:w="0" w:type="dxa"/>
                <w:right w:w="0" w:type="dxa"/>
              </w:tblCellMar>
              <w:tblLook w:val="04A0" w:firstRow="1" w:lastRow="0" w:firstColumn="1" w:lastColumn="0" w:noHBand="0" w:noVBand="1"/>
            </w:tblPr>
            <w:tblGrid>
              <w:gridCol w:w="2225"/>
            </w:tblGrid>
            <w:tr w:rsidR="00E0260F" w:rsidRPr="00DE15E9" w14:paraId="7693E0D2" w14:textId="77777777" w:rsidTr="00F2792F">
              <w:tc>
                <w:tcPr>
                  <w:tcW w:w="2235" w:type="dxa"/>
                  <w:shd w:val="clear" w:color="auto" w:fill="FFFFFF"/>
                  <w:hideMark/>
                </w:tcPr>
                <w:p w14:paraId="3A80B45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cumpărătorul anulează comenzile de produse agricole și alimentare perisabile având un termen de preaviz atât de scurt încât furnizorul nu are posibilități rezonabile de a găsi o alternativă pentru comercializarea sau utilizarea produselor respective; un termen de preaviz mai scurt de 30 de zile este întotdeauna considerat un termen de preaviz scurt; statele </w:t>
                  </w:r>
                  <w:r w:rsidRPr="00DE15E9">
                    <w:rPr>
                      <w:rFonts w:ascii="Times New Roman" w:eastAsia="Times New Roman" w:hAnsi="Times New Roman" w:cs="Times New Roman"/>
                      <w:sz w:val="20"/>
                      <w:szCs w:val="20"/>
                      <w:lang w:val="ro-MD"/>
                    </w:rPr>
                    <w:lastRenderedPageBreak/>
                    <w:t>membre pot stabili perioade mai scurte de 30 de zile pentru anumite sectoare în cazuri justificate în mod corespunzător;</w:t>
                  </w:r>
                </w:p>
              </w:tc>
            </w:tr>
          </w:tbl>
          <w:p w14:paraId="2224C95C" w14:textId="77777777" w:rsidR="00E0260F" w:rsidRPr="00DE15E9" w:rsidRDefault="00E0260F" w:rsidP="00DE15E9">
            <w:pPr>
              <w:spacing w:after="0" w:line="240" w:lineRule="auto"/>
              <w:jc w:val="both"/>
              <w:rPr>
                <w:rFonts w:ascii="Times New Roman" w:eastAsia="Times New Roman" w:hAnsi="Times New Roman" w:cs="Times New Roman"/>
                <w:b/>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2230" w:type="dxa"/>
              <w:shd w:val="clear" w:color="auto" w:fill="FFFFFF"/>
              <w:tblLayout w:type="fixed"/>
              <w:tblCellMar>
                <w:left w:w="0" w:type="dxa"/>
                <w:right w:w="0" w:type="dxa"/>
              </w:tblCellMar>
              <w:tblLook w:val="04A0" w:firstRow="1" w:lastRow="0" w:firstColumn="1" w:lastColumn="0" w:noHBand="0" w:noVBand="1"/>
            </w:tblPr>
            <w:tblGrid>
              <w:gridCol w:w="2230"/>
            </w:tblGrid>
            <w:tr w:rsidR="00E0260F" w:rsidRPr="00DE15E9" w14:paraId="510CDFC2" w14:textId="77777777" w:rsidTr="00204054">
              <w:tc>
                <w:tcPr>
                  <w:tcW w:w="2230" w:type="dxa"/>
                  <w:shd w:val="clear" w:color="auto" w:fill="FFFFFF"/>
                  <w:hideMark/>
                </w:tcPr>
                <w:p w14:paraId="784D85A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lastRenderedPageBreak/>
                    <w:t>the buyer cancels orders of perishable agricultural and food products at such short notice that a supplier cannot reasonably be expected to find an alternative means of commercialising or using those products; notice of less than 30 days shall always be considered as short notice; Member States may set periods shorter than 30 days for specific sectors in duly justified cases;</w:t>
                  </w:r>
                </w:p>
              </w:tc>
            </w:tr>
          </w:tbl>
          <w:p w14:paraId="75F106F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07EC4F3E" w14:textId="77777777" w:rsidR="00EE386A" w:rsidRPr="00DE15E9" w:rsidRDefault="00EE386A" w:rsidP="00DE15E9">
            <w:pPr>
              <w:tabs>
                <w:tab w:val="left" w:pos="567"/>
                <w:tab w:val="left" w:pos="851"/>
              </w:tabs>
              <w:spacing w:after="0" w:line="240" w:lineRule="auto"/>
              <w:ind w:firstLine="426"/>
              <w:jc w:val="both"/>
              <w:rPr>
                <w:rFonts w:ascii="Times New Roman" w:eastAsiaTheme="minorHAnsi" w:hAnsi="Times New Roman" w:cs="Times New Roman"/>
                <w:bCs/>
                <w:sz w:val="20"/>
                <w:szCs w:val="20"/>
              </w:rPr>
            </w:pPr>
            <w:r w:rsidRPr="00DE15E9">
              <w:rPr>
                <w:rFonts w:ascii="Times New Roman" w:hAnsi="Times New Roman" w:cs="Times New Roman"/>
                <w:bCs/>
                <w:sz w:val="20"/>
                <w:szCs w:val="20"/>
              </w:rPr>
              <w:t>Articolul 5. Practici comerciale neloiale interzise nelegate de plăți</w:t>
            </w:r>
          </w:p>
          <w:p w14:paraId="0FA8BB32" w14:textId="77777777" w:rsidR="00EE386A" w:rsidRPr="00DE15E9" w:rsidRDefault="00EE386A" w:rsidP="00DE15E9">
            <w:pPr>
              <w:pStyle w:val="ListParagraph"/>
              <w:numPr>
                <w:ilvl w:val="0"/>
                <w:numId w:val="12"/>
              </w:numPr>
              <w:tabs>
                <w:tab w:val="left" w:pos="176"/>
              </w:tabs>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 xml:space="preserve"> Sunt interzise următoarele practici comerciale neloiale nelegate de plăți:</w:t>
            </w:r>
          </w:p>
          <w:p w14:paraId="11CA00AC" w14:textId="3B63C5F3" w:rsidR="00EE386A" w:rsidRPr="00DE15E9" w:rsidRDefault="00EE386A" w:rsidP="00DE15E9">
            <w:pPr>
              <w:tabs>
                <w:tab w:val="left" w:pos="851"/>
              </w:tabs>
              <w:spacing w:after="0" w:line="240" w:lineRule="auto"/>
              <w:jc w:val="both"/>
              <w:rPr>
                <w:rFonts w:ascii="Times New Roman" w:eastAsiaTheme="minorHAnsi" w:hAnsi="Times New Roman" w:cs="Times New Roman"/>
                <w:sz w:val="20"/>
                <w:szCs w:val="20"/>
              </w:rPr>
            </w:pPr>
            <w:r w:rsidRPr="00DE15E9">
              <w:rPr>
                <w:rFonts w:ascii="Times New Roman" w:eastAsia="Times New Roman" w:hAnsi="Times New Roman" w:cs="Times New Roman"/>
                <w:sz w:val="20"/>
                <w:szCs w:val="20"/>
              </w:rPr>
              <w:t>1) Cumpărătorul anulează comenzile sau solicită înlocuirea produselor agricole și alimentare perisabile, a căror dată-limită de consum este de până la 7 zile inclusiv.</w:t>
            </w:r>
          </w:p>
          <w:p w14:paraId="7922E891" w14:textId="3712C38A" w:rsidR="00E206E3" w:rsidRPr="00DE15E9" w:rsidRDefault="00E206E3" w:rsidP="00DE15E9">
            <w:pPr>
              <w:tabs>
                <w:tab w:val="left" w:pos="448"/>
              </w:tabs>
              <w:spacing w:after="0" w:line="240" w:lineRule="auto"/>
              <w:ind w:firstLine="22"/>
              <w:contextualSpacing/>
              <w:jc w:val="both"/>
              <w:rPr>
                <w:rFonts w:ascii="Times New Roman" w:eastAsiaTheme="minorHAnsi" w:hAnsi="Times New Roman" w:cs="Times New Roman"/>
                <w:kern w:val="2"/>
                <w:sz w:val="20"/>
                <w:szCs w:val="20"/>
                <w:highlight w:val="yellow"/>
                <w:lang w:eastAsia="en-US"/>
                <w14:ligatures w14:val="standardContextual"/>
              </w:rPr>
            </w:pPr>
            <w:r w:rsidRPr="00DE15E9">
              <w:rPr>
                <w:rFonts w:ascii="Times New Roman" w:eastAsia="Times New Roman" w:hAnsi="Times New Roman" w:cs="Times New Roman"/>
                <w:kern w:val="2"/>
                <w:sz w:val="20"/>
                <w:szCs w:val="20"/>
                <w:highlight w:val="yellow"/>
                <w:lang w:eastAsia="en-US"/>
                <w14:ligatures w14:val="standardContextual"/>
              </w:rPr>
              <w:t xml:space="preserve">2)Cumpărătorul anulează comenzile de produse agricole </w:t>
            </w:r>
            <w:r w:rsidRPr="00DE15E9">
              <w:rPr>
                <w:rFonts w:ascii="Times New Roman" w:eastAsia="Times New Roman" w:hAnsi="Times New Roman" w:cs="Times New Roman"/>
                <w:kern w:val="2"/>
                <w:sz w:val="20"/>
                <w:szCs w:val="20"/>
                <w:highlight w:val="yellow"/>
                <w:lang w:eastAsia="en-US"/>
                <w14:ligatures w14:val="standardContextual"/>
              </w:rPr>
              <w:lastRenderedPageBreak/>
              <w:t>și alimentare perisabile cu un termen de preaviz atât de scurt încât nu se poate presupune în mod rezonabil că furnizorul poate găsi o modalitate alternativă de comercializare sau utilizare a produselor respective. Un termen de preaviz mai scurt de 30 de zile este întotdeauna considerat un termen de preaviz scurt.</w:t>
            </w:r>
          </w:p>
          <w:p w14:paraId="3AA61F3B" w14:textId="6B716B01" w:rsidR="00E0260F" w:rsidRPr="00DE15E9" w:rsidRDefault="00E0260F" w:rsidP="00DE15E9">
            <w:pPr>
              <w:tabs>
                <w:tab w:val="left" w:pos="851"/>
              </w:tabs>
              <w:spacing w:after="0" w:line="240" w:lineRule="auto"/>
              <w:jc w:val="both"/>
              <w:rPr>
                <w:rFonts w:ascii="Times New Roman" w:hAnsi="Times New Roman" w:cs="Times New Roman"/>
                <w:strike/>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36CDC1DB" w14:textId="77777777" w:rsidR="00EE386A" w:rsidRPr="00DE15E9" w:rsidRDefault="00EE386A"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lastRenderedPageBreak/>
              <w:t>Article 5. Prohibited unfair trading practices not related to payments</w:t>
            </w:r>
          </w:p>
          <w:p w14:paraId="0E92B239" w14:textId="77777777" w:rsidR="00EE386A" w:rsidRPr="00DE15E9" w:rsidRDefault="00EE386A"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(1) The following unfair trading practices not related to payments shall be prohibited:</w:t>
            </w:r>
          </w:p>
          <w:p w14:paraId="2CCBE902" w14:textId="77777777" w:rsidR="00EE386A" w:rsidRPr="00DE15E9" w:rsidRDefault="00EE386A" w:rsidP="00DE15E9">
            <w:pPr>
              <w:numPr>
                <w:ilvl w:val="0"/>
                <w:numId w:val="13"/>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The buyer cancels orders or requests the replacement of perishable agricultural and food products whose use-by date is up to and including 7 days.</w:t>
            </w:r>
          </w:p>
          <w:p w14:paraId="33E94579" w14:textId="799D540A" w:rsidR="00E206E3" w:rsidRPr="00DE15E9" w:rsidRDefault="00E206E3" w:rsidP="00DE15E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0"/>
                <w:szCs w:val="20"/>
              </w:rPr>
            </w:pPr>
            <w:r w:rsidRPr="00DE15E9">
              <w:rPr>
                <w:rFonts w:ascii="Times New Roman" w:eastAsia="Times New Roman" w:hAnsi="Times New Roman" w:cs="Times New Roman"/>
                <w:color w:val="1F1F1F"/>
                <w:sz w:val="20"/>
                <w:szCs w:val="20"/>
                <w:highlight w:val="yellow"/>
                <w:lang w:val="en"/>
              </w:rPr>
              <w:t xml:space="preserve">2.The buyer cancels orders for perishable agricultural and food products with such short </w:t>
            </w:r>
            <w:r w:rsidRPr="00DE15E9">
              <w:rPr>
                <w:rFonts w:ascii="Times New Roman" w:eastAsia="Times New Roman" w:hAnsi="Times New Roman" w:cs="Times New Roman"/>
                <w:color w:val="1F1F1F"/>
                <w:sz w:val="20"/>
                <w:szCs w:val="20"/>
                <w:highlight w:val="yellow"/>
                <w:lang w:val="en"/>
              </w:rPr>
              <w:lastRenderedPageBreak/>
              <w:t>notice that it cannot reasonably be expected that the supplier can find an alternative way to market or use the products concerned. A notice period of less than 30 days is always considered a short notice period.</w:t>
            </w:r>
          </w:p>
          <w:p w14:paraId="1208F613"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7CD4EFF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Compatibil</w:t>
            </w:r>
          </w:p>
        </w:tc>
        <w:tc>
          <w:tcPr>
            <w:tcW w:w="1985" w:type="dxa"/>
            <w:tcBorders>
              <w:top w:val="single" w:sz="4" w:space="0" w:color="000000"/>
              <w:left w:val="single" w:sz="4" w:space="0" w:color="000000"/>
              <w:bottom w:val="single" w:sz="4" w:space="0" w:color="000000"/>
              <w:right w:val="single" w:sz="4" w:space="0" w:color="000000"/>
            </w:tcBorders>
          </w:tcPr>
          <w:p w14:paraId="242C7CA0" w14:textId="77777777" w:rsidR="00E3729F" w:rsidRPr="00DE15E9" w:rsidRDefault="00E3729F" w:rsidP="00DE15E9">
            <w:pPr>
              <w:spacing w:after="0" w:line="240" w:lineRule="auto"/>
              <w:jc w:val="both"/>
              <w:rPr>
                <w:rFonts w:ascii="Times New Roman" w:eastAsia="Times New Roman" w:hAnsi="Times New Roman" w:cs="Times New Roman"/>
                <w:bCs/>
                <w:sz w:val="20"/>
                <w:szCs w:val="20"/>
                <w:lang w:val="ro-MD"/>
              </w:rPr>
            </w:pPr>
            <w:r w:rsidRPr="00DE15E9">
              <w:rPr>
                <w:rFonts w:ascii="Times New Roman" w:eastAsia="Times New Roman" w:hAnsi="Times New Roman" w:cs="Times New Roman"/>
                <w:bCs/>
                <w:sz w:val="20"/>
                <w:szCs w:val="20"/>
                <w:lang w:val="ro-MD"/>
              </w:rPr>
              <w:t>Acceptat</w:t>
            </w:r>
          </w:p>
          <w:p w14:paraId="24D5DC48" w14:textId="64F19D4D" w:rsidR="00E3729F" w:rsidRPr="00DE15E9" w:rsidRDefault="00E3729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highlight w:val="yellow"/>
              </w:rPr>
              <w:t>reformulare pentru clarificarea transpunerii.</w:t>
            </w:r>
          </w:p>
          <w:p w14:paraId="7DEAD827" w14:textId="77777777" w:rsidR="00E3729F" w:rsidRPr="00DE15E9" w:rsidRDefault="00E3729F" w:rsidP="00DE15E9">
            <w:pPr>
              <w:spacing w:after="0" w:line="240" w:lineRule="auto"/>
              <w:jc w:val="both"/>
              <w:rPr>
                <w:rFonts w:ascii="Times New Roman" w:eastAsia="Times New Roman" w:hAnsi="Times New Roman" w:cs="Times New Roman"/>
                <w:sz w:val="20"/>
                <w:szCs w:val="20"/>
                <w:lang w:val="ro-MD"/>
              </w:rPr>
            </w:pPr>
          </w:p>
          <w:p w14:paraId="209D83C4" w14:textId="77777777" w:rsidR="00B41BF8" w:rsidRPr="00DE15E9" w:rsidRDefault="00B41BF8" w:rsidP="00DE15E9">
            <w:pPr>
              <w:spacing w:after="0" w:line="240" w:lineRule="auto"/>
              <w:jc w:val="both"/>
              <w:rPr>
                <w:rFonts w:ascii="Times New Roman" w:eastAsia="Times New Roman" w:hAnsi="Times New Roman" w:cs="Times New Roman"/>
                <w:sz w:val="20"/>
                <w:szCs w:val="20"/>
                <w:lang w:val="ro-MD"/>
              </w:rPr>
            </w:pPr>
          </w:p>
          <w:p w14:paraId="5C58948B" w14:textId="77777777" w:rsidR="00B41BF8" w:rsidRPr="00DE15E9" w:rsidRDefault="00B41BF8" w:rsidP="00DE15E9">
            <w:pPr>
              <w:spacing w:after="0" w:line="240" w:lineRule="auto"/>
              <w:jc w:val="both"/>
              <w:rPr>
                <w:rFonts w:ascii="Times New Roman" w:eastAsia="Times New Roman" w:hAnsi="Times New Roman" w:cs="Times New Roman"/>
                <w:sz w:val="20"/>
                <w:szCs w:val="20"/>
                <w:lang w:val="ro-MD"/>
              </w:rPr>
            </w:pPr>
          </w:p>
          <w:p w14:paraId="1007F337" w14:textId="6C653E35" w:rsidR="00B41BF8" w:rsidRPr="00DE15E9" w:rsidRDefault="00B41BF8"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0C97EBDE" w14:textId="502996DD" w:rsidR="00E3729F" w:rsidRPr="00DE15E9" w:rsidRDefault="00E3729F" w:rsidP="00DE15E9">
            <w:pPr>
              <w:shd w:val="clear" w:color="auto" w:fill="FDFCFB"/>
              <w:spacing w:after="0" w:line="240" w:lineRule="auto"/>
              <w:jc w:val="both"/>
              <w:rPr>
                <w:rFonts w:ascii="Times New Roman" w:eastAsia="Times New Roman" w:hAnsi="Times New Roman" w:cs="Times New Roman"/>
                <w:color w:val="002451"/>
                <w:sz w:val="20"/>
                <w:szCs w:val="20"/>
              </w:rPr>
            </w:pPr>
            <w:r w:rsidRPr="00DE15E9">
              <w:rPr>
                <w:rFonts w:ascii="Times New Roman" w:eastAsia="Times New Roman" w:hAnsi="Times New Roman" w:cs="Times New Roman"/>
                <w:i/>
                <w:iCs/>
                <w:color w:val="0000FF"/>
                <w:sz w:val="20"/>
                <w:szCs w:val="20"/>
              </w:rPr>
              <w:t xml:space="preserve">I. 3. Reglementările privind anularea comenzilor nu acoperă situațiile în care anularea are loc cu </w:t>
            </w:r>
            <w:r w:rsidRPr="00DE15E9">
              <w:rPr>
                <w:rFonts w:ascii="Times New Roman" w:eastAsia="Times New Roman" w:hAnsi="Times New Roman" w:cs="Times New Roman"/>
                <w:i/>
                <w:iCs/>
                <w:color w:val="005A95"/>
                <w:sz w:val="20"/>
                <w:szCs w:val="20"/>
              </w:rPr>
              <w:t xml:space="preserve">mai </w:t>
            </w:r>
            <w:r w:rsidRPr="00DE15E9">
              <w:rPr>
                <w:rFonts w:ascii="Times New Roman" w:eastAsia="Times New Roman" w:hAnsi="Times New Roman" w:cs="Times New Roman"/>
                <w:i/>
                <w:iCs/>
                <w:color w:val="0000FF"/>
                <w:sz w:val="20"/>
                <w:szCs w:val="20"/>
              </w:rPr>
              <w:t>mult de 30 de zile înainte, iar furnizorul nu are o posibilitate rezonabilă de a găsi o alternativă.</w:t>
            </w:r>
          </w:p>
          <w:p w14:paraId="38F48E09" w14:textId="497C4937" w:rsidR="00E3729F" w:rsidRPr="00DE15E9" w:rsidRDefault="00E3729F" w:rsidP="00DE15E9">
            <w:pPr>
              <w:shd w:val="clear" w:color="auto" w:fill="FFFFFF"/>
              <w:spacing w:after="0" w:line="240" w:lineRule="auto"/>
              <w:jc w:val="both"/>
              <w:rPr>
                <w:rFonts w:ascii="Times New Roman" w:eastAsia="Times New Roman" w:hAnsi="Times New Roman" w:cs="Times New Roman"/>
                <w:color w:val="000000"/>
                <w:sz w:val="20"/>
                <w:szCs w:val="20"/>
              </w:rPr>
            </w:pPr>
            <w:r w:rsidRPr="00DE15E9">
              <w:rPr>
                <w:rFonts w:ascii="Times New Roman" w:eastAsia="Times New Roman" w:hAnsi="Times New Roman" w:cs="Times New Roman"/>
                <w:sz w:val="20"/>
                <w:szCs w:val="20"/>
              </w:rPr>
              <w:t xml:space="preserve">II. </w:t>
            </w:r>
            <w:r w:rsidRPr="00DE15E9">
              <w:rPr>
                <w:rFonts w:ascii="Times New Roman" w:eastAsia="Times New Roman" w:hAnsi="Times New Roman" w:cs="Times New Roman"/>
                <w:i/>
                <w:iCs/>
                <w:color w:val="0000FF"/>
                <w:sz w:val="20"/>
                <w:szCs w:val="20"/>
              </w:rPr>
              <w:t xml:space="preserve">2. În ceea ce privește regulile referitoare la anularea comenzilor, proiectul de lege pare să introducă o condiție </w:t>
            </w:r>
            <w:r w:rsidRPr="00DE15E9">
              <w:rPr>
                <w:rFonts w:ascii="Times New Roman" w:eastAsia="Times New Roman" w:hAnsi="Times New Roman" w:cs="Times New Roman"/>
                <w:i/>
                <w:iCs/>
                <w:color w:val="0000FF"/>
                <w:sz w:val="20"/>
                <w:szCs w:val="20"/>
              </w:rPr>
              <w:lastRenderedPageBreak/>
              <w:t xml:space="preserve">suplimentară în cazul unui termen de notificare </w:t>
            </w:r>
            <w:r w:rsidRPr="00DE15E9">
              <w:rPr>
                <w:rFonts w:ascii="Times New Roman" w:eastAsia="Times New Roman" w:hAnsi="Times New Roman" w:cs="Times New Roman"/>
                <w:i/>
                <w:iCs/>
                <w:color w:val="005A95"/>
                <w:sz w:val="20"/>
                <w:szCs w:val="20"/>
              </w:rPr>
              <w:t xml:space="preserve">mai </w:t>
            </w:r>
            <w:r w:rsidRPr="00DE15E9">
              <w:rPr>
                <w:rFonts w:ascii="Times New Roman" w:eastAsia="Times New Roman" w:hAnsi="Times New Roman" w:cs="Times New Roman"/>
                <w:i/>
                <w:iCs/>
                <w:color w:val="0000FF"/>
                <w:sz w:val="20"/>
                <w:szCs w:val="20"/>
              </w:rPr>
              <w:t>scurt de 30 de zile, prin adăugarea formulării „într-un mod în care furnizorul nu are posibilitatea rezonabilă de a găsi o alternativă pentru comercializarea sau utilizarea produselor respective”.</w:t>
            </w:r>
          </w:p>
          <w:p w14:paraId="18F9C06B" w14:textId="77777777" w:rsidR="00E3729F" w:rsidRPr="00DE15E9" w:rsidRDefault="00E3729F" w:rsidP="00DE15E9">
            <w:pPr>
              <w:shd w:val="clear" w:color="auto" w:fill="FFFFFF"/>
              <w:spacing w:after="0" w:line="240" w:lineRule="auto"/>
              <w:jc w:val="both"/>
              <w:rPr>
                <w:rFonts w:ascii="Times New Roman" w:eastAsia="Times New Roman" w:hAnsi="Times New Roman" w:cs="Times New Roman"/>
                <w:color w:val="000000"/>
                <w:sz w:val="20"/>
                <w:szCs w:val="20"/>
              </w:rPr>
            </w:pPr>
          </w:p>
          <w:p w14:paraId="405797D9" w14:textId="77777777" w:rsidR="00E3729F" w:rsidRPr="00DE15E9" w:rsidRDefault="00E3729F" w:rsidP="00DE15E9">
            <w:pPr>
              <w:shd w:val="clear" w:color="auto" w:fill="FFFFFF"/>
              <w:spacing w:after="0" w:line="240" w:lineRule="auto"/>
              <w:jc w:val="both"/>
              <w:rPr>
                <w:rFonts w:ascii="Times New Roman" w:eastAsia="Times New Roman" w:hAnsi="Times New Roman" w:cs="Times New Roman"/>
                <w:color w:val="000000"/>
                <w:sz w:val="20"/>
                <w:szCs w:val="20"/>
              </w:rPr>
            </w:pPr>
            <w:r w:rsidRPr="00DE15E9">
              <w:rPr>
                <w:rFonts w:ascii="Times New Roman" w:eastAsia="Times New Roman" w:hAnsi="Times New Roman" w:cs="Times New Roman"/>
                <w:i/>
                <w:iCs/>
                <w:color w:val="0000FF"/>
                <w:sz w:val="20"/>
                <w:szCs w:val="20"/>
              </w:rPr>
              <w:t xml:space="preserve">Potrivit legislației UE, notificarea anulării cu </w:t>
            </w:r>
            <w:r w:rsidRPr="00DE15E9">
              <w:rPr>
                <w:rFonts w:ascii="Times New Roman" w:eastAsia="Times New Roman" w:hAnsi="Times New Roman" w:cs="Times New Roman"/>
                <w:i/>
                <w:iCs/>
                <w:color w:val="005A95"/>
                <w:sz w:val="20"/>
                <w:szCs w:val="20"/>
              </w:rPr>
              <w:t xml:space="preserve">mai </w:t>
            </w:r>
            <w:r w:rsidRPr="00DE15E9">
              <w:rPr>
                <w:rFonts w:ascii="Times New Roman" w:eastAsia="Times New Roman" w:hAnsi="Times New Roman" w:cs="Times New Roman"/>
                <w:i/>
                <w:iCs/>
                <w:color w:val="0000FF"/>
                <w:sz w:val="20"/>
                <w:szCs w:val="20"/>
              </w:rPr>
              <w:t>puțin de 30 de zile înainte este interzisă și, prin urmare, nu ar trebui să existe criterii suplimentare care să fie verificate (de exemplu, dacă furnizorul poate sau nu poate găsi o alternativă).</w:t>
            </w:r>
          </w:p>
          <w:p w14:paraId="7B69248A" w14:textId="77777777" w:rsidR="00E3729F" w:rsidRPr="00DE15E9" w:rsidRDefault="00E3729F" w:rsidP="00DE15E9">
            <w:pPr>
              <w:shd w:val="clear" w:color="auto" w:fill="FFFFFF"/>
              <w:spacing w:after="0" w:line="240" w:lineRule="auto"/>
              <w:jc w:val="both"/>
              <w:rPr>
                <w:rFonts w:ascii="Times New Roman" w:eastAsia="Times New Roman" w:hAnsi="Times New Roman" w:cs="Times New Roman"/>
                <w:color w:val="000000"/>
                <w:sz w:val="20"/>
                <w:szCs w:val="20"/>
              </w:rPr>
            </w:pPr>
            <w:r w:rsidRPr="00DE15E9">
              <w:rPr>
                <w:rFonts w:ascii="Times New Roman" w:eastAsia="Times New Roman" w:hAnsi="Times New Roman" w:cs="Times New Roman"/>
                <w:i/>
                <w:iCs/>
                <w:color w:val="0000FF"/>
                <w:sz w:val="20"/>
                <w:szCs w:val="20"/>
              </w:rPr>
              <w:t xml:space="preserve">Într-adevăr, legislația UE prevede că este interzisă următoarea practică: „cumpărătorul anulează comenzile de produse agricole și alimentare perisabile cu un preaviz atât de scurt încât nu se poate presupune în mod rezonabil că furnizorul ar putea găsi o modalitate alternativă de comercializare sau </w:t>
            </w:r>
            <w:r w:rsidRPr="00DE15E9">
              <w:rPr>
                <w:rFonts w:ascii="Times New Roman" w:eastAsia="Times New Roman" w:hAnsi="Times New Roman" w:cs="Times New Roman"/>
                <w:i/>
                <w:iCs/>
                <w:color w:val="0000FF"/>
                <w:sz w:val="20"/>
                <w:szCs w:val="20"/>
              </w:rPr>
              <w:lastRenderedPageBreak/>
              <w:t xml:space="preserve">utilizare a produselor respective; un preaviz </w:t>
            </w:r>
            <w:r w:rsidRPr="00DE15E9">
              <w:rPr>
                <w:rFonts w:ascii="Times New Roman" w:eastAsia="Times New Roman" w:hAnsi="Times New Roman" w:cs="Times New Roman"/>
                <w:i/>
                <w:iCs/>
                <w:color w:val="005A95"/>
                <w:sz w:val="20"/>
                <w:szCs w:val="20"/>
              </w:rPr>
              <w:t xml:space="preserve">mai </w:t>
            </w:r>
            <w:r w:rsidRPr="00DE15E9">
              <w:rPr>
                <w:rFonts w:ascii="Times New Roman" w:eastAsia="Times New Roman" w:hAnsi="Times New Roman" w:cs="Times New Roman"/>
                <w:i/>
                <w:iCs/>
                <w:color w:val="0000FF"/>
                <w:sz w:val="20"/>
                <w:szCs w:val="20"/>
              </w:rPr>
              <w:t xml:space="preserve">scurt de 30 de zile este considerat întotdeauna un preaviz scurt; statele membre pot stabili perioade </w:t>
            </w:r>
            <w:r w:rsidRPr="00DE15E9">
              <w:rPr>
                <w:rFonts w:ascii="Times New Roman" w:eastAsia="Times New Roman" w:hAnsi="Times New Roman" w:cs="Times New Roman"/>
                <w:i/>
                <w:iCs/>
                <w:color w:val="005A95"/>
                <w:sz w:val="20"/>
                <w:szCs w:val="20"/>
              </w:rPr>
              <w:t xml:space="preserve">mai </w:t>
            </w:r>
            <w:r w:rsidRPr="00DE15E9">
              <w:rPr>
                <w:rFonts w:ascii="Times New Roman" w:eastAsia="Times New Roman" w:hAnsi="Times New Roman" w:cs="Times New Roman"/>
                <w:i/>
                <w:iCs/>
                <w:color w:val="0000FF"/>
                <w:sz w:val="20"/>
                <w:szCs w:val="20"/>
              </w:rPr>
              <w:t>scurte de 30 de zile pentru anumite sectoare, în cazuri justificate în mod corespunzător.”</w:t>
            </w:r>
          </w:p>
          <w:p w14:paraId="26E2DB0C" w14:textId="00ABDE97" w:rsidR="00D33747" w:rsidRPr="00DE15E9" w:rsidRDefault="00B41BF8" w:rsidP="00DE15E9">
            <w:pPr>
              <w:spacing w:before="100" w:beforeAutospacing="1" w:after="100" w:afterAutospacing="1"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lang w:val="ro-MD"/>
              </w:rPr>
              <w:t>Referitor la I. 4.</w:t>
            </w:r>
            <w:r w:rsidRPr="00DE15E9">
              <w:rPr>
                <w:rFonts w:ascii="Times New Roman" w:eastAsia="Times New Roman" w:hAnsi="Times New Roman" w:cs="Times New Roman"/>
                <w:i/>
                <w:iCs/>
                <w:color w:val="0000FF"/>
                <w:sz w:val="20"/>
                <w:szCs w:val="20"/>
              </w:rPr>
              <w:t xml:space="preserve"> Ar putea fi necesară o referire la noul Regulament privind cooperarea transfrontalieră în materie de practici comerciale neloiale (Cross-Border UTP Regulation), cel puțin în ceea ce privește autoritățile competente, deși acest aspect nu ține direct de transpunerea directivei.”- </w:t>
            </w:r>
            <w:r w:rsidRPr="00DE15E9">
              <w:rPr>
                <w:rFonts w:ascii="Times New Roman" w:eastAsia="Times New Roman" w:hAnsi="Times New Roman" w:cs="Times New Roman"/>
                <w:sz w:val="20"/>
                <w:szCs w:val="20"/>
                <w:highlight w:val="yellow"/>
              </w:rPr>
              <w:t xml:space="preserve">Observația este luată în considerare ca reper pentru armonizarea </w:t>
            </w:r>
            <w:r w:rsidR="009A35DC" w:rsidRPr="00DE15E9">
              <w:rPr>
                <w:rFonts w:ascii="Times New Roman" w:eastAsia="Times New Roman" w:hAnsi="Times New Roman" w:cs="Times New Roman"/>
                <w:sz w:val="20"/>
                <w:szCs w:val="20"/>
                <w:highlight w:val="yellow"/>
              </w:rPr>
              <w:t>legislației naționale</w:t>
            </w:r>
            <w:r w:rsidRPr="00DE15E9">
              <w:rPr>
                <w:rFonts w:ascii="Times New Roman" w:eastAsia="Times New Roman" w:hAnsi="Times New Roman" w:cs="Times New Roman"/>
                <w:sz w:val="20"/>
                <w:szCs w:val="20"/>
                <w:highlight w:val="yellow"/>
              </w:rPr>
              <w:t xml:space="preserve">, în </w:t>
            </w:r>
            <w:r w:rsidR="009A35DC" w:rsidRPr="00DE15E9">
              <w:rPr>
                <w:rFonts w:ascii="Times New Roman" w:eastAsia="Times New Roman" w:hAnsi="Times New Roman" w:cs="Times New Roman"/>
                <w:sz w:val="20"/>
                <w:szCs w:val="20"/>
                <w:highlight w:val="yellow"/>
              </w:rPr>
              <w:t>cadrul procesului de apropiere de acquis-ul UE</w:t>
            </w:r>
            <w:r w:rsidRPr="00DE15E9">
              <w:rPr>
                <w:rFonts w:ascii="Times New Roman" w:eastAsia="Times New Roman" w:hAnsi="Times New Roman" w:cs="Times New Roman"/>
                <w:sz w:val="20"/>
                <w:szCs w:val="20"/>
                <w:highlight w:val="yellow"/>
              </w:rPr>
              <w:t xml:space="preserve">. </w:t>
            </w:r>
            <w:r w:rsidR="00D33747" w:rsidRPr="00DE15E9">
              <w:rPr>
                <w:rFonts w:ascii="Times New Roman" w:eastAsia="Times New Roman" w:hAnsi="Times New Roman" w:cs="Times New Roman"/>
                <w:sz w:val="20"/>
                <w:szCs w:val="20"/>
                <w:highlight w:val="yellow"/>
              </w:rPr>
              <w:t xml:space="preserve">acestea nu se aplică direct Republicii Moldova în această etapă. Iar pentru </w:t>
            </w:r>
            <w:r w:rsidR="00D33747" w:rsidRPr="00DE15E9">
              <w:rPr>
                <w:rFonts w:ascii="Times New Roman" w:eastAsia="Times New Roman" w:hAnsi="Times New Roman" w:cs="Times New Roman"/>
                <w:sz w:val="20"/>
                <w:szCs w:val="20"/>
                <w:highlight w:val="yellow"/>
              </w:rPr>
              <w:lastRenderedPageBreak/>
              <w:t>Directiva (UE) 2019/633, putem spune că proiectul de lege urmărește transpunerea/armonizarea principiilor și cerințelor acesteia în legislația națională, nu aplicarea directă a directivei.</w:t>
            </w:r>
          </w:p>
          <w:p w14:paraId="1C0A35E9" w14:textId="6C1CBB80" w:rsidR="00E0260F" w:rsidRPr="00DE15E9" w:rsidRDefault="00E0260F" w:rsidP="00DE15E9">
            <w:pPr>
              <w:shd w:val="clear" w:color="auto" w:fill="FDFCFB"/>
              <w:spacing w:after="0" w:line="240" w:lineRule="auto"/>
              <w:jc w:val="both"/>
              <w:rPr>
                <w:rFonts w:ascii="Times New Roman" w:eastAsia="Times New Roman" w:hAnsi="Times New Roman" w:cs="Times New Roman"/>
                <w:sz w:val="20"/>
                <w:szCs w:val="20"/>
              </w:rPr>
            </w:pPr>
          </w:p>
        </w:tc>
      </w:tr>
      <w:tr w:rsidR="00E0260F" w:rsidRPr="00DE15E9" w14:paraId="1948B803" w14:textId="77777777" w:rsidTr="00033703">
        <w:tc>
          <w:tcPr>
            <w:tcW w:w="430" w:type="dxa"/>
            <w:tcBorders>
              <w:top w:val="single" w:sz="4" w:space="0" w:color="000000"/>
              <w:left w:val="single" w:sz="4" w:space="0" w:color="000000"/>
              <w:bottom w:val="single" w:sz="4" w:space="0" w:color="000000"/>
              <w:right w:val="single" w:sz="4" w:space="0" w:color="000000"/>
            </w:tcBorders>
          </w:tcPr>
          <w:p w14:paraId="287A317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23</w:t>
            </w:r>
          </w:p>
        </w:tc>
        <w:tc>
          <w:tcPr>
            <w:tcW w:w="2547" w:type="dxa"/>
            <w:tcBorders>
              <w:top w:val="single" w:sz="4" w:space="0" w:color="000000"/>
              <w:left w:val="single" w:sz="4" w:space="0" w:color="000000"/>
              <w:bottom w:val="single" w:sz="4" w:space="0" w:color="000000"/>
              <w:right w:val="single" w:sz="4" w:space="0" w:color="000000"/>
            </w:tcBorders>
          </w:tcPr>
          <w:tbl>
            <w:tblPr>
              <w:tblW w:w="4811" w:type="pct"/>
              <w:shd w:val="clear" w:color="auto" w:fill="FFFFFF"/>
              <w:tblLayout w:type="fixed"/>
              <w:tblCellMar>
                <w:left w:w="0" w:type="dxa"/>
                <w:right w:w="0" w:type="dxa"/>
              </w:tblCellMar>
              <w:tblLook w:val="04A0" w:firstRow="1" w:lastRow="0" w:firstColumn="1" w:lastColumn="0" w:noHBand="0" w:noVBand="1"/>
            </w:tblPr>
            <w:tblGrid>
              <w:gridCol w:w="2229"/>
            </w:tblGrid>
            <w:tr w:rsidR="00E0260F" w:rsidRPr="00DE15E9" w14:paraId="0126DEAD" w14:textId="77777777" w:rsidTr="00F2792F">
              <w:tc>
                <w:tcPr>
                  <w:tcW w:w="2239" w:type="dxa"/>
                  <w:shd w:val="clear" w:color="auto" w:fill="FFFFFF"/>
                  <w:hideMark/>
                </w:tcPr>
                <w:p w14:paraId="72C816F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cumpărătorul modifică în mod unilateral clauzele unui acord de furnizare pentru produse agricole și alimentare care se referă la frecvența, metoda, locul, calendarul sau volumul furnizării sau livrării produselor agricole și alimentare, standardele de calitate, condițiile de plată sau prețurile sau în ceea ce privește furnizarea de servicii, în măsura în care acestea sunt menționate explicit la alineatul (2);</w:t>
                  </w:r>
                </w:p>
              </w:tc>
            </w:tr>
          </w:tbl>
          <w:p w14:paraId="4B39429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11" w:type="pct"/>
              <w:shd w:val="clear" w:color="auto" w:fill="FFFFFF"/>
              <w:tblLayout w:type="fixed"/>
              <w:tblCellMar>
                <w:left w:w="0" w:type="dxa"/>
                <w:right w:w="0" w:type="dxa"/>
              </w:tblCellMar>
              <w:tblLook w:val="04A0" w:firstRow="1" w:lastRow="0" w:firstColumn="1" w:lastColumn="0" w:noHBand="0" w:noVBand="1"/>
            </w:tblPr>
            <w:tblGrid>
              <w:gridCol w:w="2234"/>
            </w:tblGrid>
            <w:tr w:rsidR="00E0260F" w:rsidRPr="00DE15E9" w14:paraId="3BE467F9" w14:textId="77777777" w:rsidTr="00F2792F">
              <w:tc>
                <w:tcPr>
                  <w:tcW w:w="2234" w:type="dxa"/>
                  <w:shd w:val="clear" w:color="auto" w:fill="FFFFFF"/>
                  <w:hideMark/>
                </w:tcPr>
                <w:p w14:paraId="6EBBF64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the buyer unilaterally changes the terms of a supply agreement for agricultural and food products that concern the frequency, method, place, timing or volume of the supply or delivery of the agricultural and food products, the quality standards, the terms of payment or the prices, or as regards the provision of services insofar as these are explicitly referred to in paragraph 2;</w:t>
                  </w:r>
                </w:p>
              </w:tc>
            </w:tr>
          </w:tbl>
          <w:p w14:paraId="4475954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4513E18C" w14:textId="6D30B739"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bCs/>
                <w:sz w:val="20"/>
                <w:szCs w:val="20"/>
                <w:lang w:val="ro-MD"/>
              </w:rPr>
              <w:t>3)</w:t>
            </w:r>
            <w:r w:rsidRPr="00DE15E9">
              <w:rPr>
                <w:rFonts w:ascii="Times New Roman" w:hAnsi="Times New Roman" w:cs="Times New Roman"/>
                <w:bCs/>
                <w:sz w:val="20"/>
                <w:szCs w:val="20"/>
                <w:lang w:val="ro-MD"/>
              </w:rPr>
              <w:tab/>
              <w:t>Cumpărătorul modifică în mod unilateral clauzele unui contract pentru furnizarea de produse agricole și alimentare care se referă la frecvența, metoda, locul, calendarul sau volumul furnizării sau livrării produselor agricole și alimentare, standardele de calitate, condițiile de plată sau prețurile sau în ceea ce privește furnizarea de servicii, în măsura în care acestea sunt menționate explicit în contract.</w:t>
            </w:r>
          </w:p>
        </w:tc>
        <w:tc>
          <w:tcPr>
            <w:tcW w:w="2693" w:type="dxa"/>
            <w:tcBorders>
              <w:top w:val="single" w:sz="4" w:space="0" w:color="000000"/>
              <w:left w:val="single" w:sz="4" w:space="0" w:color="000000"/>
              <w:bottom w:val="single" w:sz="4" w:space="0" w:color="000000"/>
              <w:right w:val="single" w:sz="4" w:space="0" w:color="000000"/>
            </w:tcBorders>
          </w:tcPr>
          <w:p w14:paraId="74EE11A6" w14:textId="77777777" w:rsidR="00EE386A" w:rsidRPr="00DE15E9" w:rsidRDefault="00EE386A" w:rsidP="00DE15E9">
            <w:pPr>
              <w:numPr>
                <w:ilvl w:val="0"/>
                <w:numId w:val="13"/>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The buyer unilaterally changes the terms of a contract for the supply of agricultural and food products concerning the frequency, method, place, timing or volume of the supply or delivery of the agricultural and food products, quality standards, payment terms or prices, or concerning the provision of services, in so far as these are expressly mentioned in the contract.</w:t>
            </w:r>
          </w:p>
          <w:p w14:paraId="26C08629"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42E7A59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Compatibil</w:t>
            </w:r>
          </w:p>
        </w:tc>
        <w:tc>
          <w:tcPr>
            <w:tcW w:w="1985" w:type="dxa"/>
            <w:tcBorders>
              <w:top w:val="single" w:sz="4" w:space="0" w:color="000000"/>
              <w:left w:val="single" w:sz="4" w:space="0" w:color="000000"/>
              <w:bottom w:val="single" w:sz="4" w:space="0" w:color="000000"/>
              <w:right w:val="single" w:sz="4" w:space="0" w:color="000000"/>
            </w:tcBorders>
          </w:tcPr>
          <w:p w14:paraId="4BC9664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0864ACE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17F0FAB6" w14:textId="77777777" w:rsidTr="00033703">
        <w:tc>
          <w:tcPr>
            <w:tcW w:w="430" w:type="dxa"/>
            <w:tcBorders>
              <w:top w:val="single" w:sz="4" w:space="0" w:color="000000"/>
              <w:left w:val="single" w:sz="4" w:space="0" w:color="000000"/>
              <w:bottom w:val="single" w:sz="4" w:space="0" w:color="000000"/>
              <w:right w:val="single" w:sz="4" w:space="0" w:color="000000"/>
            </w:tcBorders>
          </w:tcPr>
          <w:p w14:paraId="15C80C2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24</w:t>
            </w:r>
          </w:p>
        </w:tc>
        <w:tc>
          <w:tcPr>
            <w:tcW w:w="2547" w:type="dxa"/>
            <w:tcBorders>
              <w:top w:val="single" w:sz="4" w:space="0" w:color="000000"/>
              <w:left w:val="single" w:sz="4" w:space="0" w:color="000000"/>
              <w:bottom w:val="single" w:sz="4" w:space="0" w:color="000000"/>
              <w:right w:val="single" w:sz="4" w:space="0" w:color="000000"/>
            </w:tcBorders>
          </w:tcPr>
          <w:tbl>
            <w:tblPr>
              <w:tblW w:w="4802" w:type="pct"/>
              <w:shd w:val="clear" w:color="auto" w:fill="FFFFFF"/>
              <w:tblLayout w:type="fixed"/>
              <w:tblCellMar>
                <w:left w:w="0" w:type="dxa"/>
                <w:right w:w="0" w:type="dxa"/>
              </w:tblCellMar>
              <w:tblLook w:val="04A0" w:firstRow="1" w:lastRow="0" w:firstColumn="1" w:lastColumn="0" w:noHBand="0" w:noVBand="1"/>
            </w:tblPr>
            <w:tblGrid>
              <w:gridCol w:w="2225"/>
            </w:tblGrid>
            <w:tr w:rsidR="00E0260F" w:rsidRPr="00DE15E9" w14:paraId="51C457EE" w14:textId="77777777" w:rsidTr="00F2792F">
              <w:tc>
                <w:tcPr>
                  <w:tcW w:w="2235" w:type="dxa"/>
                  <w:shd w:val="clear" w:color="auto" w:fill="FFFFFF"/>
                  <w:hideMark/>
                </w:tcPr>
                <w:p w14:paraId="36861AF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cumpărătorul solicită furnizorului plăți care nu sunt legate de vânzarea produselor agricole și alimentare ale furnizorului;</w:t>
                  </w:r>
                </w:p>
              </w:tc>
            </w:tr>
          </w:tbl>
          <w:p w14:paraId="746E312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02" w:type="pct"/>
              <w:shd w:val="clear" w:color="auto" w:fill="FFFFFF"/>
              <w:tblLayout w:type="fixed"/>
              <w:tblCellMar>
                <w:left w:w="0" w:type="dxa"/>
                <w:right w:w="0" w:type="dxa"/>
              </w:tblCellMar>
              <w:tblLook w:val="04A0" w:firstRow="1" w:lastRow="0" w:firstColumn="1" w:lastColumn="0" w:noHBand="0" w:noVBand="1"/>
            </w:tblPr>
            <w:tblGrid>
              <w:gridCol w:w="2230"/>
            </w:tblGrid>
            <w:tr w:rsidR="00E0260F" w:rsidRPr="00DE15E9" w14:paraId="6E506B4E" w14:textId="77777777" w:rsidTr="00F2792F">
              <w:tc>
                <w:tcPr>
                  <w:tcW w:w="2230" w:type="dxa"/>
                  <w:shd w:val="clear" w:color="auto" w:fill="FFFFFF"/>
                  <w:hideMark/>
                </w:tcPr>
                <w:p w14:paraId="425FBFD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the buyer requires payments from the supplier that are not related to the sale of the agricultural and food products of the supplier;</w:t>
                  </w:r>
                </w:p>
              </w:tc>
            </w:tr>
          </w:tbl>
          <w:p w14:paraId="1E31905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28B96EC4" w14:textId="1437C43F" w:rsidR="00E0260F" w:rsidRPr="00DE15E9" w:rsidRDefault="00E0260F" w:rsidP="00DE15E9">
            <w:pPr>
              <w:tabs>
                <w:tab w:val="left" w:pos="311"/>
                <w:tab w:val="left" w:pos="443"/>
              </w:tabs>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bCs/>
                <w:sz w:val="20"/>
                <w:szCs w:val="20"/>
                <w:lang w:val="ro-MD"/>
              </w:rPr>
              <w:t>4)</w:t>
            </w:r>
            <w:r w:rsidRPr="00DE15E9">
              <w:rPr>
                <w:rFonts w:ascii="Times New Roman" w:hAnsi="Times New Roman" w:cs="Times New Roman"/>
                <w:bCs/>
                <w:sz w:val="20"/>
                <w:szCs w:val="20"/>
                <w:lang w:val="ro-MD"/>
              </w:rPr>
              <w:tab/>
              <w:t>Cumpărătorul solicită furnizorului plăți care nu sunt legate de vânzarea produselor agricole și alimentare ale furnizorului..</w:t>
            </w:r>
          </w:p>
        </w:tc>
        <w:tc>
          <w:tcPr>
            <w:tcW w:w="2693" w:type="dxa"/>
            <w:tcBorders>
              <w:top w:val="single" w:sz="4" w:space="0" w:color="000000"/>
              <w:left w:val="single" w:sz="4" w:space="0" w:color="000000"/>
              <w:bottom w:val="single" w:sz="4" w:space="0" w:color="000000"/>
              <w:right w:val="single" w:sz="4" w:space="0" w:color="000000"/>
            </w:tcBorders>
          </w:tcPr>
          <w:p w14:paraId="6CDB1F74" w14:textId="58F9095B" w:rsidR="00E0260F" w:rsidRPr="00DE15E9" w:rsidRDefault="00EE386A" w:rsidP="00DE15E9">
            <w:pPr>
              <w:numPr>
                <w:ilvl w:val="0"/>
                <w:numId w:val="13"/>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The buyer requires payments from the supplier that are not related to the sale of the supplier’s agricultural and food products.</w:t>
            </w:r>
          </w:p>
        </w:tc>
        <w:tc>
          <w:tcPr>
            <w:tcW w:w="1276" w:type="dxa"/>
            <w:tcBorders>
              <w:top w:val="single" w:sz="4" w:space="0" w:color="000000"/>
              <w:left w:val="single" w:sz="4" w:space="0" w:color="000000"/>
              <w:bottom w:val="single" w:sz="4" w:space="0" w:color="000000"/>
              <w:right w:val="single" w:sz="4" w:space="0" w:color="000000"/>
            </w:tcBorders>
          </w:tcPr>
          <w:p w14:paraId="2D52A59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56A6926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4F4B546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0E51470B" w14:textId="77777777" w:rsidTr="00033703">
        <w:trPr>
          <w:trHeight w:val="3360"/>
        </w:trPr>
        <w:tc>
          <w:tcPr>
            <w:tcW w:w="430" w:type="dxa"/>
            <w:tcBorders>
              <w:top w:val="single" w:sz="4" w:space="0" w:color="000000"/>
              <w:left w:val="single" w:sz="4" w:space="0" w:color="000000"/>
              <w:bottom w:val="single" w:sz="4" w:space="0" w:color="000000"/>
              <w:right w:val="single" w:sz="4" w:space="0" w:color="000000"/>
            </w:tcBorders>
          </w:tcPr>
          <w:p w14:paraId="12CEDA0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25</w:t>
            </w:r>
          </w:p>
        </w:tc>
        <w:tc>
          <w:tcPr>
            <w:tcW w:w="2547" w:type="dxa"/>
            <w:tcBorders>
              <w:top w:val="single" w:sz="4" w:space="0" w:color="000000"/>
              <w:left w:val="single" w:sz="4" w:space="0" w:color="000000"/>
              <w:bottom w:val="single" w:sz="4" w:space="0" w:color="000000"/>
              <w:right w:val="single" w:sz="4" w:space="0" w:color="000000"/>
            </w:tcBorders>
          </w:tcPr>
          <w:tbl>
            <w:tblPr>
              <w:tblW w:w="4811" w:type="pct"/>
              <w:shd w:val="clear" w:color="auto" w:fill="FFFFFF"/>
              <w:tblLayout w:type="fixed"/>
              <w:tblCellMar>
                <w:left w:w="0" w:type="dxa"/>
                <w:right w:w="0" w:type="dxa"/>
              </w:tblCellMar>
              <w:tblLook w:val="04A0" w:firstRow="1" w:lastRow="0" w:firstColumn="1" w:lastColumn="0" w:noHBand="0" w:noVBand="1"/>
            </w:tblPr>
            <w:tblGrid>
              <w:gridCol w:w="2229"/>
            </w:tblGrid>
            <w:tr w:rsidR="00E0260F" w:rsidRPr="00DE15E9" w14:paraId="47FF741E" w14:textId="77777777" w:rsidTr="00F2792F">
              <w:tc>
                <w:tcPr>
                  <w:tcW w:w="2239" w:type="dxa"/>
                  <w:shd w:val="clear" w:color="auto" w:fill="FFFFFF"/>
                  <w:hideMark/>
                </w:tcPr>
                <w:p w14:paraId="24901EE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cumpărătorul solicită furnizorului plăți pentru deteriorarea sau pierderea de produse agricole și alimentare sau pentru ambele, survenite în spațiile cumpărătorului sau după ce proprietatea a fost transferată cumpărătorului, atunci când o astfel de deteriorare sau pierdere nu a avut loc din neglijența sau culpa furnizorului;</w:t>
                  </w:r>
                </w:p>
              </w:tc>
            </w:tr>
          </w:tbl>
          <w:p w14:paraId="2E166CB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11" w:type="pct"/>
              <w:shd w:val="clear" w:color="auto" w:fill="FFFFFF"/>
              <w:tblLayout w:type="fixed"/>
              <w:tblCellMar>
                <w:left w:w="0" w:type="dxa"/>
                <w:right w:w="0" w:type="dxa"/>
              </w:tblCellMar>
              <w:tblLook w:val="04A0" w:firstRow="1" w:lastRow="0" w:firstColumn="1" w:lastColumn="0" w:noHBand="0" w:noVBand="1"/>
            </w:tblPr>
            <w:tblGrid>
              <w:gridCol w:w="2234"/>
            </w:tblGrid>
            <w:tr w:rsidR="00E0260F" w:rsidRPr="00DE15E9" w14:paraId="32BA81AB" w14:textId="77777777" w:rsidTr="00F2792F">
              <w:tc>
                <w:tcPr>
                  <w:tcW w:w="2234" w:type="dxa"/>
                  <w:shd w:val="clear" w:color="auto" w:fill="FFFFFF"/>
                  <w:hideMark/>
                </w:tcPr>
                <w:p w14:paraId="2D550C0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the buyer requires the supplier to pay for the deterioration or loss, or both, of agricultural and food products that occurs on the buyer's premises or after ownership has been transferred to the buyer, where such deterioration or loss is not caused by the negligence or fault of the supplier;</w:t>
                  </w:r>
                </w:p>
              </w:tc>
            </w:tr>
          </w:tbl>
          <w:p w14:paraId="380D47E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708C2708" w14:textId="58822343"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bCs/>
                <w:sz w:val="20"/>
                <w:szCs w:val="20"/>
                <w:lang w:val="ro-MD"/>
              </w:rPr>
              <w:t>5)</w:t>
            </w:r>
            <w:r w:rsidRPr="00DE15E9">
              <w:rPr>
                <w:rFonts w:ascii="Times New Roman" w:hAnsi="Times New Roman" w:cs="Times New Roman"/>
                <w:bCs/>
                <w:sz w:val="20"/>
                <w:szCs w:val="20"/>
                <w:lang w:val="ro-MD"/>
              </w:rPr>
              <w:tab/>
              <w:t>Cumpărătorul solicită furnizorului plăți pentru deteriorarea sau pierderea de produse agricole și alimentare, survenite în spațiile cumpărătorului sau din momentul recepționării produselor agricole și alimentare, atunci când o astfel de deteriorare sau pierdere nu a avut loc din neglijența sau culpa furnizorului.</w:t>
            </w:r>
          </w:p>
        </w:tc>
        <w:tc>
          <w:tcPr>
            <w:tcW w:w="2693" w:type="dxa"/>
            <w:tcBorders>
              <w:top w:val="single" w:sz="4" w:space="0" w:color="000000"/>
              <w:left w:val="single" w:sz="4" w:space="0" w:color="000000"/>
              <w:bottom w:val="single" w:sz="4" w:space="0" w:color="000000"/>
              <w:right w:val="single" w:sz="4" w:space="0" w:color="000000"/>
            </w:tcBorders>
          </w:tcPr>
          <w:p w14:paraId="3A4AEC23" w14:textId="77777777" w:rsidR="00EE386A" w:rsidRPr="00DE15E9" w:rsidRDefault="00EE386A" w:rsidP="00DE15E9">
            <w:pPr>
              <w:numPr>
                <w:ilvl w:val="0"/>
                <w:numId w:val="13"/>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The buyer requires the supplier to pay for the deterioration or loss of agricultural and food products occurring on the buyer’s premises or from the moment of receipt of the agricultural and food products, where such deterioration or loss has not occurred as a result of the supplier’s negligence or fault.</w:t>
            </w:r>
          </w:p>
          <w:p w14:paraId="4BC24E00"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783725A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76AC2E5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467B96B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2E38B7FF" w14:textId="77777777" w:rsidTr="00033703">
        <w:tc>
          <w:tcPr>
            <w:tcW w:w="430" w:type="dxa"/>
            <w:tcBorders>
              <w:top w:val="single" w:sz="4" w:space="0" w:color="000000"/>
              <w:left w:val="single" w:sz="4" w:space="0" w:color="000000"/>
              <w:bottom w:val="single" w:sz="4" w:space="0" w:color="000000"/>
              <w:right w:val="single" w:sz="4" w:space="0" w:color="000000"/>
            </w:tcBorders>
          </w:tcPr>
          <w:p w14:paraId="5F1F27B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26</w:t>
            </w:r>
          </w:p>
        </w:tc>
        <w:tc>
          <w:tcPr>
            <w:tcW w:w="2547" w:type="dxa"/>
            <w:tcBorders>
              <w:top w:val="single" w:sz="4" w:space="0" w:color="000000"/>
              <w:left w:val="single" w:sz="4" w:space="0" w:color="000000"/>
              <w:bottom w:val="single" w:sz="4" w:space="0" w:color="000000"/>
              <w:right w:val="single" w:sz="4" w:space="0" w:color="000000"/>
            </w:tcBorders>
          </w:tcPr>
          <w:tbl>
            <w:tblPr>
              <w:tblW w:w="4826" w:type="pct"/>
              <w:shd w:val="clear" w:color="auto" w:fill="FFFFFF"/>
              <w:tblLayout w:type="fixed"/>
              <w:tblCellMar>
                <w:left w:w="0" w:type="dxa"/>
                <w:right w:w="0" w:type="dxa"/>
              </w:tblCellMar>
              <w:tblLook w:val="04A0" w:firstRow="1" w:lastRow="0" w:firstColumn="1" w:lastColumn="0" w:noHBand="0" w:noVBand="1"/>
            </w:tblPr>
            <w:tblGrid>
              <w:gridCol w:w="2236"/>
            </w:tblGrid>
            <w:tr w:rsidR="00E0260F" w:rsidRPr="00DE15E9" w14:paraId="1111F15A" w14:textId="77777777" w:rsidTr="00F2792F">
              <w:tc>
                <w:tcPr>
                  <w:tcW w:w="2246" w:type="dxa"/>
                  <w:shd w:val="clear" w:color="auto" w:fill="FFFFFF"/>
                  <w:hideMark/>
                </w:tcPr>
                <w:p w14:paraId="4942A21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cumpărătorul refuză să confirme în scris clauzele unui acord de furnizare între cumpărător și furnizor în legătură cu care furnizorul a solicitat o confirmare scrisă;</w:t>
                  </w:r>
                </w:p>
                <w:p w14:paraId="1C504E2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p w14:paraId="4FD3F2A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nu este inclusă aici situația în care acordul de furnizare se referă la produse care urmează să fie livrate de un membru al unei organizații de producători, inclusiv o cooperativă, chiar organizației de producători al cărei membru este furnizorul, dacă statutul respectivei organizații de producători sau dacă normele și deciziile prevăzute în respectivul statut sau derivate din acesta conțin dispoziții având efecte similare </w:t>
                  </w:r>
                  <w:r w:rsidRPr="00DE15E9">
                    <w:rPr>
                      <w:rFonts w:ascii="Times New Roman" w:eastAsia="Times New Roman" w:hAnsi="Times New Roman" w:cs="Times New Roman"/>
                      <w:sz w:val="20"/>
                      <w:szCs w:val="20"/>
                      <w:lang w:val="ro-MD"/>
                    </w:rPr>
                    <w:lastRenderedPageBreak/>
                    <w:t>clauzelor acordului de furnizare;</w:t>
                  </w:r>
                </w:p>
              </w:tc>
            </w:tr>
          </w:tbl>
          <w:p w14:paraId="7864D1F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26" w:type="pct"/>
              <w:shd w:val="clear" w:color="auto" w:fill="FFFFFF"/>
              <w:tblLayout w:type="fixed"/>
              <w:tblCellMar>
                <w:left w:w="0" w:type="dxa"/>
                <w:right w:w="0" w:type="dxa"/>
              </w:tblCellMar>
              <w:tblLook w:val="04A0" w:firstRow="1" w:lastRow="0" w:firstColumn="1" w:lastColumn="0" w:noHBand="0" w:noVBand="1"/>
            </w:tblPr>
            <w:tblGrid>
              <w:gridCol w:w="2241"/>
            </w:tblGrid>
            <w:tr w:rsidR="00E0260F" w:rsidRPr="00DE15E9" w14:paraId="741265D3" w14:textId="77777777" w:rsidTr="00F2792F">
              <w:tc>
                <w:tcPr>
                  <w:tcW w:w="2241" w:type="dxa"/>
                  <w:shd w:val="clear" w:color="auto" w:fill="FFFFFF"/>
                  <w:hideMark/>
                </w:tcPr>
                <w:p w14:paraId="4ED92EB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lastRenderedPageBreak/>
                    <w:t xml:space="preserve">the buyer refuses to confirm in writing the terms of a supply agreement between the buyer and the supplier for which the supplier has asked for written confirmation; </w:t>
                  </w:r>
                </w:p>
                <w:p w14:paraId="7CE18E0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this shall not apply where the supply agreement concerns products to be delivered by a member of a producer organisation, including a cooperative, to the producer organisation of which the supplier is a member, if the statutes of that producer organisation or the rules and decisions provided for in, or derived from, those statutes contain provisions having similar effects to the terms of the supply agreement;</w:t>
                  </w:r>
                </w:p>
              </w:tc>
            </w:tr>
          </w:tbl>
          <w:p w14:paraId="00D9545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2C85CE8C" w14:textId="07A6BD8F" w:rsidR="00E0260F" w:rsidRPr="00DE15E9" w:rsidRDefault="00E0260F" w:rsidP="00DE15E9">
            <w:pPr>
              <w:tabs>
                <w:tab w:val="left" w:pos="311"/>
              </w:tabs>
              <w:spacing w:after="0" w:line="240" w:lineRule="auto"/>
              <w:jc w:val="both"/>
              <w:rPr>
                <w:rFonts w:ascii="Times New Roman" w:hAnsi="Times New Roman" w:cs="Times New Roman"/>
                <w:sz w:val="20"/>
                <w:szCs w:val="20"/>
                <w:lang w:val="ro-MD"/>
              </w:rPr>
            </w:pPr>
            <w:r w:rsidRPr="00DE15E9">
              <w:rPr>
                <w:rFonts w:ascii="Times New Roman" w:hAnsi="Times New Roman" w:cs="Times New Roman"/>
                <w:bCs/>
                <w:sz w:val="20"/>
                <w:szCs w:val="20"/>
                <w:lang w:val="ro-MD"/>
              </w:rPr>
              <w:t>6)</w:t>
            </w:r>
            <w:r w:rsidRPr="00DE15E9">
              <w:rPr>
                <w:rFonts w:ascii="Times New Roman" w:hAnsi="Times New Roman" w:cs="Times New Roman"/>
                <w:bCs/>
                <w:sz w:val="20"/>
                <w:szCs w:val="20"/>
                <w:lang w:val="ro-MD"/>
              </w:rPr>
              <w:tab/>
              <w:t>Cumpărătorul refuză să confirme în scris clauzele unui contract de furnizare a produselor agricole și alimentare. Excepție este situația în care acordul de furnizare se referă la produse care urmează să fie livrate de un membru al unei organizații de producători, inclusiv o cooperativă, chiar organizației de producători al cărei membru este furnizorul, dacă statutul respectivei organizații de producători sau dacă normele și deciziile prevăzute în respectivul statut sau derivate din acesta conțin dispoziții având efecte similare clauzelor acordului de furnizare.</w:t>
            </w:r>
          </w:p>
        </w:tc>
        <w:tc>
          <w:tcPr>
            <w:tcW w:w="2693" w:type="dxa"/>
            <w:tcBorders>
              <w:top w:val="single" w:sz="4" w:space="0" w:color="000000"/>
              <w:left w:val="single" w:sz="4" w:space="0" w:color="000000"/>
              <w:bottom w:val="single" w:sz="4" w:space="0" w:color="000000"/>
              <w:right w:val="single" w:sz="4" w:space="0" w:color="000000"/>
            </w:tcBorders>
          </w:tcPr>
          <w:p w14:paraId="60727FC2" w14:textId="77777777" w:rsidR="00EE386A" w:rsidRPr="00DE15E9" w:rsidRDefault="00EE386A" w:rsidP="00DE15E9">
            <w:pPr>
              <w:numPr>
                <w:ilvl w:val="0"/>
                <w:numId w:val="13"/>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The buyer refuses to confirm in writing the terms of a contract for the supply of agricultural and food products. An exception shall apply where the supply agreement concerns products to be delivered by a member of a producer organisation, including a cooperative, to the producer organisation of which the supplier is a member, provided that the statutes of that producer organisation, or the rules and decisions provided for in those statutes or derived therefrom, contain provisions having effects similar to the terms of the supply agreement.</w:t>
            </w:r>
          </w:p>
          <w:p w14:paraId="2451A023"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6A79246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4477A3F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3CDABAB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20E09B9E" w14:textId="77777777" w:rsidTr="00033703">
        <w:tc>
          <w:tcPr>
            <w:tcW w:w="430" w:type="dxa"/>
            <w:tcBorders>
              <w:top w:val="single" w:sz="4" w:space="0" w:color="000000"/>
              <w:left w:val="single" w:sz="4" w:space="0" w:color="000000"/>
              <w:bottom w:val="single" w:sz="4" w:space="0" w:color="000000"/>
              <w:right w:val="single" w:sz="4" w:space="0" w:color="000000"/>
            </w:tcBorders>
          </w:tcPr>
          <w:p w14:paraId="50F7851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27</w:t>
            </w:r>
          </w:p>
        </w:tc>
        <w:tc>
          <w:tcPr>
            <w:tcW w:w="2547" w:type="dxa"/>
            <w:tcBorders>
              <w:top w:val="single" w:sz="4" w:space="0" w:color="000000"/>
              <w:left w:val="single" w:sz="4" w:space="0" w:color="000000"/>
              <w:bottom w:val="single" w:sz="4" w:space="0" w:color="000000"/>
              <w:right w:val="single" w:sz="4" w:space="0" w:color="000000"/>
            </w:tcBorders>
          </w:tcPr>
          <w:tbl>
            <w:tblPr>
              <w:tblW w:w="4802" w:type="pct"/>
              <w:shd w:val="clear" w:color="auto" w:fill="FFFFFF"/>
              <w:tblLayout w:type="fixed"/>
              <w:tblCellMar>
                <w:left w:w="0" w:type="dxa"/>
                <w:right w:w="0" w:type="dxa"/>
              </w:tblCellMar>
              <w:tblLook w:val="04A0" w:firstRow="1" w:lastRow="0" w:firstColumn="1" w:lastColumn="0" w:noHBand="0" w:noVBand="1"/>
            </w:tblPr>
            <w:tblGrid>
              <w:gridCol w:w="2225"/>
            </w:tblGrid>
            <w:tr w:rsidR="00E0260F" w:rsidRPr="00DE15E9" w14:paraId="7ECEF8F4" w14:textId="77777777" w:rsidTr="00F2792F">
              <w:tc>
                <w:tcPr>
                  <w:tcW w:w="2235" w:type="dxa"/>
                  <w:shd w:val="clear" w:color="auto" w:fill="FFFFFF"/>
                  <w:hideMark/>
                </w:tcPr>
                <w:p w14:paraId="42BA43F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cumpărătorul dobândește, utilizează sau divulgă în mod ilegal secrete comerciale ale furnizorului, în înțelesul Directivei (UE) 2016/943 a Parlamentului European și a Consiliului </w:t>
                  </w:r>
                  <w:hyperlink r:id="rId9" w:anchor="ntr9-L_2019111RO.01005901-E0009" w:history="1">
                    <w:r w:rsidRPr="00DE15E9">
                      <w:rPr>
                        <w:rFonts w:ascii="Times New Roman" w:eastAsia="Times New Roman" w:hAnsi="Times New Roman" w:cs="Times New Roman"/>
                        <w:sz w:val="20"/>
                        <w:szCs w:val="20"/>
                        <w:u w:val="single"/>
                        <w:lang w:val="ro-MD"/>
                      </w:rPr>
                      <w:t>(</w:t>
                    </w:r>
                    <w:r w:rsidRPr="00DE15E9">
                      <w:rPr>
                        <w:rFonts w:ascii="Times New Roman" w:eastAsia="Times New Roman" w:hAnsi="Times New Roman" w:cs="Times New Roman"/>
                        <w:sz w:val="20"/>
                        <w:szCs w:val="20"/>
                        <w:vertAlign w:val="superscript"/>
                        <w:lang w:val="ro-MD"/>
                      </w:rPr>
                      <w:t>9</w:t>
                    </w:r>
                    <w:r w:rsidRPr="00DE15E9">
                      <w:rPr>
                        <w:rFonts w:ascii="Times New Roman" w:eastAsia="Times New Roman" w:hAnsi="Times New Roman" w:cs="Times New Roman"/>
                        <w:sz w:val="20"/>
                        <w:szCs w:val="20"/>
                        <w:u w:val="single"/>
                        <w:lang w:val="ro-MD"/>
                      </w:rPr>
                      <w:t>)</w:t>
                    </w:r>
                  </w:hyperlink>
                  <w:r w:rsidRPr="00DE15E9">
                    <w:rPr>
                      <w:rFonts w:ascii="Times New Roman" w:eastAsia="Times New Roman" w:hAnsi="Times New Roman" w:cs="Times New Roman"/>
                      <w:sz w:val="20"/>
                      <w:szCs w:val="20"/>
                      <w:lang w:val="ro-MD"/>
                    </w:rPr>
                    <w:t>;</w:t>
                  </w:r>
                </w:p>
              </w:tc>
            </w:tr>
          </w:tbl>
          <w:p w14:paraId="6531A3BF" w14:textId="77777777" w:rsidR="00E0260F" w:rsidRPr="00DE15E9" w:rsidRDefault="00E0260F" w:rsidP="00DE15E9">
            <w:pPr>
              <w:spacing w:after="0" w:line="240" w:lineRule="auto"/>
              <w:jc w:val="center"/>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02" w:type="pct"/>
              <w:shd w:val="clear" w:color="auto" w:fill="FFFFFF"/>
              <w:tblLayout w:type="fixed"/>
              <w:tblCellMar>
                <w:left w:w="0" w:type="dxa"/>
                <w:right w:w="0" w:type="dxa"/>
              </w:tblCellMar>
              <w:tblLook w:val="04A0" w:firstRow="1" w:lastRow="0" w:firstColumn="1" w:lastColumn="0" w:noHBand="0" w:noVBand="1"/>
            </w:tblPr>
            <w:tblGrid>
              <w:gridCol w:w="2230"/>
            </w:tblGrid>
            <w:tr w:rsidR="00E0260F" w:rsidRPr="00DE15E9" w14:paraId="59F055C6" w14:textId="77777777" w:rsidTr="00F2792F">
              <w:tc>
                <w:tcPr>
                  <w:tcW w:w="2230" w:type="dxa"/>
                  <w:shd w:val="clear" w:color="auto" w:fill="FFFFFF"/>
                  <w:hideMark/>
                </w:tcPr>
                <w:p w14:paraId="3C63C10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the buyer unlawfully acquires, uses or discloses the trade secrets of the supplier within the meaning of Directive (EU) 2016/943 of the European Parliament and of the Council </w:t>
                  </w:r>
                  <w:hyperlink r:id="rId10" w:anchor="ntr9-L_2019111EN.01005901-E0009" w:history="1">
                    <w:r w:rsidRPr="00DE15E9">
                      <w:rPr>
                        <w:rFonts w:ascii="Times New Roman" w:eastAsia="Times New Roman" w:hAnsi="Times New Roman" w:cs="Times New Roman"/>
                        <w:sz w:val="20"/>
                        <w:szCs w:val="20"/>
                        <w:u w:val="single"/>
                        <w:lang w:val="en-GB"/>
                      </w:rPr>
                      <w:t>(</w:t>
                    </w:r>
                    <w:r w:rsidRPr="00DE15E9">
                      <w:rPr>
                        <w:rFonts w:ascii="Times New Roman" w:eastAsia="Times New Roman" w:hAnsi="Times New Roman" w:cs="Times New Roman"/>
                        <w:sz w:val="20"/>
                        <w:szCs w:val="20"/>
                        <w:vertAlign w:val="superscript"/>
                        <w:lang w:val="en-GB"/>
                      </w:rPr>
                      <w:t>9</w:t>
                    </w:r>
                    <w:r w:rsidRPr="00DE15E9">
                      <w:rPr>
                        <w:rFonts w:ascii="Times New Roman" w:eastAsia="Times New Roman" w:hAnsi="Times New Roman" w:cs="Times New Roman"/>
                        <w:sz w:val="20"/>
                        <w:szCs w:val="20"/>
                        <w:u w:val="single"/>
                        <w:lang w:val="en-GB"/>
                      </w:rPr>
                      <w:t>)</w:t>
                    </w:r>
                  </w:hyperlink>
                  <w:r w:rsidRPr="00DE15E9">
                    <w:rPr>
                      <w:rFonts w:ascii="Times New Roman" w:eastAsia="Times New Roman" w:hAnsi="Times New Roman" w:cs="Times New Roman"/>
                      <w:sz w:val="20"/>
                      <w:szCs w:val="20"/>
                      <w:lang w:val="en-GB"/>
                    </w:rPr>
                    <w:t>;</w:t>
                  </w:r>
                </w:p>
              </w:tc>
            </w:tr>
          </w:tbl>
          <w:p w14:paraId="741763E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40612A27" w14:textId="5366FAE5"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bCs/>
                <w:sz w:val="20"/>
                <w:szCs w:val="20"/>
                <w:lang w:val="ro-MD"/>
              </w:rPr>
              <w:t>7)</w:t>
            </w:r>
            <w:r w:rsidRPr="00DE15E9">
              <w:rPr>
                <w:rFonts w:ascii="Times New Roman" w:hAnsi="Times New Roman" w:cs="Times New Roman"/>
                <w:bCs/>
                <w:sz w:val="20"/>
                <w:szCs w:val="20"/>
                <w:lang w:val="ro-MD"/>
              </w:rPr>
              <w:tab/>
              <w:t>Cumpărătorul dobândește, utilizează sau divulgă în mod ilegal secrete comerciale ale furnizorului, în sensul Legii nr. 384/2023 privind protecția secretelor comerciale.</w:t>
            </w:r>
          </w:p>
        </w:tc>
        <w:tc>
          <w:tcPr>
            <w:tcW w:w="2693" w:type="dxa"/>
            <w:tcBorders>
              <w:top w:val="single" w:sz="4" w:space="0" w:color="000000"/>
              <w:left w:val="single" w:sz="4" w:space="0" w:color="000000"/>
              <w:bottom w:val="single" w:sz="4" w:space="0" w:color="000000"/>
              <w:right w:val="single" w:sz="4" w:space="0" w:color="000000"/>
            </w:tcBorders>
          </w:tcPr>
          <w:p w14:paraId="4795ED05" w14:textId="77777777" w:rsidR="009F4560" w:rsidRPr="00DE15E9" w:rsidRDefault="009F4560" w:rsidP="00DE15E9">
            <w:pPr>
              <w:numPr>
                <w:ilvl w:val="0"/>
                <w:numId w:val="13"/>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The buyer unlawfully acquires, uses or discloses the supplier’s trade secrets, within the meaning of Law No. 384/2023 on the protection of trade secrets.</w:t>
            </w:r>
          </w:p>
          <w:p w14:paraId="6A9AF6B4"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55F73DB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Compatibil</w:t>
            </w:r>
          </w:p>
        </w:tc>
        <w:tc>
          <w:tcPr>
            <w:tcW w:w="1985" w:type="dxa"/>
            <w:tcBorders>
              <w:top w:val="single" w:sz="4" w:space="0" w:color="000000"/>
              <w:left w:val="single" w:sz="4" w:space="0" w:color="000000"/>
              <w:bottom w:val="single" w:sz="4" w:space="0" w:color="000000"/>
              <w:right w:val="single" w:sz="4" w:space="0" w:color="000000"/>
            </w:tcBorders>
          </w:tcPr>
          <w:p w14:paraId="0908808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2636D6F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671C572D" w14:textId="77777777" w:rsidTr="00033703">
        <w:trPr>
          <w:trHeight w:val="70"/>
        </w:trPr>
        <w:tc>
          <w:tcPr>
            <w:tcW w:w="430" w:type="dxa"/>
            <w:tcBorders>
              <w:top w:val="single" w:sz="4" w:space="0" w:color="000000"/>
              <w:left w:val="single" w:sz="4" w:space="0" w:color="000000"/>
              <w:bottom w:val="single" w:sz="4" w:space="0" w:color="000000"/>
              <w:right w:val="single" w:sz="4" w:space="0" w:color="000000"/>
            </w:tcBorders>
          </w:tcPr>
          <w:p w14:paraId="63BEBB7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28</w:t>
            </w:r>
          </w:p>
        </w:tc>
        <w:tc>
          <w:tcPr>
            <w:tcW w:w="2547" w:type="dxa"/>
            <w:tcBorders>
              <w:top w:val="single" w:sz="4" w:space="0" w:color="000000"/>
              <w:left w:val="single" w:sz="4" w:space="0" w:color="000000"/>
              <w:bottom w:val="single" w:sz="4" w:space="0" w:color="000000"/>
              <w:right w:val="single" w:sz="4" w:space="0" w:color="000000"/>
            </w:tcBorders>
          </w:tcPr>
          <w:tbl>
            <w:tblPr>
              <w:tblW w:w="3238" w:type="dxa"/>
              <w:shd w:val="clear" w:color="auto" w:fill="FFFFFF"/>
              <w:tblLayout w:type="fixed"/>
              <w:tblCellMar>
                <w:left w:w="0" w:type="dxa"/>
                <w:right w:w="0" w:type="dxa"/>
              </w:tblCellMar>
              <w:tblLook w:val="04A0" w:firstRow="1" w:lastRow="0" w:firstColumn="1" w:lastColumn="0" w:noHBand="0" w:noVBand="1"/>
            </w:tblPr>
            <w:tblGrid>
              <w:gridCol w:w="2246"/>
              <w:gridCol w:w="992"/>
            </w:tblGrid>
            <w:tr w:rsidR="00E0260F" w:rsidRPr="00DE15E9" w14:paraId="4B2720CD" w14:textId="77777777" w:rsidTr="00F2792F">
              <w:trPr>
                <w:gridAfter w:val="1"/>
                <w:wAfter w:w="992" w:type="dxa"/>
              </w:trPr>
              <w:tc>
                <w:tcPr>
                  <w:tcW w:w="2246" w:type="dxa"/>
                  <w:shd w:val="clear" w:color="auto" w:fill="FFFFFF"/>
                  <w:hideMark/>
                </w:tcPr>
                <w:p w14:paraId="272B820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cumpărătorul amenință cu efectuarea sau efectuează represalii comerciale împotriva furnizorului în cazul în care furnizorul își exercită drepturile legale sau contractuale, inclusiv prin depunerea unei plângeri la autoritățile de aplicare a legii sau prin cooperarea cu autoritățile de aplicare a legii în timpul unei investigații;</w:t>
                  </w:r>
                </w:p>
              </w:tc>
            </w:tr>
            <w:tr w:rsidR="00E0260F" w:rsidRPr="00DE15E9" w14:paraId="37276AC5" w14:textId="77777777" w:rsidTr="00033703">
              <w:trPr>
                <w:trHeight w:val="80"/>
              </w:trPr>
              <w:tc>
                <w:tcPr>
                  <w:tcW w:w="3238" w:type="dxa"/>
                  <w:gridSpan w:val="2"/>
                  <w:shd w:val="clear" w:color="auto" w:fill="FFFFFF"/>
                </w:tcPr>
                <w:p w14:paraId="37223A6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bl>
          <w:p w14:paraId="7E37C9E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2230" w:type="dxa"/>
              <w:shd w:val="clear" w:color="auto" w:fill="FFFFFF"/>
              <w:tblLayout w:type="fixed"/>
              <w:tblCellMar>
                <w:left w:w="0" w:type="dxa"/>
                <w:right w:w="0" w:type="dxa"/>
              </w:tblCellMar>
              <w:tblLook w:val="04A0" w:firstRow="1" w:lastRow="0" w:firstColumn="1" w:lastColumn="0" w:noHBand="0" w:noVBand="1"/>
            </w:tblPr>
            <w:tblGrid>
              <w:gridCol w:w="2230"/>
            </w:tblGrid>
            <w:tr w:rsidR="00E0260F" w:rsidRPr="00DE15E9" w14:paraId="23586DDD" w14:textId="77777777" w:rsidTr="00F2792F">
              <w:tc>
                <w:tcPr>
                  <w:tcW w:w="2230" w:type="dxa"/>
                  <w:shd w:val="clear" w:color="auto" w:fill="FFFFFF"/>
                  <w:hideMark/>
                </w:tcPr>
                <w:p w14:paraId="3D488D1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the buyer threatens to carry out, or carries out, acts of commercial retaliation against the supplier if the supplier exercises its contractual or legal rights, including by filing a complaint with enforcement authorities or by cooperating with enforcement authorities during an investigation;</w:t>
                  </w:r>
                </w:p>
              </w:tc>
            </w:tr>
          </w:tbl>
          <w:p w14:paraId="127B82F7" w14:textId="77777777" w:rsidR="00E0260F" w:rsidRPr="00DE15E9" w:rsidRDefault="00E0260F" w:rsidP="00DE15E9">
            <w:pPr>
              <w:spacing w:after="0" w:line="240" w:lineRule="auto"/>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275C02BE" w14:textId="70DC9083"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bCs/>
                <w:sz w:val="20"/>
                <w:szCs w:val="20"/>
                <w:lang w:val="ro-MD"/>
              </w:rPr>
              <w:t>8)</w:t>
            </w:r>
            <w:r w:rsidRPr="00DE15E9">
              <w:rPr>
                <w:rFonts w:ascii="Times New Roman" w:hAnsi="Times New Roman" w:cs="Times New Roman"/>
                <w:bCs/>
                <w:sz w:val="20"/>
                <w:szCs w:val="20"/>
                <w:lang w:val="ro-MD"/>
              </w:rPr>
              <w:tab/>
              <w:t xml:space="preserve">Cumpărătorul amenință cu efectuarea sau efectuează represalii comerciale împotriva furnizorului, astfel cum sunt definite la art. 3 lit. k), în cazul în care furnizorul își exercită drepturile legale sau contractuale, inclusiv prin depunerea unei plângeri la autoritatea competentă sau prin cooperarea în cadrul unei investigații.   </w:t>
            </w:r>
          </w:p>
        </w:tc>
        <w:tc>
          <w:tcPr>
            <w:tcW w:w="2693" w:type="dxa"/>
            <w:tcBorders>
              <w:top w:val="single" w:sz="4" w:space="0" w:color="000000"/>
              <w:left w:val="single" w:sz="4" w:space="0" w:color="000000"/>
              <w:bottom w:val="single" w:sz="4" w:space="0" w:color="000000"/>
              <w:right w:val="single" w:sz="4" w:space="0" w:color="000000"/>
            </w:tcBorders>
          </w:tcPr>
          <w:p w14:paraId="0FE1F1AB" w14:textId="2887E8D7" w:rsidR="00E0260F" w:rsidRPr="00DE15E9" w:rsidRDefault="009F4560" w:rsidP="00DE15E9">
            <w:pPr>
              <w:numPr>
                <w:ilvl w:val="0"/>
                <w:numId w:val="13"/>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The buyer threatens to carry out, or carries out, commercial retaliation against the supplier where the supplier exercises its legal or contractual rights, including by lodging a complaint with the enforcement authority or by cooperating with the enforcement authority during an investigation.</w:t>
            </w:r>
          </w:p>
        </w:tc>
        <w:tc>
          <w:tcPr>
            <w:tcW w:w="1276" w:type="dxa"/>
            <w:tcBorders>
              <w:top w:val="single" w:sz="4" w:space="0" w:color="000000"/>
              <w:left w:val="single" w:sz="4" w:space="0" w:color="000000"/>
              <w:bottom w:val="single" w:sz="4" w:space="0" w:color="000000"/>
              <w:right w:val="single" w:sz="4" w:space="0" w:color="000000"/>
            </w:tcBorders>
          </w:tcPr>
          <w:p w14:paraId="6A00DAE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3DDAA91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08956A5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45D58674" w14:textId="77777777" w:rsidTr="00033703">
        <w:tc>
          <w:tcPr>
            <w:tcW w:w="430" w:type="dxa"/>
            <w:tcBorders>
              <w:top w:val="single" w:sz="4" w:space="0" w:color="000000"/>
              <w:left w:val="single" w:sz="4" w:space="0" w:color="000000"/>
              <w:bottom w:val="single" w:sz="4" w:space="0" w:color="000000"/>
              <w:right w:val="single" w:sz="4" w:space="0" w:color="000000"/>
            </w:tcBorders>
          </w:tcPr>
          <w:p w14:paraId="45494A9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29</w:t>
            </w:r>
          </w:p>
        </w:tc>
        <w:tc>
          <w:tcPr>
            <w:tcW w:w="2547" w:type="dxa"/>
            <w:tcBorders>
              <w:top w:val="single" w:sz="4" w:space="0" w:color="000000"/>
              <w:left w:val="single" w:sz="4" w:space="0" w:color="000000"/>
              <w:bottom w:val="single" w:sz="4" w:space="0" w:color="000000"/>
              <w:right w:val="single" w:sz="4" w:space="0" w:color="000000"/>
            </w:tcBorders>
          </w:tcPr>
          <w:tbl>
            <w:tblPr>
              <w:tblW w:w="4835" w:type="pct"/>
              <w:shd w:val="clear" w:color="auto" w:fill="FFFFFF"/>
              <w:tblLayout w:type="fixed"/>
              <w:tblCellMar>
                <w:left w:w="0" w:type="dxa"/>
                <w:right w:w="0" w:type="dxa"/>
              </w:tblCellMar>
              <w:tblLook w:val="04A0" w:firstRow="1" w:lastRow="0" w:firstColumn="1" w:lastColumn="0" w:noHBand="0" w:noVBand="1"/>
            </w:tblPr>
            <w:tblGrid>
              <w:gridCol w:w="2241"/>
            </w:tblGrid>
            <w:tr w:rsidR="00E0260F" w:rsidRPr="00DE15E9" w14:paraId="4DB93B73" w14:textId="77777777" w:rsidTr="00F2792F">
              <w:tc>
                <w:tcPr>
                  <w:tcW w:w="2250" w:type="dxa"/>
                  <w:shd w:val="clear" w:color="auto" w:fill="FFFFFF"/>
                  <w:hideMark/>
                </w:tcPr>
                <w:p w14:paraId="27BE61C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cumpărătorul solicită furnizorului compensarea costurilor aferente examinării plângerilor clienților referitoare la vânzarea produselor furnizorului, în pofida absenței unei conduite neglijente sau a unei culpe din partea furnizorului.</w:t>
                  </w:r>
                </w:p>
              </w:tc>
            </w:tr>
          </w:tbl>
          <w:p w14:paraId="562A7AC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34" w:type="pct"/>
              <w:shd w:val="clear" w:color="auto" w:fill="FFFFFF"/>
              <w:tblLayout w:type="fixed"/>
              <w:tblCellMar>
                <w:left w:w="0" w:type="dxa"/>
                <w:right w:w="0" w:type="dxa"/>
              </w:tblCellMar>
              <w:tblLook w:val="04A0" w:firstRow="1" w:lastRow="0" w:firstColumn="1" w:lastColumn="0" w:noHBand="0" w:noVBand="1"/>
            </w:tblPr>
            <w:tblGrid>
              <w:gridCol w:w="2245"/>
            </w:tblGrid>
            <w:tr w:rsidR="00E0260F" w:rsidRPr="00DE15E9" w14:paraId="7AF92340" w14:textId="77777777" w:rsidTr="00F2792F">
              <w:tc>
                <w:tcPr>
                  <w:tcW w:w="2245" w:type="dxa"/>
                  <w:shd w:val="clear" w:color="auto" w:fill="FFFFFF"/>
                  <w:hideMark/>
                </w:tcPr>
                <w:p w14:paraId="36B5E40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the buyer requires compensation from the supplier for the cost of examining customer complaints relating to the sale of the supplier's products despite the absence of negligence or fault on the part of the supplier.</w:t>
                  </w:r>
                </w:p>
              </w:tc>
            </w:tr>
          </w:tbl>
          <w:p w14:paraId="42CA382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62D7F06D" w14:textId="15A46D75"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bCs/>
                <w:sz w:val="20"/>
                <w:szCs w:val="20"/>
                <w:lang w:val="ro-MD"/>
              </w:rPr>
              <w:t>9)</w:t>
            </w:r>
            <w:r w:rsidRPr="00DE15E9">
              <w:rPr>
                <w:rFonts w:ascii="Times New Roman" w:hAnsi="Times New Roman" w:cs="Times New Roman"/>
                <w:bCs/>
                <w:sz w:val="20"/>
                <w:szCs w:val="20"/>
                <w:lang w:val="ro-MD"/>
              </w:rPr>
              <w:tab/>
              <w:t>Cumpărătorul solicită furnizorului compensarea costurilor aferente examinării plângerilor clienților referitoare la vânzarea produselor furnizorului, în pofida absenței unei conduite neglijente sau a unei culpe din partea furnizorului.</w:t>
            </w:r>
          </w:p>
        </w:tc>
        <w:tc>
          <w:tcPr>
            <w:tcW w:w="2693" w:type="dxa"/>
            <w:tcBorders>
              <w:top w:val="single" w:sz="4" w:space="0" w:color="000000"/>
              <w:left w:val="single" w:sz="4" w:space="0" w:color="000000"/>
              <w:bottom w:val="single" w:sz="4" w:space="0" w:color="000000"/>
              <w:right w:val="single" w:sz="4" w:space="0" w:color="000000"/>
            </w:tcBorders>
          </w:tcPr>
          <w:p w14:paraId="112F6668" w14:textId="1E4791FC" w:rsidR="00E0260F" w:rsidRPr="00DE15E9" w:rsidRDefault="009F4560" w:rsidP="00DE15E9">
            <w:pPr>
              <w:numPr>
                <w:ilvl w:val="0"/>
                <w:numId w:val="13"/>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The buyer requires the supplier to compensate the costs of examining customer complaints relating to the sale of the supplier’s products where the complaints are not caused by the non-conformity of the products delivered or by the supplier’s failure to comply with contractual or legal obligations.</w:t>
            </w:r>
          </w:p>
        </w:tc>
        <w:tc>
          <w:tcPr>
            <w:tcW w:w="1276" w:type="dxa"/>
            <w:tcBorders>
              <w:top w:val="single" w:sz="4" w:space="0" w:color="000000"/>
              <w:left w:val="single" w:sz="4" w:space="0" w:color="000000"/>
              <w:bottom w:val="single" w:sz="4" w:space="0" w:color="000000"/>
              <w:right w:val="single" w:sz="4" w:space="0" w:color="000000"/>
            </w:tcBorders>
          </w:tcPr>
          <w:p w14:paraId="6278715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41A0A3A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4AB2BBA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130E93A1" w14:textId="77777777" w:rsidTr="00033703">
        <w:tc>
          <w:tcPr>
            <w:tcW w:w="430" w:type="dxa"/>
            <w:tcBorders>
              <w:top w:val="single" w:sz="4" w:space="0" w:color="000000"/>
              <w:left w:val="single" w:sz="4" w:space="0" w:color="000000"/>
              <w:bottom w:val="single" w:sz="4" w:space="0" w:color="000000"/>
              <w:right w:val="single" w:sz="4" w:space="0" w:color="000000"/>
            </w:tcBorders>
          </w:tcPr>
          <w:p w14:paraId="2B93DDFE"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30</w:t>
            </w:r>
          </w:p>
        </w:tc>
        <w:tc>
          <w:tcPr>
            <w:tcW w:w="2547" w:type="dxa"/>
            <w:tcBorders>
              <w:top w:val="single" w:sz="4" w:space="0" w:color="000000"/>
              <w:left w:val="single" w:sz="4" w:space="0" w:color="000000"/>
              <w:bottom w:val="single" w:sz="4" w:space="0" w:color="000000"/>
              <w:right w:val="single" w:sz="4" w:space="0" w:color="000000"/>
            </w:tcBorders>
          </w:tcPr>
          <w:p w14:paraId="62B8288C"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Interdicția menționată la primul paragraf litera (a) nu aduce atingere:</w:t>
            </w:r>
          </w:p>
          <w:tbl>
            <w:tblPr>
              <w:tblW w:w="5000" w:type="pct"/>
              <w:shd w:val="clear" w:color="auto" w:fill="FFFFFF"/>
              <w:tblLayout w:type="fixed"/>
              <w:tblCellMar>
                <w:left w:w="0" w:type="dxa"/>
                <w:right w:w="0" w:type="dxa"/>
              </w:tblCellMar>
              <w:tblLook w:val="04A0" w:firstRow="1" w:lastRow="0" w:firstColumn="1" w:lastColumn="0" w:noHBand="0" w:noVBand="1"/>
            </w:tblPr>
            <w:tblGrid>
              <w:gridCol w:w="81"/>
              <w:gridCol w:w="2236"/>
            </w:tblGrid>
            <w:tr w:rsidR="00E0260F" w:rsidRPr="00DE15E9" w14:paraId="5793B693" w14:textId="77777777" w:rsidTr="00FE1408">
              <w:tc>
                <w:tcPr>
                  <w:tcW w:w="270" w:type="dxa"/>
                  <w:shd w:val="clear" w:color="auto" w:fill="FFFFFF"/>
                  <w:hideMark/>
                </w:tcPr>
                <w:p w14:paraId="4DF8637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w:t>
                  </w:r>
                </w:p>
              </w:tc>
              <w:tc>
                <w:tcPr>
                  <w:tcW w:w="9136" w:type="dxa"/>
                  <w:shd w:val="clear" w:color="auto" w:fill="FFFFFF"/>
                  <w:hideMark/>
                </w:tcPr>
                <w:p w14:paraId="4D0BC50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consecințelor întârzierilor în efectuarea plăților și căilor de atac prezentate în Directiva 2011/7/UE, care se aplică, prin derogare de la termenele de plată stabilite în respectiva directivă, pe baza termenelor de plată prevăzute în prezenta directivă;</w:t>
                  </w:r>
                </w:p>
              </w:tc>
            </w:tr>
          </w:tbl>
          <w:p w14:paraId="58D0155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41CFB90B"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lastRenderedPageBreak/>
              <w:t>The prohibition referred to in point (a) of the first subparagraph shall be without prejudice:</w:t>
            </w:r>
          </w:p>
          <w:tbl>
            <w:tblPr>
              <w:tblW w:w="5000" w:type="pct"/>
              <w:shd w:val="clear" w:color="auto" w:fill="FFFFFF"/>
              <w:tblLayout w:type="fixed"/>
              <w:tblCellMar>
                <w:left w:w="0" w:type="dxa"/>
                <w:right w:w="0" w:type="dxa"/>
              </w:tblCellMar>
              <w:tblLook w:val="04A0" w:firstRow="1" w:lastRow="0" w:firstColumn="1" w:lastColumn="0" w:noHBand="0" w:noVBand="1"/>
            </w:tblPr>
            <w:tblGrid>
              <w:gridCol w:w="81"/>
              <w:gridCol w:w="2241"/>
            </w:tblGrid>
            <w:tr w:rsidR="00E0260F" w:rsidRPr="00DE15E9" w14:paraId="4BEDD02B" w14:textId="77777777" w:rsidTr="00FE1408">
              <w:tc>
                <w:tcPr>
                  <w:tcW w:w="270" w:type="dxa"/>
                  <w:shd w:val="clear" w:color="auto" w:fill="FFFFFF"/>
                  <w:hideMark/>
                </w:tcPr>
                <w:p w14:paraId="58FAC04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lastRenderedPageBreak/>
                    <w:t>—</w:t>
                  </w:r>
                </w:p>
              </w:tc>
              <w:tc>
                <w:tcPr>
                  <w:tcW w:w="9136" w:type="dxa"/>
                  <w:shd w:val="clear" w:color="auto" w:fill="FFFFFF"/>
                  <w:hideMark/>
                </w:tcPr>
                <w:p w14:paraId="26B013A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to the consequences of late payments and remedies as laid down in Directive 2011/7/EU, which shall apply, by way of derogation from the payment periods set out in that Directive, on the basis of the payment periods set out in this Directive;</w:t>
                  </w:r>
                </w:p>
              </w:tc>
            </w:tr>
          </w:tbl>
          <w:p w14:paraId="7D57E2C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37660FF0" w14:textId="77777777" w:rsidR="009F4560" w:rsidRPr="00DE15E9" w:rsidRDefault="009F4560" w:rsidP="00DE15E9">
            <w:pPr>
              <w:pStyle w:val="ListParagraph"/>
              <w:tabs>
                <w:tab w:val="left" w:pos="709"/>
                <w:tab w:val="left" w:pos="851"/>
              </w:tabs>
              <w:spacing w:after="0" w:line="240" w:lineRule="auto"/>
              <w:ind w:left="0"/>
              <w:jc w:val="both"/>
              <w:rPr>
                <w:rFonts w:ascii="Times New Roman" w:eastAsiaTheme="minorHAnsi" w:hAnsi="Times New Roman" w:cs="Times New Roman"/>
                <w:b/>
                <w:sz w:val="20"/>
                <w:szCs w:val="20"/>
              </w:rPr>
            </w:pPr>
            <w:r w:rsidRPr="00DE15E9">
              <w:rPr>
                <w:rFonts w:ascii="Times New Roman" w:hAnsi="Times New Roman" w:cs="Times New Roman"/>
                <w:b/>
                <w:sz w:val="20"/>
                <w:szCs w:val="20"/>
              </w:rPr>
              <w:lastRenderedPageBreak/>
              <w:t>Articolul 6. Excepții</w:t>
            </w:r>
          </w:p>
          <w:p w14:paraId="617E3C0C" w14:textId="77777777" w:rsidR="009F4560" w:rsidRPr="00DE15E9" w:rsidRDefault="009F4560" w:rsidP="00DE15E9">
            <w:pPr>
              <w:tabs>
                <w:tab w:val="left" w:pos="460"/>
                <w:tab w:val="left" w:pos="1134"/>
              </w:tabs>
              <w:spacing w:after="0" w:line="240" w:lineRule="auto"/>
              <w:ind w:firstLine="34"/>
              <w:jc w:val="both"/>
              <w:rPr>
                <w:rFonts w:ascii="Times New Roman" w:hAnsi="Times New Roman" w:cs="Times New Roman"/>
                <w:sz w:val="20"/>
                <w:szCs w:val="20"/>
              </w:rPr>
            </w:pPr>
            <w:r w:rsidRPr="00DE15E9">
              <w:rPr>
                <w:rFonts w:ascii="Times New Roman" w:hAnsi="Times New Roman" w:cs="Times New Roman"/>
                <w:sz w:val="20"/>
                <w:szCs w:val="20"/>
                <w:lang w:val="ro-MD"/>
              </w:rPr>
              <w:t>(1) Interdicțiile prevăzute la art. 4 alin. (1):</w:t>
            </w:r>
          </w:p>
          <w:p w14:paraId="42D27007" w14:textId="77777777" w:rsidR="009F4560" w:rsidRPr="00DE15E9" w:rsidRDefault="009F4560" w:rsidP="00DE15E9">
            <w:pPr>
              <w:pStyle w:val="ListParagraph"/>
              <w:numPr>
                <w:ilvl w:val="0"/>
                <w:numId w:val="14"/>
              </w:numPr>
              <w:tabs>
                <w:tab w:val="left" w:pos="460"/>
              </w:tabs>
              <w:spacing w:after="0" w:line="240" w:lineRule="auto"/>
              <w:ind w:left="0" w:firstLine="34"/>
              <w:jc w:val="both"/>
              <w:rPr>
                <w:rFonts w:ascii="Times New Roman" w:hAnsi="Times New Roman" w:cs="Times New Roman"/>
                <w:sz w:val="20"/>
                <w:szCs w:val="20"/>
                <w:lang w:val="ro-MD"/>
              </w:rPr>
            </w:pPr>
            <w:r w:rsidRPr="00DE15E9">
              <w:rPr>
                <w:rFonts w:ascii="Times New Roman" w:hAnsi="Times New Roman" w:cs="Times New Roman"/>
                <w:sz w:val="20"/>
                <w:szCs w:val="20"/>
                <w:lang w:val="ro-MD"/>
              </w:rPr>
              <w:t>nu aduc atingere:</w:t>
            </w:r>
          </w:p>
          <w:p w14:paraId="1E2083F4" w14:textId="77777777" w:rsidR="009F4560" w:rsidRPr="00DE15E9" w:rsidRDefault="009F4560" w:rsidP="00DE15E9">
            <w:pPr>
              <w:pStyle w:val="ListParagraph"/>
              <w:numPr>
                <w:ilvl w:val="0"/>
                <w:numId w:val="15"/>
              </w:numPr>
              <w:tabs>
                <w:tab w:val="left" w:pos="460"/>
              </w:tabs>
              <w:spacing w:after="0" w:line="240" w:lineRule="auto"/>
              <w:ind w:left="0" w:firstLine="34"/>
              <w:jc w:val="both"/>
              <w:rPr>
                <w:rFonts w:ascii="Times New Roman" w:hAnsi="Times New Roman" w:cs="Times New Roman"/>
                <w:sz w:val="20"/>
                <w:szCs w:val="20"/>
                <w:lang w:val="ro-MD"/>
              </w:rPr>
            </w:pPr>
            <w:r w:rsidRPr="00DE15E9">
              <w:rPr>
                <w:rFonts w:ascii="Times New Roman" w:hAnsi="Times New Roman" w:cs="Times New Roman"/>
                <w:sz w:val="20"/>
                <w:szCs w:val="20"/>
                <w:lang w:val="ro-MD"/>
              </w:rPr>
              <w:lastRenderedPageBreak/>
              <w:t>consecințelor întârzierilor în efectuarea plăților și căilor de atac prevăzute în Legea nr. 66/2025 privind combaterea întârzierii în executarea obligațiilor de plată în temeiul contractelor încheiate între profesioniști sau între profesioniști și autoritățile publice care se aplică, prin derogare de la termenele de plată stabilite în respectiva lege, pe baza termenelor de plată prevăzute în prezenta lege;</w:t>
            </w:r>
          </w:p>
          <w:p w14:paraId="11AD6633" w14:textId="0E503DF8"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37B27962" w14:textId="77777777" w:rsidR="009F4560" w:rsidRPr="00DE15E9" w:rsidRDefault="009F4560" w:rsidP="00DE15E9">
            <w:pPr>
              <w:spacing w:after="0" w:line="240" w:lineRule="auto"/>
              <w:jc w:val="both"/>
              <w:rPr>
                <w:rFonts w:ascii="Times New Roman" w:eastAsia="Times New Roman" w:hAnsi="Times New Roman" w:cs="Times New Roman"/>
                <w:b/>
                <w:sz w:val="20"/>
                <w:szCs w:val="20"/>
              </w:rPr>
            </w:pPr>
            <w:r w:rsidRPr="00DE15E9">
              <w:rPr>
                <w:rFonts w:ascii="Times New Roman" w:eastAsia="Times New Roman" w:hAnsi="Times New Roman" w:cs="Times New Roman"/>
                <w:b/>
                <w:sz w:val="20"/>
                <w:szCs w:val="20"/>
              </w:rPr>
              <w:lastRenderedPageBreak/>
              <w:t>Article 6. Exceptions</w:t>
            </w:r>
          </w:p>
          <w:p w14:paraId="54E774B3" w14:textId="77777777" w:rsidR="009F4560" w:rsidRPr="00DE15E9" w:rsidRDefault="009F4560"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(1) The prohibitions laid down in Article 4(1):</w:t>
            </w:r>
          </w:p>
          <w:p w14:paraId="4E74D789" w14:textId="77777777" w:rsidR="009F4560" w:rsidRPr="00DE15E9" w:rsidRDefault="009F4560" w:rsidP="00DE15E9">
            <w:pPr>
              <w:numPr>
                <w:ilvl w:val="0"/>
                <w:numId w:val="16"/>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lastRenderedPageBreak/>
              <w:t>shall be without prejudice to:</w:t>
            </w:r>
          </w:p>
          <w:p w14:paraId="44366614" w14:textId="2FDD4173" w:rsidR="00E0260F" w:rsidRPr="00DE15E9" w:rsidRDefault="009F4560"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a) the consequences of late payments and the remedies provided for in Law No. 66/2025 on combating late payment in the performance of payment obligations under contracts concluded between professionals or between professionals and public authorities, which shall apply, by way of derogation from the payment periods established in that Law, on the basis of the payment periods laid down in this Law;</w:t>
            </w:r>
          </w:p>
        </w:tc>
        <w:tc>
          <w:tcPr>
            <w:tcW w:w="1276" w:type="dxa"/>
            <w:tcBorders>
              <w:top w:val="single" w:sz="4" w:space="0" w:color="000000"/>
              <w:left w:val="single" w:sz="4" w:space="0" w:color="000000"/>
              <w:bottom w:val="single" w:sz="4" w:space="0" w:color="000000"/>
              <w:right w:val="single" w:sz="4" w:space="0" w:color="000000"/>
            </w:tcBorders>
          </w:tcPr>
          <w:p w14:paraId="75F6E5E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1BDECA8D" w14:textId="77777777" w:rsidR="00E0260F" w:rsidRPr="00DE15E9" w:rsidRDefault="00E0260F" w:rsidP="00DE15E9">
            <w:pPr>
              <w:spacing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Adaptată la cadrul juridic național, anume la Legea nr. 66/2025 care </w:t>
            </w:r>
            <w:r w:rsidRPr="00DE15E9">
              <w:rPr>
                <w:rFonts w:ascii="Times New Roman" w:eastAsia="Times New Roman" w:hAnsi="Times New Roman" w:cs="Times New Roman"/>
                <w:sz w:val="20"/>
                <w:szCs w:val="20"/>
                <w:lang w:val="ro-MD"/>
              </w:rPr>
              <w:lastRenderedPageBreak/>
              <w:t xml:space="preserve">transpune parțial </w:t>
            </w:r>
            <w:r w:rsidRPr="00DE15E9">
              <w:rPr>
                <w:rFonts w:ascii="Times New Roman" w:hAnsi="Times New Roman" w:cs="Times New Roman"/>
                <w:sz w:val="20"/>
                <w:szCs w:val="20"/>
                <w:lang w:val="ro-MD"/>
              </w:rPr>
              <w:t xml:space="preserve">Directiva 2011/7/UE </w:t>
            </w:r>
          </w:p>
        </w:tc>
        <w:tc>
          <w:tcPr>
            <w:tcW w:w="2126" w:type="dxa"/>
            <w:tcBorders>
              <w:top w:val="single" w:sz="4" w:space="0" w:color="000000"/>
              <w:left w:val="single" w:sz="4" w:space="0" w:color="000000"/>
              <w:bottom w:val="single" w:sz="4" w:space="0" w:color="000000"/>
              <w:right w:val="single" w:sz="4" w:space="0" w:color="000000"/>
            </w:tcBorders>
          </w:tcPr>
          <w:p w14:paraId="4D0D51F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17D3DFF8" w14:textId="77777777" w:rsidTr="00033703">
        <w:tc>
          <w:tcPr>
            <w:tcW w:w="430" w:type="dxa"/>
            <w:tcBorders>
              <w:top w:val="single" w:sz="4" w:space="0" w:color="000000"/>
              <w:left w:val="single" w:sz="4" w:space="0" w:color="000000"/>
              <w:bottom w:val="single" w:sz="4" w:space="0" w:color="000000"/>
              <w:right w:val="single" w:sz="4" w:space="0" w:color="000000"/>
            </w:tcBorders>
          </w:tcPr>
          <w:p w14:paraId="3142369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31</w:t>
            </w:r>
          </w:p>
        </w:tc>
        <w:tc>
          <w:tcPr>
            <w:tcW w:w="2547" w:type="dxa"/>
            <w:tcBorders>
              <w:top w:val="single" w:sz="4" w:space="0" w:color="000000"/>
              <w:left w:val="single" w:sz="4" w:space="0" w:color="000000"/>
              <w:bottom w:val="single" w:sz="4" w:space="0" w:color="000000"/>
              <w:right w:val="single" w:sz="4" w:space="0" w:color="000000"/>
            </w:tcBorders>
          </w:tcPr>
          <w:tbl>
            <w:tblPr>
              <w:tblW w:w="5000" w:type="pct"/>
              <w:shd w:val="clear" w:color="auto" w:fill="FFFFFF"/>
              <w:tblLayout w:type="fixed"/>
              <w:tblCellMar>
                <w:left w:w="0" w:type="dxa"/>
                <w:right w:w="0" w:type="dxa"/>
              </w:tblCellMar>
              <w:tblLook w:val="04A0" w:firstRow="1" w:lastRow="0" w:firstColumn="1" w:lastColumn="0" w:noHBand="0" w:noVBand="1"/>
            </w:tblPr>
            <w:tblGrid>
              <w:gridCol w:w="81"/>
              <w:gridCol w:w="2236"/>
            </w:tblGrid>
            <w:tr w:rsidR="00E0260F" w:rsidRPr="00DE15E9" w14:paraId="78D42EA9" w14:textId="77777777" w:rsidTr="00FE1408">
              <w:tc>
                <w:tcPr>
                  <w:tcW w:w="270" w:type="dxa"/>
                  <w:shd w:val="clear" w:color="auto" w:fill="FFFFFF"/>
                  <w:hideMark/>
                </w:tcPr>
                <w:p w14:paraId="54362EE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w:t>
                  </w:r>
                </w:p>
              </w:tc>
              <w:tc>
                <w:tcPr>
                  <w:tcW w:w="9136" w:type="dxa"/>
                  <w:shd w:val="clear" w:color="auto" w:fill="FFFFFF"/>
                  <w:hideMark/>
                </w:tcPr>
                <w:p w14:paraId="3DB2362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opțiunii unui cumpărător și a unui furnizor de a conveni asupra unei clauze de repartizare a valorii în înțelesul articolului 172a din Regulamentul (UE) nr. 1308/2013.</w:t>
                  </w:r>
                </w:p>
              </w:tc>
            </w:tr>
          </w:tbl>
          <w:p w14:paraId="7F0F07F2" w14:textId="77777777" w:rsidR="00E0260F" w:rsidRPr="00DE15E9" w:rsidRDefault="00E0260F" w:rsidP="00DE15E9">
            <w:pPr>
              <w:spacing w:after="0" w:line="240" w:lineRule="auto"/>
              <w:jc w:val="right"/>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5000" w:type="pct"/>
              <w:shd w:val="clear" w:color="auto" w:fill="FFFFFF"/>
              <w:tblLayout w:type="fixed"/>
              <w:tblCellMar>
                <w:left w:w="0" w:type="dxa"/>
                <w:right w:w="0" w:type="dxa"/>
              </w:tblCellMar>
              <w:tblLook w:val="04A0" w:firstRow="1" w:lastRow="0" w:firstColumn="1" w:lastColumn="0" w:noHBand="0" w:noVBand="1"/>
            </w:tblPr>
            <w:tblGrid>
              <w:gridCol w:w="81"/>
              <w:gridCol w:w="2241"/>
            </w:tblGrid>
            <w:tr w:rsidR="00E0260F" w:rsidRPr="00DE15E9" w14:paraId="4BCD58F7" w14:textId="77777777" w:rsidTr="00FE1408">
              <w:tc>
                <w:tcPr>
                  <w:tcW w:w="270" w:type="dxa"/>
                  <w:shd w:val="clear" w:color="auto" w:fill="FFFFFF"/>
                  <w:hideMark/>
                </w:tcPr>
                <w:p w14:paraId="7EB0C72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w:t>
                  </w:r>
                </w:p>
              </w:tc>
              <w:tc>
                <w:tcPr>
                  <w:tcW w:w="9136" w:type="dxa"/>
                  <w:shd w:val="clear" w:color="auto" w:fill="FFFFFF"/>
                  <w:hideMark/>
                </w:tcPr>
                <w:p w14:paraId="5ED5D15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to the option of a buyer and a supplier to agree on a value sharing clause within the meaning of Article 172a of Regulation (EU) No 1308/2013.</w:t>
                  </w:r>
                </w:p>
              </w:tc>
            </w:tr>
          </w:tbl>
          <w:p w14:paraId="1FDACB7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731F2F44" w14:textId="0411585C"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bCs/>
                <w:sz w:val="20"/>
                <w:szCs w:val="20"/>
                <w:lang w:val="ro-MD"/>
              </w:rPr>
              <w:t>b)</w:t>
            </w:r>
            <w:r w:rsidRPr="00DE15E9">
              <w:rPr>
                <w:rFonts w:ascii="Times New Roman" w:hAnsi="Times New Roman" w:cs="Times New Roman"/>
                <w:bCs/>
                <w:sz w:val="20"/>
                <w:szCs w:val="20"/>
                <w:lang w:val="ro-MD"/>
              </w:rPr>
              <w:tab/>
              <w:t>opțiunii unui cumpărător și a unui furnizor de a conveni asupra includerii în contract a unei clauze de repartizare a valorii în sectorul zahărului, inclusiv în ceea ce privește câștigurile și pierderile de pe piață, pentru a stabili modul în care urmează să fie repartizată între ei orice evoluție a prețurilor relevante de pe piață pentru produsele în cauză sau de pe alte piețe ale materiilor prime;</w:t>
            </w:r>
          </w:p>
        </w:tc>
        <w:tc>
          <w:tcPr>
            <w:tcW w:w="2693" w:type="dxa"/>
            <w:tcBorders>
              <w:top w:val="single" w:sz="4" w:space="0" w:color="000000"/>
              <w:left w:val="single" w:sz="4" w:space="0" w:color="000000"/>
              <w:bottom w:val="single" w:sz="4" w:space="0" w:color="000000"/>
              <w:right w:val="single" w:sz="4" w:space="0" w:color="000000"/>
            </w:tcBorders>
          </w:tcPr>
          <w:p w14:paraId="0E652C15" w14:textId="54CC97A4" w:rsidR="00E0260F" w:rsidRPr="00DE15E9" w:rsidRDefault="009F4560"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rPr>
              <w:t>b) the option of a buyer and a supplier to agree on the inclusion in the contract of a value-sharing clause in the sugar sector, including with regard to market gains and losses, in order to determine how any evolution of the relevant market prices for the products concerned, or on other raw-material markets, is to be shared between them;</w:t>
            </w:r>
          </w:p>
        </w:tc>
        <w:tc>
          <w:tcPr>
            <w:tcW w:w="1276" w:type="dxa"/>
            <w:tcBorders>
              <w:top w:val="single" w:sz="4" w:space="0" w:color="000000"/>
              <w:left w:val="single" w:sz="4" w:space="0" w:color="000000"/>
              <w:bottom w:val="single" w:sz="4" w:space="0" w:color="000000"/>
              <w:right w:val="single" w:sz="4" w:space="0" w:color="000000"/>
            </w:tcBorders>
          </w:tcPr>
          <w:p w14:paraId="5A58D62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 Compatibil</w:t>
            </w:r>
          </w:p>
        </w:tc>
        <w:tc>
          <w:tcPr>
            <w:tcW w:w="1985" w:type="dxa"/>
            <w:tcBorders>
              <w:top w:val="single" w:sz="4" w:space="0" w:color="000000"/>
              <w:left w:val="single" w:sz="4" w:space="0" w:color="000000"/>
              <w:bottom w:val="single" w:sz="4" w:space="0" w:color="000000"/>
              <w:right w:val="single" w:sz="4" w:space="0" w:color="000000"/>
            </w:tcBorders>
          </w:tcPr>
          <w:p w14:paraId="1D1C7CA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68E7988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32BEF2A3" w14:textId="77777777" w:rsidTr="00033703">
        <w:tc>
          <w:tcPr>
            <w:tcW w:w="430" w:type="dxa"/>
            <w:tcBorders>
              <w:top w:val="single" w:sz="4" w:space="0" w:color="000000"/>
              <w:left w:val="single" w:sz="4" w:space="0" w:color="000000"/>
              <w:bottom w:val="single" w:sz="4" w:space="0" w:color="000000"/>
              <w:right w:val="single" w:sz="4" w:space="0" w:color="000000"/>
            </w:tcBorders>
          </w:tcPr>
          <w:p w14:paraId="3643EDE8"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32</w:t>
            </w:r>
          </w:p>
        </w:tc>
        <w:tc>
          <w:tcPr>
            <w:tcW w:w="2547" w:type="dxa"/>
            <w:tcBorders>
              <w:top w:val="single" w:sz="4" w:space="0" w:color="000000"/>
              <w:left w:val="single" w:sz="4" w:space="0" w:color="000000"/>
              <w:bottom w:val="single" w:sz="4" w:space="0" w:color="000000"/>
              <w:right w:val="single" w:sz="4" w:space="0" w:color="000000"/>
            </w:tcBorders>
          </w:tcPr>
          <w:p w14:paraId="670ABBB0"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Interdicția menționată la litera (a) de la primul paragraf nu se aplică în cazul plăților:</w:t>
            </w:r>
          </w:p>
          <w:tbl>
            <w:tblPr>
              <w:tblW w:w="5000" w:type="pct"/>
              <w:shd w:val="clear" w:color="auto" w:fill="FFFFFF"/>
              <w:tblLayout w:type="fixed"/>
              <w:tblCellMar>
                <w:left w:w="0" w:type="dxa"/>
                <w:right w:w="0" w:type="dxa"/>
              </w:tblCellMar>
              <w:tblLook w:val="04A0" w:firstRow="1" w:lastRow="0" w:firstColumn="1" w:lastColumn="0" w:noHBand="0" w:noVBand="1"/>
            </w:tblPr>
            <w:tblGrid>
              <w:gridCol w:w="81"/>
              <w:gridCol w:w="2236"/>
            </w:tblGrid>
            <w:tr w:rsidR="00E0260F" w:rsidRPr="00DE15E9" w14:paraId="642F2393" w14:textId="77777777" w:rsidTr="00FE1408">
              <w:tc>
                <w:tcPr>
                  <w:tcW w:w="270" w:type="dxa"/>
                  <w:shd w:val="clear" w:color="auto" w:fill="FFFFFF"/>
                  <w:hideMark/>
                </w:tcPr>
                <w:p w14:paraId="21CF4A0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w:t>
                  </w:r>
                </w:p>
              </w:tc>
              <w:tc>
                <w:tcPr>
                  <w:tcW w:w="9136" w:type="dxa"/>
                  <w:shd w:val="clear" w:color="auto" w:fill="FFFFFF"/>
                  <w:hideMark/>
                </w:tcPr>
                <w:p w14:paraId="2858728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efectuate de către un cumpărător unui furnizor atunci când acestea sunt efectuate în cadrul </w:t>
                  </w:r>
                  <w:r w:rsidRPr="00DE15E9">
                    <w:rPr>
                      <w:rFonts w:ascii="Times New Roman" w:eastAsia="Times New Roman" w:hAnsi="Times New Roman" w:cs="Times New Roman"/>
                      <w:sz w:val="20"/>
                      <w:szCs w:val="20"/>
                      <w:lang w:val="ro-MD"/>
                    </w:rPr>
                    <w:lastRenderedPageBreak/>
                    <w:t>programului pentru școli în temeiul articolului 23 din Regulamentul (UE) nr. 1308/2013;</w:t>
                  </w:r>
                </w:p>
              </w:tc>
            </w:tr>
          </w:tbl>
          <w:p w14:paraId="7F74998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373231FF"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lastRenderedPageBreak/>
              <w:t>The prohibition referred to in point (a) of the first subparagraph shall not apply to payments:</w:t>
            </w:r>
          </w:p>
          <w:tbl>
            <w:tblPr>
              <w:tblW w:w="5000" w:type="pct"/>
              <w:shd w:val="clear" w:color="auto" w:fill="FFFFFF"/>
              <w:tblLayout w:type="fixed"/>
              <w:tblCellMar>
                <w:left w:w="0" w:type="dxa"/>
                <w:right w:w="0" w:type="dxa"/>
              </w:tblCellMar>
              <w:tblLook w:val="04A0" w:firstRow="1" w:lastRow="0" w:firstColumn="1" w:lastColumn="0" w:noHBand="0" w:noVBand="1"/>
            </w:tblPr>
            <w:tblGrid>
              <w:gridCol w:w="81"/>
              <w:gridCol w:w="2241"/>
            </w:tblGrid>
            <w:tr w:rsidR="00E0260F" w:rsidRPr="00DE15E9" w14:paraId="6D7A427A" w14:textId="77777777" w:rsidTr="00FE1408">
              <w:tc>
                <w:tcPr>
                  <w:tcW w:w="270" w:type="dxa"/>
                  <w:shd w:val="clear" w:color="auto" w:fill="FFFFFF"/>
                  <w:hideMark/>
                </w:tcPr>
                <w:p w14:paraId="1BB4E3C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w:t>
                  </w:r>
                </w:p>
              </w:tc>
              <w:tc>
                <w:tcPr>
                  <w:tcW w:w="9136" w:type="dxa"/>
                  <w:shd w:val="clear" w:color="auto" w:fill="FFFFFF"/>
                  <w:hideMark/>
                </w:tcPr>
                <w:p w14:paraId="0592D82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 xml:space="preserve">made by a buyer to a supplier where such payments are made in the framework of the school </w:t>
                  </w:r>
                  <w:r w:rsidRPr="00DE15E9">
                    <w:rPr>
                      <w:rFonts w:ascii="Times New Roman" w:eastAsia="Times New Roman" w:hAnsi="Times New Roman" w:cs="Times New Roman"/>
                      <w:sz w:val="20"/>
                      <w:szCs w:val="20"/>
                      <w:lang w:val="en-GB"/>
                    </w:rPr>
                    <w:lastRenderedPageBreak/>
                    <w:t>scheme pursuant to Article 23 of Regulation (EU) No 1308/2013;</w:t>
                  </w:r>
                </w:p>
              </w:tc>
            </w:tr>
          </w:tbl>
          <w:p w14:paraId="06553005" w14:textId="77777777" w:rsidR="00E0260F" w:rsidRPr="00DE15E9" w:rsidRDefault="00E0260F" w:rsidP="00DE15E9">
            <w:pPr>
              <w:spacing w:after="0" w:line="240" w:lineRule="auto"/>
              <w:jc w:val="center"/>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3A9A9D84" w14:textId="77777777" w:rsidR="009F4560" w:rsidRPr="00DE15E9" w:rsidRDefault="009F4560" w:rsidP="00DE15E9">
            <w:pPr>
              <w:tabs>
                <w:tab w:val="left" w:pos="993"/>
                <w:tab w:val="left" w:pos="1134"/>
              </w:tabs>
              <w:spacing w:after="0" w:line="240" w:lineRule="auto"/>
              <w:ind w:firstLine="426"/>
              <w:jc w:val="both"/>
              <w:rPr>
                <w:rFonts w:ascii="Times New Roman" w:eastAsiaTheme="minorHAnsi" w:hAnsi="Times New Roman" w:cs="Times New Roman"/>
                <w:sz w:val="20"/>
                <w:szCs w:val="20"/>
              </w:rPr>
            </w:pPr>
            <w:r w:rsidRPr="00DE15E9">
              <w:rPr>
                <w:rFonts w:ascii="Times New Roman" w:hAnsi="Times New Roman" w:cs="Times New Roman"/>
                <w:sz w:val="20"/>
                <w:szCs w:val="20"/>
                <w:lang w:val="ro-MD"/>
              </w:rPr>
              <w:lastRenderedPageBreak/>
              <w:t>(1) Interdicțiile prevăzute la art. 4 alin. (1):</w:t>
            </w:r>
          </w:p>
          <w:p w14:paraId="4334FABA" w14:textId="77777777" w:rsidR="009F4560" w:rsidRPr="00DE15E9" w:rsidRDefault="009F4560" w:rsidP="00DE15E9">
            <w:pPr>
              <w:pStyle w:val="ListParagraph"/>
              <w:numPr>
                <w:ilvl w:val="0"/>
                <w:numId w:val="14"/>
              </w:numPr>
              <w:spacing w:after="0" w:line="240" w:lineRule="auto"/>
              <w:ind w:left="0" w:firstLine="426"/>
              <w:jc w:val="both"/>
              <w:rPr>
                <w:rFonts w:ascii="Times New Roman" w:eastAsia="Times New Roman" w:hAnsi="Times New Roman" w:cs="Times New Roman"/>
                <w:sz w:val="20"/>
                <w:szCs w:val="20"/>
              </w:rPr>
            </w:pPr>
            <w:r w:rsidRPr="00DE15E9">
              <w:rPr>
                <w:rFonts w:ascii="Times New Roman" w:hAnsi="Times New Roman" w:cs="Times New Roman"/>
                <w:sz w:val="20"/>
                <w:szCs w:val="20"/>
                <w:lang w:val="ro-MD"/>
              </w:rPr>
              <w:t xml:space="preserve">nu se aplică în cazul plăților efectuate pentru </w:t>
            </w:r>
            <w:r w:rsidRPr="00DE15E9">
              <w:rPr>
                <w:rFonts w:ascii="Times New Roman" w:eastAsia="Times New Roman" w:hAnsi="Times New Roman" w:cs="Times New Roman"/>
                <w:sz w:val="20"/>
                <w:szCs w:val="20"/>
              </w:rPr>
              <w:t>furnizarea de produse agricole și alimentare către:</w:t>
            </w:r>
          </w:p>
          <w:p w14:paraId="3DF3A774" w14:textId="30655AB0" w:rsidR="009F4560" w:rsidRPr="00DE15E9" w:rsidRDefault="0055327A" w:rsidP="00DE15E9">
            <w:pPr>
              <w:spacing w:after="0" w:line="240" w:lineRule="auto"/>
              <w:jc w:val="both"/>
              <w:rPr>
                <w:rFonts w:ascii="Times New Roman" w:eastAsiaTheme="minorHAnsi" w:hAnsi="Times New Roman" w:cs="Times New Roman"/>
                <w:sz w:val="20"/>
                <w:szCs w:val="20"/>
                <w:lang w:val="ro-MD"/>
              </w:rPr>
            </w:pPr>
            <w:r w:rsidRPr="00DE15E9">
              <w:rPr>
                <w:rFonts w:ascii="Times New Roman" w:hAnsi="Times New Roman" w:cs="Times New Roman"/>
                <w:sz w:val="20"/>
                <w:szCs w:val="20"/>
                <w:lang w:val="ro-MD"/>
              </w:rPr>
              <w:t xml:space="preserve">b) </w:t>
            </w:r>
            <w:r w:rsidR="009F4560" w:rsidRPr="00DE15E9">
              <w:rPr>
                <w:rFonts w:ascii="Times New Roman" w:hAnsi="Times New Roman" w:cs="Times New Roman"/>
                <w:sz w:val="20"/>
                <w:szCs w:val="20"/>
                <w:lang w:val="ro-MD"/>
              </w:rPr>
              <w:t xml:space="preserve">instituțiile de învățământ publice menționate la art. 12 </w:t>
            </w:r>
            <w:r w:rsidR="009F4560" w:rsidRPr="00DE15E9">
              <w:rPr>
                <w:rFonts w:ascii="Times New Roman" w:hAnsi="Times New Roman" w:cs="Times New Roman"/>
                <w:sz w:val="20"/>
                <w:szCs w:val="20"/>
                <w:lang w:val="ro-MD"/>
              </w:rPr>
              <w:lastRenderedPageBreak/>
              <w:t>lit. a) – f) din Codul educației nr. 152/2014.</w:t>
            </w:r>
          </w:p>
          <w:p w14:paraId="7FA0D621" w14:textId="4CB443D2"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379B36E5" w14:textId="77777777" w:rsidR="009F4560" w:rsidRPr="00DE15E9" w:rsidRDefault="009F4560"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lastRenderedPageBreak/>
              <w:t>(1) The prohibitions laid down in Article 4(1):</w:t>
            </w:r>
          </w:p>
          <w:p w14:paraId="4F966936" w14:textId="77777777" w:rsidR="009F4560" w:rsidRPr="00DE15E9" w:rsidRDefault="009F4560" w:rsidP="00DE15E9">
            <w:pPr>
              <w:numPr>
                <w:ilvl w:val="0"/>
                <w:numId w:val="17"/>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shall not apply to payments made for the supply of agricultural and food products to:</w:t>
            </w:r>
          </w:p>
          <w:p w14:paraId="6E782A3E" w14:textId="77777777" w:rsidR="009F4560" w:rsidRPr="00DE15E9" w:rsidRDefault="009F4560"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 xml:space="preserve">b) public educational institutions referred to in </w:t>
            </w:r>
            <w:r w:rsidRPr="00DE15E9">
              <w:rPr>
                <w:rFonts w:ascii="Times New Roman" w:eastAsia="Times New Roman" w:hAnsi="Times New Roman" w:cs="Times New Roman"/>
                <w:sz w:val="20"/>
                <w:szCs w:val="20"/>
              </w:rPr>
              <w:lastRenderedPageBreak/>
              <w:t>Article 12(a)–(f) of Education Code No. 152/2014.</w:t>
            </w:r>
          </w:p>
          <w:p w14:paraId="12F99139" w14:textId="77777777" w:rsidR="009F4560" w:rsidRPr="00DE15E9" w:rsidRDefault="009F4560" w:rsidP="00DE15E9">
            <w:pPr>
              <w:pStyle w:val="isselectedend"/>
              <w:spacing w:before="0" w:beforeAutospacing="0" w:after="0" w:afterAutospacing="0"/>
              <w:jc w:val="center"/>
              <w:rPr>
                <w:b/>
                <w:sz w:val="20"/>
                <w:szCs w:val="20"/>
              </w:rPr>
            </w:pPr>
          </w:p>
          <w:p w14:paraId="5843BBF4"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398E652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Parțial compatibil</w:t>
            </w:r>
          </w:p>
        </w:tc>
        <w:tc>
          <w:tcPr>
            <w:tcW w:w="1985" w:type="dxa"/>
            <w:tcBorders>
              <w:top w:val="single" w:sz="4" w:space="0" w:color="000000"/>
              <w:left w:val="single" w:sz="4" w:space="0" w:color="000000"/>
              <w:bottom w:val="single" w:sz="4" w:space="0" w:color="000000"/>
              <w:right w:val="single" w:sz="4" w:space="0" w:color="000000"/>
            </w:tcBorders>
          </w:tcPr>
          <w:p w14:paraId="26CC012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Întrucât nu există instituit încă un program pentru școli în sensul art. 23 din Regulamentul  nr. 1308/2013, </w:t>
            </w:r>
            <w:r w:rsidRPr="00DE15E9">
              <w:rPr>
                <w:rFonts w:ascii="Times New Roman" w:hAnsi="Times New Roman" w:cs="Times New Roman"/>
                <w:sz w:val="20"/>
                <w:szCs w:val="20"/>
                <w:lang w:val="ro-MD"/>
              </w:rPr>
              <w:t xml:space="preserve">excepția a fost adaptată pentru a </w:t>
            </w:r>
            <w:r w:rsidRPr="00DE15E9">
              <w:rPr>
                <w:rFonts w:ascii="Times New Roman" w:hAnsi="Times New Roman" w:cs="Times New Roman"/>
                <w:sz w:val="20"/>
                <w:szCs w:val="20"/>
                <w:lang w:val="ro-MD"/>
              </w:rPr>
              <w:lastRenderedPageBreak/>
              <w:t>acoperi furnizările publice comparabile</w:t>
            </w:r>
          </w:p>
        </w:tc>
        <w:tc>
          <w:tcPr>
            <w:tcW w:w="2126" w:type="dxa"/>
            <w:tcBorders>
              <w:top w:val="single" w:sz="4" w:space="0" w:color="000000"/>
              <w:left w:val="single" w:sz="4" w:space="0" w:color="000000"/>
              <w:bottom w:val="single" w:sz="4" w:space="0" w:color="000000"/>
              <w:right w:val="single" w:sz="4" w:space="0" w:color="000000"/>
            </w:tcBorders>
          </w:tcPr>
          <w:p w14:paraId="7B56246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36FC2B9E" w14:textId="77777777" w:rsidTr="00033703">
        <w:tc>
          <w:tcPr>
            <w:tcW w:w="430" w:type="dxa"/>
            <w:tcBorders>
              <w:top w:val="single" w:sz="4" w:space="0" w:color="000000"/>
              <w:left w:val="single" w:sz="4" w:space="0" w:color="000000"/>
              <w:bottom w:val="single" w:sz="4" w:space="0" w:color="000000"/>
              <w:right w:val="single" w:sz="4" w:space="0" w:color="000000"/>
            </w:tcBorders>
          </w:tcPr>
          <w:p w14:paraId="626F16A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33</w:t>
            </w:r>
          </w:p>
        </w:tc>
        <w:tc>
          <w:tcPr>
            <w:tcW w:w="2547" w:type="dxa"/>
            <w:tcBorders>
              <w:top w:val="single" w:sz="4" w:space="0" w:color="000000"/>
              <w:left w:val="single" w:sz="4" w:space="0" w:color="000000"/>
              <w:bottom w:val="single" w:sz="4" w:space="0" w:color="000000"/>
              <w:right w:val="single" w:sz="4" w:space="0" w:color="000000"/>
            </w:tcBorders>
          </w:tcPr>
          <w:tbl>
            <w:tblPr>
              <w:tblW w:w="5000" w:type="pct"/>
              <w:shd w:val="clear" w:color="auto" w:fill="FFFFFF"/>
              <w:tblLayout w:type="fixed"/>
              <w:tblCellMar>
                <w:left w:w="0" w:type="dxa"/>
                <w:right w:w="0" w:type="dxa"/>
              </w:tblCellMar>
              <w:tblLook w:val="04A0" w:firstRow="1" w:lastRow="0" w:firstColumn="1" w:lastColumn="0" w:noHBand="0" w:noVBand="1"/>
            </w:tblPr>
            <w:tblGrid>
              <w:gridCol w:w="81"/>
              <w:gridCol w:w="2236"/>
            </w:tblGrid>
            <w:tr w:rsidR="00E0260F" w:rsidRPr="00DE15E9" w14:paraId="2E47D980" w14:textId="77777777" w:rsidTr="00FE1408">
              <w:tc>
                <w:tcPr>
                  <w:tcW w:w="270" w:type="dxa"/>
                  <w:shd w:val="clear" w:color="auto" w:fill="FFFFFF"/>
                  <w:hideMark/>
                </w:tcPr>
                <w:p w14:paraId="5AC5E54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w:t>
                  </w:r>
                </w:p>
              </w:tc>
              <w:tc>
                <w:tcPr>
                  <w:tcW w:w="9136" w:type="dxa"/>
                  <w:shd w:val="clear" w:color="auto" w:fill="FFFFFF"/>
                  <w:hideMark/>
                </w:tcPr>
                <w:p w14:paraId="74F9CD5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efectuate de entitățile publice care furnizează îngrijiri medicale în înțelesul articolului 4 alineatul (4) litera (b) din Directiva 2011/7/UE;</w:t>
                  </w:r>
                </w:p>
              </w:tc>
            </w:tr>
          </w:tbl>
          <w:p w14:paraId="156FDB3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5000" w:type="pct"/>
              <w:shd w:val="clear" w:color="auto" w:fill="FFFFFF"/>
              <w:tblLayout w:type="fixed"/>
              <w:tblCellMar>
                <w:left w:w="0" w:type="dxa"/>
                <w:right w:w="0" w:type="dxa"/>
              </w:tblCellMar>
              <w:tblLook w:val="04A0" w:firstRow="1" w:lastRow="0" w:firstColumn="1" w:lastColumn="0" w:noHBand="0" w:noVBand="1"/>
            </w:tblPr>
            <w:tblGrid>
              <w:gridCol w:w="81"/>
              <w:gridCol w:w="2241"/>
            </w:tblGrid>
            <w:tr w:rsidR="00E0260F" w:rsidRPr="00DE15E9" w14:paraId="4CA4C0B2" w14:textId="77777777" w:rsidTr="00FE1408">
              <w:tc>
                <w:tcPr>
                  <w:tcW w:w="270" w:type="dxa"/>
                  <w:shd w:val="clear" w:color="auto" w:fill="FFFFFF"/>
                  <w:hideMark/>
                </w:tcPr>
                <w:p w14:paraId="7F3AA7E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w:t>
                  </w:r>
                </w:p>
              </w:tc>
              <w:tc>
                <w:tcPr>
                  <w:tcW w:w="9136" w:type="dxa"/>
                  <w:shd w:val="clear" w:color="auto" w:fill="FFFFFF"/>
                  <w:hideMark/>
                </w:tcPr>
                <w:p w14:paraId="0847FC3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made by public entities providing healthcare in the meaning of point (b) of Article 4(4) of Directive 2011/7/EU:</w:t>
                  </w:r>
                </w:p>
              </w:tc>
            </w:tr>
          </w:tbl>
          <w:p w14:paraId="6781554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66A280B4" w14:textId="3BF6204F" w:rsidR="00E0260F" w:rsidRPr="00DE15E9" w:rsidRDefault="0055327A"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lang w:val="ro-MD"/>
              </w:rPr>
              <w:t>a) instituții medico-sanitare publice menționate la art. 4 alin. (2) din Legea ocrotirii sănătății nr. 411/1995;</w:t>
            </w:r>
          </w:p>
        </w:tc>
        <w:tc>
          <w:tcPr>
            <w:tcW w:w="2693" w:type="dxa"/>
            <w:tcBorders>
              <w:top w:val="single" w:sz="4" w:space="0" w:color="000000"/>
              <w:left w:val="single" w:sz="4" w:space="0" w:color="000000"/>
              <w:bottom w:val="single" w:sz="4" w:space="0" w:color="000000"/>
              <w:right w:val="single" w:sz="4" w:space="0" w:color="000000"/>
            </w:tcBorders>
          </w:tcPr>
          <w:p w14:paraId="03307301" w14:textId="7B295656" w:rsidR="00E0260F" w:rsidRPr="00DE15E9" w:rsidRDefault="0055327A"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a) public healthcare institutions referred to in Article 4(2) of Law No. 411/1995 on health protection;</w:t>
            </w:r>
          </w:p>
        </w:tc>
        <w:tc>
          <w:tcPr>
            <w:tcW w:w="1276" w:type="dxa"/>
            <w:tcBorders>
              <w:top w:val="single" w:sz="4" w:space="0" w:color="000000"/>
              <w:left w:val="single" w:sz="4" w:space="0" w:color="000000"/>
              <w:bottom w:val="single" w:sz="4" w:space="0" w:color="000000"/>
              <w:right w:val="single" w:sz="4" w:space="0" w:color="000000"/>
            </w:tcBorders>
          </w:tcPr>
          <w:p w14:paraId="74B8994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Compatibil</w:t>
            </w:r>
          </w:p>
        </w:tc>
        <w:tc>
          <w:tcPr>
            <w:tcW w:w="1985" w:type="dxa"/>
            <w:tcBorders>
              <w:top w:val="single" w:sz="4" w:space="0" w:color="000000"/>
              <w:left w:val="single" w:sz="4" w:space="0" w:color="000000"/>
              <w:bottom w:val="single" w:sz="4" w:space="0" w:color="000000"/>
              <w:right w:val="single" w:sz="4" w:space="0" w:color="000000"/>
            </w:tcBorders>
          </w:tcPr>
          <w:p w14:paraId="68DCD6D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7B2AE0B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2D26FE08" w14:textId="77777777" w:rsidTr="00033703">
        <w:trPr>
          <w:trHeight w:val="1190"/>
        </w:trPr>
        <w:tc>
          <w:tcPr>
            <w:tcW w:w="430" w:type="dxa"/>
            <w:tcBorders>
              <w:top w:val="single" w:sz="4" w:space="0" w:color="000000"/>
              <w:left w:val="single" w:sz="4" w:space="0" w:color="000000"/>
              <w:bottom w:val="single" w:sz="4" w:space="0" w:color="000000"/>
              <w:right w:val="single" w:sz="4" w:space="0" w:color="000000"/>
            </w:tcBorders>
          </w:tcPr>
          <w:p w14:paraId="0322238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34</w:t>
            </w:r>
          </w:p>
        </w:tc>
        <w:tc>
          <w:tcPr>
            <w:tcW w:w="2547" w:type="dxa"/>
            <w:tcBorders>
              <w:top w:val="single" w:sz="4" w:space="0" w:color="000000"/>
              <w:left w:val="single" w:sz="4" w:space="0" w:color="000000"/>
              <w:bottom w:val="single" w:sz="4" w:space="0" w:color="000000"/>
              <w:right w:val="single" w:sz="4" w:space="0" w:color="000000"/>
            </w:tcBorders>
          </w:tcPr>
          <w:tbl>
            <w:tblPr>
              <w:tblW w:w="5000" w:type="pct"/>
              <w:shd w:val="clear" w:color="auto" w:fill="FFFFFF"/>
              <w:tblLayout w:type="fixed"/>
              <w:tblCellMar>
                <w:left w:w="0" w:type="dxa"/>
                <w:right w:w="0" w:type="dxa"/>
              </w:tblCellMar>
              <w:tblLook w:val="04A0" w:firstRow="1" w:lastRow="0" w:firstColumn="1" w:lastColumn="0" w:noHBand="0" w:noVBand="1"/>
            </w:tblPr>
            <w:tblGrid>
              <w:gridCol w:w="81"/>
              <w:gridCol w:w="2236"/>
            </w:tblGrid>
            <w:tr w:rsidR="00E0260F" w:rsidRPr="00DE15E9" w14:paraId="4A44EC3E" w14:textId="77777777" w:rsidTr="00FE1408">
              <w:tc>
                <w:tcPr>
                  <w:tcW w:w="270" w:type="dxa"/>
                  <w:shd w:val="clear" w:color="auto" w:fill="FFFFFF"/>
                  <w:hideMark/>
                </w:tcPr>
                <w:p w14:paraId="4FBA487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w:t>
                  </w:r>
                </w:p>
              </w:tc>
              <w:tc>
                <w:tcPr>
                  <w:tcW w:w="9136" w:type="dxa"/>
                  <w:shd w:val="clear" w:color="auto" w:fill="FFFFFF"/>
                  <w:hideMark/>
                </w:tcPr>
                <w:p w14:paraId="387BB7B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în temeiul acordurilor de furnizare încheiate între furnizorii de struguri sau must pentru producția de vin și cumpărătorii lor direcți, cu condiția ca:</w:t>
                  </w:r>
                </w:p>
                <w:tbl>
                  <w:tblPr>
                    <w:tblW w:w="4844" w:type="pct"/>
                    <w:tblLayout w:type="fixed"/>
                    <w:tblCellMar>
                      <w:left w:w="0" w:type="dxa"/>
                      <w:right w:w="0" w:type="dxa"/>
                    </w:tblCellMar>
                    <w:tblLook w:val="04A0" w:firstRow="1" w:lastRow="0" w:firstColumn="1" w:lastColumn="0" w:noHBand="0" w:noVBand="1"/>
                  </w:tblPr>
                  <w:tblGrid>
                    <w:gridCol w:w="2166"/>
                  </w:tblGrid>
                  <w:tr w:rsidR="00E0260F" w:rsidRPr="00DE15E9" w14:paraId="6293BB6D" w14:textId="77777777" w:rsidTr="00F2792F">
                    <w:tc>
                      <w:tcPr>
                        <w:tcW w:w="2176" w:type="dxa"/>
                        <w:hideMark/>
                      </w:tcPr>
                      <w:p w14:paraId="7D43727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p w14:paraId="1F8C408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condițiile concrete de plată pentru tranzacțiile de vânzare să fie prevăzute în contractele standard cărora statul membru le-a conferit, înainte de 1 ianuarie 2019, caracter obligatoriu în temeiul articolului 164 din Regulamentul (UE) nr. 1308/2013 și ca această extindere a aplicării contractelor standard să fie reînnoită de statele membre cu începere de la data respectivă fără nicio modificare semnificativă a condițiilor de plată în dezavantajul furnizorilor de struguri sau must; și</w:t>
                        </w:r>
                      </w:p>
                    </w:tc>
                  </w:tr>
                </w:tbl>
                <w:p w14:paraId="588A3CA2" w14:textId="77777777" w:rsidR="00E0260F" w:rsidRPr="00DE15E9" w:rsidRDefault="00E0260F" w:rsidP="00DE15E9">
                  <w:pPr>
                    <w:spacing w:after="0" w:line="240" w:lineRule="auto"/>
                    <w:rPr>
                      <w:rFonts w:ascii="Times New Roman" w:eastAsia="Times New Roman" w:hAnsi="Times New Roman" w:cs="Times New Roman"/>
                      <w:sz w:val="20"/>
                      <w:szCs w:val="20"/>
                      <w:lang w:val="ro-MD"/>
                    </w:rPr>
                  </w:pPr>
                </w:p>
              </w:tc>
            </w:tr>
          </w:tbl>
          <w:p w14:paraId="5127D4B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acordurile de furnizare încheiate între furnizorii de </w:t>
            </w:r>
            <w:r w:rsidRPr="00DE15E9">
              <w:rPr>
                <w:rFonts w:ascii="Times New Roman" w:eastAsia="Times New Roman" w:hAnsi="Times New Roman" w:cs="Times New Roman"/>
                <w:sz w:val="20"/>
                <w:szCs w:val="20"/>
                <w:lang w:val="ro-MD"/>
              </w:rPr>
              <w:lastRenderedPageBreak/>
              <w:t>struguri sau must pentru producția de vin și cumpărătorii lor direcți să fie multianuale sau să devină multianuale.</w:t>
            </w:r>
          </w:p>
        </w:tc>
        <w:tc>
          <w:tcPr>
            <w:tcW w:w="2552" w:type="dxa"/>
            <w:tcBorders>
              <w:top w:val="single" w:sz="4" w:space="0" w:color="000000"/>
              <w:left w:val="single" w:sz="4" w:space="0" w:color="000000"/>
              <w:bottom w:val="single" w:sz="4" w:space="0" w:color="000000"/>
              <w:right w:val="single" w:sz="4" w:space="0" w:color="000000"/>
            </w:tcBorders>
          </w:tcPr>
          <w:tbl>
            <w:tblPr>
              <w:tblW w:w="5000" w:type="pct"/>
              <w:shd w:val="clear" w:color="auto" w:fill="FFFFFF"/>
              <w:tblLayout w:type="fixed"/>
              <w:tblCellMar>
                <w:left w:w="0" w:type="dxa"/>
                <w:right w:w="0" w:type="dxa"/>
              </w:tblCellMar>
              <w:tblLook w:val="04A0" w:firstRow="1" w:lastRow="0" w:firstColumn="1" w:lastColumn="0" w:noHBand="0" w:noVBand="1"/>
            </w:tblPr>
            <w:tblGrid>
              <w:gridCol w:w="81"/>
              <w:gridCol w:w="2241"/>
            </w:tblGrid>
            <w:tr w:rsidR="00E0260F" w:rsidRPr="00DE15E9" w14:paraId="4D01EA0F" w14:textId="77777777" w:rsidTr="00FE1408">
              <w:tc>
                <w:tcPr>
                  <w:tcW w:w="270" w:type="dxa"/>
                  <w:shd w:val="clear" w:color="auto" w:fill="FFFFFF"/>
                  <w:hideMark/>
                </w:tcPr>
                <w:p w14:paraId="0019958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lastRenderedPageBreak/>
                    <w:t>—</w:t>
                  </w:r>
                </w:p>
              </w:tc>
              <w:tc>
                <w:tcPr>
                  <w:tcW w:w="9136" w:type="dxa"/>
                  <w:shd w:val="clear" w:color="auto" w:fill="FFFFFF"/>
                  <w:hideMark/>
                </w:tcPr>
                <w:p w14:paraId="708941D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under supply agreements between suppliers of grapes or must for wine production and their direct buyers, provided:</w:t>
                  </w:r>
                </w:p>
                <w:tbl>
                  <w:tblPr>
                    <w:tblW w:w="4844" w:type="pct"/>
                    <w:tblLayout w:type="fixed"/>
                    <w:tblCellMar>
                      <w:left w:w="0" w:type="dxa"/>
                      <w:right w:w="0" w:type="dxa"/>
                    </w:tblCellMar>
                    <w:tblLook w:val="04A0" w:firstRow="1" w:lastRow="0" w:firstColumn="1" w:lastColumn="0" w:noHBand="0" w:noVBand="1"/>
                  </w:tblPr>
                  <w:tblGrid>
                    <w:gridCol w:w="2171"/>
                  </w:tblGrid>
                  <w:tr w:rsidR="00E0260F" w:rsidRPr="00DE15E9" w14:paraId="10647CF1" w14:textId="77777777" w:rsidTr="00F2792F">
                    <w:tc>
                      <w:tcPr>
                        <w:tcW w:w="2171" w:type="dxa"/>
                        <w:hideMark/>
                      </w:tcPr>
                      <w:p w14:paraId="5CAFB5F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p w14:paraId="5BE58D2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that the specific terms of payment for the sales transactions are included in standard contracts which have been made binding by the Member State pursuant to Article 164 of Regulation (EU) No 1308/2013 before 1 January 2019, and that this extension of the standard contracts is renewed by the Member States from that date without any significant changes to the terms of payment to the disadvantage of suppliers of grapes or must; and</w:t>
                        </w:r>
                      </w:p>
                    </w:tc>
                  </w:tr>
                </w:tbl>
                <w:p w14:paraId="7A19DB60" w14:textId="77777777" w:rsidR="00E0260F" w:rsidRPr="00DE15E9" w:rsidRDefault="00E0260F" w:rsidP="00DE15E9">
                  <w:pPr>
                    <w:spacing w:after="0" w:line="240" w:lineRule="auto"/>
                    <w:rPr>
                      <w:rFonts w:ascii="Times New Roman" w:eastAsia="Times New Roman" w:hAnsi="Times New Roman" w:cs="Times New Roman"/>
                      <w:sz w:val="20"/>
                      <w:szCs w:val="20"/>
                      <w:lang w:val="en-GB"/>
                    </w:rPr>
                  </w:pPr>
                </w:p>
              </w:tc>
            </w:tr>
          </w:tbl>
          <w:p w14:paraId="5D7D28C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 xml:space="preserve">that the supply agreements between suppliers of grapes or must for wine production and their direct buyers are </w:t>
            </w:r>
            <w:r w:rsidRPr="00DE15E9">
              <w:rPr>
                <w:rFonts w:ascii="Times New Roman" w:eastAsia="Times New Roman" w:hAnsi="Times New Roman" w:cs="Times New Roman"/>
                <w:sz w:val="20"/>
                <w:szCs w:val="20"/>
                <w:lang w:val="en-GB"/>
              </w:rPr>
              <w:lastRenderedPageBreak/>
              <w:t>multiannual or become multiannual.</w:t>
            </w:r>
          </w:p>
        </w:tc>
        <w:tc>
          <w:tcPr>
            <w:tcW w:w="2693" w:type="dxa"/>
            <w:tcBorders>
              <w:top w:val="single" w:sz="4" w:space="0" w:color="000000"/>
              <w:left w:val="single" w:sz="4" w:space="0" w:color="000000"/>
              <w:bottom w:val="single" w:sz="4" w:space="0" w:color="000000"/>
              <w:right w:val="single" w:sz="4" w:space="0" w:color="000000"/>
            </w:tcBorders>
          </w:tcPr>
          <w:p w14:paraId="70C9CA87" w14:textId="3AB8242C" w:rsidR="00E0260F" w:rsidRPr="00DE15E9" w:rsidRDefault="00E0260F" w:rsidP="00DE15E9">
            <w:pPr>
              <w:tabs>
                <w:tab w:val="left" w:pos="851"/>
              </w:tabs>
              <w:spacing w:after="0" w:line="240" w:lineRule="auto"/>
              <w:jc w:val="both"/>
              <w:rPr>
                <w:rFonts w:ascii="Times New Roman" w:eastAsiaTheme="minorHAnsi" w:hAnsi="Times New Roman" w:cs="Times New Roman"/>
                <w:sz w:val="20"/>
                <w:szCs w:val="20"/>
              </w:rPr>
            </w:pPr>
            <w:r w:rsidRPr="00DE15E9">
              <w:rPr>
                <w:rFonts w:ascii="Times New Roman" w:hAnsi="Times New Roman" w:cs="Times New Roman"/>
                <w:bCs/>
                <w:sz w:val="20"/>
                <w:szCs w:val="20"/>
                <w:lang w:val="ro-MD"/>
              </w:rPr>
              <w:lastRenderedPageBreak/>
              <w:t>c)</w:t>
            </w:r>
            <w:r w:rsidRPr="00DE15E9">
              <w:rPr>
                <w:rFonts w:ascii="Times New Roman" w:hAnsi="Times New Roman" w:cs="Times New Roman"/>
                <w:bCs/>
                <w:sz w:val="20"/>
                <w:szCs w:val="20"/>
                <w:lang w:val="ro-MD"/>
              </w:rPr>
              <w:tab/>
            </w:r>
            <w:r w:rsidR="0055327A" w:rsidRPr="00DE15E9">
              <w:rPr>
                <w:rFonts w:ascii="Times New Roman" w:eastAsia="Times New Roman" w:hAnsi="Times New Roman" w:cs="Times New Roman"/>
                <w:sz w:val="20"/>
                <w:szCs w:val="20"/>
              </w:rPr>
              <w:t>contractelor încheiate între furnizorii de struguri sau must pentru producția de vin și cumpărătorii lor direcți, cu condiția ca acestea să stabilească în mod clar condițiile de plată pentru aceste tranzacții și să fie multianuale sau să devină multianuale.</w:t>
            </w:r>
          </w:p>
        </w:tc>
        <w:tc>
          <w:tcPr>
            <w:tcW w:w="2693" w:type="dxa"/>
            <w:tcBorders>
              <w:top w:val="single" w:sz="4" w:space="0" w:color="000000"/>
              <w:left w:val="single" w:sz="4" w:space="0" w:color="000000"/>
              <w:bottom w:val="single" w:sz="4" w:space="0" w:color="000000"/>
              <w:right w:val="single" w:sz="4" w:space="0" w:color="000000"/>
            </w:tcBorders>
          </w:tcPr>
          <w:p w14:paraId="086B9BAD" w14:textId="45508B98" w:rsidR="00E0260F" w:rsidRPr="00DE15E9" w:rsidRDefault="0055327A"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c) contracts concluded between suppliers of grapes or must for wine production and their direct buyers, provided that such contracts clearly establish the payment terms for those transactions and are multiannual or become multiannual.</w:t>
            </w:r>
          </w:p>
        </w:tc>
        <w:tc>
          <w:tcPr>
            <w:tcW w:w="1276" w:type="dxa"/>
            <w:tcBorders>
              <w:top w:val="single" w:sz="4" w:space="0" w:color="000000"/>
              <w:left w:val="single" w:sz="4" w:space="0" w:color="000000"/>
              <w:bottom w:val="single" w:sz="4" w:space="0" w:color="000000"/>
              <w:right w:val="single" w:sz="4" w:space="0" w:color="000000"/>
            </w:tcBorders>
          </w:tcPr>
          <w:p w14:paraId="233FEE6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Parțial compatibil </w:t>
            </w:r>
          </w:p>
          <w:p w14:paraId="66AA966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985" w:type="dxa"/>
            <w:tcBorders>
              <w:top w:val="single" w:sz="4" w:space="0" w:color="000000"/>
              <w:left w:val="single" w:sz="4" w:space="0" w:color="000000"/>
              <w:right w:val="single" w:sz="4" w:space="0" w:color="000000"/>
            </w:tcBorders>
          </w:tcPr>
          <w:p w14:paraId="3957C55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Prevederi adaptate contextului național întrucât Republica Moldova nu are instituit un sistem de contracte standarde extinse obligatoriu conform unui mecanism echivalent celui amintit în art. 164 din Regulamentul nr. 1308/2013. De aceea, excepția națională se bazează pe criteriu funcțional adaptat-contractele trebuie să conțină condiții clare de plată și să fie multianuale sau să devină multianuale.</w:t>
            </w:r>
          </w:p>
        </w:tc>
        <w:tc>
          <w:tcPr>
            <w:tcW w:w="2126" w:type="dxa"/>
            <w:tcBorders>
              <w:top w:val="single" w:sz="4" w:space="0" w:color="000000"/>
              <w:left w:val="single" w:sz="4" w:space="0" w:color="000000"/>
              <w:bottom w:val="single" w:sz="4" w:space="0" w:color="000000"/>
              <w:right w:val="single" w:sz="4" w:space="0" w:color="000000"/>
            </w:tcBorders>
          </w:tcPr>
          <w:p w14:paraId="773AFDC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13BC9CED" w14:textId="77777777" w:rsidTr="00033703">
        <w:tc>
          <w:tcPr>
            <w:tcW w:w="430" w:type="dxa"/>
            <w:tcBorders>
              <w:top w:val="single" w:sz="4" w:space="0" w:color="000000"/>
              <w:left w:val="single" w:sz="4" w:space="0" w:color="000000"/>
              <w:bottom w:val="single" w:sz="4" w:space="0" w:color="000000"/>
              <w:right w:val="single" w:sz="4" w:space="0" w:color="000000"/>
            </w:tcBorders>
          </w:tcPr>
          <w:p w14:paraId="4BEC560B"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35</w:t>
            </w:r>
          </w:p>
        </w:tc>
        <w:tc>
          <w:tcPr>
            <w:tcW w:w="2547" w:type="dxa"/>
            <w:tcBorders>
              <w:top w:val="single" w:sz="4" w:space="0" w:color="000000"/>
              <w:left w:val="single" w:sz="4" w:space="0" w:color="000000"/>
              <w:bottom w:val="single" w:sz="4" w:space="0" w:color="000000"/>
              <w:right w:val="single" w:sz="4" w:space="0" w:color="000000"/>
            </w:tcBorders>
          </w:tcPr>
          <w:p w14:paraId="44ADB55E"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(2)   Statele membre se asigură că cel puțin toate următoarele practici comerciale sunt interzise, cu excepția cazului în care acestea au fost convenite anterior prin clauze clare și lipsite de ambiguitate din acordul de furnizare sau printr-un acord ulterior între furnizor și cumpărător:</w:t>
            </w:r>
          </w:p>
          <w:tbl>
            <w:tblPr>
              <w:tblW w:w="4811" w:type="pct"/>
              <w:shd w:val="clear" w:color="auto" w:fill="FFFFFF"/>
              <w:tblLayout w:type="fixed"/>
              <w:tblCellMar>
                <w:left w:w="0" w:type="dxa"/>
                <w:right w:w="0" w:type="dxa"/>
              </w:tblCellMar>
              <w:tblLook w:val="04A0" w:firstRow="1" w:lastRow="0" w:firstColumn="1" w:lastColumn="0" w:noHBand="0" w:noVBand="1"/>
            </w:tblPr>
            <w:tblGrid>
              <w:gridCol w:w="2229"/>
            </w:tblGrid>
            <w:tr w:rsidR="00E0260F" w:rsidRPr="00DE15E9" w14:paraId="2AFADA41" w14:textId="77777777" w:rsidTr="00985A7C">
              <w:tc>
                <w:tcPr>
                  <w:tcW w:w="2239" w:type="dxa"/>
                  <w:shd w:val="clear" w:color="auto" w:fill="FFFFFF"/>
                  <w:hideMark/>
                </w:tcPr>
                <w:p w14:paraId="5713BB0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cumpărătorul returnează furnizorului produsele agricole și alimentare nevândute, fără să plătească pentru respectivele produse nevândute, sau fără să plătească pentru eliminarea acestor produse, sau ambele;</w:t>
                  </w:r>
                </w:p>
              </w:tc>
            </w:tr>
          </w:tbl>
          <w:p w14:paraId="7493B9D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624E53B6"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2.   Member States shall ensure that at least all the following trading practices are prohibited, unless they have been previously agreed in clear and unambiguous terms in the supply agreement or in a subsequent agreement between the supplier and the buyer:</w:t>
            </w:r>
          </w:p>
          <w:tbl>
            <w:tblPr>
              <w:tblW w:w="4811" w:type="pct"/>
              <w:shd w:val="clear" w:color="auto" w:fill="FFFFFF"/>
              <w:tblLayout w:type="fixed"/>
              <w:tblCellMar>
                <w:left w:w="0" w:type="dxa"/>
                <w:right w:w="0" w:type="dxa"/>
              </w:tblCellMar>
              <w:tblLook w:val="04A0" w:firstRow="1" w:lastRow="0" w:firstColumn="1" w:lastColumn="0" w:noHBand="0" w:noVBand="1"/>
            </w:tblPr>
            <w:tblGrid>
              <w:gridCol w:w="2234"/>
            </w:tblGrid>
            <w:tr w:rsidR="00E0260F" w:rsidRPr="00DE15E9" w14:paraId="5F13606E" w14:textId="77777777" w:rsidTr="00985A7C">
              <w:tc>
                <w:tcPr>
                  <w:tcW w:w="2234" w:type="dxa"/>
                  <w:shd w:val="clear" w:color="auto" w:fill="FFFFFF"/>
                  <w:hideMark/>
                </w:tcPr>
                <w:p w14:paraId="71EE53D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the buyer returns unsold agricultural and food products to the supplier without paying for those unsold products or without paying for the disposal of those products, or both;</w:t>
                  </w:r>
                </w:p>
              </w:tc>
            </w:tr>
          </w:tbl>
          <w:p w14:paraId="0567499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73948826" w14:textId="7BF49929" w:rsidR="0055327A" w:rsidRPr="00DE15E9" w:rsidRDefault="0055327A"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Articolul 5.</w:t>
            </w:r>
          </w:p>
          <w:p w14:paraId="3A91E5AF" w14:textId="15786A69" w:rsidR="0055327A" w:rsidRPr="00DE15E9" w:rsidRDefault="0055327A" w:rsidP="00DE15E9">
            <w:pPr>
              <w:pStyle w:val="ListParagraph"/>
              <w:spacing w:after="0" w:line="240" w:lineRule="auto"/>
              <w:ind w:left="34"/>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lang w:val="ro-MD"/>
              </w:rPr>
              <w:t xml:space="preserve">(2) </w:t>
            </w:r>
            <w:r w:rsidRPr="00DE15E9">
              <w:rPr>
                <w:rFonts w:ascii="Times New Roman" w:eastAsia="Times New Roman" w:hAnsi="Times New Roman" w:cs="Times New Roman"/>
                <w:sz w:val="20"/>
                <w:szCs w:val="20"/>
              </w:rPr>
              <w:t>Sunt considerate neloiale și interzise următoarele practici comerciale, cu excepția cazului în care acestea au fost convenite anterior prin clauze clare și lipsite de ambiguitate din contract sau printr-un acord ulterior la contractul dintre cumpărător și furnizor:</w:t>
            </w:r>
          </w:p>
          <w:p w14:paraId="6DE32622" w14:textId="1E0E2715" w:rsidR="00E0260F" w:rsidRPr="00DE15E9" w:rsidRDefault="0055327A" w:rsidP="00DE15E9">
            <w:pPr>
              <w:pStyle w:val="ListParagraph"/>
              <w:numPr>
                <w:ilvl w:val="0"/>
                <w:numId w:val="18"/>
              </w:numPr>
              <w:spacing w:after="0" w:line="240" w:lineRule="auto"/>
              <w:ind w:left="0" w:firstLine="34"/>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cumpărătorul returnează furnizorului produsele agricole și alimentare nevândute, fără să plătească pentru respectivele produse nevândute sau fără să plătească pentru eliminarea acestor produse ori ambele;</w:t>
            </w:r>
          </w:p>
        </w:tc>
        <w:tc>
          <w:tcPr>
            <w:tcW w:w="2693" w:type="dxa"/>
            <w:tcBorders>
              <w:top w:val="single" w:sz="4" w:space="0" w:color="000000"/>
              <w:left w:val="single" w:sz="4" w:space="0" w:color="000000"/>
              <w:bottom w:val="single" w:sz="4" w:space="0" w:color="000000"/>
              <w:right w:val="single" w:sz="4" w:space="0" w:color="000000"/>
            </w:tcBorders>
          </w:tcPr>
          <w:p w14:paraId="066B2F71" w14:textId="77777777" w:rsidR="00E0260F" w:rsidRPr="00DE15E9" w:rsidRDefault="0055327A"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Article 5.</w:t>
            </w:r>
          </w:p>
          <w:p w14:paraId="224C2741" w14:textId="77777777" w:rsidR="0055327A" w:rsidRPr="00DE15E9" w:rsidRDefault="0055327A"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(2) The following trading practices shall be considered unfair and prohibited, unless they have been clearly and unambiguously agreed in the contract or in a subsequent agreement to the contract between the buyer and the supplier:</w:t>
            </w:r>
          </w:p>
          <w:p w14:paraId="5E8AB44A" w14:textId="77777777" w:rsidR="0055327A" w:rsidRPr="00DE15E9" w:rsidRDefault="0055327A" w:rsidP="00DE15E9">
            <w:pPr>
              <w:numPr>
                <w:ilvl w:val="0"/>
                <w:numId w:val="19"/>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the buyer returns unsold agricultural and food products to the supplier without paying for those unsold products or for the disposal of those products, or both;</w:t>
            </w:r>
          </w:p>
          <w:p w14:paraId="3E3ACF7A" w14:textId="5D28EF24" w:rsidR="0055327A" w:rsidRPr="00DE15E9" w:rsidRDefault="0055327A"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71364F2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4B87E1E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36F297F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33C396E2" w14:textId="77777777" w:rsidTr="00033703">
        <w:tc>
          <w:tcPr>
            <w:tcW w:w="430" w:type="dxa"/>
            <w:tcBorders>
              <w:top w:val="single" w:sz="4" w:space="0" w:color="000000"/>
              <w:left w:val="single" w:sz="4" w:space="0" w:color="000000"/>
              <w:bottom w:val="single" w:sz="4" w:space="0" w:color="000000"/>
              <w:right w:val="single" w:sz="4" w:space="0" w:color="000000"/>
            </w:tcBorders>
          </w:tcPr>
          <w:p w14:paraId="45DCDA6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36</w:t>
            </w:r>
          </w:p>
        </w:tc>
        <w:tc>
          <w:tcPr>
            <w:tcW w:w="2547" w:type="dxa"/>
            <w:tcBorders>
              <w:top w:val="single" w:sz="4" w:space="0" w:color="000000"/>
              <w:left w:val="single" w:sz="4" w:space="0" w:color="000000"/>
              <w:bottom w:val="single" w:sz="4" w:space="0" w:color="000000"/>
              <w:right w:val="single" w:sz="4" w:space="0" w:color="000000"/>
            </w:tcBorders>
          </w:tcPr>
          <w:tbl>
            <w:tblPr>
              <w:tblW w:w="4802" w:type="pct"/>
              <w:shd w:val="clear" w:color="auto" w:fill="FFFFFF"/>
              <w:tblLayout w:type="fixed"/>
              <w:tblCellMar>
                <w:left w:w="0" w:type="dxa"/>
                <w:right w:w="0" w:type="dxa"/>
              </w:tblCellMar>
              <w:tblLook w:val="04A0" w:firstRow="1" w:lastRow="0" w:firstColumn="1" w:lastColumn="0" w:noHBand="0" w:noVBand="1"/>
            </w:tblPr>
            <w:tblGrid>
              <w:gridCol w:w="2225"/>
            </w:tblGrid>
            <w:tr w:rsidR="00E0260F" w:rsidRPr="00DE15E9" w14:paraId="60654BA1" w14:textId="77777777" w:rsidTr="00985A7C">
              <w:tc>
                <w:tcPr>
                  <w:tcW w:w="2235" w:type="dxa"/>
                  <w:shd w:val="clear" w:color="auto" w:fill="FFFFFF"/>
                  <w:hideMark/>
                </w:tcPr>
                <w:p w14:paraId="44B49FD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furnizorului i se impune o plată de care este condiționată stocarea, afișarea sau listarea produselor sale agricole și alimentare, sau punerea la dispoziție pe piață a respectivelor produse;</w:t>
                  </w:r>
                </w:p>
              </w:tc>
            </w:tr>
          </w:tbl>
          <w:p w14:paraId="29134CB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02" w:type="pct"/>
              <w:shd w:val="clear" w:color="auto" w:fill="FFFFFF"/>
              <w:tblLayout w:type="fixed"/>
              <w:tblCellMar>
                <w:left w:w="0" w:type="dxa"/>
                <w:right w:w="0" w:type="dxa"/>
              </w:tblCellMar>
              <w:tblLook w:val="04A0" w:firstRow="1" w:lastRow="0" w:firstColumn="1" w:lastColumn="0" w:noHBand="0" w:noVBand="1"/>
            </w:tblPr>
            <w:tblGrid>
              <w:gridCol w:w="2230"/>
            </w:tblGrid>
            <w:tr w:rsidR="00E0260F" w:rsidRPr="00DE15E9" w14:paraId="4228B582" w14:textId="77777777" w:rsidTr="00985A7C">
              <w:tc>
                <w:tcPr>
                  <w:tcW w:w="2230" w:type="dxa"/>
                  <w:shd w:val="clear" w:color="auto" w:fill="FFFFFF"/>
                  <w:hideMark/>
                </w:tcPr>
                <w:p w14:paraId="64739BB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the supplier is charged payment as a condition for stocking, displaying or listing its agricultural and food products, or of making such products available on the market;</w:t>
                  </w:r>
                </w:p>
              </w:tc>
            </w:tr>
          </w:tbl>
          <w:p w14:paraId="2EC81EC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695FACED" w14:textId="77777777" w:rsidR="0055327A" w:rsidRPr="00DE15E9" w:rsidRDefault="00E0260F"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lang w:val="ro-MD"/>
              </w:rPr>
              <w:t>2)</w:t>
            </w:r>
            <w:r w:rsidRPr="00DE15E9">
              <w:rPr>
                <w:rFonts w:ascii="Times New Roman" w:eastAsia="Times New Roman" w:hAnsi="Times New Roman" w:cs="Times New Roman"/>
                <w:sz w:val="20"/>
                <w:szCs w:val="20"/>
                <w:lang w:val="ro-MD"/>
              </w:rPr>
              <w:tab/>
            </w:r>
            <w:r w:rsidR="0055327A" w:rsidRPr="00DE15E9">
              <w:rPr>
                <w:rFonts w:ascii="Times New Roman" w:eastAsia="Times New Roman" w:hAnsi="Times New Roman" w:cs="Times New Roman"/>
                <w:sz w:val="20"/>
                <w:szCs w:val="20"/>
              </w:rPr>
              <w:t>furnizorului i se impune o plată de care este condiționată stocarea, afișarea sau listarea produselor sale agricole și alimentare sau punerea la dispoziție pe piață a respectivelor produse;</w:t>
            </w:r>
          </w:p>
          <w:p w14:paraId="0CCF688B" w14:textId="7FFEB481"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
              </w:rPr>
            </w:pPr>
          </w:p>
        </w:tc>
        <w:tc>
          <w:tcPr>
            <w:tcW w:w="2693" w:type="dxa"/>
            <w:tcBorders>
              <w:top w:val="single" w:sz="4" w:space="0" w:color="000000"/>
              <w:left w:val="single" w:sz="4" w:space="0" w:color="000000"/>
              <w:bottom w:val="single" w:sz="4" w:space="0" w:color="000000"/>
              <w:right w:val="single" w:sz="4" w:space="0" w:color="000000"/>
            </w:tcBorders>
          </w:tcPr>
          <w:p w14:paraId="0BEA4975" w14:textId="30F7E9D8" w:rsidR="00E0260F" w:rsidRPr="00DE15E9" w:rsidRDefault="0055327A" w:rsidP="00DE15E9">
            <w:pPr>
              <w:numPr>
                <w:ilvl w:val="0"/>
                <w:numId w:val="19"/>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the supplier is charged a payment as a condition for storing, displaying or listing its agricultural and food products or making those products available on the market;</w:t>
            </w:r>
          </w:p>
        </w:tc>
        <w:tc>
          <w:tcPr>
            <w:tcW w:w="1276" w:type="dxa"/>
            <w:tcBorders>
              <w:top w:val="single" w:sz="4" w:space="0" w:color="000000"/>
              <w:left w:val="single" w:sz="4" w:space="0" w:color="000000"/>
              <w:bottom w:val="single" w:sz="4" w:space="0" w:color="000000"/>
              <w:right w:val="single" w:sz="4" w:space="0" w:color="000000"/>
            </w:tcBorders>
          </w:tcPr>
          <w:p w14:paraId="3610C06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3BB12FE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178711D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75263643" w14:textId="77777777" w:rsidTr="00033703">
        <w:tc>
          <w:tcPr>
            <w:tcW w:w="430" w:type="dxa"/>
            <w:tcBorders>
              <w:top w:val="single" w:sz="4" w:space="0" w:color="000000"/>
              <w:left w:val="single" w:sz="4" w:space="0" w:color="000000"/>
              <w:bottom w:val="single" w:sz="4" w:space="0" w:color="000000"/>
              <w:right w:val="single" w:sz="4" w:space="0" w:color="000000"/>
            </w:tcBorders>
          </w:tcPr>
          <w:p w14:paraId="71801DA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37</w:t>
            </w:r>
          </w:p>
        </w:tc>
        <w:tc>
          <w:tcPr>
            <w:tcW w:w="2547" w:type="dxa"/>
            <w:tcBorders>
              <w:top w:val="single" w:sz="4" w:space="0" w:color="000000"/>
              <w:left w:val="single" w:sz="4" w:space="0" w:color="000000"/>
              <w:bottom w:val="single" w:sz="4" w:space="0" w:color="000000"/>
              <w:right w:val="single" w:sz="4" w:space="0" w:color="000000"/>
            </w:tcBorders>
          </w:tcPr>
          <w:tbl>
            <w:tblPr>
              <w:tblW w:w="4811" w:type="pct"/>
              <w:shd w:val="clear" w:color="auto" w:fill="FFFFFF"/>
              <w:tblLayout w:type="fixed"/>
              <w:tblCellMar>
                <w:left w:w="0" w:type="dxa"/>
                <w:right w:w="0" w:type="dxa"/>
              </w:tblCellMar>
              <w:tblLook w:val="04A0" w:firstRow="1" w:lastRow="0" w:firstColumn="1" w:lastColumn="0" w:noHBand="0" w:noVBand="1"/>
            </w:tblPr>
            <w:tblGrid>
              <w:gridCol w:w="2229"/>
            </w:tblGrid>
            <w:tr w:rsidR="00E0260F" w:rsidRPr="00DE15E9" w14:paraId="7E02CFAB" w14:textId="77777777" w:rsidTr="00985A7C">
              <w:tc>
                <w:tcPr>
                  <w:tcW w:w="2239" w:type="dxa"/>
                  <w:shd w:val="clear" w:color="auto" w:fill="FFFFFF"/>
                  <w:hideMark/>
                </w:tcPr>
                <w:p w14:paraId="5AFEDA1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cumpărătorul solicită furnizorului să suporte, integral sau parțial, costul oricăror reduceri pentru produsele agricole și alimentare vândute de </w:t>
                  </w:r>
                  <w:r w:rsidRPr="00DE15E9">
                    <w:rPr>
                      <w:rFonts w:ascii="Times New Roman" w:eastAsia="Times New Roman" w:hAnsi="Times New Roman" w:cs="Times New Roman"/>
                      <w:sz w:val="20"/>
                      <w:szCs w:val="20"/>
                      <w:lang w:val="ro-MD"/>
                    </w:rPr>
                    <w:lastRenderedPageBreak/>
                    <w:t>cumpărător cu titlu promoțional;</w:t>
                  </w:r>
                </w:p>
              </w:tc>
            </w:tr>
          </w:tbl>
          <w:p w14:paraId="4CE5CF5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58" w:type="pct"/>
              <w:shd w:val="clear" w:color="auto" w:fill="FFFFFF"/>
              <w:tblLayout w:type="fixed"/>
              <w:tblCellMar>
                <w:left w:w="0" w:type="dxa"/>
                <w:right w:w="0" w:type="dxa"/>
              </w:tblCellMar>
              <w:tblLook w:val="04A0" w:firstRow="1" w:lastRow="0" w:firstColumn="1" w:lastColumn="0" w:noHBand="0" w:noVBand="1"/>
            </w:tblPr>
            <w:tblGrid>
              <w:gridCol w:w="2256"/>
            </w:tblGrid>
            <w:tr w:rsidR="00E0260F" w:rsidRPr="00DE15E9" w14:paraId="58AA9394" w14:textId="77777777" w:rsidTr="00985A7C">
              <w:tc>
                <w:tcPr>
                  <w:tcW w:w="2256" w:type="dxa"/>
                  <w:shd w:val="clear" w:color="auto" w:fill="FFFFFF"/>
                  <w:hideMark/>
                </w:tcPr>
                <w:p w14:paraId="27508FD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lastRenderedPageBreak/>
                    <w:t xml:space="preserve">the buyer requires the supplier to bear all or part of the cost of any discounts on agricultural and food products that are sold by the </w:t>
                  </w:r>
                  <w:r w:rsidRPr="00DE15E9">
                    <w:rPr>
                      <w:rFonts w:ascii="Times New Roman" w:eastAsia="Times New Roman" w:hAnsi="Times New Roman" w:cs="Times New Roman"/>
                      <w:sz w:val="20"/>
                      <w:szCs w:val="20"/>
                      <w:lang w:val="en-GB"/>
                    </w:rPr>
                    <w:lastRenderedPageBreak/>
                    <w:t>buyer as part of a promotion;</w:t>
                  </w:r>
                </w:p>
              </w:tc>
            </w:tr>
          </w:tbl>
          <w:p w14:paraId="22EC6D42" w14:textId="77777777" w:rsidR="00E0260F" w:rsidRPr="00DE15E9" w:rsidRDefault="00E0260F" w:rsidP="00DE15E9">
            <w:pPr>
              <w:spacing w:after="0" w:line="240" w:lineRule="auto"/>
              <w:jc w:val="center"/>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1AD1618B" w14:textId="2160F366"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3)</w:t>
            </w:r>
            <w:r w:rsidRPr="00DE15E9">
              <w:rPr>
                <w:rFonts w:ascii="Times New Roman" w:eastAsia="Times New Roman" w:hAnsi="Times New Roman" w:cs="Times New Roman"/>
                <w:sz w:val="20"/>
                <w:szCs w:val="20"/>
                <w:lang w:val="ro-MD"/>
              </w:rPr>
              <w:tab/>
              <w:t xml:space="preserve">cumpărătorul solicită furnizorului să suporte, integral sau parțial, costul oricăror reduceri pentru produsele agricole și alimentare vândute de </w:t>
            </w:r>
            <w:r w:rsidRPr="00DE15E9">
              <w:rPr>
                <w:rFonts w:ascii="Times New Roman" w:eastAsia="Times New Roman" w:hAnsi="Times New Roman" w:cs="Times New Roman"/>
                <w:sz w:val="20"/>
                <w:szCs w:val="20"/>
                <w:lang w:val="ro-MD"/>
              </w:rPr>
              <w:lastRenderedPageBreak/>
              <w:t>cumpărător cu titlu promoțional, cu excepția cazului în care cumpărătorul, înaintea demarării unei acțiuni promoționale, precizează perioada promoției și cantitatea de produse agricole și alimentare pe care preconizează că o va comanda la preț redus;</w:t>
            </w:r>
          </w:p>
        </w:tc>
        <w:tc>
          <w:tcPr>
            <w:tcW w:w="2693" w:type="dxa"/>
            <w:tcBorders>
              <w:top w:val="single" w:sz="4" w:space="0" w:color="000000"/>
              <w:left w:val="single" w:sz="4" w:space="0" w:color="000000"/>
              <w:bottom w:val="single" w:sz="4" w:space="0" w:color="000000"/>
              <w:right w:val="single" w:sz="4" w:space="0" w:color="000000"/>
            </w:tcBorders>
          </w:tcPr>
          <w:p w14:paraId="31F3B980" w14:textId="77777777" w:rsidR="0055327A" w:rsidRPr="00DE15E9" w:rsidRDefault="0055327A" w:rsidP="00DE15E9">
            <w:pPr>
              <w:numPr>
                <w:ilvl w:val="0"/>
                <w:numId w:val="19"/>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lastRenderedPageBreak/>
              <w:t xml:space="preserve">the buyer requires the supplier to bear, in whole or in part, the cost of any discounts on agricultural and food products sold by the buyer as part of a promotion, unless the </w:t>
            </w:r>
            <w:r w:rsidRPr="00DE15E9">
              <w:rPr>
                <w:rFonts w:ascii="Times New Roman" w:eastAsia="Times New Roman" w:hAnsi="Times New Roman" w:cs="Times New Roman"/>
                <w:sz w:val="20"/>
                <w:szCs w:val="20"/>
              </w:rPr>
              <w:lastRenderedPageBreak/>
              <w:t>buyer, before the start of the promotional campaign, specifies the period of the promotion and the quantity of agricultural and food products it expects to order at the reduced price;</w:t>
            </w:r>
          </w:p>
          <w:p w14:paraId="6D97D8FA"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756BD39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44A17A43" w14:textId="029A581A"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01DC228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491C040D" w14:textId="77777777" w:rsidTr="00033703">
        <w:tc>
          <w:tcPr>
            <w:tcW w:w="430" w:type="dxa"/>
            <w:tcBorders>
              <w:top w:val="single" w:sz="4" w:space="0" w:color="000000"/>
              <w:left w:val="single" w:sz="4" w:space="0" w:color="000000"/>
              <w:bottom w:val="single" w:sz="4" w:space="0" w:color="000000"/>
              <w:right w:val="single" w:sz="4" w:space="0" w:color="000000"/>
            </w:tcBorders>
          </w:tcPr>
          <w:p w14:paraId="55FCADA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38</w:t>
            </w:r>
          </w:p>
        </w:tc>
        <w:tc>
          <w:tcPr>
            <w:tcW w:w="2547" w:type="dxa"/>
            <w:tcBorders>
              <w:top w:val="single" w:sz="4" w:space="0" w:color="000000"/>
              <w:left w:val="single" w:sz="4" w:space="0" w:color="000000"/>
              <w:bottom w:val="single" w:sz="4" w:space="0" w:color="000000"/>
              <w:right w:val="single" w:sz="4" w:space="0" w:color="000000"/>
            </w:tcBorders>
          </w:tcPr>
          <w:tbl>
            <w:tblPr>
              <w:tblW w:w="4802" w:type="pct"/>
              <w:shd w:val="clear" w:color="auto" w:fill="FFFFFF"/>
              <w:tblLayout w:type="fixed"/>
              <w:tblCellMar>
                <w:left w:w="0" w:type="dxa"/>
                <w:right w:w="0" w:type="dxa"/>
              </w:tblCellMar>
              <w:tblLook w:val="04A0" w:firstRow="1" w:lastRow="0" w:firstColumn="1" w:lastColumn="0" w:noHBand="0" w:noVBand="1"/>
            </w:tblPr>
            <w:tblGrid>
              <w:gridCol w:w="2225"/>
            </w:tblGrid>
            <w:tr w:rsidR="00E0260F" w:rsidRPr="00DE15E9" w14:paraId="267F19E0" w14:textId="77777777" w:rsidTr="00985A7C">
              <w:tc>
                <w:tcPr>
                  <w:tcW w:w="2235" w:type="dxa"/>
                  <w:shd w:val="clear" w:color="auto" w:fill="FFFFFF"/>
                  <w:hideMark/>
                </w:tcPr>
                <w:p w14:paraId="599E3C6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cumpărătorul solicită furnizorului să plătească pentru publicitatea făcută de către cumpărător produselor agricole și alimentare;</w:t>
                  </w:r>
                </w:p>
              </w:tc>
            </w:tr>
          </w:tbl>
          <w:p w14:paraId="7510688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02" w:type="pct"/>
              <w:shd w:val="clear" w:color="auto" w:fill="FFFFFF"/>
              <w:tblLayout w:type="fixed"/>
              <w:tblCellMar>
                <w:left w:w="0" w:type="dxa"/>
                <w:right w:w="0" w:type="dxa"/>
              </w:tblCellMar>
              <w:tblLook w:val="04A0" w:firstRow="1" w:lastRow="0" w:firstColumn="1" w:lastColumn="0" w:noHBand="0" w:noVBand="1"/>
            </w:tblPr>
            <w:tblGrid>
              <w:gridCol w:w="2230"/>
            </w:tblGrid>
            <w:tr w:rsidR="00E0260F" w:rsidRPr="00DE15E9" w14:paraId="0B901DC3" w14:textId="77777777" w:rsidTr="00985A7C">
              <w:tc>
                <w:tcPr>
                  <w:tcW w:w="2230" w:type="dxa"/>
                  <w:shd w:val="clear" w:color="auto" w:fill="FFFFFF"/>
                  <w:hideMark/>
                </w:tcPr>
                <w:p w14:paraId="1187388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the buyer requires the supplier to pay for the advertising by the buyer of agricultural and food products;</w:t>
                  </w:r>
                </w:p>
              </w:tc>
            </w:tr>
          </w:tbl>
          <w:p w14:paraId="32D2745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208B15E5" w14:textId="7D2F5F6F"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4)</w:t>
            </w:r>
            <w:r w:rsidRPr="00DE15E9">
              <w:rPr>
                <w:rFonts w:ascii="Times New Roman" w:eastAsia="Times New Roman" w:hAnsi="Times New Roman" w:cs="Times New Roman"/>
                <w:sz w:val="20"/>
                <w:szCs w:val="20"/>
                <w:lang w:val="ro-MD"/>
              </w:rPr>
              <w:tab/>
              <w:t>cumpărătorul solicită furnizorului să plătească pentru publicitatea făcută de către cumpărător produselor agricole și alimentare;</w:t>
            </w:r>
          </w:p>
        </w:tc>
        <w:tc>
          <w:tcPr>
            <w:tcW w:w="2693" w:type="dxa"/>
            <w:tcBorders>
              <w:top w:val="single" w:sz="4" w:space="0" w:color="000000"/>
              <w:left w:val="single" w:sz="4" w:space="0" w:color="000000"/>
              <w:bottom w:val="single" w:sz="4" w:space="0" w:color="000000"/>
              <w:right w:val="single" w:sz="4" w:space="0" w:color="000000"/>
            </w:tcBorders>
          </w:tcPr>
          <w:p w14:paraId="38FC6D20" w14:textId="77777777" w:rsidR="003016C5" w:rsidRPr="00DE15E9" w:rsidRDefault="003016C5" w:rsidP="00DE15E9">
            <w:pPr>
              <w:numPr>
                <w:ilvl w:val="0"/>
                <w:numId w:val="19"/>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the buyer requires the supplier to pay for advertising by the buyer of agricultural and food products;</w:t>
            </w:r>
          </w:p>
          <w:p w14:paraId="12D3BB8D"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5FCEBD0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1936A73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60B98B2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7A6105E3" w14:textId="77777777" w:rsidTr="00033703">
        <w:trPr>
          <w:trHeight w:val="1819"/>
        </w:trPr>
        <w:tc>
          <w:tcPr>
            <w:tcW w:w="430" w:type="dxa"/>
            <w:tcBorders>
              <w:top w:val="single" w:sz="4" w:space="0" w:color="000000"/>
              <w:left w:val="single" w:sz="4" w:space="0" w:color="000000"/>
              <w:bottom w:val="single" w:sz="4" w:space="0" w:color="000000"/>
              <w:right w:val="single" w:sz="4" w:space="0" w:color="000000"/>
            </w:tcBorders>
          </w:tcPr>
          <w:p w14:paraId="52D438F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39</w:t>
            </w:r>
          </w:p>
        </w:tc>
        <w:tc>
          <w:tcPr>
            <w:tcW w:w="2547" w:type="dxa"/>
            <w:tcBorders>
              <w:top w:val="single" w:sz="4" w:space="0" w:color="000000"/>
              <w:left w:val="single" w:sz="4" w:space="0" w:color="000000"/>
              <w:bottom w:val="single" w:sz="4" w:space="0" w:color="000000"/>
              <w:right w:val="single" w:sz="4" w:space="0" w:color="000000"/>
            </w:tcBorders>
          </w:tcPr>
          <w:tbl>
            <w:tblPr>
              <w:tblW w:w="4811" w:type="pct"/>
              <w:shd w:val="clear" w:color="auto" w:fill="FFFFFF"/>
              <w:tblLayout w:type="fixed"/>
              <w:tblCellMar>
                <w:left w:w="0" w:type="dxa"/>
                <w:right w:w="0" w:type="dxa"/>
              </w:tblCellMar>
              <w:tblLook w:val="04A0" w:firstRow="1" w:lastRow="0" w:firstColumn="1" w:lastColumn="0" w:noHBand="0" w:noVBand="1"/>
            </w:tblPr>
            <w:tblGrid>
              <w:gridCol w:w="2229"/>
            </w:tblGrid>
            <w:tr w:rsidR="00E0260F" w:rsidRPr="00DE15E9" w14:paraId="0BCDC6FC" w14:textId="77777777" w:rsidTr="00985A7C">
              <w:tc>
                <w:tcPr>
                  <w:tcW w:w="2239" w:type="dxa"/>
                  <w:shd w:val="clear" w:color="auto" w:fill="FFFFFF"/>
                  <w:hideMark/>
                </w:tcPr>
                <w:p w14:paraId="329B530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cumpărătorul solicită furnizorului să plătească pentru serviciile de marketing prestate de către cumpărător privind produsele agricole și alimentare;</w:t>
                  </w:r>
                </w:p>
              </w:tc>
            </w:tr>
          </w:tbl>
          <w:p w14:paraId="705759E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11" w:type="pct"/>
              <w:shd w:val="clear" w:color="auto" w:fill="FFFFFF"/>
              <w:tblLayout w:type="fixed"/>
              <w:tblCellMar>
                <w:left w:w="0" w:type="dxa"/>
                <w:right w:w="0" w:type="dxa"/>
              </w:tblCellMar>
              <w:tblLook w:val="04A0" w:firstRow="1" w:lastRow="0" w:firstColumn="1" w:lastColumn="0" w:noHBand="0" w:noVBand="1"/>
            </w:tblPr>
            <w:tblGrid>
              <w:gridCol w:w="2234"/>
            </w:tblGrid>
            <w:tr w:rsidR="00E0260F" w:rsidRPr="00DE15E9" w14:paraId="4CCD14EB" w14:textId="77777777" w:rsidTr="00985A7C">
              <w:tc>
                <w:tcPr>
                  <w:tcW w:w="2234" w:type="dxa"/>
                  <w:shd w:val="clear" w:color="auto" w:fill="FFFFFF"/>
                  <w:hideMark/>
                </w:tcPr>
                <w:p w14:paraId="6221FBF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the buyer requires the supplier to pay for the marketing by the buyer of agricultural and food products;</w:t>
                  </w:r>
                </w:p>
              </w:tc>
            </w:tr>
          </w:tbl>
          <w:p w14:paraId="72A8467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6802D5E2" w14:textId="303B3916"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5)</w:t>
            </w:r>
            <w:r w:rsidRPr="00DE15E9">
              <w:rPr>
                <w:rFonts w:ascii="Times New Roman" w:eastAsia="Times New Roman" w:hAnsi="Times New Roman" w:cs="Times New Roman"/>
                <w:sz w:val="20"/>
                <w:szCs w:val="20"/>
                <w:lang w:val="ro-MD"/>
              </w:rPr>
              <w:tab/>
              <w:t>cumpărătorul solicită furnizorului să plătească pentru serviciile de marketing prestate de către cumpărător privind produsele agricole și alimentare;</w:t>
            </w:r>
          </w:p>
        </w:tc>
        <w:tc>
          <w:tcPr>
            <w:tcW w:w="2693" w:type="dxa"/>
            <w:tcBorders>
              <w:top w:val="single" w:sz="4" w:space="0" w:color="000000"/>
              <w:left w:val="single" w:sz="4" w:space="0" w:color="000000"/>
              <w:bottom w:val="single" w:sz="4" w:space="0" w:color="000000"/>
              <w:right w:val="single" w:sz="4" w:space="0" w:color="000000"/>
            </w:tcBorders>
          </w:tcPr>
          <w:p w14:paraId="796BB288" w14:textId="0FAE1CBF" w:rsidR="00E0260F" w:rsidRPr="00DE15E9" w:rsidRDefault="003016C5" w:rsidP="00DE15E9">
            <w:pPr>
              <w:numPr>
                <w:ilvl w:val="0"/>
                <w:numId w:val="19"/>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the buyer requires the supplier to pay for marketing services provided by the buyer in relation to agricultural and food products;</w:t>
            </w:r>
          </w:p>
        </w:tc>
        <w:tc>
          <w:tcPr>
            <w:tcW w:w="1276" w:type="dxa"/>
            <w:tcBorders>
              <w:top w:val="single" w:sz="4" w:space="0" w:color="000000"/>
              <w:left w:val="single" w:sz="4" w:space="0" w:color="000000"/>
              <w:bottom w:val="single" w:sz="4" w:space="0" w:color="000000"/>
              <w:right w:val="single" w:sz="4" w:space="0" w:color="000000"/>
            </w:tcBorders>
          </w:tcPr>
          <w:p w14:paraId="1C4B47F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0F1553A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4036337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7B0CEB4A" w14:textId="77777777" w:rsidTr="00033703">
        <w:tc>
          <w:tcPr>
            <w:tcW w:w="430" w:type="dxa"/>
            <w:tcBorders>
              <w:top w:val="single" w:sz="4" w:space="0" w:color="000000"/>
              <w:left w:val="single" w:sz="4" w:space="0" w:color="000000"/>
              <w:bottom w:val="single" w:sz="4" w:space="0" w:color="000000"/>
              <w:right w:val="single" w:sz="4" w:space="0" w:color="000000"/>
            </w:tcBorders>
          </w:tcPr>
          <w:p w14:paraId="772BD55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40</w:t>
            </w:r>
          </w:p>
        </w:tc>
        <w:tc>
          <w:tcPr>
            <w:tcW w:w="2547" w:type="dxa"/>
            <w:tcBorders>
              <w:top w:val="single" w:sz="4" w:space="0" w:color="000000"/>
              <w:left w:val="single" w:sz="4" w:space="0" w:color="000000"/>
              <w:bottom w:val="single" w:sz="4" w:space="0" w:color="000000"/>
              <w:right w:val="single" w:sz="4" w:space="0" w:color="000000"/>
            </w:tcBorders>
          </w:tcPr>
          <w:tbl>
            <w:tblPr>
              <w:tblW w:w="4826" w:type="pct"/>
              <w:shd w:val="clear" w:color="auto" w:fill="FFFFFF"/>
              <w:tblLayout w:type="fixed"/>
              <w:tblCellMar>
                <w:left w:w="0" w:type="dxa"/>
                <w:right w:w="0" w:type="dxa"/>
              </w:tblCellMar>
              <w:tblLook w:val="04A0" w:firstRow="1" w:lastRow="0" w:firstColumn="1" w:lastColumn="0" w:noHBand="0" w:noVBand="1"/>
            </w:tblPr>
            <w:tblGrid>
              <w:gridCol w:w="2236"/>
            </w:tblGrid>
            <w:tr w:rsidR="00E0260F" w:rsidRPr="00DE15E9" w14:paraId="4C7CC785" w14:textId="77777777" w:rsidTr="00985A7C">
              <w:tc>
                <w:tcPr>
                  <w:tcW w:w="2246" w:type="dxa"/>
                  <w:shd w:val="clear" w:color="auto" w:fill="FFFFFF"/>
                  <w:hideMark/>
                </w:tcPr>
                <w:p w14:paraId="67A5536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cumpărătorul solicită furnizorului să plătească pentru personalul care se ocupă de amenajarea spațiilor de vânzare utilizate pentru vânzarea produselor furnizorului.</w:t>
                  </w:r>
                </w:p>
              </w:tc>
            </w:tr>
          </w:tbl>
          <w:p w14:paraId="69FF08E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26" w:type="pct"/>
              <w:shd w:val="clear" w:color="auto" w:fill="FFFFFF"/>
              <w:tblLayout w:type="fixed"/>
              <w:tblCellMar>
                <w:left w:w="0" w:type="dxa"/>
                <w:right w:w="0" w:type="dxa"/>
              </w:tblCellMar>
              <w:tblLook w:val="04A0" w:firstRow="1" w:lastRow="0" w:firstColumn="1" w:lastColumn="0" w:noHBand="0" w:noVBand="1"/>
            </w:tblPr>
            <w:tblGrid>
              <w:gridCol w:w="2241"/>
            </w:tblGrid>
            <w:tr w:rsidR="00E0260F" w:rsidRPr="00DE15E9" w14:paraId="6F687442" w14:textId="77777777" w:rsidTr="00985A7C">
              <w:tc>
                <w:tcPr>
                  <w:tcW w:w="2241" w:type="dxa"/>
                  <w:shd w:val="clear" w:color="auto" w:fill="FFFFFF"/>
                  <w:hideMark/>
                </w:tcPr>
                <w:p w14:paraId="7804E8E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the buyer charges the supplier for staff for fitting-out premises used for the sale of the supplier's products.</w:t>
                  </w:r>
                </w:p>
              </w:tc>
            </w:tr>
          </w:tbl>
          <w:p w14:paraId="1540EF9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3F0B22B9" w14:textId="59B9D616"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6)</w:t>
            </w:r>
            <w:r w:rsidRPr="00DE15E9">
              <w:rPr>
                <w:rFonts w:ascii="Times New Roman" w:eastAsia="Times New Roman" w:hAnsi="Times New Roman" w:cs="Times New Roman"/>
                <w:sz w:val="20"/>
                <w:szCs w:val="20"/>
                <w:lang w:val="ro-MD"/>
              </w:rPr>
              <w:tab/>
              <w:t>cumpărătorul solicită furnizorului să plătească pentru personalul care se ocupă de amenajarea spațiilor de vânzare utilizate pentru vânzarea produselor furnizorului;</w:t>
            </w:r>
          </w:p>
        </w:tc>
        <w:tc>
          <w:tcPr>
            <w:tcW w:w="2693" w:type="dxa"/>
            <w:tcBorders>
              <w:top w:val="single" w:sz="4" w:space="0" w:color="000000"/>
              <w:left w:val="single" w:sz="4" w:space="0" w:color="000000"/>
              <w:bottom w:val="single" w:sz="4" w:space="0" w:color="000000"/>
              <w:right w:val="single" w:sz="4" w:space="0" w:color="000000"/>
            </w:tcBorders>
          </w:tcPr>
          <w:p w14:paraId="293FFC09" w14:textId="5D761B9C" w:rsidR="00E0260F" w:rsidRPr="00DE15E9" w:rsidRDefault="003016C5" w:rsidP="00DE15E9">
            <w:pPr>
              <w:numPr>
                <w:ilvl w:val="0"/>
                <w:numId w:val="19"/>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the buyer requires the supplier to pay for staff responsible for fitting out the sales premises used for the sale of the supplier’s products;</w:t>
            </w:r>
          </w:p>
        </w:tc>
        <w:tc>
          <w:tcPr>
            <w:tcW w:w="1276" w:type="dxa"/>
            <w:tcBorders>
              <w:top w:val="single" w:sz="4" w:space="0" w:color="000000"/>
              <w:left w:val="single" w:sz="4" w:space="0" w:color="000000"/>
              <w:bottom w:val="single" w:sz="4" w:space="0" w:color="000000"/>
              <w:right w:val="single" w:sz="4" w:space="0" w:color="000000"/>
            </w:tcBorders>
          </w:tcPr>
          <w:p w14:paraId="16B49D2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29FE416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1A20E56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290FF2D1" w14:textId="77777777" w:rsidTr="00033703">
        <w:tc>
          <w:tcPr>
            <w:tcW w:w="430" w:type="dxa"/>
            <w:tcBorders>
              <w:top w:val="single" w:sz="4" w:space="0" w:color="000000"/>
              <w:left w:val="single" w:sz="4" w:space="0" w:color="000000"/>
              <w:bottom w:val="single" w:sz="4" w:space="0" w:color="000000"/>
              <w:right w:val="single" w:sz="4" w:space="0" w:color="000000"/>
            </w:tcBorders>
          </w:tcPr>
          <w:p w14:paraId="39AB7E67" w14:textId="77777777" w:rsidR="00E0260F" w:rsidRPr="00DE15E9" w:rsidRDefault="00E0260F" w:rsidP="00DE15E9">
            <w:pPr>
              <w:spacing w:after="0" w:line="240" w:lineRule="auto"/>
              <w:jc w:val="both"/>
              <w:rPr>
                <w:rFonts w:ascii="Times New Roman" w:hAnsi="Times New Roman" w:cs="Times New Roman"/>
                <w:sz w:val="20"/>
                <w:szCs w:val="20"/>
                <w:highlight w:val="yellow"/>
                <w:shd w:val="clear" w:color="auto" w:fill="FFFFFF"/>
                <w:lang w:val="ro-MD"/>
              </w:rPr>
            </w:pPr>
            <w:r w:rsidRPr="00DE15E9">
              <w:rPr>
                <w:rFonts w:ascii="Times New Roman" w:hAnsi="Times New Roman" w:cs="Times New Roman"/>
                <w:sz w:val="20"/>
                <w:szCs w:val="20"/>
                <w:shd w:val="clear" w:color="auto" w:fill="FFFFFF"/>
                <w:lang w:val="ro-MD"/>
              </w:rPr>
              <w:t>41</w:t>
            </w:r>
          </w:p>
        </w:tc>
        <w:tc>
          <w:tcPr>
            <w:tcW w:w="2547" w:type="dxa"/>
            <w:tcBorders>
              <w:top w:val="single" w:sz="4" w:space="0" w:color="000000"/>
              <w:left w:val="single" w:sz="4" w:space="0" w:color="000000"/>
              <w:bottom w:val="single" w:sz="4" w:space="0" w:color="000000"/>
              <w:right w:val="single" w:sz="4" w:space="0" w:color="000000"/>
            </w:tcBorders>
          </w:tcPr>
          <w:p w14:paraId="031D0D7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 xml:space="preserve">Statele membre se asigură că practica comercială menționată la primul paragraf litera (c) este interzisă cu excepția cazului în care cumpărătorul, înaintea demarării unei acțiuni de promovare inițiată </w:t>
            </w:r>
            <w:r w:rsidRPr="00DE15E9">
              <w:rPr>
                <w:rFonts w:ascii="Times New Roman" w:hAnsi="Times New Roman" w:cs="Times New Roman"/>
                <w:sz w:val="20"/>
                <w:szCs w:val="20"/>
                <w:shd w:val="clear" w:color="auto" w:fill="FFFFFF"/>
                <w:lang w:val="ro-MD"/>
              </w:rPr>
              <w:lastRenderedPageBreak/>
              <w:t>de cumpărător, precizează perioada promoției și cantitatea de produse agricole și alimentare pe care preconizează că o va comanda la preț redus.</w:t>
            </w:r>
          </w:p>
        </w:tc>
        <w:tc>
          <w:tcPr>
            <w:tcW w:w="2552" w:type="dxa"/>
            <w:tcBorders>
              <w:top w:val="single" w:sz="4" w:space="0" w:color="000000"/>
              <w:left w:val="single" w:sz="4" w:space="0" w:color="000000"/>
              <w:bottom w:val="single" w:sz="4" w:space="0" w:color="000000"/>
              <w:right w:val="single" w:sz="4" w:space="0" w:color="000000"/>
            </w:tcBorders>
          </w:tcPr>
          <w:p w14:paraId="0C9A2BC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lastRenderedPageBreak/>
              <w:t xml:space="preserve">Member States shall ensure that the trading practice referred to in point (c) of the first subparagraph is prohibited unless the buyer, prior to a promotion that is initiated by the buyer, specifies the period of the </w:t>
            </w:r>
            <w:r w:rsidRPr="00DE15E9">
              <w:rPr>
                <w:rFonts w:ascii="Times New Roman" w:hAnsi="Times New Roman" w:cs="Times New Roman"/>
                <w:sz w:val="20"/>
                <w:szCs w:val="20"/>
                <w:shd w:val="clear" w:color="auto" w:fill="FFFFFF"/>
                <w:lang w:val="en-GB"/>
              </w:rPr>
              <w:lastRenderedPageBreak/>
              <w:t>promotion and the expected quantity of the agricultural and food products to be ordered at the discounted price.</w:t>
            </w:r>
          </w:p>
        </w:tc>
        <w:tc>
          <w:tcPr>
            <w:tcW w:w="2693" w:type="dxa"/>
            <w:tcBorders>
              <w:top w:val="single" w:sz="4" w:space="0" w:color="000000"/>
              <w:left w:val="single" w:sz="4" w:space="0" w:color="000000"/>
              <w:bottom w:val="single" w:sz="4" w:space="0" w:color="000000"/>
              <w:right w:val="single" w:sz="4" w:space="0" w:color="000000"/>
            </w:tcBorders>
          </w:tcPr>
          <w:p w14:paraId="75E8AA03" w14:textId="0FC6C88A"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3)</w:t>
            </w:r>
            <w:r w:rsidRPr="00DE15E9">
              <w:rPr>
                <w:rFonts w:ascii="Times New Roman" w:eastAsia="Times New Roman" w:hAnsi="Times New Roman" w:cs="Times New Roman"/>
                <w:sz w:val="20"/>
                <w:szCs w:val="20"/>
                <w:lang w:val="ro-MD"/>
              </w:rPr>
              <w:tab/>
              <w:t xml:space="preserve">cumpărătorul solicită furnizorului să suporte, integral sau parțial, costul oricăror reduceri pentru produsele agricole și alimentare vândute de cumpărător cu titlu promoțional, cu excepția </w:t>
            </w:r>
            <w:r w:rsidRPr="00DE15E9">
              <w:rPr>
                <w:rFonts w:ascii="Times New Roman" w:eastAsia="Times New Roman" w:hAnsi="Times New Roman" w:cs="Times New Roman"/>
                <w:sz w:val="20"/>
                <w:szCs w:val="20"/>
                <w:lang w:val="ro-MD"/>
              </w:rPr>
              <w:lastRenderedPageBreak/>
              <w:t>cazului în care cumpărătorul, înaintea demarării unei acțiuni promoționale, precizează perioada promoției și cantitatea de produse agricole și alimentare pe care preconizează că o va comanda la preț redus;</w:t>
            </w:r>
          </w:p>
        </w:tc>
        <w:tc>
          <w:tcPr>
            <w:tcW w:w="2693" w:type="dxa"/>
            <w:tcBorders>
              <w:top w:val="single" w:sz="4" w:space="0" w:color="000000"/>
              <w:left w:val="single" w:sz="4" w:space="0" w:color="000000"/>
              <w:bottom w:val="single" w:sz="4" w:space="0" w:color="000000"/>
              <w:right w:val="single" w:sz="4" w:space="0" w:color="000000"/>
            </w:tcBorders>
          </w:tcPr>
          <w:p w14:paraId="13DFB21D" w14:textId="77777777" w:rsidR="003016C5" w:rsidRPr="00DE15E9" w:rsidRDefault="003016C5" w:rsidP="00DE15E9">
            <w:pPr>
              <w:numPr>
                <w:ilvl w:val="0"/>
                <w:numId w:val="19"/>
              </w:numPr>
              <w:spacing w:after="0" w:line="240" w:lineRule="auto"/>
              <w:ind w:left="0" w:firstLine="0"/>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lastRenderedPageBreak/>
              <w:t xml:space="preserve">the buyer requires the supplier to bear, in whole or in part, the cost of any discounts on agricultural and food products sold by the buyer as part of a promotion, unless the buyer, before the start of the promotional campaign, </w:t>
            </w:r>
            <w:r w:rsidRPr="00DE15E9">
              <w:rPr>
                <w:rFonts w:ascii="Times New Roman" w:eastAsia="Times New Roman" w:hAnsi="Times New Roman" w:cs="Times New Roman"/>
                <w:sz w:val="20"/>
                <w:szCs w:val="20"/>
              </w:rPr>
              <w:lastRenderedPageBreak/>
              <w:t>specifies the period of the promotion and the quantity of agricultural and food products it expects to order at the reduced price;</w:t>
            </w:r>
          </w:p>
          <w:p w14:paraId="79CF3D0B"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1E65D2A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Compatibil</w:t>
            </w:r>
          </w:p>
        </w:tc>
        <w:tc>
          <w:tcPr>
            <w:tcW w:w="1985" w:type="dxa"/>
            <w:tcBorders>
              <w:top w:val="single" w:sz="4" w:space="0" w:color="000000"/>
              <w:left w:val="single" w:sz="4" w:space="0" w:color="000000"/>
              <w:bottom w:val="single" w:sz="4" w:space="0" w:color="000000"/>
              <w:right w:val="single" w:sz="4" w:space="0" w:color="000000"/>
            </w:tcBorders>
          </w:tcPr>
          <w:p w14:paraId="434EE35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4473C9C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64D25114" w14:textId="77777777" w:rsidTr="00033703">
        <w:tc>
          <w:tcPr>
            <w:tcW w:w="430" w:type="dxa"/>
            <w:tcBorders>
              <w:top w:val="single" w:sz="4" w:space="0" w:color="000000"/>
              <w:left w:val="single" w:sz="4" w:space="0" w:color="000000"/>
              <w:bottom w:val="single" w:sz="4" w:space="0" w:color="000000"/>
              <w:right w:val="single" w:sz="4" w:space="0" w:color="000000"/>
            </w:tcBorders>
          </w:tcPr>
          <w:p w14:paraId="63E2FF82"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42</w:t>
            </w:r>
          </w:p>
        </w:tc>
        <w:tc>
          <w:tcPr>
            <w:tcW w:w="2547" w:type="dxa"/>
            <w:tcBorders>
              <w:top w:val="single" w:sz="4" w:space="0" w:color="000000"/>
              <w:left w:val="single" w:sz="4" w:space="0" w:color="000000"/>
              <w:bottom w:val="single" w:sz="4" w:space="0" w:color="000000"/>
              <w:right w:val="single" w:sz="4" w:space="0" w:color="000000"/>
            </w:tcBorders>
          </w:tcPr>
          <w:p w14:paraId="1671184A" w14:textId="5810D580"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(3)   În cazul în care cumpărătorul solicită o plată pentru situațiile menționate la alineatul (2) primul paragraf litera (b), (c,), (d), (e) sau (f), cumpărătorul îi prezintă furnizorului, la cererea acestuia, o estimare în scris a plăților unitare sau totale, în funcție de informația care este cea mai adecvată, și, în măsura în care se referă la situațiile menționate la alineatul (2) primul paragraf litera (b), (d), (e) sau (f), îi prezintă în scris furnizorului și o estimare a costurilor și fundamentul estimării respective.</w:t>
            </w:r>
          </w:p>
        </w:tc>
        <w:tc>
          <w:tcPr>
            <w:tcW w:w="2552" w:type="dxa"/>
            <w:tcBorders>
              <w:top w:val="single" w:sz="4" w:space="0" w:color="000000"/>
              <w:left w:val="single" w:sz="4" w:space="0" w:color="000000"/>
              <w:bottom w:val="single" w:sz="4" w:space="0" w:color="000000"/>
              <w:right w:val="single" w:sz="4" w:space="0" w:color="000000"/>
            </w:tcBorders>
          </w:tcPr>
          <w:p w14:paraId="0BBD7E3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3.   Where a payment is required by the buyer for the situations referred to in points (b), (c), (d), (e) or (f) of the first subparagraph of paragraph 2, if requested by the supplier, the buyer shall provide the supplier with an estimate in writing of the payments per unit or the overall payments, whichever is appropriate, and, insofar as the situations referred to in points (b), (d), (e) or (f) of the first subparagraph of paragraph 2 are concerned, shall also provide, in writing, an estimate of the cost to the supplier and the basis for that estimate.</w:t>
            </w:r>
          </w:p>
        </w:tc>
        <w:tc>
          <w:tcPr>
            <w:tcW w:w="2693" w:type="dxa"/>
            <w:tcBorders>
              <w:top w:val="single" w:sz="4" w:space="0" w:color="000000"/>
              <w:left w:val="single" w:sz="4" w:space="0" w:color="000000"/>
              <w:bottom w:val="single" w:sz="4" w:space="0" w:color="000000"/>
              <w:right w:val="single" w:sz="4" w:space="0" w:color="000000"/>
            </w:tcBorders>
          </w:tcPr>
          <w:p w14:paraId="7BAEDD20" w14:textId="661B7320" w:rsidR="003016C5" w:rsidRPr="00DE15E9" w:rsidRDefault="003016C5" w:rsidP="00DE15E9">
            <w:pPr>
              <w:pStyle w:val="ListParagraph"/>
              <w:tabs>
                <w:tab w:val="left" w:pos="34"/>
                <w:tab w:val="left" w:pos="851"/>
              </w:tabs>
              <w:spacing w:after="0" w:line="240" w:lineRule="auto"/>
              <w:ind w:left="34"/>
              <w:jc w:val="both"/>
              <w:rPr>
                <w:rFonts w:ascii="Times New Roman" w:eastAsiaTheme="minorHAnsi" w:hAnsi="Times New Roman" w:cs="Times New Roman"/>
                <w:sz w:val="20"/>
                <w:szCs w:val="20"/>
              </w:rPr>
            </w:pPr>
            <w:r w:rsidRPr="00DE15E9">
              <w:rPr>
                <w:rFonts w:ascii="Times New Roman" w:hAnsi="Times New Roman" w:cs="Times New Roman"/>
                <w:sz w:val="20"/>
                <w:szCs w:val="20"/>
                <w:lang w:val="ro-MD"/>
              </w:rPr>
              <w:t>(3) În cazul în care cumpărătorul solicită o plată pentru situațiile menționate la alin. (2) pct. 2)-6), la cererea furnizorului, cumpărătorul prezintă în scris acestuia o estimare a costurilor respective și fundamentul acesteia.</w:t>
            </w:r>
          </w:p>
          <w:p w14:paraId="2B276C65" w14:textId="2BBC8E61"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
              </w:rPr>
            </w:pPr>
          </w:p>
        </w:tc>
        <w:tc>
          <w:tcPr>
            <w:tcW w:w="2693" w:type="dxa"/>
            <w:tcBorders>
              <w:top w:val="single" w:sz="4" w:space="0" w:color="000000"/>
              <w:left w:val="single" w:sz="4" w:space="0" w:color="000000"/>
              <w:bottom w:val="single" w:sz="4" w:space="0" w:color="000000"/>
              <w:right w:val="single" w:sz="4" w:space="0" w:color="000000"/>
            </w:tcBorders>
          </w:tcPr>
          <w:p w14:paraId="66EFBEEC" w14:textId="77777777" w:rsidR="003016C5" w:rsidRPr="00DE15E9" w:rsidRDefault="003016C5" w:rsidP="00DE15E9">
            <w:pPr>
              <w:spacing w:after="0" w:line="240" w:lineRule="auto"/>
              <w:jc w:val="both"/>
              <w:rPr>
                <w:rFonts w:ascii="Times New Roman" w:eastAsia="Times New Roman" w:hAnsi="Times New Roman" w:cs="Times New Roman"/>
                <w:sz w:val="20"/>
                <w:szCs w:val="20"/>
              </w:rPr>
            </w:pPr>
            <w:r w:rsidRPr="00DE15E9">
              <w:rPr>
                <w:rFonts w:ascii="Times New Roman" w:eastAsia="Times New Roman" w:hAnsi="Times New Roman" w:cs="Times New Roman"/>
                <w:sz w:val="20"/>
                <w:szCs w:val="20"/>
              </w:rPr>
              <w:t>(3) Where the buyer requires a payment for the situations referred to in paragraph (2), points 2)–6), the buyer shall, at the supplier’s request, provide the supplier in writing with an estimate of the respective costs and the basis for that estimate.</w:t>
            </w:r>
          </w:p>
          <w:p w14:paraId="22763A42"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CA5A81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010A873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0BF22DC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3AAB1CCE" w14:textId="77777777" w:rsidTr="00C47AF6">
        <w:trPr>
          <w:trHeight w:val="3457"/>
        </w:trPr>
        <w:tc>
          <w:tcPr>
            <w:tcW w:w="430" w:type="dxa"/>
            <w:tcBorders>
              <w:top w:val="single" w:sz="4" w:space="0" w:color="000000"/>
              <w:left w:val="single" w:sz="4" w:space="0" w:color="000000"/>
              <w:bottom w:val="single" w:sz="4" w:space="0" w:color="000000"/>
              <w:right w:val="single" w:sz="4" w:space="0" w:color="000000"/>
            </w:tcBorders>
          </w:tcPr>
          <w:p w14:paraId="737D5D4B"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lastRenderedPageBreak/>
              <w:t>43</w:t>
            </w:r>
          </w:p>
        </w:tc>
        <w:tc>
          <w:tcPr>
            <w:tcW w:w="2547" w:type="dxa"/>
            <w:tcBorders>
              <w:top w:val="single" w:sz="4" w:space="0" w:color="000000"/>
              <w:left w:val="single" w:sz="4" w:space="0" w:color="000000"/>
              <w:bottom w:val="single" w:sz="4" w:space="0" w:color="000000"/>
              <w:right w:val="single" w:sz="4" w:space="0" w:color="000000"/>
            </w:tcBorders>
          </w:tcPr>
          <w:p w14:paraId="2B70F37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(4)   Statele membre se asigură că interdicțiile prevăzute la alineatele (1) și (2) constituie dispoziții imperative care sunt aplicabile în orice situație care se încadrează în sfera de aplicare a respectivelor interdicții, indiferent de legislația care ar fi în general aplicabilă acordului de furnizare dintre părți.</w:t>
            </w:r>
          </w:p>
        </w:tc>
        <w:tc>
          <w:tcPr>
            <w:tcW w:w="2552" w:type="dxa"/>
            <w:tcBorders>
              <w:top w:val="single" w:sz="4" w:space="0" w:color="000000"/>
              <w:left w:val="single" w:sz="4" w:space="0" w:color="000000"/>
              <w:bottom w:val="single" w:sz="4" w:space="0" w:color="000000"/>
              <w:right w:val="single" w:sz="4" w:space="0" w:color="000000"/>
            </w:tcBorders>
          </w:tcPr>
          <w:p w14:paraId="2739FC5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4.   Member States shall ensure that the prohibitions laid down in paragraphs 1 and 2 constitute overriding mandatory provisions which are applicable to any situation falling within the scope of those prohibitions, irrespective of the law that would otherwise be applicable to the supply agreement between the parties.</w:t>
            </w:r>
          </w:p>
        </w:tc>
        <w:tc>
          <w:tcPr>
            <w:tcW w:w="2693" w:type="dxa"/>
            <w:tcBorders>
              <w:top w:val="single" w:sz="4" w:space="0" w:color="000000"/>
              <w:left w:val="single" w:sz="4" w:space="0" w:color="000000"/>
              <w:bottom w:val="single" w:sz="4" w:space="0" w:color="000000"/>
              <w:right w:val="single" w:sz="4" w:space="0" w:color="000000"/>
            </w:tcBorders>
          </w:tcPr>
          <w:p w14:paraId="76919D91" w14:textId="77777777" w:rsidR="00E0260F" w:rsidRPr="00DE15E9" w:rsidRDefault="00E0260F" w:rsidP="00DE15E9">
            <w:pPr>
              <w:tabs>
                <w:tab w:val="left" w:pos="311"/>
                <w:tab w:val="left" w:pos="851"/>
                <w:tab w:val="left" w:pos="993"/>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4B56C45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5AB69FB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Compatibil</w:t>
            </w:r>
          </w:p>
        </w:tc>
        <w:tc>
          <w:tcPr>
            <w:tcW w:w="1985" w:type="dxa"/>
            <w:tcBorders>
              <w:top w:val="single" w:sz="4" w:space="0" w:color="000000"/>
              <w:left w:val="single" w:sz="4" w:space="0" w:color="000000"/>
              <w:bottom w:val="single" w:sz="4" w:space="0" w:color="000000"/>
              <w:right w:val="single" w:sz="4" w:space="0" w:color="000000"/>
            </w:tcBorders>
          </w:tcPr>
          <w:p w14:paraId="2B19D0C0" w14:textId="77777777" w:rsidR="00E0260F" w:rsidRPr="00DE15E9" w:rsidRDefault="00E0260F" w:rsidP="00DE15E9">
            <w:pPr>
              <w:spacing w:after="0" w:line="240" w:lineRule="auto"/>
              <w:jc w:val="both"/>
              <w:rPr>
                <w:rFonts w:ascii="Times New Roman" w:hAnsi="Times New Roman" w:cs="Times New Roman"/>
                <w:sz w:val="20"/>
                <w:szCs w:val="20"/>
                <w:lang w:val="ro-MD"/>
              </w:rPr>
            </w:pPr>
            <w:r w:rsidRPr="00DE15E9">
              <w:rPr>
                <w:rFonts w:ascii="Times New Roman" w:eastAsia="Times New Roman" w:hAnsi="Times New Roman" w:cs="Times New Roman"/>
                <w:sz w:val="20"/>
                <w:szCs w:val="20"/>
                <w:lang w:val="ro-MD"/>
              </w:rPr>
              <w:t>Normele imperative</w:t>
            </w:r>
            <w:r w:rsidRPr="00DE15E9">
              <w:rPr>
                <w:rFonts w:ascii="Times New Roman" w:hAnsi="Times New Roman" w:cs="Times New Roman"/>
                <w:sz w:val="20"/>
                <w:szCs w:val="20"/>
                <w:lang w:val="ro-MD"/>
              </w:rPr>
              <w:t xml:space="preserve"> impun o anumită conduită fără posibilitatea de derogare prin voința părților. În acest sens, textul prevederilor proiectului de lege este formulat în așa mod (art. 4 alin. 1, alin. 2„...sunt interzise următoarele practici...”) încât să nu lase loc de alegere a unei conduite greșite.</w:t>
            </w:r>
          </w:p>
        </w:tc>
        <w:tc>
          <w:tcPr>
            <w:tcW w:w="2126" w:type="dxa"/>
            <w:tcBorders>
              <w:top w:val="single" w:sz="4" w:space="0" w:color="000000"/>
              <w:left w:val="single" w:sz="4" w:space="0" w:color="000000"/>
              <w:bottom w:val="single" w:sz="4" w:space="0" w:color="000000"/>
              <w:right w:val="single" w:sz="4" w:space="0" w:color="000000"/>
            </w:tcBorders>
          </w:tcPr>
          <w:p w14:paraId="186A221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3D057E7E" w14:textId="77777777" w:rsidTr="00033703">
        <w:tc>
          <w:tcPr>
            <w:tcW w:w="430" w:type="dxa"/>
            <w:tcBorders>
              <w:top w:val="single" w:sz="4" w:space="0" w:color="000000"/>
              <w:left w:val="single" w:sz="4" w:space="0" w:color="000000"/>
              <w:bottom w:val="single" w:sz="4" w:space="0" w:color="000000"/>
              <w:right w:val="single" w:sz="4" w:space="0" w:color="000000"/>
            </w:tcBorders>
          </w:tcPr>
          <w:p w14:paraId="517CF11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44</w:t>
            </w:r>
          </w:p>
        </w:tc>
        <w:tc>
          <w:tcPr>
            <w:tcW w:w="2547" w:type="dxa"/>
            <w:tcBorders>
              <w:top w:val="single" w:sz="4" w:space="0" w:color="000000"/>
              <w:left w:val="single" w:sz="4" w:space="0" w:color="000000"/>
              <w:bottom w:val="single" w:sz="4" w:space="0" w:color="000000"/>
              <w:right w:val="single" w:sz="4" w:space="0" w:color="000000"/>
            </w:tcBorders>
          </w:tcPr>
          <w:p w14:paraId="413ABD0D" w14:textId="77777777" w:rsidR="00E0260F" w:rsidRPr="00DE15E9" w:rsidRDefault="00E0260F" w:rsidP="00DE15E9">
            <w:pPr>
              <w:spacing w:after="0" w:line="240" w:lineRule="auto"/>
              <w:jc w:val="both"/>
              <w:rPr>
                <w:rFonts w:ascii="Times New Roman" w:eastAsia="Times New Roman" w:hAnsi="Times New Roman" w:cs="Times New Roman"/>
                <w:b/>
                <w:sz w:val="20"/>
                <w:szCs w:val="20"/>
                <w:lang w:val="ro-MD"/>
              </w:rPr>
            </w:pPr>
            <w:r w:rsidRPr="00DE15E9">
              <w:rPr>
                <w:rFonts w:ascii="Times New Roman" w:eastAsia="Times New Roman" w:hAnsi="Times New Roman" w:cs="Times New Roman"/>
                <w:b/>
                <w:sz w:val="20"/>
                <w:szCs w:val="20"/>
                <w:lang w:val="ro-MD"/>
              </w:rPr>
              <w:t>Articolul 4</w:t>
            </w:r>
          </w:p>
          <w:p w14:paraId="05737B8F" w14:textId="77777777" w:rsidR="00E0260F" w:rsidRPr="00DE15E9" w:rsidRDefault="00E0260F" w:rsidP="00DE15E9">
            <w:pPr>
              <w:pStyle w:val="oj-sti-art"/>
              <w:shd w:val="clear" w:color="auto" w:fill="FFFFFF"/>
              <w:spacing w:before="0" w:beforeAutospacing="0" w:after="0" w:afterAutospacing="0"/>
              <w:rPr>
                <w:b/>
                <w:bCs/>
                <w:sz w:val="20"/>
                <w:szCs w:val="20"/>
                <w:lang w:val="ro-MD"/>
              </w:rPr>
            </w:pPr>
            <w:r w:rsidRPr="00DE15E9">
              <w:rPr>
                <w:b/>
                <w:bCs/>
                <w:sz w:val="20"/>
                <w:szCs w:val="20"/>
                <w:lang w:val="ro-MD"/>
              </w:rPr>
              <w:t>Autoritățile de aplicare a legii desemnate</w:t>
            </w:r>
          </w:p>
          <w:p w14:paraId="3A57DCA4" w14:textId="77777777" w:rsidR="00E0260F" w:rsidRPr="00DE15E9" w:rsidRDefault="00E0260F" w:rsidP="00DE15E9">
            <w:pPr>
              <w:pStyle w:val="oj-normal"/>
              <w:shd w:val="clear" w:color="auto" w:fill="FFFFFF"/>
              <w:spacing w:before="0" w:beforeAutospacing="0" w:after="0" w:afterAutospacing="0"/>
              <w:jc w:val="both"/>
              <w:rPr>
                <w:sz w:val="20"/>
                <w:szCs w:val="20"/>
                <w:lang w:val="ro-MD"/>
              </w:rPr>
            </w:pPr>
            <w:r w:rsidRPr="00DE15E9">
              <w:rPr>
                <w:sz w:val="20"/>
                <w:szCs w:val="20"/>
                <w:lang w:val="ro-MD"/>
              </w:rPr>
              <w:t>(1)   Fiecare stat membru desemnează una sau mai multe autorități pentru a asigura aplicarea la nivel național a interdicțiilor prevăzute la articolul 3 (denumită în continuare „autoritatea de aplicare a legii”) și informează Comisia cu privire la desemnarea respectivă.</w:t>
            </w:r>
          </w:p>
          <w:p w14:paraId="57B8423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52D017A2" w14:textId="77777777" w:rsidR="00E0260F" w:rsidRPr="00DE15E9" w:rsidRDefault="00E0260F" w:rsidP="00DE15E9">
            <w:pPr>
              <w:spacing w:after="0" w:line="240" w:lineRule="auto"/>
              <w:jc w:val="both"/>
              <w:rPr>
                <w:rFonts w:ascii="Times New Roman" w:eastAsia="Times New Roman" w:hAnsi="Times New Roman" w:cs="Times New Roman"/>
                <w:b/>
                <w:sz w:val="20"/>
                <w:szCs w:val="20"/>
                <w:lang w:val="en-GB"/>
              </w:rPr>
            </w:pPr>
            <w:r w:rsidRPr="00DE15E9">
              <w:rPr>
                <w:rFonts w:ascii="Times New Roman" w:eastAsia="Times New Roman" w:hAnsi="Times New Roman" w:cs="Times New Roman"/>
                <w:b/>
                <w:sz w:val="20"/>
                <w:szCs w:val="20"/>
                <w:lang w:val="en-GB"/>
              </w:rPr>
              <w:t>Article 4</w:t>
            </w:r>
          </w:p>
          <w:p w14:paraId="142786C8" w14:textId="77777777" w:rsidR="00E0260F" w:rsidRPr="00DE15E9" w:rsidRDefault="00E0260F" w:rsidP="00DE15E9">
            <w:pPr>
              <w:pStyle w:val="oj-sti-art"/>
              <w:shd w:val="clear" w:color="auto" w:fill="FFFFFF"/>
              <w:spacing w:before="0" w:beforeAutospacing="0" w:after="0" w:afterAutospacing="0"/>
              <w:rPr>
                <w:b/>
                <w:bCs/>
                <w:sz w:val="20"/>
                <w:szCs w:val="20"/>
                <w:lang w:val="en-GB"/>
              </w:rPr>
            </w:pPr>
            <w:r w:rsidRPr="00DE15E9">
              <w:rPr>
                <w:b/>
                <w:bCs/>
                <w:sz w:val="20"/>
                <w:szCs w:val="20"/>
                <w:lang w:val="en-GB"/>
              </w:rPr>
              <w:t>Designated enforcement authorities</w:t>
            </w:r>
          </w:p>
          <w:p w14:paraId="4B6A73D5" w14:textId="77777777" w:rsidR="00E0260F" w:rsidRPr="00DE15E9" w:rsidRDefault="00E0260F" w:rsidP="00DE15E9">
            <w:pPr>
              <w:pStyle w:val="oj-normal"/>
              <w:shd w:val="clear" w:color="auto" w:fill="FFFFFF"/>
              <w:spacing w:before="0" w:beforeAutospacing="0" w:after="0" w:afterAutospacing="0"/>
              <w:jc w:val="both"/>
              <w:rPr>
                <w:sz w:val="20"/>
                <w:szCs w:val="20"/>
                <w:lang w:val="en-GB"/>
              </w:rPr>
            </w:pPr>
            <w:r w:rsidRPr="00DE15E9">
              <w:rPr>
                <w:sz w:val="20"/>
                <w:szCs w:val="20"/>
                <w:lang w:val="en-GB"/>
              </w:rPr>
              <w:t>1.   Each Member State shall designate one or more authorities to enforce the prohibitions laid down in Article 3 at national level (‘enforcement authority’), and shall inform the Commission of that designation.</w:t>
            </w:r>
          </w:p>
          <w:p w14:paraId="4DEA8FA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60CEAE42" w14:textId="77777777" w:rsidR="003016C5" w:rsidRPr="00DE15E9" w:rsidRDefault="003016C5" w:rsidP="00DE15E9">
            <w:pPr>
              <w:spacing w:after="0" w:line="240" w:lineRule="auto"/>
              <w:ind w:firstLine="426"/>
              <w:jc w:val="both"/>
              <w:rPr>
                <w:rFonts w:ascii="Times New Roman" w:eastAsiaTheme="minorHAnsi" w:hAnsi="Times New Roman" w:cs="Times New Roman"/>
                <w:b/>
                <w:sz w:val="20"/>
                <w:szCs w:val="20"/>
                <w:lang w:val="ro-MD"/>
              </w:rPr>
            </w:pPr>
            <w:r w:rsidRPr="00DE15E9">
              <w:rPr>
                <w:rFonts w:ascii="Times New Roman" w:hAnsi="Times New Roman" w:cs="Times New Roman"/>
                <w:b/>
                <w:sz w:val="20"/>
                <w:szCs w:val="20"/>
                <w:lang w:val="ro-MD"/>
              </w:rPr>
              <w:t>Articolul 7. Autorități desemnate și atribuții</w:t>
            </w:r>
          </w:p>
          <w:p w14:paraId="74001156" w14:textId="77777777" w:rsidR="003016C5" w:rsidRPr="00DE15E9" w:rsidRDefault="003016C5" w:rsidP="00DE15E9">
            <w:pPr>
              <w:pStyle w:val="ListParagraph"/>
              <w:numPr>
                <w:ilvl w:val="0"/>
                <w:numId w:val="20"/>
              </w:numPr>
              <w:spacing w:after="0" w:line="240" w:lineRule="auto"/>
              <w:ind w:left="0" w:firstLine="426"/>
              <w:jc w:val="both"/>
              <w:rPr>
                <w:rFonts w:ascii="Times New Roman" w:hAnsi="Times New Roman" w:cs="Times New Roman"/>
                <w:b/>
                <w:sz w:val="20"/>
                <w:szCs w:val="20"/>
                <w:lang w:val="ro-RO"/>
              </w:rPr>
            </w:pPr>
            <w:r w:rsidRPr="00DE15E9">
              <w:rPr>
                <w:rFonts w:ascii="Times New Roman" w:hAnsi="Times New Roman" w:cs="Times New Roman"/>
                <w:sz w:val="20"/>
                <w:szCs w:val="20"/>
              </w:rPr>
              <w:t>Autoritatea de implementare a prezentei legi este Ministerul Agriculturii și Industriei Alimentare, cu competențe de elaborare</w:t>
            </w:r>
            <w:r w:rsidRPr="00DE15E9">
              <w:rPr>
                <w:rFonts w:ascii="Times New Roman" w:hAnsi="Times New Roman" w:cs="Times New Roman"/>
                <w:spacing w:val="-1"/>
                <w:sz w:val="20"/>
                <w:szCs w:val="20"/>
              </w:rPr>
              <w:t xml:space="preserve"> </w:t>
            </w:r>
            <w:r w:rsidRPr="00DE15E9">
              <w:rPr>
                <w:rFonts w:ascii="Times New Roman" w:hAnsi="Times New Roman" w:cs="Times New Roman"/>
                <w:sz w:val="20"/>
                <w:szCs w:val="20"/>
              </w:rPr>
              <w:t>și</w:t>
            </w:r>
            <w:r w:rsidRPr="00DE15E9">
              <w:rPr>
                <w:rFonts w:ascii="Times New Roman" w:hAnsi="Times New Roman" w:cs="Times New Roman"/>
                <w:spacing w:val="-3"/>
                <w:sz w:val="20"/>
                <w:szCs w:val="20"/>
              </w:rPr>
              <w:t xml:space="preserve"> </w:t>
            </w:r>
            <w:r w:rsidRPr="00DE15E9">
              <w:rPr>
                <w:rFonts w:ascii="Times New Roman" w:hAnsi="Times New Roman" w:cs="Times New Roman"/>
                <w:sz w:val="20"/>
                <w:szCs w:val="20"/>
              </w:rPr>
              <w:t>promovare a</w:t>
            </w:r>
            <w:r w:rsidRPr="00DE15E9">
              <w:rPr>
                <w:rFonts w:ascii="Times New Roman" w:hAnsi="Times New Roman" w:cs="Times New Roman"/>
                <w:spacing w:val="-2"/>
                <w:sz w:val="20"/>
                <w:szCs w:val="20"/>
              </w:rPr>
              <w:t xml:space="preserve"> </w:t>
            </w:r>
            <w:r w:rsidRPr="00DE15E9">
              <w:rPr>
                <w:rFonts w:ascii="Times New Roman" w:hAnsi="Times New Roman" w:cs="Times New Roman"/>
                <w:sz w:val="20"/>
                <w:szCs w:val="20"/>
              </w:rPr>
              <w:t>politicilor</w:t>
            </w:r>
            <w:r w:rsidRPr="00DE15E9">
              <w:rPr>
                <w:rFonts w:ascii="Times New Roman" w:hAnsi="Times New Roman" w:cs="Times New Roman"/>
                <w:spacing w:val="-2"/>
                <w:sz w:val="20"/>
                <w:szCs w:val="20"/>
              </w:rPr>
              <w:t xml:space="preserve"> </w:t>
            </w:r>
            <w:r w:rsidRPr="00DE15E9">
              <w:rPr>
                <w:rFonts w:ascii="Times New Roman" w:hAnsi="Times New Roman" w:cs="Times New Roman"/>
                <w:sz w:val="20"/>
                <w:szCs w:val="20"/>
              </w:rPr>
              <w:t>publice</w:t>
            </w:r>
            <w:r w:rsidRPr="00DE15E9">
              <w:rPr>
                <w:rFonts w:ascii="Times New Roman" w:hAnsi="Times New Roman" w:cs="Times New Roman"/>
                <w:spacing w:val="-3"/>
                <w:sz w:val="20"/>
                <w:szCs w:val="20"/>
              </w:rPr>
              <w:t xml:space="preserve"> </w:t>
            </w:r>
            <w:r w:rsidRPr="00DE15E9">
              <w:rPr>
                <w:rFonts w:ascii="Times New Roman" w:hAnsi="Times New Roman" w:cs="Times New Roman"/>
                <w:sz w:val="20"/>
                <w:szCs w:val="20"/>
              </w:rPr>
              <w:t>în</w:t>
            </w:r>
            <w:r w:rsidRPr="00DE15E9">
              <w:rPr>
                <w:rFonts w:ascii="Times New Roman" w:hAnsi="Times New Roman" w:cs="Times New Roman"/>
                <w:spacing w:val="-3"/>
                <w:sz w:val="20"/>
                <w:szCs w:val="20"/>
              </w:rPr>
              <w:t xml:space="preserve"> </w:t>
            </w:r>
            <w:r w:rsidRPr="00DE15E9">
              <w:rPr>
                <w:rFonts w:ascii="Times New Roman" w:hAnsi="Times New Roman" w:cs="Times New Roman"/>
                <w:sz w:val="20"/>
                <w:szCs w:val="20"/>
              </w:rPr>
              <w:t>domeniul</w:t>
            </w:r>
            <w:r w:rsidRPr="00DE15E9">
              <w:rPr>
                <w:rFonts w:ascii="Times New Roman" w:hAnsi="Times New Roman" w:cs="Times New Roman"/>
                <w:spacing w:val="-2"/>
                <w:sz w:val="20"/>
                <w:szCs w:val="20"/>
              </w:rPr>
              <w:t xml:space="preserve"> </w:t>
            </w:r>
            <w:r w:rsidRPr="00DE15E9">
              <w:rPr>
                <w:rFonts w:ascii="Times New Roman" w:hAnsi="Times New Roman" w:cs="Times New Roman"/>
                <w:sz w:val="20"/>
                <w:szCs w:val="20"/>
              </w:rPr>
              <w:t>practicilor</w:t>
            </w:r>
            <w:r w:rsidRPr="00DE15E9">
              <w:rPr>
                <w:rFonts w:ascii="Times New Roman" w:hAnsi="Times New Roman" w:cs="Times New Roman"/>
                <w:spacing w:val="-2"/>
                <w:sz w:val="20"/>
                <w:szCs w:val="20"/>
              </w:rPr>
              <w:t xml:space="preserve"> </w:t>
            </w:r>
            <w:r w:rsidRPr="00DE15E9">
              <w:rPr>
                <w:rFonts w:ascii="Times New Roman" w:hAnsi="Times New Roman" w:cs="Times New Roman"/>
                <w:sz w:val="20"/>
                <w:szCs w:val="20"/>
              </w:rPr>
              <w:t>comerciale neloiale în lanțul de aprovizionare agricol și alimentar, în colaborare cu alte autorități competente, în limitele competențelor stabilite de cadrul normativ.</w:t>
            </w:r>
          </w:p>
          <w:p w14:paraId="32F103D0" w14:textId="382338A9" w:rsidR="00E0260F" w:rsidRPr="00DE15E9" w:rsidRDefault="003016C5" w:rsidP="00DE15E9">
            <w:pPr>
              <w:pStyle w:val="ListParagraph"/>
              <w:numPr>
                <w:ilvl w:val="0"/>
                <w:numId w:val="20"/>
              </w:numPr>
              <w:spacing w:after="0" w:line="240" w:lineRule="auto"/>
              <w:ind w:left="0" w:firstLine="426"/>
              <w:jc w:val="both"/>
              <w:rPr>
                <w:rFonts w:ascii="Times New Roman" w:hAnsi="Times New Roman" w:cs="Times New Roman"/>
                <w:b/>
                <w:sz w:val="20"/>
                <w:szCs w:val="20"/>
              </w:rPr>
            </w:pPr>
            <w:r w:rsidRPr="00DE15E9">
              <w:rPr>
                <w:rFonts w:ascii="Times New Roman" w:hAnsi="Times New Roman" w:cs="Times New Roman"/>
                <w:sz w:val="20"/>
                <w:szCs w:val="20"/>
              </w:rPr>
              <w:t>Consiliul Concurenței este autoritatea de aplicare a prezentei legi, ca autoritate publică</w:t>
            </w:r>
            <w:r w:rsidRPr="00DE15E9">
              <w:rPr>
                <w:rFonts w:ascii="Times New Roman" w:hAnsi="Times New Roman" w:cs="Times New Roman"/>
                <w:spacing w:val="-2"/>
                <w:sz w:val="20"/>
                <w:szCs w:val="20"/>
              </w:rPr>
              <w:t xml:space="preserve"> </w:t>
            </w:r>
            <w:r w:rsidRPr="00DE15E9">
              <w:rPr>
                <w:rFonts w:ascii="Times New Roman" w:hAnsi="Times New Roman" w:cs="Times New Roman"/>
                <w:sz w:val="20"/>
                <w:szCs w:val="20"/>
              </w:rPr>
              <w:t>autonomă,</w:t>
            </w:r>
            <w:r w:rsidRPr="00DE15E9">
              <w:rPr>
                <w:rFonts w:ascii="Times New Roman" w:hAnsi="Times New Roman" w:cs="Times New Roman"/>
                <w:spacing w:val="-2"/>
                <w:sz w:val="20"/>
                <w:szCs w:val="20"/>
              </w:rPr>
              <w:t xml:space="preserve"> </w:t>
            </w:r>
            <w:r w:rsidRPr="00DE15E9">
              <w:rPr>
                <w:rFonts w:ascii="Times New Roman" w:hAnsi="Times New Roman" w:cs="Times New Roman"/>
                <w:sz w:val="20"/>
                <w:szCs w:val="20"/>
              </w:rPr>
              <w:t>independentă</w:t>
            </w:r>
            <w:r w:rsidRPr="00DE15E9">
              <w:rPr>
                <w:rFonts w:ascii="Times New Roman" w:hAnsi="Times New Roman" w:cs="Times New Roman"/>
                <w:spacing w:val="-4"/>
                <w:sz w:val="20"/>
                <w:szCs w:val="20"/>
              </w:rPr>
              <w:t xml:space="preserve"> </w:t>
            </w:r>
            <w:r w:rsidRPr="00DE15E9">
              <w:rPr>
                <w:rFonts w:ascii="Times New Roman" w:hAnsi="Times New Roman" w:cs="Times New Roman"/>
                <w:sz w:val="20"/>
                <w:szCs w:val="20"/>
              </w:rPr>
              <w:t>și</w:t>
            </w:r>
            <w:r w:rsidRPr="00DE15E9">
              <w:rPr>
                <w:rFonts w:ascii="Times New Roman" w:hAnsi="Times New Roman" w:cs="Times New Roman"/>
                <w:spacing w:val="-1"/>
                <w:sz w:val="20"/>
                <w:szCs w:val="20"/>
              </w:rPr>
              <w:t xml:space="preserve"> </w:t>
            </w:r>
            <w:r w:rsidRPr="00DE15E9">
              <w:rPr>
                <w:rFonts w:ascii="Times New Roman" w:hAnsi="Times New Roman" w:cs="Times New Roman"/>
                <w:sz w:val="20"/>
                <w:szCs w:val="20"/>
              </w:rPr>
              <w:t>imparțială</w:t>
            </w:r>
            <w:r w:rsidRPr="00DE15E9">
              <w:rPr>
                <w:rFonts w:ascii="Times New Roman" w:hAnsi="Times New Roman" w:cs="Times New Roman"/>
                <w:spacing w:val="-2"/>
                <w:sz w:val="20"/>
                <w:szCs w:val="20"/>
              </w:rPr>
              <w:t xml:space="preserve"> </w:t>
            </w:r>
            <w:r w:rsidRPr="00DE15E9">
              <w:rPr>
                <w:rFonts w:ascii="Times New Roman" w:hAnsi="Times New Roman" w:cs="Times New Roman"/>
                <w:sz w:val="20"/>
                <w:szCs w:val="20"/>
              </w:rPr>
              <w:t>față</w:t>
            </w:r>
            <w:r w:rsidRPr="00DE15E9">
              <w:rPr>
                <w:rFonts w:ascii="Times New Roman" w:hAnsi="Times New Roman" w:cs="Times New Roman"/>
                <w:spacing w:val="-2"/>
                <w:sz w:val="20"/>
                <w:szCs w:val="20"/>
              </w:rPr>
              <w:t xml:space="preserve"> </w:t>
            </w:r>
            <w:r w:rsidRPr="00DE15E9">
              <w:rPr>
                <w:rFonts w:ascii="Times New Roman" w:hAnsi="Times New Roman" w:cs="Times New Roman"/>
                <w:sz w:val="20"/>
                <w:szCs w:val="20"/>
              </w:rPr>
              <w:t>de</w:t>
            </w:r>
            <w:r w:rsidRPr="00DE15E9">
              <w:rPr>
                <w:rFonts w:ascii="Times New Roman" w:hAnsi="Times New Roman" w:cs="Times New Roman"/>
                <w:spacing w:val="-3"/>
                <w:sz w:val="20"/>
                <w:szCs w:val="20"/>
              </w:rPr>
              <w:t xml:space="preserve"> </w:t>
            </w:r>
            <w:r w:rsidRPr="00DE15E9">
              <w:rPr>
                <w:rFonts w:ascii="Times New Roman" w:hAnsi="Times New Roman" w:cs="Times New Roman"/>
                <w:sz w:val="20"/>
                <w:szCs w:val="20"/>
              </w:rPr>
              <w:t>alte</w:t>
            </w:r>
            <w:r w:rsidRPr="00DE15E9">
              <w:rPr>
                <w:rFonts w:ascii="Times New Roman" w:hAnsi="Times New Roman" w:cs="Times New Roman"/>
                <w:spacing w:val="-2"/>
                <w:sz w:val="20"/>
                <w:szCs w:val="20"/>
              </w:rPr>
              <w:t xml:space="preserve"> </w:t>
            </w:r>
            <w:r w:rsidRPr="00DE15E9">
              <w:rPr>
                <w:rFonts w:ascii="Times New Roman" w:hAnsi="Times New Roman" w:cs="Times New Roman"/>
                <w:sz w:val="20"/>
                <w:szCs w:val="20"/>
              </w:rPr>
              <w:t xml:space="preserve">autorități, care exercită atribuțiile prevăzute de prezenta lege în vederea </w:t>
            </w:r>
            <w:r w:rsidRPr="00DE15E9">
              <w:rPr>
                <w:rFonts w:ascii="Times New Roman" w:hAnsi="Times New Roman" w:cs="Times New Roman"/>
                <w:sz w:val="20"/>
                <w:szCs w:val="20"/>
              </w:rPr>
              <w:lastRenderedPageBreak/>
              <w:t>prevenirii și combaterii practicilor comerciale neloiale generate de dezechilibrele de putere de negociere în cadrul lanțului de aprovizionare cu produse agricole și alimentare.</w:t>
            </w:r>
          </w:p>
        </w:tc>
        <w:tc>
          <w:tcPr>
            <w:tcW w:w="2693" w:type="dxa"/>
            <w:tcBorders>
              <w:top w:val="single" w:sz="4" w:space="0" w:color="000000"/>
              <w:left w:val="single" w:sz="4" w:space="0" w:color="000000"/>
              <w:bottom w:val="single" w:sz="4" w:space="0" w:color="000000"/>
              <w:right w:val="single" w:sz="4" w:space="0" w:color="000000"/>
            </w:tcBorders>
          </w:tcPr>
          <w:p w14:paraId="6CEAD833" w14:textId="77777777" w:rsidR="003016C5" w:rsidRPr="00DE15E9" w:rsidRDefault="003016C5" w:rsidP="00DE15E9">
            <w:pPr>
              <w:pStyle w:val="isselectedend"/>
              <w:spacing w:before="0" w:beforeAutospacing="0" w:after="0" w:afterAutospacing="0"/>
              <w:jc w:val="both"/>
              <w:rPr>
                <w:b/>
                <w:sz w:val="20"/>
                <w:szCs w:val="20"/>
              </w:rPr>
            </w:pPr>
            <w:r w:rsidRPr="00DE15E9">
              <w:rPr>
                <w:b/>
                <w:sz w:val="20"/>
                <w:szCs w:val="20"/>
              </w:rPr>
              <w:lastRenderedPageBreak/>
              <w:t>Article 7. Designated authorities and powers</w:t>
            </w:r>
          </w:p>
          <w:p w14:paraId="0875188A" w14:textId="77777777" w:rsidR="003016C5" w:rsidRPr="00DE15E9" w:rsidRDefault="003016C5" w:rsidP="00DE15E9">
            <w:pPr>
              <w:pStyle w:val="isselectedend"/>
              <w:spacing w:before="0" w:beforeAutospacing="0" w:after="0" w:afterAutospacing="0"/>
              <w:jc w:val="both"/>
              <w:rPr>
                <w:sz w:val="20"/>
                <w:szCs w:val="20"/>
              </w:rPr>
            </w:pPr>
            <w:r w:rsidRPr="00DE15E9">
              <w:rPr>
                <w:sz w:val="20"/>
                <w:szCs w:val="20"/>
              </w:rPr>
              <w:t>(1) The implementing authority for this Law shall be the Ministry of Agriculture and Food Industry, with powers to develop and promote public policies in the field of unfair trading practices in the agricultural and food supply chain, in cooperation with other competent authorities, within the limits of the powers established by the regulatory framework.</w:t>
            </w:r>
          </w:p>
          <w:p w14:paraId="632C2205" w14:textId="3A4170DB" w:rsidR="00E0260F" w:rsidRPr="00DE15E9" w:rsidRDefault="003016C5" w:rsidP="00DE15E9">
            <w:pPr>
              <w:pStyle w:val="isselectedend"/>
              <w:spacing w:before="0" w:beforeAutospacing="0" w:after="0" w:afterAutospacing="0"/>
              <w:jc w:val="both"/>
              <w:rPr>
                <w:sz w:val="20"/>
                <w:szCs w:val="20"/>
              </w:rPr>
            </w:pPr>
            <w:r w:rsidRPr="00DE15E9">
              <w:rPr>
                <w:sz w:val="20"/>
                <w:szCs w:val="20"/>
              </w:rPr>
              <w:t xml:space="preserve">(2) The Competition Council shall be the enforcement authority for this Law, as an autonomous public authority, independent and impartial in relation to other authorities, exercising the powers provided for by this Law with </w:t>
            </w:r>
            <w:r w:rsidRPr="00DE15E9">
              <w:rPr>
                <w:sz w:val="20"/>
                <w:szCs w:val="20"/>
              </w:rPr>
              <w:lastRenderedPageBreak/>
              <w:t>a view to preventing and combating unfair trading practices generated by imbalances in bargaining power within the agricultural and food supply chain.</w:t>
            </w:r>
          </w:p>
        </w:tc>
        <w:tc>
          <w:tcPr>
            <w:tcW w:w="1276" w:type="dxa"/>
            <w:tcBorders>
              <w:top w:val="single" w:sz="4" w:space="0" w:color="000000"/>
              <w:left w:val="single" w:sz="4" w:space="0" w:color="000000"/>
              <w:bottom w:val="single" w:sz="4" w:space="0" w:color="000000"/>
              <w:right w:val="single" w:sz="4" w:space="0" w:color="000000"/>
            </w:tcBorders>
          </w:tcPr>
          <w:p w14:paraId="2F220364" w14:textId="7FDBE8B7" w:rsidR="00E0260F" w:rsidRPr="00DE15E9" w:rsidRDefault="003016C5"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Compatibil</w:t>
            </w:r>
          </w:p>
        </w:tc>
        <w:tc>
          <w:tcPr>
            <w:tcW w:w="1985" w:type="dxa"/>
            <w:tcBorders>
              <w:top w:val="single" w:sz="4" w:space="0" w:color="000000"/>
              <w:left w:val="single" w:sz="4" w:space="0" w:color="000000"/>
              <w:bottom w:val="single" w:sz="4" w:space="0" w:color="000000"/>
              <w:right w:val="single" w:sz="4" w:space="0" w:color="000000"/>
            </w:tcBorders>
          </w:tcPr>
          <w:p w14:paraId="46E8EA8B" w14:textId="77777777" w:rsidR="00E0260F" w:rsidRPr="00DE15E9" w:rsidRDefault="00E0260F" w:rsidP="00DE15E9">
            <w:pPr>
              <w:spacing w:after="0" w:line="240" w:lineRule="auto"/>
              <w:jc w:val="both"/>
              <w:rPr>
                <w:rFonts w:ascii="Times New Roman" w:hAnsi="Times New Roman" w:cs="Times New Roman"/>
                <w:sz w:val="20"/>
                <w:szCs w:val="20"/>
                <w:lang w:val="ro-MD"/>
              </w:rPr>
            </w:pPr>
            <w:r w:rsidRPr="00DE15E9">
              <w:rPr>
                <w:rFonts w:ascii="Times New Roman" w:hAnsi="Times New Roman" w:cs="Times New Roman"/>
                <w:sz w:val="20"/>
                <w:szCs w:val="20"/>
                <w:lang w:val="ro-MD"/>
              </w:rPr>
              <w:t xml:space="preserve">Aspectul articolului Directivei referitor la informarea Comisiei Europene cu privire la autoritatea desemnată are caracter procedural și se aplică exclusiv statelor membre ale UE. </w:t>
            </w:r>
          </w:p>
          <w:p w14:paraId="707AC0D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3044087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157A366C" w14:textId="77777777" w:rsidTr="00033703">
        <w:tc>
          <w:tcPr>
            <w:tcW w:w="430" w:type="dxa"/>
            <w:tcBorders>
              <w:top w:val="single" w:sz="4" w:space="0" w:color="000000"/>
              <w:left w:val="single" w:sz="4" w:space="0" w:color="000000"/>
              <w:bottom w:val="single" w:sz="4" w:space="0" w:color="000000"/>
              <w:right w:val="single" w:sz="4" w:space="0" w:color="000000"/>
            </w:tcBorders>
          </w:tcPr>
          <w:p w14:paraId="16D289A2"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45</w:t>
            </w:r>
          </w:p>
        </w:tc>
        <w:tc>
          <w:tcPr>
            <w:tcW w:w="2547" w:type="dxa"/>
            <w:tcBorders>
              <w:top w:val="single" w:sz="4" w:space="0" w:color="000000"/>
              <w:left w:val="single" w:sz="4" w:space="0" w:color="000000"/>
              <w:bottom w:val="single" w:sz="4" w:space="0" w:color="000000"/>
              <w:right w:val="single" w:sz="4" w:space="0" w:color="000000"/>
            </w:tcBorders>
          </w:tcPr>
          <w:p w14:paraId="25F6C7D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(2)   În cazul în care un stat membru desemnează mai multe autorități de aplicare a legii pe teritoriul său, acesta desemnează, de asemenea, un punct unic de contact pentru cooperarea dintre autoritățile de aplicare a legii și pentru cooperarea cu Comisia.</w:t>
            </w:r>
          </w:p>
        </w:tc>
        <w:tc>
          <w:tcPr>
            <w:tcW w:w="2552" w:type="dxa"/>
            <w:tcBorders>
              <w:top w:val="single" w:sz="4" w:space="0" w:color="000000"/>
              <w:left w:val="single" w:sz="4" w:space="0" w:color="000000"/>
              <w:bottom w:val="single" w:sz="4" w:space="0" w:color="000000"/>
              <w:right w:val="single" w:sz="4" w:space="0" w:color="000000"/>
            </w:tcBorders>
          </w:tcPr>
          <w:p w14:paraId="075E7C7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2.   If a Member State designates more than one enforcement authority in its territory, it shall designate a single contact point for both cooperation among the enforcement authorities and cooperation with the Commission.</w:t>
            </w:r>
          </w:p>
        </w:tc>
        <w:tc>
          <w:tcPr>
            <w:tcW w:w="2693" w:type="dxa"/>
            <w:tcBorders>
              <w:top w:val="single" w:sz="4" w:space="0" w:color="000000"/>
              <w:left w:val="single" w:sz="4" w:space="0" w:color="000000"/>
              <w:bottom w:val="single" w:sz="4" w:space="0" w:color="000000"/>
              <w:right w:val="single" w:sz="4" w:space="0" w:color="000000"/>
            </w:tcBorders>
          </w:tcPr>
          <w:p w14:paraId="4ED8F15D" w14:textId="77777777"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73B04F5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4DE13657" w14:textId="00E8B630"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Prevedere UE neaplicabilă</w:t>
            </w:r>
          </w:p>
        </w:tc>
        <w:tc>
          <w:tcPr>
            <w:tcW w:w="1985" w:type="dxa"/>
            <w:tcBorders>
              <w:top w:val="single" w:sz="4" w:space="0" w:color="000000"/>
              <w:left w:val="single" w:sz="4" w:space="0" w:color="000000"/>
              <w:bottom w:val="single" w:sz="4" w:space="0" w:color="000000"/>
              <w:right w:val="single" w:sz="4" w:space="0" w:color="000000"/>
            </w:tcBorders>
          </w:tcPr>
          <w:p w14:paraId="53EE912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Prin respectivul proiect de lege </w:t>
            </w:r>
            <w:r w:rsidRPr="00DE15E9">
              <w:rPr>
                <w:rFonts w:ascii="Times New Roman" w:hAnsi="Times New Roman" w:cs="Times New Roman"/>
                <w:sz w:val="20"/>
                <w:szCs w:val="20"/>
                <w:lang w:val="ro-MD"/>
              </w:rPr>
              <w:t>este desemnată o singură autoritate cu competențe de aplicare a legii - Consiliul Concurenței</w:t>
            </w:r>
          </w:p>
        </w:tc>
        <w:tc>
          <w:tcPr>
            <w:tcW w:w="2126" w:type="dxa"/>
            <w:tcBorders>
              <w:top w:val="single" w:sz="4" w:space="0" w:color="000000"/>
              <w:left w:val="single" w:sz="4" w:space="0" w:color="000000"/>
              <w:bottom w:val="single" w:sz="4" w:space="0" w:color="000000"/>
              <w:right w:val="single" w:sz="4" w:space="0" w:color="000000"/>
            </w:tcBorders>
          </w:tcPr>
          <w:p w14:paraId="024468E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0AC43EE5" w14:textId="77777777" w:rsidTr="00033703">
        <w:tc>
          <w:tcPr>
            <w:tcW w:w="430" w:type="dxa"/>
            <w:tcBorders>
              <w:top w:val="single" w:sz="4" w:space="0" w:color="000000"/>
              <w:left w:val="single" w:sz="4" w:space="0" w:color="000000"/>
              <w:bottom w:val="single" w:sz="4" w:space="0" w:color="000000"/>
              <w:right w:val="single" w:sz="4" w:space="0" w:color="000000"/>
            </w:tcBorders>
          </w:tcPr>
          <w:p w14:paraId="0C869D6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46</w:t>
            </w:r>
          </w:p>
        </w:tc>
        <w:tc>
          <w:tcPr>
            <w:tcW w:w="2547" w:type="dxa"/>
            <w:tcBorders>
              <w:top w:val="single" w:sz="4" w:space="0" w:color="000000"/>
              <w:left w:val="single" w:sz="4" w:space="0" w:color="000000"/>
              <w:bottom w:val="single" w:sz="4" w:space="0" w:color="000000"/>
              <w:right w:val="single" w:sz="4" w:space="0" w:color="000000"/>
            </w:tcBorders>
          </w:tcPr>
          <w:p w14:paraId="23519D43" w14:textId="77777777" w:rsidR="00E0260F" w:rsidRPr="00DE15E9" w:rsidRDefault="00E0260F" w:rsidP="00DE15E9">
            <w:pPr>
              <w:spacing w:after="0" w:line="240" w:lineRule="auto"/>
              <w:jc w:val="both"/>
              <w:rPr>
                <w:rFonts w:ascii="Times New Roman" w:eastAsia="Times New Roman" w:hAnsi="Times New Roman" w:cs="Times New Roman"/>
                <w:b/>
                <w:sz w:val="20"/>
                <w:szCs w:val="20"/>
                <w:lang w:val="ro-MD"/>
              </w:rPr>
            </w:pPr>
            <w:r w:rsidRPr="00DE15E9">
              <w:rPr>
                <w:rFonts w:ascii="Times New Roman" w:eastAsia="Times New Roman" w:hAnsi="Times New Roman" w:cs="Times New Roman"/>
                <w:b/>
                <w:sz w:val="20"/>
                <w:szCs w:val="20"/>
                <w:lang w:val="ro-MD"/>
              </w:rPr>
              <w:t>Articolul 5</w:t>
            </w:r>
          </w:p>
          <w:p w14:paraId="0D0ADE32" w14:textId="77777777" w:rsidR="00E0260F" w:rsidRPr="00DE15E9" w:rsidRDefault="00E0260F" w:rsidP="00DE15E9">
            <w:pPr>
              <w:pStyle w:val="oj-sti-art"/>
              <w:shd w:val="clear" w:color="auto" w:fill="FFFFFF"/>
              <w:spacing w:before="0" w:beforeAutospacing="0" w:after="0" w:afterAutospacing="0"/>
              <w:rPr>
                <w:b/>
                <w:bCs/>
                <w:sz w:val="20"/>
                <w:szCs w:val="20"/>
                <w:lang w:val="ro-MD"/>
              </w:rPr>
            </w:pPr>
            <w:r w:rsidRPr="00DE15E9">
              <w:rPr>
                <w:b/>
                <w:bCs/>
                <w:sz w:val="20"/>
                <w:szCs w:val="20"/>
                <w:lang w:val="ro-MD"/>
              </w:rPr>
              <w:t>Plângeri și confidențialitate</w:t>
            </w:r>
          </w:p>
          <w:p w14:paraId="74FAE93F" w14:textId="77777777" w:rsidR="00E0260F" w:rsidRPr="00DE15E9" w:rsidRDefault="00E0260F" w:rsidP="00DE15E9">
            <w:pPr>
              <w:pStyle w:val="oj-normal"/>
              <w:shd w:val="clear" w:color="auto" w:fill="FFFFFF"/>
              <w:spacing w:before="0" w:beforeAutospacing="0" w:after="0" w:afterAutospacing="0"/>
              <w:jc w:val="both"/>
              <w:rPr>
                <w:sz w:val="20"/>
                <w:szCs w:val="20"/>
                <w:lang w:val="ro-MD"/>
              </w:rPr>
            </w:pPr>
            <w:r w:rsidRPr="00DE15E9">
              <w:rPr>
                <w:sz w:val="20"/>
                <w:szCs w:val="20"/>
                <w:lang w:val="ro-MD"/>
              </w:rPr>
              <w:t>(1) Furnizorii pot adresa plângeri fie autorității de aplicare a legii a statului membru în care este stabilit furnizorul, fie autorității de aplicare a legii a statului membru în care este stabilit cumpărătorul care este suspectat de implicarea într-o practică comercială interzisă. Autoritatea de aplicare a legii căreia îi este adresată plângerea deține competența de a asigura aplicarea interdicțiilor prevăzute la articolul 3.</w:t>
            </w:r>
          </w:p>
          <w:p w14:paraId="58D301D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31FB250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b/>
                <w:sz w:val="20"/>
                <w:szCs w:val="20"/>
                <w:lang w:val="en-GB"/>
              </w:rPr>
              <w:t>Article</w:t>
            </w:r>
            <w:r w:rsidRPr="00DE15E9">
              <w:rPr>
                <w:rFonts w:ascii="Times New Roman" w:eastAsia="Times New Roman" w:hAnsi="Times New Roman" w:cs="Times New Roman"/>
                <w:sz w:val="20"/>
                <w:szCs w:val="20"/>
                <w:lang w:val="en-GB"/>
              </w:rPr>
              <w:t xml:space="preserve"> 5</w:t>
            </w:r>
          </w:p>
          <w:p w14:paraId="0AC81154" w14:textId="77777777" w:rsidR="00E0260F" w:rsidRPr="00DE15E9" w:rsidRDefault="00E0260F" w:rsidP="00DE15E9">
            <w:pPr>
              <w:pStyle w:val="oj-sti-art"/>
              <w:shd w:val="clear" w:color="auto" w:fill="FFFFFF"/>
              <w:spacing w:before="0" w:beforeAutospacing="0" w:after="0" w:afterAutospacing="0"/>
              <w:rPr>
                <w:b/>
                <w:bCs/>
                <w:sz w:val="20"/>
                <w:szCs w:val="20"/>
                <w:lang w:val="en-GB"/>
              </w:rPr>
            </w:pPr>
            <w:r w:rsidRPr="00DE15E9">
              <w:rPr>
                <w:b/>
                <w:bCs/>
                <w:sz w:val="20"/>
                <w:szCs w:val="20"/>
                <w:lang w:val="en-GB"/>
              </w:rPr>
              <w:t>Complaints and confidentiality</w:t>
            </w:r>
          </w:p>
          <w:p w14:paraId="384D7532" w14:textId="77777777" w:rsidR="00E0260F" w:rsidRPr="00DE15E9" w:rsidRDefault="00E0260F" w:rsidP="00DE15E9">
            <w:pPr>
              <w:pStyle w:val="oj-normal"/>
              <w:shd w:val="clear" w:color="auto" w:fill="FFFFFF"/>
              <w:spacing w:before="0" w:beforeAutospacing="0" w:after="0" w:afterAutospacing="0"/>
              <w:jc w:val="both"/>
              <w:rPr>
                <w:sz w:val="20"/>
                <w:szCs w:val="20"/>
                <w:lang w:val="en-GB"/>
              </w:rPr>
            </w:pPr>
            <w:r w:rsidRPr="00DE15E9">
              <w:rPr>
                <w:sz w:val="20"/>
                <w:szCs w:val="20"/>
                <w:lang w:val="en-GB"/>
              </w:rPr>
              <w:t>1.   Suppliers may address complaints either to the enforcement authority of the Member State in which the supplier is established or to the enforcement authority of the Member State in which the buyer that is suspected to have engaged in a prohibited trading practice is established. The enforcement authority to which the complaint is addressed shall be competent to enforce the prohibitions laid down in Article 3.</w:t>
            </w:r>
          </w:p>
          <w:p w14:paraId="0E95C30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28B0065A" w14:textId="77777777" w:rsidR="003016C5" w:rsidRPr="00DE15E9" w:rsidRDefault="003016C5" w:rsidP="00DE15E9">
            <w:pPr>
              <w:spacing w:after="0" w:line="240" w:lineRule="auto"/>
              <w:ind w:firstLine="426"/>
              <w:jc w:val="both"/>
              <w:rPr>
                <w:rFonts w:ascii="Times New Roman" w:eastAsiaTheme="minorHAnsi" w:hAnsi="Times New Roman" w:cs="Times New Roman"/>
                <w:b/>
                <w:sz w:val="20"/>
                <w:szCs w:val="20"/>
                <w:lang w:val="ro-MD"/>
              </w:rPr>
            </w:pPr>
            <w:r w:rsidRPr="00DE15E9">
              <w:rPr>
                <w:rFonts w:ascii="Times New Roman" w:hAnsi="Times New Roman" w:cs="Times New Roman"/>
                <w:b/>
                <w:sz w:val="20"/>
                <w:szCs w:val="20"/>
                <w:lang w:val="ro-MD"/>
              </w:rPr>
              <w:t>Articolul 8. Plângeri și confidențialitate</w:t>
            </w:r>
          </w:p>
          <w:p w14:paraId="3F39BB34" w14:textId="18CAAFF6" w:rsidR="00E0260F" w:rsidRPr="00DE15E9" w:rsidRDefault="003016C5" w:rsidP="00DE15E9">
            <w:pPr>
              <w:tabs>
                <w:tab w:val="left" w:pos="311"/>
                <w:tab w:val="left" w:pos="595"/>
                <w:tab w:val="left" w:pos="796"/>
                <w:tab w:val="left" w:pos="878"/>
              </w:tabs>
              <w:spacing w:after="0" w:line="240" w:lineRule="auto"/>
              <w:jc w:val="both"/>
              <w:rPr>
                <w:rFonts w:ascii="Times New Roman" w:hAnsi="Times New Roman" w:cs="Times New Roman"/>
                <w:sz w:val="20"/>
                <w:szCs w:val="20"/>
              </w:rPr>
            </w:pPr>
            <w:r w:rsidRPr="00DE15E9">
              <w:rPr>
                <w:rFonts w:ascii="Times New Roman" w:hAnsi="Times New Roman" w:cs="Times New Roman"/>
                <w:b/>
                <w:sz w:val="20"/>
                <w:szCs w:val="20"/>
                <w:lang w:val="ro-MD"/>
              </w:rPr>
              <w:t xml:space="preserve"> (1) </w:t>
            </w:r>
            <w:r w:rsidRPr="00DE15E9">
              <w:rPr>
                <w:rFonts w:ascii="Times New Roman" w:hAnsi="Times New Roman" w:cs="Times New Roman"/>
                <w:sz w:val="20"/>
                <w:szCs w:val="20"/>
              </w:rPr>
              <w:t>Furnizorii pot depune plângeri privind practicile comerciale neloiale interzise de prezenta lege la autoritatea de aplicare a legii din Republica Moldova în nume propriu.</w:t>
            </w:r>
          </w:p>
          <w:p w14:paraId="20D979B2" w14:textId="7B9343A4" w:rsidR="003016C5" w:rsidRPr="00DE15E9" w:rsidRDefault="003016C5" w:rsidP="00DE15E9">
            <w:pPr>
              <w:spacing w:after="0" w:line="240" w:lineRule="auto"/>
              <w:jc w:val="both"/>
              <w:rPr>
                <w:rFonts w:ascii="Times New Roman" w:eastAsiaTheme="minorHAnsi" w:hAnsi="Times New Roman" w:cs="Times New Roman"/>
                <w:b/>
                <w:sz w:val="20"/>
                <w:szCs w:val="20"/>
                <w:lang w:val="ro-MD"/>
              </w:rPr>
            </w:pPr>
            <w:r w:rsidRPr="00DE15E9">
              <w:rPr>
                <w:rFonts w:ascii="Times New Roman" w:hAnsi="Times New Roman" w:cs="Times New Roman"/>
                <w:sz w:val="20"/>
                <w:szCs w:val="20"/>
              </w:rPr>
              <w:t>(4) În cazul în care autoritatea de aplicare a legii consideră că există motive suficiente pentru a examina plângerea, aceasta inițiază, efectuează și finalizează investigația privind obiectul plângerii în conformitate cu procedura, termenele și competențele prevăzute în Legea concurenței nr. 183/2012, cu excepția cazurilor în care prezenta lege prevede altfel.</w:t>
            </w:r>
          </w:p>
        </w:tc>
        <w:tc>
          <w:tcPr>
            <w:tcW w:w="2693" w:type="dxa"/>
            <w:tcBorders>
              <w:top w:val="single" w:sz="4" w:space="0" w:color="000000"/>
              <w:left w:val="single" w:sz="4" w:space="0" w:color="000000"/>
              <w:bottom w:val="single" w:sz="4" w:space="0" w:color="000000"/>
              <w:right w:val="single" w:sz="4" w:space="0" w:color="000000"/>
            </w:tcBorders>
          </w:tcPr>
          <w:p w14:paraId="393DEE21" w14:textId="77777777" w:rsidR="003016C5" w:rsidRPr="00DE15E9" w:rsidRDefault="003016C5" w:rsidP="00DE15E9">
            <w:pPr>
              <w:pStyle w:val="isselectedend"/>
              <w:spacing w:before="0" w:beforeAutospacing="0" w:after="0" w:afterAutospacing="0"/>
              <w:jc w:val="both"/>
              <w:rPr>
                <w:b/>
                <w:sz w:val="20"/>
                <w:szCs w:val="20"/>
              </w:rPr>
            </w:pPr>
            <w:r w:rsidRPr="00DE15E9">
              <w:rPr>
                <w:b/>
                <w:sz w:val="20"/>
                <w:szCs w:val="20"/>
              </w:rPr>
              <w:t>Article 8. Complaints and confidentiality</w:t>
            </w:r>
          </w:p>
          <w:p w14:paraId="17E529DA" w14:textId="77777777" w:rsidR="003016C5" w:rsidRPr="00DE15E9" w:rsidRDefault="003016C5" w:rsidP="00DE15E9">
            <w:pPr>
              <w:pStyle w:val="isselectedend"/>
              <w:spacing w:before="0" w:beforeAutospacing="0" w:after="0" w:afterAutospacing="0"/>
              <w:jc w:val="both"/>
              <w:rPr>
                <w:sz w:val="20"/>
                <w:szCs w:val="20"/>
              </w:rPr>
            </w:pPr>
            <w:r w:rsidRPr="00DE15E9">
              <w:rPr>
                <w:sz w:val="20"/>
                <w:szCs w:val="20"/>
              </w:rPr>
              <w:t>(1) Suppliers may lodge complaints concerning unfair trading practices prohibited by this Law with the enforcement authority of the Republic of Moldova on their own behalf.</w:t>
            </w:r>
          </w:p>
          <w:p w14:paraId="4158216E" w14:textId="77777777" w:rsidR="003016C5" w:rsidRPr="00DE15E9" w:rsidRDefault="003016C5" w:rsidP="00DE15E9">
            <w:pPr>
              <w:pStyle w:val="isselectedend"/>
              <w:spacing w:before="0" w:beforeAutospacing="0" w:after="0" w:afterAutospacing="0"/>
              <w:jc w:val="both"/>
              <w:rPr>
                <w:sz w:val="20"/>
                <w:szCs w:val="20"/>
              </w:rPr>
            </w:pPr>
            <w:r w:rsidRPr="00DE15E9">
              <w:rPr>
                <w:sz w:val="20"/>
                <w:szCs w:val="20"/>
              </w:rPr>
              <w:t>(4) Where the enforcement authority considers that there are sufficient grounds to examine the complaint, it shall initiate, conduct and complete the investigation concerning the subject matter of the complaint in accordance with the procedure, time limits and powers laid down in Competition Law No. 183/2012, except where this Law provides otherwise.</w:t>
            </w:r>
          </w:p>
          <w:p w14:paraId="521E7535"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7583606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4C16035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Adaptat la specificul național </w:t>
            </w:r>
          </w:p>
        </w:tc>
        <w:tc>
          <w:tcPr>
            <w:tcW w:w="2126" w:type="dxa"/>
            <w:tcBorders>
              <w:top w:val="single" w:sz="4" w:space="0" w:color="000000"/>
              <w:left w:val="single" w:sz="4" w:space="0" w:color="000000"/>
              <w:bottom w:val="single" w:sz="4" w:space="0" w:color="000000"/>
              <w:right w:val="single" w:sz="4" w:space="0" w:color="000000"/>
            </w:tcBorders>
          </w:tcPr>
          <w:p w14:paraId="038B1C2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5E84367D" w14:textId="77777777" w:rsidTr="00033703">
        <w:tc>
          <w:tcPr>
            <w:tcW w:w="430" w:type="dxa"/>
            <w:tcBorders>
              <w:top w:val="single" w:sz="4" w:space="0" w:color="000000"/>
              <w:left w:val="single" w:sz="4" w:space="0" w:color="000000"/>
              <w:bottom w:val="single" w:sz="4" w:space="0" w:color="000000"/>
              <w:right w:val="single" w:sz="4" w:space="0" w:color="000000"/>
            </w:tcBorders>
          </w:tcPr>
          <w:p w14:paraId="25AD7D2F"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lastRenderedPageBreak/>
              <w:t>47</w:t>
            </w:r>
          </w:p>
        </w:tc>
        <w:tc>
          <w:tcPr>
            <w:tcW w:w="2547" w:type="dxa"/>
            <w:tcBorders>
              <w:top w:val="single" w:sz="4" w:space="0" w:color="000000"/>
              <w:left w:val="single" w:sz="4" w:space="0" w:color="000000"/>
              <w:bottom w:val="single" w:sz="4" w:space="0" w:color="000000"/>
              <w:right w:val="single" w:sz="4" w:space="0" w:color="000000"/>
            </w:tcBorders>
          </w:tcPr>
          <w:p w14:paraId="0BA82B1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(2)   </w:t>
            </w:r>
            <w:bookmarkStart w:id="0" w:name="_Hlk216341113"/>
            <w:r w:rsidRPr="00DE15E9">
              <w:rPr>
                <w:rFonts w:ascii="Times New Roman" w:hAnsi="Times New Roman" w:cs="Times New Roman"/>
                <w:sz w:val="20"/>
                <w:szCs w:val="20"/>
                <w:shd w:val="clear" w:color="auto" w:fill="FFFFFF"/>
                <w:lang w:val="ro-MD"/>
              </w:rPr>
              <w:t xml:space="preserve">Organizațiile de producători, alte organizații de furnizori și asociațiile unor astfel de organizații </w:t>
            </w:r>
            <w:bookmarkEnd w:id="0"/>
            <w:r w:rsidRPr="00DE15E9">
              <w:rPr>
                <w:rFonts w:ascii="Times New Roman" w:hAnsi="Times New Roman" w:cs="Times New Roman"/>
                <w:sz w:val="20"/>
                <w:szCs w:val="20"/>
                <w:shd w:val="clear" w:color="auto" w:fill="FFFFFF"/>
                <w:lang w:val="ro-MD"/>
              </w:rPr>
              <w:t>au dreptul de a depune o plângere la cererea unuia sau a mai multor membri ai lor sau, după caz, la cererea unuia sau a mai multor membri ai organizațiilor lor membre, în cazul în care respectivii membri consideră că au fost afectați de o practică comercială interzisă. Alte organizații care au un interes legitim în reprezentarea furnizorilor au dreptul de a depune plângeri la cererea unui furnizor și în interesul respectivului furnizor, cu condiția ca astfel de organizații să fie persoane juridice independente fără scop lucrativ.</w:t>
            </w:r>
          </w:p>
        </w:tc>
        <w:tc>
          <w:tcPr>
            <w:tcW w:w="2552" w:type="dxa"/>
            <w:tcBorders>
              <w:top w:val="single" w:sz="4" w:space="0" w:color="000000"/>
              <w:left w:val="single" w:sz="4" w:space="0" w:color="000000"/>
              <w:bottom w:val="single" w:sz="4" w:space="0" w:color="000000"/>
              <w:right w:val="single" w:sz="4" w:space="0" w:color="000000"/>
            </w:tcBorders>
          </w:tcPr>
          <w:p w14:paraId="4D8937D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2.   Producer organisations, other organisations of suppliers and associations of such organisations, shall have the right to submit a complaint at the request of one or more of their members or, where appropriate, at the request of one or more members of their member organisations, where those members consider that they have been affected by a prohibited trading practice. Other organisations that have a legitimate interest in representing suppliers shall have the right to submit complaints, at the request of a supplier, and in the interest of that supplier, provided that such organisations are independent non-profit-making legal persons.</w:t>
            </w:r>
          </w:p>
        </w:tc>
        <w:tc>
          <w:tcPr>
            <w:tcW w:w="2693" w:type="dxa"/>
            <w:tcBorders>
              <w:top w:val="single" w:sz="4" w:space="0" w:color="000000"/>
              <w:left w:val="single" w:sz="4" w:space="0" w:color="000000"/>
              <w:bottom w:val="single" w:sz="4" w:space="0" w:color="000000"/>
              <w:right w:val="single" w:sz="4" w:space="0" w:color="000000"/>
            </w:tcBorders>
          </w:tcPr>
          <w:p w14:paraId="3F95E2E2" w14:textId="5B96F2B9" w:rsidR="00E0260F" w:rsidRPr="00DE15E9" w:rsidRDefault="003016C5" w:rsidP="00DE15E9">
            <w:pPr>
              <w:spacing w:after="0" w:line="240" w:lineRule="auto"/>
              <w:jc w:val="both"/>
              <w:rPr>
                <w:rFonts w:ascii="Times New Roman" w:eastAsiaTheme="minorHAnsi" w:hAnsi="Times New Roman" w:cs="Times New Roman"/>
                <w:b/>
                <w:sz w:val="20"/>
                <w:szCs w:val="20"/>
                <w:lang w:val="ro-MD"/>
              </w:rPr>
            </w:pPr>
            <w:r w:rsidRPr="00DE15E9">
              <w:rPr>
                <w:rFonts w:ascii="Times New Roman" w:hAnsi="Times New Roman" w:cs="Times New Roman"/>
                <w:sz w:val="20"/>
                <w:szCs w:val="20"/>
              </w:rPr>
              <w:t>(2) Furnizorii care sunt organizații de producători, alte organizații de furnizori sau asociații ale unor astfel de organizații pot depune plângeri și la cererea unuia sau a mai multor membri ai lor sau la cererea unuia sau a mai multor membri ai organizațiilor lor membre, în cazul în care respectivii membri consideră că au fost afectați de o practică comercială interzisă</w:t>
            </w:r>
            <w:r w:rsidRPr="00DE15E9">
              <w:rPr>
                <w:rFonts w:ascii="Times New Roman" w:hAnsi="Times New Roman" w:cs="Times New Roman"/>
                <w:sz w:val="20"/>
                <w:szCs w:val="20"/>
                <w:lang w:val="ro-MD"/>
              </w:rPr>
              <w:t xml:space="preserve">. </w:t>
            </w:r>
            <w:r w:rsidRPr="00DE15E9">
              <w:rPr>
                <w:rFonts w:ascii="Times New Roman" w:hAnsi="Times New Roman" w:cs="Times New Roman"/>
                <w:sz w:val="20"/>
                <w:szCs w:val="20"/>
              </w:rPr>
              <w:t>Alte organizații care au un interes legitim în reprezentarea furnizorilor au dreptul de a depune plângeri la cererea unui furnizor și în interesul respectivului furnizor, cu condiția ca astfel de organizații să fie persoane juridice independente fără scop lucrativ.</w:t>
            </w:r>
          </w:p>
        </w:tc>
        <w:tc>
          <w:tcPr>
            <w:tcW w:w="2693" w:type="dxa"/>
            <w:tcBorders>
              <w:top w:val="single" w:sz="4" w:space="0" w:color="000000"/>
              <w:left w:val="single" w:sz="4" w:space="0" w:color="000000"/>
              <w:bottom w:val="single" w:sz="4" w:space="0" w:color="000000"/>
              <w:right w:val="single" w:sz="4" w:space="0" w:color="000000"/>
            </w:tcBorders>
          </w:tcPr>
          <w:p w14:paraId="742DDE27" w14:textId="6D075EF0" w:rsidR="00E0260F" w:rsidRPr="00DE15E9" w:rsidRDefault="003016C5" w:rsidP="00DE15E9">
            <w:pPr>
              <w:pStyle w:val="isselectedend"/>
              <w:spacing w:before="0" w:beforeAutospacing="0" w:after="0" w:afterAutospacing="0"/>
              <w:jc w:val="both"/>
              <w:rPr>
                <w:sz w:val="20"/>
                <w:szCs w:val="20"/>
              </w:rPr>
            </w:pPr>
            <w:r w:rsidRPr="00DE15E9">
              <w:rPr>
                <w:sz w:val="20"/>
                <w:szCs w:val="20"/>
              </w:rPr>
              <w:t>(2) Suppliers that are producer organisations, other supplier organisations or associations of such organisations may also lodge complaints at the request of one or more of their members, or at the request of one or more members of their member organisations, where those members consider that they have been affected by a prohibited trading practice. Other organisations having a legitimate interest in representing suppliers shall have the right to lodge complaints at the request of a supplier and in the interest of that supplier, provided that such organisations are independent non-profit legal persons.</w:t>
            </w:r>
          </w:p>
        </w:tc>
        <w:tc>
          <w:tcPr>
            <w:tcW w:w="1276" w:type="dxa"/>
            <w:tcBorders>
              <w:top w:val="single" w:sz="4" w:space="0" w:color="000000"/>
              <w:left w:val="single" w:sz="4" w:space="0" w:color="000000"/>
              <w:bottom w:val="single" w:sz="4" w:space="0" w:color="000000"/>
              <w:right w:val="single" w:sz="4" w:space="0" w:color="000000"/>
            </w:tcBorders>
          </w:tcPr>
          <w:p w14:paraId="1EB0672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7071BC5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56538E3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1935C75E" w14:textId="77777777" w:rsidTr="00033703">
        <w:tc>
          <w:tcPr>
            <w:tcW w:w="430" w:type="dxa"/>
            <w:tcBorders>
              <w:top w:val="single" w:sz="4" w:space="0" w:color="000000"/>
              <w:left w:val="single" w:sz="4" w:space="0" w:color="000000"/>
              <w:bottom w:val="single" w:sz="4" w:space="0" w:color="000000"/>
              <w:right w:val="single" w:sz="4" w:space="0" w:color="000000"/>
            </w:tcBorders>
          </w:tcPr>
          <w:p w14:paraId="112B3713"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48</w:t>
            </w:r>
          </w:p>
        </w:tc>
        <w:tc>
          <w:tcPr>
            <w:tcW w:w="2547" w:type="dxa"/>
            <w:tcBorders>
              <w:top w:val="single" w:sz="4" w:space="0" w:color="000000"/>
              <w:left w:val="single" w:sz="4" w:space="0" w:color="000000"/>
              <w:bottom w:val="single" w:sz="4" w:space="0" w:color="000000"/>
              <w:right w:val="single" w:sz="4" w:space="0" w:color="000000"/>
            </w:tcBorders>
          </w:tcPr>
          <w:p w14:paraId="41EC895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 xml:space="preserve">(3)   Statele membre se asigură că, la cererea reclamantului, autoritatea de aplicare a legii ia măsurile necesare pentru a proteja în mod adecvat identitatea reclamantului sau a membrilor sau a furnizorilor menționați la alineatul (2) și alte informații a căror divulgare este considerată de reclamant ca susceptibilă să aducă atingere intereselor sale sau ale acelor membri sau furnizori. Reclamantul </w:t>
            </w:r>
            <w:r w:rsidRPr="00DE15E9">
              <w:rPr>
                <w:rFonts w:ascii="Times New Roman" w:hAnsi="Times New Roman" w:cs="Times New Roman"/>
                <w:sz w:val="20"/>
                <w:szCs w:val="20"/>
                <w:shd w:val="clear" w:color="auto" w:fill="FFFFFF"/>
                <w:lang w:val="ro-MD"/>
              </w:rPr>
              <w:lastRenderedPageBreak/>
              <w:t>indică orice informație pentru care solicită confidențialitate.</w:t>
            </w:r>
          </w:p>
        </w:tc>
        <w:tc>
          <w:tcPr>
            <w:tcW w:w="2552" w:type="dxa"/>
            <w:tcBorders>
              <w:top w:val="single" w:sz="4" w:space="0" w:color="000000"/>
              <w:left w:val="single" w:sz="4" w:space="0" w:color="000000"/>
              <w:bottom w:val="single" w:sz="4" w:space="0" w:color="000000"/>
              <w:right w:val="single" w:sz="4" w:space="0" w:color="000000"/>
            </w:tcBorders>
          </w:tcPr>
          <w:p w14:paraId="2A5D228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lastRenderedPageBreak/>
              <w:t xml:space="preserve">3.   Member States shall ensure that, where the complainant so requests, the enforcement authority shall take the necessary measures for the appropriate protection of the identity of the complainant or the members or suppliers referred to in paragraph 2 and for the appropriate protection of any other information in respect of which the complainant considers that the disclosure of such information would be </w:t>
            </w:r>
            <w:r w:rsidRPr="00DE15E9">
              <w:rPr>
                <w:rFonts w:ascii="Times New Roman" w:hAnsi="Times New Roman" w:cs="Times New Roman"/>
                <w:sz w:val="20"/>
                <w:szCs w:val="20"/>
                <w:shd w:val="clear" w:color="auto" w:fill="FFFFFF"/>
                <w:lang w:val="en-GB"/>
              </w:rPr>
              <w:lastRenderedPageBreak/>
              <w:t>harmful to the interests of the complainant or of those members or suppliers. The complainant shall identify any information for which it requests confidentiality.</w:t>
            </w:r>
          </w:p>
        </w:tc>
        <w:tc>
          <w:tcPr>
            <w:tcW w:w="2693" w:type="dxa"/>
            <w:tcBorders>
              <w:top w:val="single" w:sz="4" w:space="0" w:color="000000"/>
              <w:left w:val="single" w:sz="4" w:space="0" w:color="000000"/>
              <w:bottom w:val="single" w:sz="4" w:space="0" w:color="000000"/>
              <w:right w:val="single" w:sz="4" w:space="0" w:color="000000"/>
            </w:tcBorders>
          </w:tcPr>
          <w:p w14:paraId="2B2E2210" w14:textId="3D97A887" w:rsidR="003016C5" w:rsidRPr="00DE15E9" w:rsidRDefault="003016C5" w:rsidP="00DE15E9">
            <w:pPr>
              <w:spacing w:after="0" w:line="240" w:lineRule="auto"/>
              <w:jc w:val="both"/>
              <w:rPr>
                <w:rFonts w:ascii="Times New Roman" w:eastAsiaTheme="minorHAnsi" w:hAnsi="Times New Roman" w:cs="Times New Roman"/>
                <w:sz w:val="20"/>
                <w:szCs w:val="20"/>
                <w:lang w:val="ro-MD"/>
              </w:rPr>
            </w:pPr>
            <w:r w:rsidRPr="00DE15E9">
              <w:rPr>
                <w:rFonts w:ascii="Times New Roman" w:hAnsi="Times New Roman" w:cs="Times New Roman"/>
                <w:sz w:val="20"/>
                <w:szCs w:val="20"/>
                <w:lang w:val="ro-MD"/>
              </w:rPr>
              <w:lastRenderedPageBreak/>
              <w:t xml:space="preserve">(6) Autoritatea de aplicare a prezentei legi asigură, la cererea reclamantului, </w:t>
            </w:r>
            <w:r w:rsidRPr="00DE15E9">
              <w:rPr>
                <w:rFonts w:ascii="Times New Roman" w:hAnsi="Times New Roman" w:cs="Times New Roman"/>
                <w:sz w:val="20"/>
                <w:szCs w:val="20"/>
              </w:rPr>
              <w:t xml:space="preserve">măsurile necesare pentru a proteja identitatea acestuia, a membrilor săi sau a furnizorilor menționați la alin. (2), precum și a altor informații a căror divulgare este indicată de reclamant ca fiind susceptibilă să aducă atingere intereselor sale sau ale acelor membri sau furnizori. Reclamantul este obligat să </w:t>
            </w:r>
            <w:r w:rsidRPr="00DE15E9">
              <w:rPr>
                <w:rFonts w:ascii="Times New Roman" w:hAnsi="Times New Roman" w:cs="Times New Roman"/>
                <w:sz w:val="20"/>
                <w:szCs w:val="20"/>
              </w:rPr>
              <w:lastRenderedPageBreak/>
              <w:t>indice informațiile pentru care solicită confidențialitate.</w:t>
            </w:r>
          </w:p>
          <w:p w14:paraId="52033631" w14:textId="0CC636B9"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7C4AB75E" w14:textId="77777777" w:rsidR="003016C5" w:rsidRPr="00DE15E9" w:rsidRDefault="003016C5" w:rsidP="00DE15E9">
            <w:pPr>
              <w:pStyle w:val="isselectedend"/>
              <w:spacing w:before="0" w:beforeAutospacing="0" w:after="0" w:afterAutospacing="0"/>
              <w:jc w:val="both"/>
              <w:rPr>
                <w:sz w:val="20"/>
                <w:szCs w:val="20"/>
              </w:rPr>
            </w:pPr>
            <w:r w:rsidRPr="00DE15E9">
              <w:rPr>
                <w:sz w:val="20"/>
                <w:szCs w:val="20"/>
              </w:rPr>
              <w:lastRenderedPageBreak/>
              <w:t xml:space="preserve">(6) The enforcement authority of this Law shall, at the request of the complainant, take the necessary measures to protect the identity of the complainant, the identity of its members or of the suppliers referred to in paragraph (2), as well as other information whose disclosure is indicated by the complainant as being liable to prejudice its interests or those of such members or suppliers. The complainant shall indicate the </w:t>
            </w:r>
            <w:r w:rsidRPr="00DE15E9">
              <w:rPr>
                <w:sz w:val="20"/>
                <w:szCs w:val="20"/>
              </w:rPr>
              <w:lastRenderedPageBreak/>
              <w:t>information for which confidentiality is requested.</w:t>
            </w:r>
          </w:p>
          <w:p w14:paraId="6042CDC4"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7DDCBB7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1811516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Procedurile prin care Consiliul Concurenței aplică legea privind practicile comerciale neloiale sunt prevăzute în Legea concurenței nr. 183/2012, care, de altfel, se desfășoară în condiții de asigurare a confidențialității informațiilor utilizate, inclusiv despre oricare dintre părțile plângerii (art. 38 alin. </w:t>
            </w:r>
            <w:r w:rsidRPr="00DE15E9">
              <w:rPr>
                <w:rFonts w:ascii="Times New Roman" w:eastAsia="Times New Roman" w:hAnsi="Times New Roman" w:cs="Times New Roman"/>
                <w:sz w:val="20"/>
                <w:szCs w:val="20"/>
                <w:lang w:val="ro-MD"/>
              </w:rPr>
              <w:lastRenderedPageBreak/>
              <w:t>(5), art. 51 alin. (3), art. 54 alin. (1)).</w:t>
            </w:r>
          </w:p>
        </w:tc>
        <w:tc>
          <w:tcPr>
            <w:tcW w:w="2126" w:type="dxa"/>
            <w:tcBorders>
              <w:top w:val="single" w:sz="4" w:space="0" w:color="000000"/>
              <w:left w:val="single" w:sz="4" w:space="0" w:color="000000"/>
              <w:bottom w:val="single" w:sz="4" w:space="0" w:color="000000"/>
              <w:right w:val="single" w:sz="4" w:space="0" w:color="000000"/>
            </w:tcBorders>
          </w:tcPr>
          <w:p w14:paraId="6B6B94B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69A627EA" w14:textId="77777777" w:rsidTr="00033703">
        <w:tc>
          <w:tcPr>
            <w:tcW w:w="430" w:type="dxa"/>
            <w:tcBorders>
              <w:top w:val="single" w:sz="4" w:space="0" w:color="000000"/>
              <w:left w:val="single" w:sz="4" w:space="0" w:color="000000"/>
              <w:bottom w:val="single" w:sz="4" w:space="0" w:color="000000"/>
              <w:right w:val="single" w:sz="4" w:space="0" w:color="000000"/>
            </w:tcBorders>
          </w:tcPr>
          <w:p w14:paraId="3F2E1752"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49</w:t>
            </w:r>
          </w:p>
        </w:tc>
        <w:tc>
          <w:tcPr>
            <w:tcW w:w="2547" w:type="dxa"/>
            <w:tcBorders>
              <w:top w:val="single" w:sz="4" w:space="0" w:color="000000"/>
              <w:left w:val="single" w:sz="4" w:space="0" w:color="000000"/>
              <w:bottom w:val="single" w:sz="4" w:space="0" w:color="000000"/>
              <w:right w:val="single" w:sz="4" w:space="0" w:color="000000"/>
            </w:tcBorders>
          </w:tcPr>
          <w:p w14:paraId="66418B2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(4)   Statele membre se asigură că autoritatea de aplicare a legii care primește plângerea îl informează pe reclamant într-un termen rezonabil de la primirea plângerii cu privire la modul în care intenționează să trateze plângerea.</w:t>
            </w:r>
          </w:p>
        </w:tc>
        <w:tc>
          <w:tcPr>
            <w:tcW w:w="2552" w:type="dxa"/>
            <w:tcBorders>
              <w:top w:val="single" w:sz="4" w:space="0" w:color="000000"/>
              <w:left w:val="single" w:sz="4" w:space="0" w:color="000000"/>
              <w:bottom w:val="single" w:sz="4" w:space="0" w:color="000000"/>
              <w:right w:val="single" w:sz="4" w:space="0" w:color="000000"/>
            </w:tcBorders>
          </w:tcPr>
          <w:p w14:paraId="7B83C28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4.   Member States shall ensure that the enforcement authority that receives the complaint shall inform the complainant within a reasonable period of time after the receipt of the complaint of how it intends to follow up on the complaint.</w:t>
            </w:r>
          </w:p>
        </w:tc>
        <w:tc>
          <w:tcPr>
            <w:tcW w:w="2693" w:type="dxa"/>
            <w:tcBorders>
              <w:top w:val="single" w:sz="4" w:space="0" w:color="000000"/>
              <w:left w:val="single" w:sz="4" w:space="0" w:color="000000"/>
              <w:bottom w:val="single" w:sz="4" w:space="0" w:color="000000"/>
              <w:right w:val="single" w:sz="4" w:space="0" w:color="000000"/>
            </w:tcBorders>
          </w:tcPr>
          <w:p w14:paraId="11DDCE9C" w14:textId="04F7E8EA" w:rsidR="00E0260F" w:rsidRPr="00DE15E9" w:rsidRDefault="003016C5" w:rsidP="00DE15E9">
            <w:pPr>
              <w:spacing w:after="0" w:line="240" w:lineRule="auto"/>
              <w:jc w:val="both"/>
              <w:rPr>
                <w:rFonts w:ascii="Times New Roman" w:eastAsiaTheme="minorHAnsi" w:hAnsi="Times New Roman" w:cs="Times New Roman"/>
                <w:b/>
                <w:sz w:val="20"/>
                <w:szCs w:val="20"/>
                <w:lang w:val="ro-MD"/>
              </w:rPr>
            </w:pPr>
            <w:r w:rsidRPr="00DE15E9">
              <w:rPr>
                <w:rFonts w:ascii="Times New Roman" w:hAnsi="Times New Roman" w:cs="Times New Roman"/>
                <w:sz w:val="20"/>
                <w:szCs w:val="20"/>
              </w:rPr>
              <w:t>(5) Alte aspecte ale procedurii de depunere, înregistrare, investigare, soluționare a plângerilor, precum și modalitatea și perioada de monitorizare a deciziilor, se stabilesc de Consiliul Concurenței prin regulament aprobat prin hotărâre a Plenului Consiliului Concurenței</w:t>
            </w:r>
            <w:r w:rsidR="00E0260F" w:rsidRPr="00DE15E9">
              <w:rPr>
                <w:rFonts w:ascii="Times New Roman" w:eastAsia="Times New Roman" w:hAnsi="Times New Roman" w:cs="Times New Roman"/>
                <w:sz w:val="20"/>
                <w:szCs w:val="20"/>
                <w:lang w:val="ro-MD"/>
              </w:rPr>
              <w:t>.</w:t>
            </w:r>
          </w:p>
        </w:tc>
        <w:tc>
          <w:tcPr>
            <w:tcW w:w="2693" w:type="dxa"/>
            <w:tcBorders>
              <w:top w:val="single" w:sz="4" w:space="0" w:color="000000"/>
              <w:left w:val="single" w:sz="4" w:space="0" w:color="000000"/>
              <w:bottom w:val="single" w:sz="4" w:space="0" w:color="000000"/>
              <w:right w:val="single" w:sz="4" w:space="0" w:color="000000"/>
            </w:tcBorders>
          </w:tcPr>
          <w:p w14:paraId="054BF5C4" w14:textId="436DF689" w:rsidR="00E0260F" w:rsidRPr="00DE15E9" w:rsidRDefault="003016C5" w:rsidP="00DE15E9">
            <w:pPr>
              <w:pStyle w:val="isselectedend"/>
              <w:spacing w:before="0" w:beforeAutospacing="0" w:after="0" w:afterAutospacing="0"/>
              <w:jc w:val="both"/>
              <w:rPr>
                <w:sz w:val="20"/>
                <w:szCs w:val="20"/>
              </w:rPr>
            </w:pPr>
            <w:r w:rsidRPr="00DE15E9">
              <w:rPr>
                <w:sz w:val="20"/>
                <w:szCs w:val="20"/>
              </w:rPr>
              <w:t>(5) Other aspects of the procedure for lodging, registering, investigating and settling complaints, as well as the manner and period for monitoring decisions, shall be established by the Competition Council by regulation approved by decision of the Plenum of the Competition Council.</w:t>
            </w:r>
          </w:p>
        </w:tc>
        <w:tc>
          <w:tcPr>
            <w:tcW w:w="1276" w:type="dxa"/>
            <w:tcBorders>
              <w:top w:val="single" w:sz="4" w:space="0" w:color="000000"/>
              <w:left w:val="single" w:sz="4" w:space="0" w:color="000000"/>
              <w:bottom w:val="single" w:sz="4" w:space="0" w:color="000000"/>
              <w:right w:val="single" w:sz="4" w:space="0" w:color="000000"/>
            </w:tcBorders>
          </w:tcPr>
          <w:p w14:paraId="4E20116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3F498FC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Art. 51 al Legii concurenței 183/2012 prevede inclusiv informarea reclamantului privind modul de tratare a plângerilor  </w:t>
            </w:r>
          </w:p>
        </w:tc>
        <w:tc>
          <w:tcPr>
            <w:tcW w:w="2126" w:type="dxa"/>
            <w:tcBorders>
              <w:top w:val="single" w:sz="4" w:space="0" w:color="000000"/>
              <w:left w:val="single" w:sz="4" w:space="0" w:color="000000"/>
              <w:bottom w:val="single" w:sz="4" w:space="0" w:color="000000"/>
              <w:right w:val="single" w:sz="4" w:space="0" w:color="000000"/>
            </w:tcBorders>
          </w:tcPr>
          <w:p w14:paraId="041D0DC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63E855DD" w14:textId="77777777" w:rsidTr="00033703">
        <w:tc>
          <w:tcPr>
            <w:tcW w:w="430" w:type="dxa"/>
            <w:tcBorders>
              <w:top w:val="single" w:sz="4" w:space="0" w:color="000000"/>
              <w:left w:val="single" w:sz="4" w:space="0" w:color="000000"/>
              <w:bottom w:val="single" w:sz="4" w:space="0" w:color="000000"/>
              <w:right w:val="single" w:sz="4" w:space="0" w:color="000000"/>
            </w:tcBorders>
          </w:tcPr>
          <w:p w14:paraId="265624AF"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50</w:t>
            </w:r>
          </w:p>
        </w:tc>
        <w:tc>
          <w:tcPr>
            <w:tcW w:w="2547" w:type="dxa"/>
            <w:tcBorders>
              <w:top w:val="single" w:sz="4" w:space="0" w:color="000000"/>
              <w:left w:val="single" w:sz="4" w:space="0" w:color="000000"/>
              <w:bottom w:val="single" w:sz="4" w:space="0" w:color="000000"/>
              <w:right w:val="single" w:sz="4" w:space="0" w:color="000000"/>
            </w:tcBorders>
          </w:tcPr>
          <w:p w14:paraId="51CA1DE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(5)   Statele membre se asigură că, în cazul în care o autoritate de aplicare a legii consideră că nu există motive suficiente pentru a da curs unei plângeri, aceasta informează reclamantul în privința motivelor pe care se întemeiază decizia sa într-un termen rezonabil de la primirea plângerii.</w:t>
            </w:r>
          </w:p>
        </w:tc>
        <w:tc>
          <w:tcPr>
            <w:tcW w:w="2552" w:type="dxa"/>
            <w:tcBorders>
              <w:top w:val="single" w:sz="4" w:space="0" w:color="000000"/>
              <w:left w:val="single" w:sz="4" w:space="0" w:color="000000"/>
              <w:bottom w:val="single" w:sz="4" w:space="0" w:color="000000"/>
              <w:right w:val="single" w:sz="4" w:space="0" w:color="000000"/>
            </w:tcBorders>
          </w:tcPr>
          <w:p w14:paraId="51E9CF9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5.   Member States shall ensure that, where an enforcement authority considers that there are insufficient grounds for acting on a complaint, it shall inform the complainant of the reasons therefor within a reasonable period of time after the receipt of the complaint.</w:t>
            </w:r>
          </w:p>
        </w:tc>
        <w:tc>
          <w:tcPr>
            <w:tcW w:w="2693" w:type="dxa"/>
            <w:tcBorders>
              <w:top w:val="single" w:sz="4" w:space="0" w:color="000000"/>
              <w:left w:val="single" w:sz="4" w:space="0" w:color="000000"/>
              <w:bottom w:val="single" w:sz="4" w:space="0" w:color="000000"/>
              <w:right w:val="single" w:sz="4" w:space="0" w:color="000000"/>
            </w:tcBorders>
          </w:tcPr>
          <w:p w14:paraId="11CE38FD" w14:textId="2E5DA8A1"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2F6D06EC" w14:textId="176C3C9A" w:rsidR="00E0260F" w:rsidRPr="00DE15E9" w:rsidRDefault="00E0260F" w:rsidP="00DE15E9">
            <w:pPr>
              <w:pStyle w:val="isselectedend"/>
              <w:spacing w:before="0" w:beforeAutospacing="0" w:after="0" w:afterAutospacing="0"/>
              <w:jc w:val="both"/>
              <w:rPr>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04AF4A6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53C51905" w14:textId="77777777" w:rsidR="00E0260F" w:rsidRPr="00DE15E9" w:rsidRDefault="00E0260F" w:rsidP="00DE15E9">
            <w:pPr>
              <w:spacing w:line="240" w:lineRule="auto"/>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Art. 53 „Examinarea preliminară a plângerii” din Legea concurenței 183/2012 prevede modul de informare a reclamantului </w:t>
            </w:r>
            <w:r w:rsidRPr="00DE15E9">
              <w:rPr>
                <w:rFonts w:ascii="Times New Roman" w:hAnsi="Times New Roman" w:cs="Times New Roman"/>
                <w:sz w:val="20"/>
                <w:szCs w:val="20"/>
                <w:lang w:val="ro-MD"/>
              </w:rPr>
              <w:t>privind evoluția plângerii, indicând motivele refuzului de a o investiga, după caz, precum și alte aspecte de procedură specifice examinării preliminare a unei plângeri</w:t>
            </w:r>
          </w:p>
        </w:tc>
        <w:tc>
          <w:tcPr>
            <w:tcW w:w="2126" w:type="dxa"/>
            <w:tcBorders>
              <w:top w:val="single" w:sz="4" w:space="0" w:color="000000"/>
              <w:left w:val="single" w:sz="4" w:space="0" w:color="000000"/>
              <w:bottom w:val="single" w:sz="4" w:space="0" w:color="000000"/>
              <w:right w:val="single" w:sz="4" w:space="0" w:color="000000"/>
            </w:tcBorders>
          </w:tcPr>
          <w:p w14:paraId="4B5DADF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0C11AE95" w14:textId="77777777" w:rsidTr="00033703">
        <w:tc>
          <w:tcPr>
            <w:tcW w:w="430" w:type="dxa"/>
            <w:tcBorders>
              <w:top w:val="single" w:sz="4" w:space="0" w:color="000000"/>
              <w:left w:val="single" w:sz="4" w:space="0" w:color="000000"/>
              <w:bottom w:val="single" w:sz="4" w:space="0" w:color="000000"/>
              <w:right w:val="single" w:sz="4" w:space="0" w:color="000000"/>
            </w:tcBorders>
          </w:tcPr>
          <w:p w14:paraId="6332FDC3"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51</w:t>
            </w:r>
          </w:p>
        </w:tc>
        <w:tc>
          <w:tcPr>
            <w:tcW w:w="2547" w:type="dxa"/>
            <w:tcBorders>
              <w:top w:val="single" w:sz="4" w:space="0" w:color="000000"/>
              <w:left w:val="single" w:sz="4" w:space="0" w:color="000000"/>
              <w:bottom w:val="single" w:sz="4" w:space="0" w:color="000000"/>
              <w:right w:val="single" w:sz="4" w:space="0" w:color="000000"/>
            </w:tcBorders>
          </w:tcPr>
          <w:p w14:paraId="363E130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 xml:space="preserve">(6)   Statele membre se asigură că, în cazul în care o autoritate de aplicare a legii consideră că există motive suficiente pentru a da curs </w:t>
            </w:r>
            <w:r w:rsidRPr="00DE15E9">
              <w:rPr>
                <w:rFonts w:ascii="Times New Roman" w:hAnsi="Times New Roman" w:cs="Times New Roman"/>
                <w:sz w:val="20"/>
                <w:szCs w:val="20"/>
                <w:shd w:val="clear" w:color="auto" w:fill="FFFFFF"/>
                <w:lang w:val="ro-MD"/>
              </w:rPr>
              <w:lastRenderedPageBreak/>
              <w:t>unei plângeri, aceasta inițiază, efectuează și finalizează o investigație privind obiectul plângerii într-un termen rezonabil.</w:t>
            </w:r>
          </w:p>
        </w:tc>
        <w:tc>
          <w:tcPr>
            <w:tcW w:w="2552" w:type="dxa"/>
            <w:tcBorders>
              <w:top w:val="single" w:sz="4" w:space="0" w:color="000000"/>
              <w:left w:val="single" w:sz="4" w:space="0" w:color="000000"/>
              <w:bottom w:val="single" w:sz="4" w:space="0" w:color="000000"/>
              <w:right w:val="single" w:sz="4" w:space="0" w:color="000000"/>
            </w:tcBorders>
          </w:tcPr>
          <w:p w14:paraId="066DEB8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lastRenderedPageBreak/>
              <w:t xml:space="preserve">6.   Member States shall ensure that, where an enforcement authority considers that there are sufficient grounds for acting </w:t>
            </w:r>
            <w:r w:rsidRPr="00DE15E9">
              <w:rPr>
                <w:rFonts w:ascii="Times New Roman" w:hAnsi="Times New Roman" w:cs="Times New Roman"/>
                <w:sz w:val="20"/>
                <w:szCs w:val="20"/>
                <w:shd w:val="clear" w:color="auto" w:fill="FFFFFF"/>
                <w:lang w:val="en-GB"/>
              </w:rPr>
              <w:lastRenderedPageBreak/>
              <w:t>on a complaint, it shall initiate, conduct and conclude an investigation of the complaint within a reasonable period of time.</w:t>
            </w:r>
          </w:p>
        </w:tc>
        <w:tc>
          <w:tcPr>
            <w:tcW w:w="2693" w:type="dxa"/>
            <w:tcBorders>
              <w:top w:val="single" w:sz="4" w:space="0" w:color="000000"/>
              <w:left w:val="single" w:sz="4" w:space="0" w:color="000000"/>
              <w:bottom w:val="single" w:sz="4" w:space="0" w:color="000000"/>
              <w:right w:val="single" w:sz="4" w:space="0" w:color="000000"/>
            </w:tcBorders>
          </w:tcPr>
          <w:p w14:paraId="2796B10F" w14:textId="77777777" w:rsidR="000564B8" w:rsidRPr="00DE15E9" w:rsidRDefault="000564B8" w:rsidP="00DE15E9">
            <w:pPr>
              <w:spacing w:after="0" w:line="240" w:lineRule="auto"/>
              <w:ind w:firstLine="426"/>
              <w:jc w:val="both"/>
              <w:rPr>
                <w:rFonts w:ascii="Times New Roman" w:eastAsiaTheme="minorHAnsi" w:hAnsi="Times New Roman" w:cs="Times New Roman"/>
                <w:b/>
                <w:sz w:val="20"/>
                <w:szCs w:val="20"/>
              </w:rPr>
            </w:pPr>
            <w:r w:rsidRPr="00DE15E9">
              <w:rPr>
                <w:rFonts w:ascii="Times New Roman" w:hAnsi="Times New Roman" w:cs="Times New Roman"/>
                <w:b/>
                <w:bCs/>
                <w:sz w:val="20"/>
                <w:szCs w:val="20"/>
                <w:lang w:val="ro-MD"/>
              </w:rPr>
              <w:lastRenderedPageBreak/>
              <w:t xml:space="preserve">Articolul 9. </w:t>
            </w:r>
            <w:r w:rsidRPr="00DE15E9">
              <w:rPr>
                <w:rFonts w:ascii="Times New Roman" w:hAnsi="Times New Roman" w:cs="Times New Roman"/>
                <w:b/>
                <w:sz w:val="20"/>
                <w:szCs w:val="20"/>
              </w:rPr>
              <w:t>Termenele de examinare și deciziile Consiliului Concurenței</w:t>
            </w:r>
          </w:p>
          <w:p w14:paraId="41F1AC61" w14:textId="5B1344F2" w:rsidR="00E0260F" w:rsidRPr="00DE15E9" w:rsidRDefault="000564B8"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rPr>
              <w:t xml:space="preserve"> Examinarea plângerilor și investigarea practicilor </w:t>
            </w:r>
            <w:r w:rsidRPr="00DE15E9">
              <w:rPr>
                <w:rFonts w:ascii="Times New Roman" w:hAnsi="Times New Roman" w:cs="Times New Roman"/>
                <w:sz w:val="20"/>
                <w:szCs w:val="20"/>
              </w:rPr>
              <w:lastRenderedPageBreak/>
              <w:t>comerciale neloiale se efectuează de Consiliul Concurenței în conformitate cu procedura și competențele prevăzute de Legea concurenței nr. 183/2012, în măsura în care prezenta lege nu prevede altfel.</w:t>
            </w:r>
          </w:p>
        </w:tc>
        <w:tc>
          <w:tcPr>
            <w:tcW w:w="2693" w:type="dxa"/>
            <w:tcBorders>
              <w:top w:val="single" w:sz="4" w:space="0" w:color="000000"/>
              <w:left w:val="single" w:sz="4" w:space="0" w:color="000000"/>
              <w:bottom w:val="single" w:sz="4" w:space="0" w:color="000000"/>
              <w:right w:val="single" w:sz="4" w:space="0" w:color="000000"/>
            </w:tcBorders>
          </w:tcPr>
          <w:p w14:paraId="3FCB1501" w14:textId="77777777" w:rsidR="000564B8" w:rsidRPr="00DE15E9" w:rsidRDefault="000564B8" w:rsidP="00DE15E9">
            <w:pPr>
              <w:pStyle w:val="isselectedend"/>
              <w:spacing w:before="0" w:beforeAutospacing="0" w:after="0" w:afterAutospacing="0"/>
              <w:jc w:val="both"/>
              <w:rPr>
                <w:b/>
                <w:sz w:val="20"/>
                <w:szCs w:val="20"/>
              </w:rPr>
            </w:pPr>
            <w:r w:rsidRPr="00DE15E9">
              <w:rPr>
                <w:b/>
                <w:sz w:val="20"/>
                <w:szCs w:val="20"/>
              </w:rPr>
              <w:lastRenderedPageBreak/>
              <w:t>Article 9. Time limits for examination and decisions of the Competition Council</w:t>
            </w:r>
          </w:p>
          <w:p w14:paraId="6F6ED542" w14:textId="0DA52F59" w:rsidR="00E0260F" w:rsidRPr="00DE15E9" w:rsidRDefault="000564B8" w:rsidP="00DE15E9">
            <w:pPr>
              <w:pStyle w:val="isselectedend"/>
              <w:spacing w:before="0" w:beforeAutospacing="0" w:after="0" w:afterAutospacing="0"/>
              <w:jc w:val="both"/>
              <w:rPr>
                <w:sz w:val="20"/>
                <w:szCs w:val="20"/>
              </w:rPr>
            </w:pPr>
            <w:r w:rsidRPr="00DE15E9">
              <w:rPr>
                <w:sz w:val="20"/>
                <w:szCs w:val="20"/>
              </w:rPr>
              <w:t xml:space="preserve">(1) The examination of complaints and the </w:t>
            </w:r>
            <w:r w:rsidRPr="00DE15E9">
              <w:rPr>
                <w:sz w:val="20"/>
                <w:szCs w:val="20"/>
              </w:rPr>
              <w:lastRenderedPageBreak/>
              <w:t>investigation of unfair trading practices shall be carried out by the Competition Council in accordance with the procedure and powers laid down in Competition Law No. 183/2012, in so far as this Law does not provide otherwise.</w:t>
            </w:r>
          </w:p>
        </w:tc>
        <w:tc>
          <w:tcPr>
            <w:tcW w:w="1276" w:type="dxa"/>
            <w:tcBorders>
              <w:top w:val="single" w:sz="4" w:space="0" w:color="000000"/>
              <w:left w:val="single" w:sz="4" w:space="0" w:color="000000"/>
              <w:bottom w:val="single" w:sz="4" w:space="0" w:color="000000"/>
              <w:right w:val="single" w:sz="4" w:space="0" w:color="000000"/>
            </w:tcBorders>
          </w:tcPr>
          <w:p w14:paraId="09F844E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147747FA" w14:textId="69DDEA51"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3F110C4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56FDAC16" w14:textId="77777777" w:rsidTr="00033703">
        <w:tc>
          <w:tcPr>
            <w:tcW w:w="430" w:type="dxa"/>
            <w:tcBorders>
              <w:top w:val="single" w:sz="4" w:space="0" w:color="000000"/>
              <w:left w:val="single" w:sz="4" w:space="0" w:color="000000"/>
              <w:bottom w:val="single" w:sz="4" w:space="0" w:color="000000"/>
              <w:right w:val="single" w:sz="4" w:space="0" w:color="000000"/>
            </w:tcBorders>
          </w:tcPr>
          <w:p w14:paraId="1D633DFB"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52</w:t>
            </w:r>
          </w:p>
        </w:tc>
        <w:tc>
          <w:tcPr>
            <w:tcW w:w="2547" w:type="dxa"/>
            <w:tcBorders>
              <w:top w:val="single" w:sz="4" w:space="0" w:color="000000"/>
              <w:left w:val="single" w:sz="4" w:space="0" w:color="000000"/>
              <w:bottom w:val="single" w:sz="4" w:space="0" w:color="000000"/>
              <w:right w:val="single" w:sz="4" w:space="0" w:color="000000"/>
            </w:tcBorders>
          </w:tcPr>
          <w:p w14:paraId="034D945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(7)   Statele membre se asigură că, în cazul în care o autoritate de aplicare a legii constată că un cumpărător a încălcat interdicțiile menționate la articolul 3, aceasta solicită cumpărătorului să pună capăt practicii comerciale interzise.</w:t>
            </w:r>
          </w:p>
        </w:tc>
        <w:tc>
          <w:tcPr>
            <w:tcW w:w="2552" w:type="dxa"/>
            <w:tcBorders>
              <w:top w:val="single" w:sz="4" w:space="0" w:color="000000"/>
              <w:left w:val="single" w:sz="4" w:space="0" w:color="000000"/>
              <w:bottom w:val="single" w:sz="4" w:space="0" w:color="000000"/>
              <w:right w:val="single" w:sz="4" w:space="0" w:color="000000"/>
            </w:tcBorders>
          </w:tcPr>
          <w:p w14:paraId="52406C0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7.   Member States shall ensure that, where an enforcement authority finds that a buyer has infringed the prohibitions referred to in Article 3, it shall require the buyer to bring the prohibited trading practice to an end.</w:t>
            </w:r>
          </w:p>
        </w:tc>
        <w:tc>
          <w:tcPr>
            <w:tcW w:w="2693" w:type="dxa"/>
            <w:tcBorders>
              <w:top w:val="single" w:sz="4" w:space="0" w:color="000000"/>
              <w:left w:val="single" w:sz="4" w:space="0" w:color="000000"/>
              <w:bottom w:val="single" w:sz="4" w:space="0" w:color="000000"/>
              <w:right w:val="single" w:sz="4" w:space="0" w:color="000000"/>
            </w:tcBorders>
          </w:tcPr>
          <w:p w14:paraId="0C7D18A6" w14:textId="48EA7EB2" w:rsidR="00E0260F" w:rsidRPr="00DE15E9" w:rsidRDefault="00DA541D" w:rsidP="00DE15E9">
            <w:pPr>
              <w:spacing w:after="0" w:line="240" w:lineRule="auto"/>
              <w:jc w:val="both"/>
              <w:rPr>
                <w:rFonts w:ascii="Times New Roman" w:eastAsiaTheme="minorHAnsi" w:hAnsi="Times New Roman" w:cs="Times New Roman"/>
                <w:bCs/>
                <w:sz w:val="20"/>
                <w:szCs w:val="20"/>
                <w:lang w:val="ro-MD"/>
              </w:rPr>
            </w:pPr>
            <w:r w:rsidRPr="00DE15E9">
              <w:rPr>
                <w:rStyle w:val="Strong"/>
                <w:rFonts w:ascii="Times New Roman" w:hAnsi="Times New Roman" w:cs="Times New Roman"/>
                <w:b w:val="0"/>
                <w:sz w:val="20"/>
                <w:szCs w:val="20"/>
              </w:rPr>
              <w:t>(3) În cadrul investigației privind practicile comerciale neloiale interzise de prezenta lege, Consiliul Concurenței poate adopta, prin decizie, măsuri interimare adecvate și proporționale, pentru o perioadă determinată, în cazul în care, la o primă evaluare, constată existența unor indicii privind săvârșirea unei practici comerciale neloiale care poate produce un prejudiciu semnificativ sau iminent furnizorului ori poate afecta funcționarea lanțului de aprovizionare agricol și alimentar.</w:t>
            </w:r>
          </w:p>
        </w:tc>
        <w:tc>
          <w:tcPr>
            <w:tcW w:w="2693" w:type="dxa"/>
            <w:tcBorders>
              <w:top w:val="single" w:sz="4" w:space="0" w:color="000000"/>
              <w:left w:val="single" w:sz="4" w:space="0" w:color="000000"/>
              <w:bottom w:val="single" w:sz="4" w:space="0" w:color="000000"/>
              <w:right w:val="single" w:sz="4" w:space="0" w:color="000000"/>
            </w:tcBorders>
          </w:tcPr>
          <w:p w14:paraId="40F7F94D" w14:textId="77777777" w:rsidR="00DA541D" w:rsidRPr="00DE15E9" w:rsidRDefault="00DA541D" w:rsidP="00DE15E9">
            <w:pPr>
              <w:pStyle w:val="isselectedend"/>
              <w:spacing w:before="0" w:beforeAutospacing="0" w:after="0" w:afterAutospacing="0"/>
              <w:jc w:val="both"/>
              <w:rPr>
                <w:sz w:val="20"/>
                <w:szCs w:val="20"/>
              </w:rPr>
            </w:pPr>
            <w:r w:rsidRPr="00DE15E9">
              <w:rPr>
                <w:sz w:val="20"/>
                <w:szCs w:val="20"/>
              </w:rPr>
              <w:t>(3) In the course of an investigation into unfair trading practices prohibited by this Law, the Competition Council may adopt, by decision, appropriate and proportionate interim measures for a fixed period, where, on the basis of a prima facie assessment, it finds indications of an unfair trading practice that may cause significant or imminent harm to the supplier or may affect the functioning of the agricultural and food supply chain.</w:t>
            </w:r>
          </w:p>
          <w:p w14:paraId="36274317"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1B459855" w14:textId="24B25E71"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Compatibil</w:t>
            </w:r>
          </w:p>
        </w:tc>
        <w:tc>
          <w:tcPr>
            <w:tcW w:w="1985" w:type="dxa"/>
            <w:tcBorders>
              <w:top w:val="single" w:sz="4" w:space="0" w:color="000000"/>
              <w:left w:val="single" w:sz="4" w:space="0" w:color="000000"/>
              <w:bottom w:val="single" w:sz="4" w:space="0" w:color="000000"/>
              <w:right w:val="single" w:sz="4" w:space="0" w:color="000000"/>
            </w:tcBorders>
          </w:tcPr>
          <w:p w14:paraId="6F699EF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42050E2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DA541D" w:rsidRPr="00DE15E9" w14:paraId="1C0965C7" w14:textId="77777777" w:rsidTr="00033703">
        <w:tc>
          <w:tcPr>
            <w:tcW w:w="430" w:type="dxa"/>
            <w:tcBorders>
              <w:top w:val="single" w:sz="4" w:space="0" w:color="000000"/>
              <w:left w:val="single" w:sz="4" w:space="0" w:color="000000"/>
              <w:bottom w:val="single" w:sz="4" w:space="0" w:color="000000"/>
              <w:right w:val="single" w:sz="4" w:space="0" w:color="000000"/>
            </w:tcBorders>
          </w:tcPr>
          <w:p w14:paraId="5CBFBCBB" w14:textId="77777777" w:rsidR="00DA541D" w:rsidRPr="00DE15E9" w:rsidRDefault="00DA541D"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53</w:t>
            </w:r>
          </w:p>
        </w:tc>
        <w:tc>
          <w:tcPr>
            <w:tcW w:w="2547" w:type="dxa"/>
            <w:tcBorders>
              <w:top w:val="single" w:sz="4" w:space="0" w:color="000000"/>
              <w:left w:val="single" w:sz="4" w:space="0" w:color="000000"/>
              <w:bottom w:val="single" w:sz="4" w:space="0" w:color="000000"/>
              <w:right w:val="single" w:sz="4" w:space="0" w:color="000000"/>
            </w:tcBorders>
          </w:tcPr>
          <w:p w14:paraId="42B82B9F" w14:textId="77777777" w:rsidR="00DA541D" w:rsidRPr="00DE15E9" w:rsidRDefault="00DA541D" w:rsidP="00DE15E9">
            <w:pPr>
              <w:spacing w:after="0" w:line="240" w:lineRule="auto"/>
              <w:jc w:val="both"/>
              <w:rPr>
                <w:rFonts w:ascii="Times New Roman" w:eastAsia="Times New Roman" w:hAnsi="Times New Roman" w:cs="Times New Roman"/>
                <w:b/>
                <w:sz w:val="20"/>
                <w:szCs w:val="20"/>
                <w:lang w:val="ro-MD"/>
              </w:rPr>
            </w:pPr>
            <w:r w:rsidRPr="00DE15E9">
              <w:rPr>
                <w:rFonts w:ascii="Times New Roman" w:eastAsia="Times New Roman" w:hAnsi="Times New Roman" w:cs="Times New Roman"/>
                <w:b/>
                <w:sz w:val="20"/>
                <w:szCs w:val="20"/>
                <w:lang w:val="ro-MD"/>
              </w:rPr>
              <w:t>Articolul 6</w:t>
            </w:r>
          </w:p>
          <w:p w14:paraId="2E6E5CDD" w14:textId="77777777" w:rsidR="00DA541D" w:rsidRPr="00DE15E9" w:rsidRDefault="00DA541D" w:rsidP="00DE15E9">
            <w:pPr>
              <w:shd w:val="clear" w:color="auto" w:fill="FFFFFF"/>
              <w:spacing w:after="0" w:line="240" w:lineRule="auto"/>
              <w:rPr>
                <w:rFonts w:ascii="Times New Roman" w:eastAsia="Times New Roman" w:hAnsi="Times New Roman" w:cs="Times New Roman"/>
                <w:b/>
                <w:bCs/>
                <w:sz w:val="20"/>
                <w:szCs w:val="20"/>
                <w:lang w:val="ro-MD"/>
              </w:rPr>
            </w:pPr>
            <w:r w:rsidRPr="00DE15E9">
              <w:rPr>
                <w:rFonts w:ascii="Times New Roman" w:eastAsia="Times New Roman" w:hAnsi="Times New Roman" w:cs="Times New Roman"/>
                <w:b/>
                <w:bCs/>
                <w:sz w:val="20"/>
                <w:szCs w:val="20"/>
                <w:lang w:val="ro-MD"/>
              </w:rPr>
              <w:t>Competențele autorităților de aplicare a legii</w:t>
            </w:r>
          </w:p>
          <w:p w14:paraId="5AED458D" w14:textId="77777777" w:rsidR="00DA541D" w:rsidRPr="00DE15E9" w:rsidRDefault="00DA541D" w:rsidP="00DE15E9">
            <w:pPr>
              <w:shd w:val="clear" w:color="auto" w:fill="FFFFFF"/>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(1)   Statele membre se asigură că fiecare dintre autoritățile lor de aplicare a legii dispun de resursele și expertiza necesare pentru îndeplinirea atribuțiilor sale și le conferă următoarele competențe:</w:t>
            </w:r>
          </w:p>
          <w:tbl>
            <w:tblPr>
              <w:tblW w:w="4828" w:type="pct"/>
              <w:tblLayout w:type="fixed"/>
              <w:tblCellMar>
                <w:left w:w="0" w:type="dxa"/>
                <w:right w:w="0" w:type="dxa"/>
              </w:tblCellMar>
              <w:tblLook w:val="04A0" w:firstRow="1" w:lastRow="0" w:firstColumn="1" w:lastColumn="0" w:noHBand="0" w:noVBand="1"/>
            </w:tblPr>
            <w:tblGrid>
              <w:gridCol w:w="2237"/>
            </w:tblGrid>
            <w:tr w:rsidR="00DA541D" w:rsidRPr="00DE15E9" w14:paraId="10CB069D" w14:textId="77777777" w:rsidTr="009C113D">
              <w:tc>
                <w:tcPr>
                  <w:tcW w:w="2247" w:type="dxa"/>
                  <w:hideMark/>
                </w:tcPr>
                <w:p w14:paraId="5B92260F" w14:textId="77777777" w:rsidR="00DA541D" w:rsidRPr="00DE15E9" w:rsidRDefault="00DA541D"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competența de a iniția și de a efectua investigații din </w:t>
                  </w:r>
                  <w:r w:rsidRPr="00DE15E9">
                    <w:rPr>
                      <w:rFonts w:ascii="Times New Roman" w:eastAsia="Times New Roman" w:hAnsi="Times New Roman" w:cs="Times New Roman"/>
                      <w:sz w:val="20"/>
                      <w:szCs w:val="20"/>
                      <w:lang w:val="ro-MD"/>
                    </w:rPr>
                    <w:lastRenderedPageBreak/>
                    <w:t>proprie inițiativă sau pe baza unei plângeri;</w:t>
                  </w:r>
                </w:p>
              </w:tc>
            </w:tr>
          </w:tbl>
          <w:p w14:paraId="57C95D7F" w14:textId="77777777" w:rsidR="00DA541D" w:rsidRPr="00DE15E9" w:rsidRDefault="00DA541D"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6314AE45" w14:textId="77777777" w:rsidR="00DA541D" w:rsidRPr="00DE15E9" w:rsidRDefault="00DA541D" w:rsidP="00DE15E9">
            <w:pPr>
              <w:spacing w:after="0" w:line="240" w:lineRule="auto"/>
              <w:jc w:val="both"/>
              <w:rPr>
                <w:rFonts w:ascii="Times New Roman" w:eastAsia="Times New Roman" w:hAnsi="Times New Roman" w:cs="Times New Roman"/>
                <w:b/>
                <w:sz w:val="20"/>
                <w:szCs w:val="20"/>
                <w:lang w:val="en-GB"/>
              </w:rPr>
            </w:pPr>
            <w:r w:rsidRPr="00DE15E9">
              <w:rPr>
                <w:rFonts w:ascii="Times New Roman" w:eastAsia="Times New Roman" w:hAnsi="Times New Roman" w:cs="Times New Roman"/>
                <w:b/>
                <w:sz w:val="20"/>
                <w:szCs w:val="20"/>
                <w:lang w:val="en-GB"/>
              </w:rPr>
              <w:lastRenderedPageBreak/>
              <w:t>Article 6</w:t>
            </w:r>
          </w:p>
          <w:p w14:paraId="2B6E84CE" w14:textId="77777777" w:rsidR="00DA541D" w:rsidRPr="00DE15E9" w:rsidRDefault="00DA541D" w:rsidP="00DE15E9">
            <w:pPr>
              <w:shd w:val="clear" w:color="auto" w:fill="FFFFFF"/>
              <w:spacing w:after="0" w:line="240" w:lineRule="auto"/>
              <w:rPr>
                <w:rFonts w:ascii="Times New Roman" w:eastAsia="Times New Roman" w:hAnsi="Times New Roman" w:cs="Times New Roman"/>
                <w:b/>
                <w:bCs/>
                <w:sz w:val="20"/>
                <w:szCs w:val="20"/>
                <w:lang w:val="en-GB"/>
              </w:rPr>
            </w:pPr>
            <w:r w:rsidRPr="00DE15E9">
              <w:rPr>
                <w:rFonts w:ascii="Times New Roman" w:eastAsia="Times New Roman" w:hAnsi="Times New Roman" w:cs="Times New Roman"/>
                <w:b/>
                <w:bCs/>
                <w:sz w:val="20"/>
                <w:szCs w:val="20"/>
                <w:lang w:val="en-GB"/>
              </w:rPr>
              <w:t xml:space="preserve">Powers of enforcement authorities </w:t>
            </w:r>
          </w:p>
          <w:p w14:paraId="49E9905A" w14:textId="77777777" w:rsidR="00DA541D" w:rsidRPr="00DE15E9" w:rsidRDefault="00DA541D" w:rsidP="00DE15E9">
            <w:pPr>
              <w:shd w:val="clear" w:color="auto" w:fill="FFFFFF"/>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1.   Member States shall ensure that each of their enforcement authorities has the necessary resources and expertise to perform its duties, and shall confer on it the following powers:</w:t>
            </w:r>
          </w:p>
          <w:tbl>
            <w:tblPr>
              <w:tblW w:w="4828" w:type="pct"/>
              <w:tblLayout w:type="fixed"/>
              <w:tblCellMar>
                <w:left w:w="0" w:type="dxa"/>
                <w:right w:w="0" w:type="dxa"/>
              </w:tblCellMar>
              <w:tblLook w:val="04A0" w:firstRow="1" w:lastRow="0" w:firstColumn="1" w:lastColumn="0" w:noHBand="0" w:noVBand="1"/>
            </w:tblPr>
            <w:tblGrid>
              <w:gridCol w:w="2242"/>
            </w:tblGrid>
            <w:tr w:rsidR="00DA541D" w:rsidRPr="00DE15E9" w14:paraId="44E37F09" w14:textId="77777777" w:rsidTr="009C113D">
              <w:tc>
                <w:tcPr>
                  <w:tcW w:w="2242" w:type="dxa"/>
                  <w:hideMark/>
                </w:tcPr>
                <w:p w14:paraId="2053AB68" w14:textId="77777777" w:rsidR="00DA541D" w:rsidRPr="00DE15E9" w:rsidRDefault="00DA541D"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 xml:space="preserve">the power to initiate and conduct investigations on </w:t>
                  </w:r>
                  <w:r w:rsidRPr="00DE15E9">
                    <w:rPr>
                      <w:rFonts w:ascii="Times New Roman" w:eastAsia="Times New Roman" w:hAnsi="Times New Roman" w:cs="Times New Roman"/>
                      <w:sz w:val="20"/>
                      <w:szCs w:val="20"/>
                      <w:lang w:val="en-GB"/>
                    </w:rPr>
                    <w:lastRenderedPageBreak/>
                    <w:t>its own initiative or on the basis of a complaint;</w:t>
                  </w:r>
                </w:p>
              </w:tc>
            </w:tr>
          </w:tbl>
          <w:p w14:paraId="668D5655" w14:textId="77777777" w:rsidR="00DA541D" w:rsidRPr="00DE15E9" w:rsidRDefault="00DA541D"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4705647A" w14:textId="77777777" w:rsidR="00FE56E8" w:rsidRPr="00DE15E9" w:rsidRDefault="00FE56E8" w:rsidP="00DE15E9">
            <w:pPr>
              <w:spacing w:after="0" w:line="240" w:lineRule="auto"/>
              <w:ind w:firstLine="426"/>
              <w:jc w:val="both"/>
              <w:rPr>
                <w:rFonts w:ascii="Times New Roman" w:eastAsiaTheme="minorHAnsi" w:hAnsi="Times New Roman" w:cs="Times New Roman"/>
                <w:sz w:val="20"/>
                <w:szCs w:val="20"/>
                <w:lang w:val="ro-MD"/>
              </w:rPr>
            </w:pPr>
            <w:r w:rsidRPr="00DE15E9">
              <w:rPr>
                <w:rFonts w:ascii="Times New Roman" w:hAnsi="Times New Roman" w:cs="Times New Roman"/>
                <w:sz w:val="20"/>
                <w:szCs w:val="20"/>
                <w:lang w:val="ro-MD"/>
              </w:rPr>
              <w:lastRenderedPageBreak/>
              <w:t>Articolul 7. Autorități desemnate și atribuții</w:t>
            </w:r>
          </w:p>
          <w:p w14:paraId="238AA52A" w14:textId="77777777" w:rsidR="00FE56E8" w:rsidRPr="00DE15E9" w:rsidRDefault="00FE56E8" w:rsidP="00DE15E9">
            <w:pPr>
              <w:pStyle w:val="ListParagraph"/>
              <w:numPr>
                <w:ilvl w:val="0"/>
                <w:numId w:val="20"/>
              </w:numPr>
              <w:spacing w:after="0" w:line="240" w:lineRule="auto"/>
              <w:ind w:left="0" w:firstLine="426"/>
              <w:jc w:val="both"/>
              <w:rPr>
                <w:rFonts w:ascii="Times New Roman" w:eastAsiaTheme="minorHAnsi" w:hAnsi="Times New Roman" w:cs="Times New Roman"/>
                <w:b/>
                <w:sz w:val="20"/>
                <w:szCs w:val="20"/>
              </w:rPr>
            </w:pPr>
            <w:r w:rsidRPr="00DE15E9">
              <w:rPr>
                <w:rFonts w:ascii="Times New Roman" w:hAnsi="Times New Roman" w:cs="Times New Roman"/>
                <w:sz w:val="20"/>
                <w:szCs w:val="20"/>
              </w:rPr>
              <w:t>În vederea aplicării prezentei legi, Consiliul Concurenței are următoarele atribuții:</w:t>
            </w:r>
          </w:p>
          <w:p w14:paraId="18EEEF36" w14:textId="77777777" w:rsidR="00FE56E8" w:rsidRPr="00DE15E9" w:rsidRDefault="00FE56E8" w:rsidP="00DE15E9">
            <w:pPr>
              <w:pStyle w:val="ListParagraph"/>
              <w:numPr>
                <w:ilvl w:val="0"/>
                <w:numId w:val="21"/>
              </w:numPr>
              <w:spacing w:after="0" w:line="240" w:lineRule="auto"/>
              <w:ind w:left="0" w:firstLine="426"/>
              <w:jc w:val="both"/>
              <w:rPr>
                <w:rFonts w:ascii="Times New Roman" w:hAnsi="Times New Roman" w:cs="Times New Roman"/>
                <w:b/>
                <w:sz w:val="20"/>
                <w:szCs w:val="20"/>
              </w:rPr>
            </w:pPr>
            <w:r w:rsidRPr="00DE15E9">
              <w:rPr>
                <w:rFonts w:ascii="Times New Roman" w:hAnsi="Times New Roman" w:cs="Times New Roman"/>
                <w:sz w:val="20"/>
                <w:szCs w:val="20"/>
              </w:rPr>
              <w:t>de</w:t>
            </w:r>
            <w:r w:rsidRPr="00DE15E9">
              <w:rPr>
                <w:rFonts w:ascii="Times New Roman" w:hAnsi="Times New Roman" w:cs="Times New Roman"/>
                <w:spacing w:val="-6"/>
                <w:sz w:val="20"/>
                <w:szCs w:val="20"/>
              </w:rPr>
              <w:t xml:space="preserve"> </w:t>
            </w:r>
            <w:r w:rsidRPr="00DE15E9">
              <w:rPr>
                <w:rFonts w:ascii="Times New Roman" w:hAnsi="Times New Roman" w:cs="Times New Roman"/>
                <w:sz w:val="20"/>
                <w:szCs w:val="20"/>
              </w:rPr>
              <w:t>a</w:t>
            </w:r>
            <w:r w:rsidRPr="00DE15E9">
              <w:rPr>
                <w:rFonts w:ascii="Times New Roman" w:hAnsi="Times New Roman" w:cs="Times New Roman"/>
                <w:spacing w:val="-6"/>
                <w:sz w:val="20"/>
                <w:szCs w:val="20"/>
              </w:rPr>
              <w:t xml:space="preserve"> </w:t>
            </w:r>
            <w:r w:rsidRPr="00DE15E9">
              <w:rPr>
                <w:rFonts w:ascii="Times New Roman" w:hAnsi="Times New Roman" w:cs="Times New Roman"/>
                <w:sz w:val="20"/>
                <w:szCs w:val="20"/>
              </w:rPr>
              <w:t>iniția</w:t>
            </w:r>
            <w:r w:rsidRPr="00DE15E9">
              <w:rPr>
                <w:rFonts w:ascii="Times New Roman" w:hAnsi="Times New Roman" w:cs="Times New Roman"/>
                <w:spacing w:val="-2"/>
                <w:sz w:val="20"/>
                <w:szCs w:val="20"/>
              </w:rPr>
              <w:t xml:space="preserve"> </w:t>
            </w:r>
            <w:r w:rsidRPr="00DE15E9">
              <w:rPr>
                <w:rFonts w:ascii="Times New Roman" w:hAnsi="Times New Roman" w:cs="Times New Roman"/>
                <w:sz w:val="20"/>
                <w:szCs w:val="20"/>
              </w:rPr>
              <w:t>și</w:t>
            </w:r>
            <w:r w:rsidRPr="00DE15E9">
              <w:rPr>
                <w:rFonts w:ascii="Times New Roman" w:hAnsi="Times New Roman" w:cs="Times New Roman"/>
                <w:spacing w:val="-3"/>
                <w:sz w:val="20"/>
                <w:szCs w:val="20"/>
              </w:rPr>
              <w:t xml:space="preserve"> </w:t>
            </w:r>
            <w:r w:rsidRPr="00DE15E9">
              <w:rPr>
                <w:rFonts w:ascii="Times New Roman" w:hAnsi="Times New Roman" w:cs="Times New Roman"/>
                <w:sz w:val="20"/>
                <w:szCs w:val="20"/>
              </w:rPr>
              <w:t>de</w:t>
            </w:r>
            <w:r w:rsidRPr="00DE15E9">
              <w:rPr>
                <w:rFonts w:ascii="Times New Roman" w:hAnsi="Times New Roman" w:cs="Times New Roman"/>
                <w:spacing w:val="-3"/>
                <w:sz w:val="20"/>
                <w:szCs w:val="20"/>
              </w:rPr>
              <w:t xml:space="preserve"> </w:t>
            </w:r>
            <w:r w:rsidRPr="00DE15E9">
              <w:rPr>
                <w:rFonts w:ascii="Times New Roman" w:hAnsi="Times New Roman" w:cs="Times New Roman"/>
                <w:sz w:val="20"/>
                <w:szCs w:val="20"/>
              </w:rPr>
              <w:t>a</w:t>
            </w:r>
            <w:r w:rsidRPr="00DE15E9">
              <w:rPr>
                <w:rFonts w:ascii="Times New Roman" w:hAnsi="Times New Roman" w:cs="Times New Roman"/>
                <w:spacing w:val="-3"/>
                <w:sz w:val="20"/>
                <w:szCs w:val="20"/>
              </w:rPr>
              <w:t xml:space="preserve"> </w:t>
            </w:r>
            <w:r w:rsidRPr="00DE15E9">
              <w:rPr>
                <w:rFonts w:ascii="Times New Roman" w:hAnsi="Times New Roman" w:cs="Times New Roman"/>
                <w:sz w:val="20"/>
                <w:szCs w:val="20"/>
              </w:rPr>
              <w:t>efectua</w:t>
            </w:r>
            <w:r w:rsidRPr="00DE15E9">
              <w:rPr>
                <w:rFonts w:ascii="Times New Roman" w:hAnsi="Times New Roman" w:cs="Times New Roman"/>
                <w:spacing w:val="-7"/>
                <w:sz w:val="20"/>
                <w:szCs w:val="20"/>
              </w:rPr>
              <w:t xml:space="preserve"> </w:t>
            </w:r>
            <w:r w:rsidRPr="00DE15E9">
              <w:rPr>
                <w:rFonts w:ascii="Times New Roman" w:hAnsi="Times New Roman" w:cs="Times New Roman"/>
                <w:sz w:val="20"/>
                <w:szCs w:val="20"/>
              </w:rPr>
              <w:t>investigații</w:t>
            </w:r>
            <w:r w:rsidRPr="00DE15E9">
              <w:rPr>
                <w:rFonts w:ascii="Times New Roman" w:hAnsi="Times New Roman" w:cs="Times New Roman"/>
                <w:spacing w:val="-5"/>
                <w:sz w:val="20"/>
                <w:szCs w:val="20"/>
              </w:rPr>
              <w:t xml:space="preserve"> </w:t>
            </w:r>
            <w:r w:rsidRPr="00DE15E9">
              <w:rPr>
                <w:rFonts w:ascii="Times New Roman" w:hAnsi="Times New Roman" w:cs="Times New Roman"/>
                <w:sz w:val="20"/>
                <w:szCs w:val="20"/>
              </w:rPr>
              <w:t>din oficiu</w:t>
            </w:r>
            <w:r w:rsidRPr="00DE15E9">
              <w:rPr>
                <w:rFonts w:ascii="Times New Roman" w:hAnsi="Times New Roman" w:cs="Times New Roman"/>
                <w:spacing w:val="-3"/>
                <w:sz w:val="20"/>
                <w:szCs w:val="20"/>
              </w:rPr>
              <w:t xml:space="preserve"> </w:t>
            </w:r>
            <w:r w:rsidRPr="00DE15E9">
              <w:rPr>
                <w:rFonts w:ascii="Times New Roman" w:hAnsi="Times New Roman" w:cs="Times New Roman"/>
                <w:sz w:val="20"/>
                <w:szCs w:val="20"/>
              </w:rPr>
              <w:t>sau</w:t>
            </w:r>
            <w:r w:rsidRPr="00DE15E9">
              <w:rPr>
                <w:rFonts w:ascii="Times New Roman" w:hAnsi="Times New Roman" w:cs="Times New Roman"/>
                <w:spacing w:val="-6"/>
                <w:sz w:val="20"/>
                <w:szCs w:val="20"/>
              </w:rPr>
              <w:t xml:space="preserve"> </w:t>
            </w:r>
            <w:r w:rsidRPr="00DE15E9">
              <w:rPr>
                <w:rFonts w:ascii="Times New Roman" w:hAnsi="Times New Roman" w:cs="Times New Roman"/>
                <w:sz w:val="20"/>
                <w:szCs w:val="20"/>
              </w:rPr>
              <w:t>în</w:t>
            </w:r>
            <w:r w:rsidRPr="00DE15E9">
              <w:rPr>
                <w:rFonts w:ascii="Times New Roman" w:hAnsi="Times New Roman" w:cs="Times New Roman"/>
                <w:spacing w:val="-6"/>
                <w:sz w:val="20"/>
                <w:szCs w:val="20"/>
              </w:rPr>
              <w:t xml:space="preserve"> </w:t>
            </w:r>
            <w:r w:rsidRPr="00DE15E9">
              <w:rPr>
                <w:rFonts w:ascii="Times New Roman" w:hAnsi="Times New Roman" w:cs="Times New Roman"/>
                <w:sz w:val="20"/>
                <w:szCs w:val="20"/>
              </w:rPr>
              <w:t>baza</w:t>
            </w:r>
            <w:r w:rsidRPr="00DE15E9">
              <w:rPr>
                <w:rFonts w:ascii="Times New Roman" w:hAnsi="Times New Roman" w:cs="Times New Roman"/>
                <w:spacing w:val="-6"/>
                <w:sz w:val="20"/>
                <w:szCs w:val="20"/>
              </w:rPr>
              <w:t xml:space="preserve"> </w:t>
            </w:r>
            <w:r w:rsidRPr="00DE15E9">
              <w:rPr>
                <w:rFonts w:ascii="Times New Roman" w:hAnsi="Times New Roman" w:cs="Times New Roman"/>
                <w:sz w:val="20"/>
                <w:szCs w:val="20"/>
              </w:rPr>
              <w:t>unei</w:t>
            </w:r>
            <w:r w:rsidRPr="00DE15E9">
              <w:rPr>
                <w:rFonts w:ascii="Times New Roman" w:hAnsi="Times New Roman" w:cs="Times New Roman"/>
                <w:spacing w:val="-4"/>
                <w:sz w:val="20"/>
                <w:szCs w:val="20"/>
              </w:rPr>
              <w:t xml:space="preserve"> </w:t>
            </w:r>
            <w:r w:rsidRPr="00DE15E9">
              <w:rPr>
                <w:rFonts w:ascii="Times New Roman" w:hAnsi="Times New Roman" w:cs="Times New Roman"/>
                <w:spacing w:val="-2"/>
                <w:sz w:val="20"/>
                <w:szCs w:val="20"/>
              </w:rPr>
              <w:t>plângeri;</w:t>
            </w:r>
          </w:p>
          <w:p w14:paraId="4E85A435" w14:textId="4D7945FD" w:rsidR="00FE56E8" w:rsidRPr="00DE15E9" w:rsidRDefault="00FE56E8" w:rsidP="00DE15E9">
            <w:pPr>
              <w:spacing w:after="0" w:line="240" w:lineRule="auto"/>
              <w:jc w:val="both"/>
              <w:rPr>
                <w:rFonts w:ascii="Times New Roman" w:eastAsia="Times New Roman" w:hAnsi="Times New Roman" w:cs="Times New Roman"/>
                <w:sz w:val="20"/>
                <w:szCs w:val="20"/>
                <w:lang w:val="ro"/>
              </w:rPr>
            </w:pPr>
          </w:p>
          <w:p w14:paraId="49171288" w14:textId="42E76729" w:rsidR="00DA541D" w:rsidRPr="00DE15E9" w:rsidRDefault="00DA541D"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7AA5841B" w14:textId="77777777" w:rsidR="00DA541D" w:rsidRPr="00DE15E9" w:rsidRDefault="00FE56E8" w:rsidP="00DE15E9">
            <w:pPr>
              <w:pStyle w:val="isselectedend"/>
              <w:spacing w:before="0" w:beforeAutospacing="0" w:after="0" w:afterAutospacing="0"/>
              <w:jc w:val="both"/>
              <w:rPr>
                <w:sz w:val="20"/>
                <w:szCs w:val="20"/>
              </w:rPr>
            </w:pPr>
            <w:r w:rsidRPr="00DE15E9">
              <w:rPr>
                <w:sz w:val="20"/>
                <w:szCs w:val="20"/>
              </w:rPr>
              <w:t>Article 7. Designated authorities and powers</w:t>
            </w:r>
            <w:r w:rsidR="00DA541D" w:rsidRPr="00DE15E9">
              <w:rPr>
                <w:sz w:val="20"/>
                <w:szCs w:val="20"/>
              </w:rPr>
              <w:t>.</w:t>
            </w:r>
          </w:p>
          <w:p w14:paraId="65E56AAD" w14:textId="77777777" w:rsidR="00FE56E8" w:rsidRPr="00DE15E9" w:rsidRDefault="00FE56E8" w:rsidP="00DE15E9">
            <w:pPr>
              <w:pStyle w:val="isselectedend"/>
              <w:spacing w:before="0" w:beforeAutospacing="0" w:after="0" w:afterAutospacing="0"/>
              <w:jc w:val="both"/>
              <w:rPr>
                <w:sz w:val="20"/>
                <w:szCs w:val="20"/>
              </w:rPr>
            </w:pPr>
            <w:r w:rsidRPr="00DE15E9">
              <w:rPr>
                <w:sz w:val="20"/>
                <w:szCs w:val="20"/>
              </w:rPr>
              <w:t>(3) For the purpose of enforcing this Law, the Competition Council shall have the following powers:</w:t>
            </w:r>
          </w:p>
          <w:p w14:paraId="2D3A622A" w14:textId="77777777" w:rsidR="00FE56E8" w:rsidRPr="00DE15E9" w:rsidRDefault="00FE56E8" w:rsidP="00DE15E9">
            <w:pPr>
              <w:pStyle w:val="isselectedend"/>
              <w:spacing w:before="0" w:beforeAutospacing="0" w:after="0" w:afterAutospacing="0"/>
              <w:jc w:val="both"/>
              <w:rPr>
                <w:sz w:val="20"/>
                <w:szCs w:val="20"/>
              </w:rPr>
            </w:pPr>
            <w:r w:rsidRPr="00DE15E9">
              <w:rPr>
                <w:sz w:val="20"/>
                <w:szCs w:val="20"/>
              </w:rPr>
              <w:t>a) to initiate and conduct investigations ex officio or on the basis of a complaint;</w:t>
            </w:r>
          </w:p>
          <w:p w14:paraId="152EBAC2" w14:textId="76537467" w:rsidR="00FE56E8" w:rsidRPr="00DE15E9" w:rsidRDefault="00FE56E8" w:rsidP="00DE15E9">
            <w:pPr>
              <w:pStyle w:val="isselectedend"/>
              <w:spacing w:before="0" w:beforeAutospacing="0" w:after="0" w:afterAutospacing="0"/>
              <w:jc w:val="both"/>
              <w:rPr>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3CBF65AA" w14:textId="7150CB78" w:rsidR="00DA541D" w:rsidRPr="00DE15E9" w:rsidRDefault="00DA541D" w:rsidP="00DE15E9">
            <w:pPr>
              <w:spacing w:after="0" w:line="240" w:lineRule="auto"/>
              <w:jc w:val="both"/>
              <w:rPr>
                <w:rFonts w:ascii="Times New Roman" w:eastAsia="Times New Roman" w:hAnsi="Times New Roman" w:cs="Times New Roman"/>
                <w:sz w:val="20"/>
                <w:szCs w:val="20"/>
                <w:highlight w:val="yellow"/>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4C49E879" w14:textId="77777777" w:rsidR="00DA541D" w:rsidRPr="00DE15E9" w:rsidRDefault="00DA541D" w:rsidP="00DE15E9">
            <w:pPr>
              <w:pStyle w:val="CommentText"/>
              <w:spacing w:after="0"/>
              <w:jc w:val="both"/>
              <w:rPr>
                <w:rFonts w:ascii="Times New Roman" w:eastAsia="Times New Roman" w:hAnsi="Times New Roman" w:cs="Times New Roman"/>
                <w:lang w:val="ro-MD"/>
              </w:rPr>
            </w:pPr>
          </w:p>
        </w:tc>
        <w:tc>
          <w:tcPr>
            <w:tcW w:w="2126" w:type="dxa"/>
            <w:tcBorders>
              <w:top w:val="single" w:sz="4" w:space="0" w:color="000000"/>
              <w:left w:val="single" w:sz="4" w:space="0" w:color="000000"/>
              <w:bottom w:val="single" w:sz="4" w:space="0" w:color="000000"/>
              <w:right w:val="single" w:sz="4" w:space="0" w:color="000000"/>
            </w:tcBorders>
          </w:tcPr>
          <w:p w14:paraId="4A683D6D" w14:textId="77777777" w:rsidR="00DA541D" w:rsidRPr="00DE15E9" w:rsidRDefault="00DA541D"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6B74E424" w14:textId="77777777" w:rsidTr="00033703">
        <w:trPr>
          <w:trHeight w:val="808"/>
        </w:trPr>
        <w:tc>
          <w:tcPr>
            <w:tcW w:w="430" w:type="dxa"/>
            <w:tcBorders>
              <w:top w:val="single" w:sz="4" w:space="0" w:color="000000"/>
              <w:left w:val="single" w:sz="4" w:space="0" w:color="000000"/>
              <w:bottom w:val="single" w:sz="4" w:space="0" w:color="000000"/>
              <w:right w:val="single" w:sz="4" w:space="0" w:color="000000"/>
            </w:tcBorders>
          </w:tcPr>
          <w:p w14:paraId="2F923B5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54</w:t>
            </w:r>
          </w:p>
        </w:tc>
        <w:tc>
          <w:tcPr>
            <w:tcW w:w="2547" w:type="dxa"/>
            <w:tcBorders>
              <w:top w:val="single" w:sz="4" w:space="0" w:color="000000"/>
              <w:left w:val="single" w:sz="4" w:space="0" w:color="000000"/>
              <w:bottom w:val="single" w:sz="4" w:space="0" w:color="000000"/>
              <w:right w:val="single" w:sz="4" w:space="0" w:color="000000"/>
            </w:tcBorders>
          </w:tcPr>
          <w:tbl>
            <w:tblPr>
              <w:tblW w:w="4802" w:type="pct"/>
              <w:shd w:val="clear" w:color="auto" w:fill="FFFFFF"/>
              <w:tblLayout w:type="fixed"/>
              <w:tblCellMar>
                <w:left w:w="0" w:type="dxa"/>
                <w:right w:w="0" w:type="dxa"/>
              </w:tblCellMar>
              <w:tblLook w:val="04A0" w:firstRow="1" w:lastRow="0" w:firstColumn="1" w:lastColumn="0" w:noHBand="0" w:noVBand="1"/>
            </w:tblPr>
            <w:tblGrid>
              <w:gridCol w:w="2225"/>
            </w:tblGrid>
            <w:tr w:rsidR="00E0260F" w:rsidRPr="00DE15E9" w14:paraId="1ED339E2" w14:textId="77777777" w:rsidTr="009C113D">
              <w:tc>
                <w:tcPr>
                  <w:tcW w:w="2235" w:type="dxa"/>
                  <w:shd w:val="clear" w:color="auto" w:fill="FFFFFF"/>
                  <w:hideMark/>
                </w:tcPr>
                <w:p w14:paraId="17FB4D5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competența de a cere cumpărătorilor și furnizorilor să pună la dispoziție toate informațiile necesare pentru efectuarea investigațiilor privind practicile comerciale interzise;</w:t>
                  </w:r>
                </w:p>
              </w:tc>
            </w:tr>
          </w:tbl>
          <w:p w14:paraId="286051D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02" w:type="pct"/>
              <w:shd w:val="clear" w:color="auto" w:fill="FFFFFF"/>
              <w:tblLayout w:type="fixed"/>
              <w:tblCellMar>
                <w:left w:w="0" w:type="dxa"/>
                <w:right w:w="0" w:type="dxa"/>
              </w:tblCellMar>
              <w:tblLook w:val="04A0" w:firstRow="1" w:lastRow="0" w:firstColumn="1" w:lastColumn="0" w:noHBand="0" w:noVBand="1"/>
            </w:tblPr>
            <w:tblGrid>
              <w:gridCol w:w="2230"/>
            </w:tblGrid>
            <w:tr w:rsidR="00E0260F" w:rsidRPr="00DE15E9" w14:paraId="473546AD" w14:textId="77777777" w:rsidTr="009C113D">
              <w:tc>
                <w:tcPr>
                  <w:tcW w:w="2230" w:type="dxa"/>
                  <w:shd w:val="clear" w:color="auto" w:fill="FFFFFF"/>
                  <w:hideMark/>
                </w:tcPr>
                <w:p w14:paraId="122F9A0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the power to require buyers and suppliers to provide all necessary information in order to conduct investigations of prohibited trading practices;</w:t>
                  </w:r>
                </w:p>
              </w:tc>
            </w:tr>
          </w:tbl>
          <w:p w14:paraId="61E53AE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094471CF" w14:textId="43558C28" w:rsidR="00FE56E8" w:rsidRPr="00DE15E9" w:rsidRDefault="00FE56E8" w:rsidP="00DE15E9">
            <w:pPr>
              <w:spacing w:after="0" w:line="240" w:lineRule="auto"/>
              <w:jc w:val="both"/>
              <w:rPr>
                <w:rFonts w:ascii="Times New Roman" w:eastAsiaTheme="minorHAnsi" w:hAnsi="Times New Roman" w:cs="Times New Roman"/>
                <w:b/>
                <w:sz w:val="20"/>
                <w:szCs w:val="20"/>
              </w:rPr>
            </w:pPr>
            <w:r w:rsidRPr="00DE15E9">
              <w:rPr>
                <w:rFonts w:ascii="Times New Roman" w:hAnsi="Times New Roman" w:cs="Times New Roman"/>
                <w:sz w:val="20"/>
                <w:szCs w:val="20"/>
              </w:rPr>
              <w:t>(b) de a cere cumpărătorilor și furnizorilor să pună la dispoziție toate informațiile necesare pentru efectuarea investigațiilor privind practicile comerciale interzise;</w:t>
            </w:r>
          </w:p>
          <w:p w14:paraId="3211AAE0" w14:textId="65AA8870"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
              </w:rPr>
            </w:pPr>
          </w:p>
        </w:tc>
        <w:tc>
          <w:tcPr>
            <w:tcW w:w="2693" w:type="dxa"/>
            <w:tcBorders>
              <w:top w:val="single" w:sz="4" w:space="0" w:color="000000"/>
              <w:left w:val="single" w:sz="4" w:space="0" w:color="000000"/>
              <w:bottom w:val="single" w:sz="4" w:space="0" w:color="000000"/>
              <w:right w:val="single" w:sz="4" w:space="0" w:color="000000"/>
            </w:tcBorders>
          </w:tcPr>
          <w:p w14:paraId="124EB66D" w14:textId="77777777" w:rsidR="00FE56E8" w:rsidRPr="00DE15E9" w:rsidRDefault="00FE56E8" w:rsidP="00DE15E9">
            <w:pPr>
              <w:pStyle w:val="isselectedend"/>
              <w:spacing w:before="0" w:beforeAutospacing="0" w:after="0" w:afterAutospacing="0"/>
              <w:jc w:val="both"/>
              <w:rPr>
                <w:sz w:val="20"/>
                <w:szCs w:val="20"/>
              </w:rPr>
            </w:pPr>
            <w:r w:rsidRPr="00DE15E9">
              <w:rPr>
                <w:sz w:val="20"/>
                <w:szCs w:val="20"/>
              </w:rPr>
              <w:t>b) to require buyers and suppliers to provide all information necessary for conducting investigations into prohibited trading practices;</w:t>
            </w:r>
          </w:p>
          <w:p w14:paraId="6AD52FFC" w14:textId="02766008" w:rsidR="00E0260F" w:rsidRPr="00DE15E9" w:rsidRDefault="00E0260F" w:rsidP="00DE15E9">
            <w:pPr>
              <w:pStyle w:val="NormalWeb"/>
              <w:spacing w:before="0" w:beforeAutospacing="0" w:after="0" w:afterAutospacing="0"/>
              <w:jc w:val="both"/>
              <w:rPr>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0F9EC3D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58CCF616" w14:textId="607DDDFA"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4A098D0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1E883AC2" w14:textId="77777777" w:rsidTr="00033703">
        <w:tc>
          <w:tcPr>
            <w:tcW w:w="430" w:type="dxa"/>
            <w:tcBorders>
              <w:top w:val="single" w:sz="4" w:space="0" w:color="000000"/>
              <w:left w:val="single" w:sz="4" w:space="0" w:color="000000"/>
              <w:bottom w:val="single" w:sz="4" w:space="0" w:color="000000"/>
              <w:right w:val="single" w:sz="4" w:space="0" w:color="000000"/>
            </w:tcBorders>
          </w:tcPr>
          <w:p w14:paraId="7E6130A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55</w:t>
            </w:r>
          </w:p>
        </w:tc>
        <w:tc>
          <w:tcPr>
            <w:tcW w:w="2547" w:type="dxa"/>
            <w:tcBorders>
              <w:top w:val="single" w:sz="4" w:space="0" w:color="000000"/>
              <w:left w:val="single" w:sz="4" w:space="0" w:color="000000"/>
              <w:bottom w:val="single" w:sz="4" w:space="0" w:color="000000"/>
              <w:right w:val="single" w:sz="4" w:space="0" w:color="000000"/>
            </w:tcBorders>
          </w:tcPr>
          <w:tbl>
            <w:tblPr>
              <w:tblW w:w="4811" w:type="pct"/>
              <w:shd w:val="clear" w:color="auto" w:fill="FFFFFF"/>
              <w:tblLayout w:type="fixed"/>
              <w:tblCellMar>
                <w:left w:w="0" w:type="dxa"/>
                <w:right w:w="0" w:type="dxa"/>
              </w:tblCellMar>
              <w:tblLook w:val="04A0" w:firstRow="1" w:lastRow="0" w:firstColumn="1" w:lastColumn="0" w:noHBand="0" w:noVBand="1"/>
            </w:tblPr>
            <w:tblGrid>
              <w:gridCol w:w="2229"/>
            </w:tblGrid>
            <w:tr w:rsidR="00E0260F" w:rsidRPr="00DE15E9" w14:paraId="728B1D0D" w14:textId="77777777" w:rsidTr="008958F2">
              <w:tc>
                <w:tcPr>
                  <w:tcW w:w="2239" w:type="dxa"/>
                  <w:shd w:val="clear" w:color="auto" w:fill="FFFFFF"/>
                  <w:hideMark/>
                </w:tcPr>
                <w:p w14:paraId="7194BFB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competența de a efectua inspecții neanunțate la fața locului în cadrul investigațiilor sale, în conformitate cu reglementările și procedurile naționale;</w:t>
                  </w:r>
                </w:p>
              </w:tc>
            </w:tr>
          </w:tbl>
          <w:p w14:paraId="5DE672A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11" w:type="pct"/>
              <w:shd w:val="clear" w:color="auto" w:fill="FFFFFF"/>
              <w:tblLayout w:type="fixed"/>
              <w:tblCellMar>
                <w:left w:w="0" w:type="dxa"/>
                <w:right w:w="0" w:type="dxa"/>
              </w:tblCellMar>
              <w:tblLook w:val="04A0" w:firstRow="1" w:lastRow="0" w:firstColumn="1" w:lastColumn="0" w:noHBand="0" w:noVBand="1"/>
            </w:tblPr>
            <w:tblGrid>
              <w:gridCol w:w="2234"/>
            </w:tblGrid>
            <w:tr w:rsidR="00E0260F" w:rsidRPr="00DE15E9" w14:paraId="66046862" w14:textId="77777777" w:rsidTr="008958F2">
              <w:tc>
                <w:tcPr>
                  <w:tcW w:w="2234" w:type="dxa"/>
                  <w:shd w:val="clear" w:color="auto" w:fill="FFFFFF"/>
                  <w:hideMark/>
                </w:tcPr>
                <w:p w14:paraId="6CC894E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 xml:space="preserve"> the power to carry out unannounced on-site inspections within the framework of its investigations, in accordance with national rules and procedures;</w:t>
                  </w:r>
                </w:p>
              </w:tc>
            </w:tr>
          </w:tbl>
          <w:p w14:paraId="5225602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05C1FA85" w14:textId="4259640C" w:rsidR="00FE56E8" w:rsidRPr="00DE15E9" w:rsidRDefault="00FE56E8" w:rsidP="00DE15E9">
            <w:pPr>
              <w:spacing w:after="0" w:line="240" w:lineRule="auto"/>
              <w:jc w:val="both"/>
              <w:rPr>
                <w:rFonts w:ascii="Times New Roman" w:eastAsiaTheme="minorHAnsi" w:hAnsi="Times New Roman" w:cs="Times New Roman"/>
                <w:b/>
                <w:sz w:val="20"/>
                <w:szCs w:val="20"/>
              </w:rPr>
            </w:pPr>
            <w:r w:rsidRPr="00DE15E9">
              <w:rPr>
                <w:rFonts w:ascii="Times New Roman" w:hAnsi="Times New Roman" w:cs="Times New Roman"/>
                <w:sz w:val="20"/>
                <w:szCs w:val="20"/>
              </w:rPr>
              <w:t xml:space="preserve">(c) de a efectua inspecții neanunțate la fața locului în cadrul investigațiilor sale, </w:t>
            </w:r>
            <w:r w:rsidRPr="00DE15E9">
              <w:rPr>
                <w:rFonts w:ascii="Times New Roman" w:hAnsi="Times New Roman" w:cs="Times New Roman"/>
                <w:spacing w:val="-6"/>
                <w:sz w:val="20"/>
                <w:szCs w:val="20"/>
              </w:rPr>
              <w:t>în</w:t>
            </w:r>
            <w:r w:rsidRPr="00DE15E9">
              <w:rPr>
                <w:rFonts w:ascii="Times New Roman" w:hAnsi="Times New Roman" w:cs="Times New Roman"/>
                <w:sz w:val="20"/>
                <w:szCs w:val="20"/>
              </w:rPr>
              <w:t xml:space="preserve"> </w:t>
            </w:r>
            <w:r w:rsidRPr="00DE15E9">
              <w:rPr>
                <w:rFonts w:ascii="Times New Roman" w:hAnsi="Times New Roman" w:cs="Times New Roman"/>
                <w:spacing w:val="-2"/>
                <w:sz w:val="20"/>
                <w:szCs w:val="20"/>
              </w:rPr>
              <w:t>conformitate</w:t>
            </w:r>
            <w:r w:rsidRPr="00DE15E9">
              <w:rPr>
                <w:rFonts w:ascii="Times New Roman" w:hAnsi="Times New Roman" w:cs="Times New Roman"/>
                <w:sz w:val="20"/>
                <w:szCs w:val="20"/>
              </w:rPr>
              <w:t xml:space="preserve"> </w:t>
            </w:r>
            <w:r w:rsidRPr="00DE15E9">
              <w:rPr>
                <w:rFonts w:ascii="Times New Roman" w:hAnsi="Times New Roman" w:cs="Times New Roman"/>
                <w:spacing w:val="-6"/>
                <w:sz w:val="20"/>
                <w:szCs w:val="20"/>
              </w:rPr>
              <w:t>cu</w:t>
            </w:r>
            <w:r w:rsidRPr="00DE15E9">
              <w:rPr>
                <w:rFonts w:ascii="Times New Roman" w:hAnsi="Times New Roman" w:cs="Times New Roman"/>
                <w:sz w:val="20"/>
                <w:szCs w:val="20"/>
              </w:rPr>
              <w:t xml:space="preserve"> </w:t>
            </w:r>
            <w:r w:rsidRPr="00DE15E9">
              <w:rPr>
                <w:rFonts w:ascii="Times New Roman" w:hAnsi="Times New Roman" w:cs="Times New Roman"/>
                <w:spacing w:val="-2"/>
                <w:sz w:val="20"/>
                <w:szCs w:val="20"/>
              </w:rPr>
              <w:t>reglementările</w:t>
            </w:r>
            <w:r w:rsidRPr="00DE15E9">
              <w:rPr>
                <w:rFonts w:ascii="Times New Roman" w:hAnsi="Times New Roman" w:cs="Times New Roman"/>
                <w:sz w:val="20"/>
                <w:szCs w:val="20"/>
              </w:rPr>
              <w:t xml:space="preserve"> </w:t>
            </w:r>
            <w:r w:rsidRPr="00DE15E9">
              <w:rPr>
                <w:rFonts w:ascii="Times New Roman" w:hAnsi="Times New Roman" w:cs="Times New Roman"/>
                <w:spacing w:val="-6"/>
                <w:sz w:val="20"/>
                <w:szCs w:val="20"/>
              </w:rPr>
              <w:t>și</w:t>
            </w:r>
            <w:r w:rsidRPr="00DE15E9">
              <w:rPr>
                <w:rFonts w:ascii="Times New Roman" w:hAnsi="Times New Roman" w:cs="Times New Roman"/>
                <w:sz w:val="20"/>
                <w:szCs w:val="20"/>
              </w:rPr>
              <w:t xml:space="preserve"> </w:t>
            </w:r>
            <w:r w:rsidRPr="00DE15E9">
              <w:rPr>
                <w:rFonts w:ascii="Times New Roman" w:hAnsi="Times New Roman" w:cs="Times New Roman"/>
                <w:spacing w:val="-2"/>
                <w:sz w:val="20"/>
                <w:szCs w:val="20"/>
              </w:rPr>
              <w:t>procedurile stabilite</w:t>
            </w:r>
            <w:r w:rsidRPr="00DE15E9">
              <w:rPr>
                <w:rFonts w:ascii="Times New Roman" w:hAnsi="Times New Roman" w:cs="Times New Roman"/>
                <w:sz w:val="20"/>
                <w:szCs w:val="20"/>
              </w:rPr>
              <w:t xml:space="preserve"> </w:t>
            </w:r>
            <w:r w:rsidRPr="00DE15E9">
              <w:rPr>
                <w:rFonts w:ascii="Times New Roman" w:hAnsi="Times New Roman" w:cs="Times New Roman"/>
                <w:spacing w:val="-6"/>
                <w:sz w:val="20"/>
                <w:szCs w:val="20"/>
              </w:rPr>
              <w:t>de</w:t>
            </w:r>
            <w:r w:rsidRPr="00DE15E9">
              <w:rPr>
                <w:rFonts w:ascii="Times New Roman" w:hAnsi="Times New Roman" w:cs="Times New Roman"/>
                <w:sz w:val="20"/>
                <w:szCs w:val="20"/>
              </w:rPr>
              <w:t xml:space="preserve"> </w:t>
            </w:r>
            <w:r w:rsidRPr="00DE15E9">
              <w:rPr>
                <w:rFonts w:ascii="Times New Roman" w:hAnsi="Times New Roman" w:cs="Times New Roman"/>
                <w:spacing w:val="-2"/>
                <w:sz w:val="20"/>
                <w:szCs w:val="20"/>
              </w:rPr>
              <w:t xml:space="preserve">Legea </w:t>
            </w:r>
            <w:r w:rsidRPr="00DE15E9">
              <w:rPr>
                <w:rFonts w:ascii="Times New Roman" w:hAnsi="Times New Roman" w:cs="Times New Roman"/>
                <w:sz w:val="20"/>
                <w:szCs w:val="20"/>
              </w:rPr>
              <w:t>concurenței</w:t>
            </w:r>
            <w:r w:rsidRPr="00DE15E9">
              <w:rPr>
                <w:rFonts w:ascii="Times New Roman" w:hAnsi="Times New Roman" w:cs="Times New Roman"/>
                <w:spacing w:val="-11"/>
                <w:sz w:val="20"/>
                <w:szCs w:val="20"/>
              </w:rPr>
              <w:t xml:space="preserve"> </w:t>
            </w:r>
            <w:r w:rsidRPr="00DE15E9">
              <w:rPr>
                <w:rFonts w:ascii="Times New Roman" w:hAnsi="Times New Roman" w:cs="Times New Roman"/>
                <w:spacing w:val="-2"/>
                <w:sz w:val="20"/>
                <w:szCs w:val="20"/>
              </w:rPr>
              <w:t>nr. 183/2012;</w:t>
            </w:r>
          </w:p>
          <w:p w14:paraId="7EE5945F" w14:textId="2041282A" w:rsidR="00FE56E8" w:rsidRPr="00DE15E9" w:rsidRDefault="00FE56E8" w:rsidP="00DE15E9">
            <w:pPr>
              <w:tabs>
                <w:tab w:val="left" w:pos="311"/>
              </w:tabs>
              <w:spacing w:after="0" w:line="240" w:lineRule="auto"/>
              <w:jc w:val="both"/>
              <w:rPr>
                <w:rFonts w:ascii="Times New Roman" w:eastAsia="Times New Roman" w:hAnsi="Times New Roman" w:cs="Times New Roman"/>
                <w:sz w:val="20"/>
                <w:szCs w:val="20"/>
                <w:lang w:val="ro"/>
              </w:rPr>
            </w:pPr>
          </w:p>
        </w:tc>
        <w:tc>
          <w:tcPr>
            <w:tcW w:w="2693" w:type="dxa"/>
            <w:tcBorders>
              <w:top w:val="single" w:sz="4" w:space="0" w:color="000000"/>
              <w:left w:val="single" w:sz="4" w:space="0" w:color="000000"/>
              <w:bottom w:val="single" w:sz="4" w:space="0" w:color="000000"/>
              <w:right w:val="single" w:sz="4" w:space="0" w:color="000000"/>
            </w:tcBorders>
          </w:tcPr>
          <w:p w14:paraId="4879FE2B" w14:textId="670B442F" w:rsidR="00E0260F" w:rsidRPr="00DE15E9" w:rsidRDefault="00FE56E8" w:rsidP="00DE15E9">
            <w:pPr>
              <w:pStyle w:val="isselectedend"/>
              <w:spacing w:before="0" w:beforeAutospacing="0" w:after="0" w:afterAutospacing="0"/>
              <w:jc w:val="both"/>
              <w:rPr>
                <w:sz w:val="20"/>
                <w:szCs w:val="20"/>
              </w:rPr>
            </w:pPr>
            <w:r w:rsidRPr="00DE15E9">
              <w:rPr>
                <w:sz w:val="20"/>
                <w:szCs w:val="20"/>
              </w:rPr>
              <w:t>c) to carry out unannounced on-site inspections within the framework of its investigations, in accordance with the rules and procedures laid down in Competition Law No. 183/2012;</w:t>
            </w:r>
          </w:p>
        </w:tc>
        <w:tc>
          <w:tcPr>
            <w:tcW w:w="1276" w:type="dxa"/>
            <w:tcBorders>
              <w:top w:val="single" w:sz="4" w:space="0" w:color="000000"/>
              <w:left w:val="single" w:sz="4" w:space="0" w:color="000000"/>
              <w:bottom w:val="single" w:sz="4" w:space="0" w:color="000000"/>
              <w:right w:val="single" w:sz="4" w:space="0" w:color="000000"/>
            </w:tcBorders>
          </w:tcPr>
          <w:p w14:paraId="0B1882A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46580725" w14:textId="76A454BC"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3A16FA2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28A86EA4" w14:textId="77777777" w:rsidTr="00033703">
        <w:tc>
          <w:tcPr>
            <w:tcW w:w="430" w:type="dxa"/>
            <w:tcBorders>
              <w:top w:val="single" w:sz="4" w:space="0" w:color="000000"/>
              <w:left w:val="single" w:sz="4" w:space="0" w:color="000000"/>
              <w:bottom w:val="single" w:sz="4" w:space="0" w:color="000000"/>
              <w:right w:val="single" w:sz="4" w:space="0" w:color="000000"/>
            </w:tcBorders>
          </w:tcPr>
          <w:p w14:paraId="6B42F6F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56</w:t>
            </w:r>
          </w:p>
        </w:tc>
        <w:tc>
          <w:tcPr>
            <w:tcW w:w="2547" w:type="dxa"/>
            <w:tcBorders>
              <w:top w:val="single" w:sz="4" w:space="0" w:color="000000"/>
              <w:left w:val="single" w:sz="4" w:space="0" w:color="000000"/>
              <w:bottom w:val="single" w:sz="4" w:space="0" w:color="000000"/>
              <w:right w:val="single" w:sz="4" w:space="0" w:color="000000"/>
            </w:tcBorders>
          </w:tcPr>
          <w:tbl>
            <w:tblPr>
              <w:tblW w:w="4802" w:type="pct"/>
              <w:shd w:val="clear" w:color="auto" w:fill="FFFFFF"/>
              <w:tblLayout w:type="fixed"/>
              <w:tblCellMar>
                <w:left w:w="0" w:type="dxa"/>
                <w:right w:w="0" w:type="dxa"/>
              </w:tblCellMar>
              <w:tblLook w:val="04A0" w:firstRow="1" w:lastRow="0" w:firstColumn="1" w:lastColumn="0" w:noHBand="0" w:noVBand="1"/>
            </w:tblPr>
            <w:tblGrid>
              <w:gridCol w:w="2225"/>
            </w:tblGrid>
            <w:tr w:rsidR="00E0260F" w:rsidRPr="00DE15E9" w14:paraId="27662AAC" w14:textId="77777777" w:rsidTr="008958F2">
              <w:tc>
                <w:tcPr>
                  <w:tcW w:w="2235" w:type="dxa"/>
                  <w:shd w:val="clear" w:color="auto" w:fill="FFFFFF"/>
                  <w:hideMark/>
                </w:tcPr>
                <w:p w14:paraId="030987C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competența de a lua decizii prin care să constate o încălcare a interdicțiilor prevăzute la articolul 3 și să solicite cumpărătorului să pună capăt practicii comerciale interzise; </w:t>
                  </w:r>
                </w:p>
                <w:p w14:paraId="1FAA7E3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p w14:paraId="6AB7C75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autoritatea se poate abține de la luarea unei astfel de decizii, dacă o astfel de decizie ar risca să divulge identitatea unui reclamant sau orice altă informație a cărei divulgare este considerată de către reclamant a fi dăunătoare intereselor sale și cu condiția ca reclamantul să fi indicat informațiile respective în conformitate cu articolul 5 alineatul (3);</w:t>
                  </w:r>
                </w:p>
              </w:tc>
            </w:tr>
          </w:tbl>
          <w:p w14:paraId="157FBD7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02" w:type="pct"/>
              <w:shd w:val="clear" w:color="auto" w:fill="FFFFFF"/>
              <w:tblLayout w:type="fixed"/>
              <w:tblCellMar>
                <w:left w:w="0" w:type="dxa"/>
                <w:right w:w="0" w:type="dxa"/>
              </w:tblCellMar>
              <w:tblLook w:val="04A0" w:firstRow="1" w:lastRow="0" w:firstColumn="1" w:lastColumn="0" w:noHBand="0" w:noVBand="1"/>
            </w:tblPr>
            <w:tblGrid>
              <w:gridCol w:w="2230"/>
            </w:tblGrid>
            <w:tr w:rsidR="00E0260F" w:rsidRPr="00DE15E9" w14:paraId="208D8FEA" w14:textId="77777777" w:rsidTr="008958F2">
              <w:tc>
                <w:tcPr>
                  <w:tcW w:w="2230" w:type="dxa"/>
                  <w:shd w:val="clear" w:color="auto" w:fill="FFFFFF"/>
                  <w:hideMark/>
                </w:tcPr>
                <w:p w14:paraId="60941B7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 xml:space="preserve">the power to take decisions finding an infringement of the prohibitions laid down in Article 3 and requiring the buyer to bring the prohibited trading practice to an end; </w:t>
                  </w:r>
                </w:p>
                <w:p w14:paraId="2CEE04D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p w14:paraId="423C5B7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 xml:space="preserve">the authority may abstain from taking any such decision, if that decision would risk revealing the identity of a complainant or would risk disclosing any other information in respect of which the complainant considers that such disclosure would be harmful to its interests, and provided that the complainant has identified that information in </w:t>
                  </w:r>
                  <w:r w:rsidRPr="00DE15E9">
                    <w:rPr>
                      <w:rFonts w:ascii="Times New Roman" w:eastAsia="Times New Roman" w:hAnsi="Times New Roman" w:cs="Times New Roman"/>
                      <w:sz w:val="20"/>
                      <w:szCs w:val="20"/>
                      <w:lang w:val="en-GB"/>
                    </w:rPr>
                    <w:lastRenderedPageBreak/>
                    <w:t>accordance with Article 5(3);</w:t>
                  </w:r>
                </w:p>
              </w:tc>
            </w:tr>
          </w:tbl>
          <w:p w14:paraId="71D6D9D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5A71465B" w14:textId="2A34EC50"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d)</w:t>
            </w:r>
            <w:r w:rsidRPr="00DE15E9">
              <w:rPr>
                <w:rFonts w:ascii="Times New Roman" w:eastAsia="Times New Roman" w:hAnsi="Times New Roman" w:cs="Times New Roman"/>
                <w:sz w:val="20"/>
                <w:szCs w:val="20"/>
                <w:lang w:val="ro-MD"/>
              </w:rPr>
              <w:tab/>
            </w:r>
            <w:r w:rsidR="00FE56E8" w:rsidRPr="00DE15E9">
              <w:rPr>
                <w:rFonts w:ascii="Times New Roman" w:hAnsi="Times New Roman" w:cs="Times New Roman"/>
                <w:sz w:val="20"/>
                <w:szCs w:val="20"/>
              </w:rPr>
              <w:t>de a adopta decizii prin care constată încălcarea interdicțiilor prevăzute la art. 4 și solicită cumpărătorului să înceteze practica comercială interzisă. La adoptarea deciziilor, Consiliul Concurenței asigură protecția identității reclamantului, a membrilor acestuia și a furnizorilor prevăzuți la art. 8 alin. (2), precum și a informațiilor indicate de reclamant, în condițiile art. 8 alin. (6),  a căror divulgare ar putea prejudicia interesele legitime ale acestuia;</w:t>
            </w:r>
          </w:p>
        </w:tc>
        <w:tc>
          <w:tcPr>
            <w:tcW w:w="2693" w:type="dxa"/>
            <w:tcBorders>
              <w:top w:val="single" w:sz="4" w:space="0" w:color="000000"/>
              <w:left w:val="single" w:sz="4" w:space="0" w:color="000000"/>
              <w:bottom w:val="single" w:sz="4" w:space="0" w:color="000000"/>
              <w:right w:val="single" w:sz="4" w:space="0" w:color="000000"/>
            </w:tcBorders>
          </w:tcPr>
          <w:p w14:paraId="46A5051F" w14:textId="75DF959C" w:rsidR="00E0260F" w:rsidRPr="00DE15E9" w:rsidRDefault="00FE56E8"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rPr>
              <w:t>d) to adopt decisions finding an infringement of the prohibitions laid down in Article 4 and requiring the buyer to cease the prohibited trading practice. When adopting such a decision, the Competition Council shall ensure the protection of the identity of the complainant, of its members and of the suppliers referred to in Article 8(2), as well as of the information indicated by the complainant under Article 8(6), the disclosure of which could prejudice its legitimate interests;</w:t>
            </w:r>
          </w:p>
        </w:tc>
        <w:tc>
          <w:tcPr>
            <w:tcW w:w="1276" w:type="dxa"/>
            <w:tcBorders>
              <w:top w:val="single" w:sz="4" w:space="0" w:color="000000"/>
              <w:left w:val="single" w:sz="4" w:space="0" w:color="000000"/>
              <w:bottom w:val="single" w:sz="4" w:space="0" w:color="000000"/>
              <w:right w:val="single" w:sz="4" w:space="0" w:color="000000"/>
            </w:tcBorders>
          </w:tcPr>
          <w:p w14:paraId="43C25DF6" w14:textId="4C15167F" w:rsidR="00E0260F" w:rsidRPr="00DE15E9" w:rsidRDefault="00FE56E8"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w:t>
            </w:r>
            <w:r w:rsidR="00E0260F" w:rsidRPr="00DE15E9">
              <w:rPr>
                <w:rFonts w:ascii="Times New Roman" w:eastAsia="Times New Roman" w:hAnsi="Times New Roman" w:cs="Times New Roman"/>
                <w:sz w:val="20"/>
                <w:szCs w:val="20"/>
                <w:lang w:val="ro-MD"/>
              </w:rPr>
              <w:t xml:space="preserve">ompatibil </w:t>
            </w:r>
          </w:p>
          <w:p w14:paraId="129B8F3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p w14:paraId="74D1290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985" w:type="dxa"/>
            <w:tcBorders>
              <w:top w:val="single" w:sz="4" w:space="0" w:color="000000"/>
              <w:left w:val="single" w:sz="4" w:space="0" w:color="000000"/>
              <w:bottom w:val="single" w:sz="4" w:space="0" w:color="000000"/>
              <w:right w:val="single" w:sz="4" w:space="0" w:color="000000"/>
            </w:tcBorders>
          </w:tcPr>
          <w:p w14:paraId="1721119F" w14:textId="1D7B6D0C"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6AADCD4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54EA9833" w14:textId="77777777" w:rsidTr="00033703">
        <w:trPr>
          <w:trHeight w:val="525"/>
        </w:trPr>
        <w:tc>
          <w:tcPr>
            <w:tcW w:w="430" w:type="dxa"/>
            <w:tcBorders>
              <w:top w:val="single" w:sz="4" w:space="0" w:color="000000"/>
              <w:left w:val="single" w:sz="4" w:space="0" w:color="000000"/>
              <w:bottom w:val="single" w:sz="4" w:space="0" w:color="000000"/>
              <w:right w:val="single" w:sz="4" w:space="0" w:color="000000"/>
            </w:tcBorders>
          </w:tcPr>
          <w:p w14:paraId="60A9414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57</w:t>
            </w:r>
          </w:p>
        </w:tc>
        <w:tc>
          <w:tcPr>
            <w:tcW w:w="2547" w:type="dxa"/>
            <w:tcBorders>
              <w:top w:val="single" w:sz="4" w:space="0" w:color="000000"/>
              <w:left w:val="single" w:sz="4" w:space="0" w:color="000000"/>
              <w:bottom w:val="single" w:sz="4" w:space="0" w:color="000000"/>
              <w:right w:val="single" w:sz="4" w:space="0" w:color="000000"/>
            </w:tcBorders>
          </w:tcPr>
          <w:tbl>
            <w:tblPr>
              <w:tblW w:w="4811" w:type="pct"/>
              <w:shd w:val="clear" w:color="auto" w:fill="FFFFFF"/>
              <w:tblLayout w:type="fixed"/>
              <w:tblCellMar>
                <w:left w:w="0" w:type="dxa"/>
                <w:right w:w="0" w:type="dxa"/>
              </w:tblCellMar>
              <w:tblLook w:val="04A0" w:firstRow="1" w:lastRow="0" w:firstColumn="1" w:lastColumn="0" w:noHBand="0" w:noVBand="1"/>
            </w:tblPr>
            <w:tblGrid>
              <w:gridCol w:w="2229"/>
            </w:tblGrid>
            <w:tr w:rsidR="00E0260F" w:rsidRPr="00DE15E9" w14:paraId="1FA1FCBF" w14:textId="77777777" w:rsidTr="008958F2">
              <w:tc>
                <w:tcPr>
                  <w:tcW w:w="2239" w:type="dxa"/>
                  <w:shd w:val="clear" w:color="auto" w:fill="FFFFFF"/>
                  <w:hideMark/>
                </w:tcPr>
                <w:p w14:paraId="58390C8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competența de a impune autorului încălcării, sau de a iniția împotriva acestuia proceduri pentru impunerea de amenzi, de alte sancțiuni la fel de eficace și de măsuri provizorii, în conformitate cu reglementările și procedurile naționale;</w:t>
                  </w:r>
                </w:p>
              </w:tc>
            </w:tr>
          </w:tbl>
          <w:p w14:paraId="2469E83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3281" w:type="dxa"/>
              <w:shd w:val="clear" w:color="auto" w:fill="FFFFFF"/>
              <w:tblLayout w:type="fixed"/>
              <w:tblCellMar>
                <w:left w:w="0" w:type="dxa"/>
                <w:right w:w="0" w:type="dxa"/>
              </w:tblCellMar>
              <w:tblLook w:val="04A0" w:firstRow="1" w:lastRow="0" w:firstColumn="1" w:lastColumn="0" w:noHBand="0" w:noVBand="1"/>
            </w:tblPr>
            <w:tblGrid>
              <w:gridCol w:w="2293"/>
              <w:gridCol w:w="988"/>
            </w:tblGrid>
            <w:tr w:rsidR="00E0260F" w:rsidRPr="00DE15E9" w14:paraId="06C265BB" w14:textId="77777777" w:rsidTr="008958F2">
              <w:trPr>
                <w:gridAfter w:val="1"/>
                <w:wAfter w:w="988" w:type="dxa"/>
              </w:trPr>
              <w:tc>
                <w:tcPr>
                  <w:tcW w:w="2293" w:type="dxa"/>
                  <w:shd w:val="clear" w:color="auto" w:fill="FFFFFF"/>
                  <w:hideMark/>
                </w:tcPr>
                <w:p w14:paraId="0DFEE5C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the power to impose, or initiate proceedings for the imposition of, fines and other equally effective penalties and interim measures on the author of the infringement, in accordance with national rules and procedures;</w:t>
                  </w:r>
                </w:p>
              </w:tc>
            </w:tr>
            <w:tr w:rsidR="00E0260F" w:rsidRPr="00DE15E9" w14:paraId="32175540" w14:textId="77777777" w:rsidTr="008958F2">
              <w:tc>
                <w:tcPr>
                  <w:tcW w:w="3281" w:type="dxa"/>
                  <w:gridSpan w:val="2"/>
                  <w:shd w:val="clear" w:color="auto" w:fill="FFFFFF"/>
                </w:tcPr>
                <w:p w14:paraId="6AC5674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r>
          </w:tbl>
          <w:p w14:paraId="442E3EE8" w14:textId="77777777" w:rsidR="00E0260F" w:rsidRPr="00DE15E9" w:rsidRDefault="00E0260F" w:rsidP="00DE15E9">
            <w:pPr>
              <w:spacing w:after="0" w:line="240" w:lineRule="auto"/>
              <w:jc w:val="center"/>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59F9D155" w14:textId="77777777" w:rsidR="00FE56E8" w:rsidRPr="00DE15E9" w:rsidRDefault="00E0260F" w:rsidP="00DE15E9">
            <w:pPr>
              <w:spacing w:after="0" w:line="240" w:lineRule="auto"/>
              <w:jc w:val="both"/>
              <w:rPr>
                <w:rFonts w:ascii="Times New Roman" w:eastAsiaTheme="minorHAnsi" w:hAnsi="Times New Roman" w:cs="Times New Roman"/>
                <w:b/>
                <w:sz w:val="20"/>
                <w:szCs w:val="20"/>
              </w:rPr>
            </w:pPr>
            <w:r w:rsidRPr="00DE15E9">
              <w:rPr>
                <w:rFonts w:ascii="Times New Roman" w:hAnsi="Times New Roman" w:cs="Times New Roman"/>
                <w:bCs/>
                <w:sz w:val="20"/>
                <w:szCs w:val="20"/>
                <w:lang w:val="ro-MD"/>
              </w:rPr>
              <w:t>e)</w:t>
            </w:r>
            <w:r w:rsidRPr="00DE15E9">
              <w:rPr>
                <w:rFonts w:ascii="Times New Roman" w:hAnsi="Times New Roman" w:cs="Times New Roman"/>
                <w:bCs/>
                <w:sz w:val="20"/>
                <w:szCs w:val="20"/>
                <w:lang w:val="ro-MD"/>
              </w:rPr>
              <w:tab/>
            </w:r>
            <w:r w:rsidR="00FE56E8" w:rsidRPr="00DE15E9">
              <w:rPr>
                <w:rFonts w:ascii="Times New Roman" w:hAnsi="Times New Roman" w:cs="Times New Roman"/>
                <w:sz w:val="20"/>
                <w:szCs w:val="20"/>
              </w:rPr>
              <w:t>de a impune autorului încălcării sau de a iniția împotriva acestuia proceduri pentru aplicarea de amenzi, alte sancțiuni la fel de eficace și măsuri interimare, în conformitate cu reglementările și procedurile stabilite de Legea concurenței</w:t>
            </w:r>
            <w:r w:rsidR="00FE56E8" w:rsidRPr="00DE15E9">
              <w:rPr>
                <w:rFonts w:ascii="Times New Roman" w:hAnsi="Times New Roman" w:cs="Times New Roman"/>
                <w:spacing w:val="-11"/>
                <w:sz w:val="20"/>
                <w:szCs w:val="20"/>
              </w:rPr>
              <w:t xml:space="preserve"> </w:t>
            </w:r>
            <w:r w:rsidR="00FE56E8" w:rsidRPr="00DE15E9">
              <w:rPr>
                <w:rFonts w:ascii="Times New Roman" w:hAnsi="Times New Roman" w:cs="Times New Roman"/>
                <w:spacing w:val="-2"/>
                <w:sz w:val="20"/>
                <w:szCs w:val="20"/>
              </w:rPr>
              <w:t>nr. 183/2012;</w:t>
            </w:r>
          </w:p>
          <w:p w14:paraId="42B53603" w14:textId="5AFDE9A9" w:rsidR="00E0260F" w:rsidRPr="00DE15E9" w:rsidRDefault="00E0260F" w:rsidP="00DE15E9">
            <w:pPr>
              <w:tabs>
                <w:tab w:val="left" w:pos="172"/>
                <w:tab w:val="left" w:pos="311"/>
              </w:tabs>
              <w:spacing w:after="0" w:line="240" w:lineRule="auto"/>
              <w:jc w:val="both"/>
              <w:rPr>
                <w:rFonts w:ascii="Times New Roman" w:hAnsi="Times New Roman" w:cs="Times New Roman"/>
                <w:sz w:val="20"/>
                <w:szCs w:val="20"/>
                <w:lang w:val="ro"/>
              </w:rPr>
            </w:pPr>
          </w:p>
        </w:tc>
        <w:tc>
          <w:tcPr>
            <w:tcW w:w="2693" w:type="dxa"/>
            <w:tcBorders>
              <w:top w:val="single" w:sz="4" w:space="0" w:color="000000"/>
              <w:left w:val="single" w:sz="4" w:space="0" w:color="000000"/>
              <w:bottom w:val="single" w:sz="4" w:space="0" w:color="000000"/>
              <w:right w:val="single" w:sz="4" w:space="0" w:color="000000"/>
            </w:tcBorders>
          </w:tcPr>
          <w:p w14:paraId="3CE5F040" w14:textId="6C0F549F" w:rsidR="00E0260F" w:rsidRPr="00DE15E9" w:rsidRDefault="00FE56E8" w:rsidP="00DE15E9">
            <w:pPr>
              <w:pStyle w:val="isselectedend"/>
              <w:spacing w:before="0" w:beforeAutospacing="0" w:after="0" w:afterAutospacing="0"/>
              <w:jc w:val="both"/>
              <w:rPr>
                <w:sz w:val="20"/>
                <w:szCs w:val="20"/>
              </w:rPr>
            </w:pPr>
            <w:r w:rsidRPr="00DE15E9">
              <w:rPr>
                <w:sz w:val="20"/>
                <w:szCs w:val="20"/>
              </w:rPr>
              <w:t>e) to impose fines and other equally effective penalties on the person responsible for the infringement, or to initiate proceedings against that person for the imposition of such fines, penalties and interim measures, in accordance with the rules and procedures laid down in Competition Law No. 183/2012;</w:t>
            </w:r>
          </w:p>
        </w:tc>
        <w:tc>
          <w:tcPr>
            <w:tcW w:w="1276" w:type="dxa"/>
            <w:tcBorders>
              <w:top w:val="single" w:sz="4" w:space="0" w:color="000000"/>
              <w:left w:val="single" w:sz="4" w:space="0" w:color="000000"/>
              <w:bottom w:val="single" w:sz="4" w:space="0" w:color="000000"/>
              <w:right w:val="single" w:sz="4" w:space="0" w:color="000000"/>
            </w:tcBorders>
          </w:tcPr>
          <w:p w14:paraId="5C3E94F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67E515FA" w14:textId="592B4553"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5A8900A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1C01DEB9" w14:textId="77777777" w:rsidTr="00033703">
        <w:tc>
          <w:tcPr>
            <w:tcW w:w="430" w:type="dxa"/>
            <w:tcBorders>
              <w:top w:val="single" w:sz="4" w:space="0" w:color="000000"/>
              <w:left w:val="single" w:sz="4" w:space="0" w:color="000000"/>
              <w:bottom w:val="single" w:sz="4" w:space="0" w:color="000000"/>
              <w:right w:val="single" w:sz="4" w:space="0" w:color="000000"/>
            </w:tcBorders>
          </w:tcPr>
          <w:p w14:paraId="46DDC9B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58</w:t>
            </w:r>
          </w:p>
        </w:tc>
        <w:tc>
          <w:tcPr>
            <w:tcW w:w="2547" w:type="dxa"/>
            <w:tcBorders>
              <w:top w:val="single" w:sz="4" w:space="0" w:color="000000"/>
              <w:left w:val="single" w:sz="4" w:space="0" w:color="000000"/>
              <w:bottom w:val="single" w:sz="4" w:space="0" w:color="000000"/>
              <w:right w:val="single" w:sz="4" w:space="0" w:color="000000"/>
            </w:tcBorders>
          </w:tcPr>
          <w:tbl>
            <w:tblPr>
              <w:tblW w:w="4817" w:type="pct"/>
              <w:shd w:val="clear" w:color="auto" w:fill="FFFFFF"/>
              <w:tblLayout w:type="fixed"/>
              <w:tblCellMar>
                <w:left w:w="0" w:type="dxa"/>
                <w:right w:w="0" w:type="dxa"/>
              </w:tblCellMar>
              <w:tblLook w:val="04A0" w:firstRow="1" w:lastRow="0" w:firstColumn="1" w:lastColumn="0" w:noHBand="0" w:noVBand="1"/>
            </w:tblPr>
            <w:tblGrid>
              <w:gridCol w:w="2232"/>
            </w:tblGrid>
            <w:tr w:rsidR="00E0260F" w:rsidRPr="00DE15E9" w14:paraId="32A4DA79" w14:textId="77777777" w:rsidTr="008958F2">
              <w:tc>
                <w:tcPr>
                  <w:tcW w:w="2242" w:type="dxa"/>
                  <w:shd w:val="clear" w:color="auto" w:fill="FFFFFF"/>
                  <w:hideMark/>
                </w:tcPr>
                <w:p w14:paraId="458FA47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competența de a-și publica periodic deciziile luate în temeiul literelor (d) și (e).</w:t>
                  </w:r>
                </w:p>
              </w:tc>
            </w:tr>
          </w:tbl>
          <w:p w14:paraId="795E0FB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21" w:type="pct"/>
              <w:shd w:val="clear" w:color="auto" w:fill="FFFFFF"/>
              <w:tblLayout w:type="fixed"/>
              <w:tblCellMar>
                <w:left w:w="0" w:type="dxa"/>
                <w:right w:w="0" w:type="dxa"/>
              </w:tblCellMar>
              <w:tblLook w:val="04A0" w:firstRow="1" w:lastRow="0" w:firstColumn="1" w:lastColumn="0" w:noHBand="0" w:noVBand="1"/>
            </w:tblPr>
            <w:tblGrid>
              <w:gridCol w:w="2239"/>
            </w:tblGrid>
            <w:tr w:rsidR="00E0260F" w:rsidRPr="00DE15E9" w14:paraId="137E3FF8" w14:textId="77777777" w:rsidTr="008958F2">
              <w:tc>
                <w:tcPr>
                  <w:tcW w:w="2239" w:type="dxa"/>
                  <w:shd w:val="clear" w:color="auto" w:fill="FFFFFF"/>
                  <w:hideMark/>
                </w:tcPr>
                <w:p w14:paraId="288F10A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the power to publish its decisions taken under points (d) and (e) on a regular basis.</w:t>
                  </w:r>
                </w:p>
              </w:tc>
            </w:tr>
          </w:tbl>
          <w:p w14:paraId="6D68BF2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3A9149AD" w14:textId="77777777" w:rsidR="00FE56E8" w:rsidRPr="00DE15E9" w:rsidRDefault="00E0260F" w:rsidP="00DE15E9">
            <w:pPr>
              <w:spacing w:after="0" w:line="240" w:lineRule="auto"/>
              <w:jc w:val="both"/>
              <w:rPr>
                <w:rFonts w:ascii="Times New Roman" w:eastAsiaTheme="minorHAnsi" w:hAnsi="Times New Roman" w:cs="Times New Roman"/>
                <w:b/>
                <w:sz w:val="20"/>
                <w:szCs w:val="20"/>
              </w:rPr>
            </w:pPr>
            <w:r w:rsidRPr="00DE15E9">
              <w:rPr>
                <w:rFonts w:ascii="Times New Roman" w:eastAsia="Times New Roman" w:hAnsi="Times New Roman" w:cs="Times New Roman"/>
                <w:sz w:val="20"/>
                <w:szCs w:val="20"/>
                <w:lang w:val="ro-MD"/>
              </w:rPr>
              <w:t>f)</w:t>
            </w:r>
            <w:r w:rsidRPr="00DE15E9">
              <w:rPr>
                <w:rFonts w:ascii="Times New Roman" w:eastAsia="Times New Roman" w:hAnsi="Times New Roman" w:cs="Times New Roman"/>
                <w:sz w:val="20"/>
                <w:szCs w:val="20"/>
                <w:lang w:val="ro-MD"/>
              </w:rPr>
              <w:tab/>
            </w:r>
            <w:r w:rsidR="00FE56E8" w:rsidRPr="00DE15E9">
              <w:rPr>
                <w:rFonts w:ascii="Times New Roman" w:hAnsi="Times New Roman" w:cs="Times New Roman"/>
                <w:sz w:val="20"/>
                <w:szCs w:val="20"/>
              </w:rPr>
              <w:t>de</w:t>
            </w:r>
            <w:r w:rsidR="00FE56E8" w:rsidRPr="00DE15E9">
              <w:rPr>
                <w:rFonts w:ascii="Times New Roman" w:hAnsi="Times New Roman" w:cs="Times New Roman"/>
                <w:spacing w:val="-4"/>
                <w:sz w:val="20"/>
                <w:szCs w:val="20"/>
              </w:rPr>
              <w:t xml:space="preserve"> </w:t>
            </w:r>
            <w:r w:rsidR="00FE56E8" w:rsidRPr="00DE15E9">
              <w:rPr>
                <w:rFonts w:ascii="Times New Roman" w:hAnsi="Times New Roman" w:cs="Times New Roman"/>
                <w:sz w:val="20"/>
                <w:szCs w:val="20"/>
              </w:rPr>
              <w:t>a</w:t>
            </w:r>
            <w:r w:rsidR="00FE56E8" w:rsidRPr="00DE15E9">
              <w:rPr>
                <w:rFonts w:ascii="Times New Roman" w:hAnsi="Times New Roman" w:cs="Times New Roman"/>
                <w:spacing w:val="-6"/>
                <w:sz w:val="20"/>
                <w:szCs w:val="20"/>
              </w:rPr>
              <w:t xml:space="preserve"> </w:t>
            </w:r>
            <w:r w:rsidR="00FE56E8" w:rsidRPr="00DE15E9">
              <w:rPr>
                <w:rFonts w:ascii="Times New Roman" w:hAnsi="Times New Roman" w:cs="Times New Roman"/>
                <w:sz w:val="20"/>
                <w:szCs w:val="20"/>
              </w:rPr>
              <w:t>publica</w:t>
            </w:r>
            <w:r w:rsidR="00FE56E8" w:rsidRPr="00DE15E9">
              <w:rPr>
                <w:rFonts w:ascii="Times New Roman" w:hAnsi="Times New Roman" w:cs="Times New Roman"/>
                <w:spacing w:val="-5"/>
                <w:sz w:val="20"/>
                <w:szCs w:val="20"/>
              </w:rPr>
              <w:t xml:space="preserve"> </w:t>
            </w:r>
            <w:r w:rsidR="00FE56E8" w:rsidRPr="00DE15E9">
              <w:rPr>
                <w:rFonts w:ascii="Times New Roman" w:hAnsi="Times New Roman" w:cs="Times New Roman"/>
                <w:sz w:val="20"/>
                <w:szCs w:val="20"/>
              </w:rPr>
              <w:t>periodic</w:t>
            </w:r>
            <w:r w:rsidR="00FE56E8" w:rsidRPr="00DE15E9">
              <w:rPr>
                <w:rFonts w:ascii="Times New Roman" w:hAnsi="Times New Roman" w:cs="Times New Roman"/>
                <w:spacing w:val="-6"/>
                <w:sz w:val="20"/>
                <w:szCs w:val="20"/>
              </w:rPr>
              <w:t xml:space="preserve"> </w:t>
            </w:r>
            <w:r w:rsidR="00FE56E8" w:rsidRPr="00DE15E9">
              <w:rPr>
                <w:rFonts w:ascii="Times New Roman" w:hAnsi="Times New Roman" w:cs="Times New Roman"/>
                <w:sz w:val="20"/>
                <w:szCs w:val="20"/>
              </w:rPr>
              <w:t>deciziile</w:t>
            </w:r>
            <w:r w:rsidR="00FE56E8" w:rsidRPr="00DE15E9">
              <w:rPr>
                <w:rFonts w:ascii="Times New Roman" w:hAnsi="Times New Roman" w:cs="Times New Roman"/>
                <w:spacing w:val="-4"/>
                <w:sz w:val="20"/>
                <w:szCs w:val="20"/>
              </w:rPr>
              <w:t xml:space="preserve"> </w:t>
            </w:r>
            <w:r w:rsidR="00FE56E8" w:rsidRPr="00DE15E9">
              <w:rPr>
                <w:rFonts w:ascii="Times New Roman" w:hAnsi="Times New Roman" w:cs="Times New Roman"/>
                <w:sz w:val="20"/>
                <w:szCs w:val="20"/>
              </w:rPr>
              <w:t>adoptate</w:t>
            </w:r>
            <w:r w:rsidR="00FE56E8" w:rsidRPr="00DE15E9">
              <w:rPr>
                <w:rFonts w:ascii="Times New Roman" w:hAnsi="Times New Roman" w:cs="Times New Roman"/>
                <w:spacing w:val="-4"/>
                <w:sz w:val="20"/>
                <w:szCs w:val="20"/>
              </w:rPr>
              <w:t xml:space="preserve"> </w:t>
            </w:r>
            <w:r w:rsidR="00FE56E8" w:rsidRPr="00DE15E9">
              <w:rPr>
                <w:rFonts w:ascii="Times New Roman" w:hAnsi="Times New Roman" w:cs="Times New Roman"/>
                <w:sz w:val="20"/>
                <w:szCs w:val="20"/>
              </w:rPr>
              <w:t>în</w:t>
            </w:r>
            <w:r w:rsidR="00FE56E8" w:rsidRPr="00DE15E9">
              <w:rPr>
                <w:rFonts w:ascii="Times New Roman" w:hAnsi="Times New Roman" w:cs="Times New Roman"/>
                <w:spacing w:val="-2"/>
                <w:sz w:val="20"/>
                <w:szCs w:val="20"/>
              </w:rPr>
              <w:t xml:space="preserve"> </w:t>
            </w:r>
            <w:r w:rsidR="00FE56E8" w:rsidRPr="00DE15E9">
              <w:rPr>
                <w:rFonts w:ascii="Times New Roman" w:hAnsi="Times New Roman" w:cs="Times New Roman"/>
                <w:sz w:val="20"/>
                <w:szCs w:val="20"/>
              </w:rPr>
              <w:t>temeiul</w:t>
            </w:r>
            <w:r w:rsidR="00FE56E8" w:rsidRPr="00DE15E9">
              <w:rPr>
                <w:rFonts w:ascii="Times New Roman" w:hAnsi="Times New Roman" w:cs="Times New Roman"/>
                <w:spacing w:val="-3"/>
                <w:sz w:val="20"/>
                <w:szCs w:val="20"/>
              </w:rPr>
              <w:t xml:space="preserve"> </w:t>
            </w:r>
            <w:r w:rsidR="00FE56E8" w:rsidRPr="00DE15E9">
              <w:rPr>
                <w:rFonts w:ascii="Times New Roman" w:hAnsi="Times New Roman" w:cs="Times New Roman"/>
                <w:sz w:val="20"/>
                <w:szCs w:val="20"/>
              </w:rPr>
              <w:t>lit.</w:t>
            </w:r>
            <w:r w:rsidR="00FE56E8" w:rsidRPr="00DE15E9">
              <w:rPr>
                <w:rFonts w:ascii="Times New Roman" w:hAnsi="Times New Roman" w:cs="Times New Roman"/>
                <w:spacing w:val="-4"/>
                <w:sz w:val="20"/>
                <w:szCs w:val="20"/>
              </w:rPr>
              <w:t xml:space="preserve"> </w:t>
            </w:r>
            <w:r w:rsidR="00FE56E8" w:rsidRPr="00DE15E9">
              <w:rPr>
                <w:rFonts w:ascii="Times New Roman" w:hAnsi="Times New Roman" w:cs="Times New Roman"/>
                <w:sz w:val="20"/>
                <w:szCs w:val="20"/>
              </w:rPr>
              <w:t>d)</w:t>
            </w:r>
            <w:r w:rsidR="00FE56E8" w:rsidRPr="00DE15E9">
              <w:rPr>
                <w:rFonts w:ascii="Times New Roman" w:hAnsi="Times New Roman" w:cs="Times New Roman"/>
                <w:spacing w:val="-4"/>
                <w:sz w:val="20"/>
                <w:szCs w:val="20"/>
              </w:rPr>
              <w:t xml:space="preserve"> </w:t>
            </w:r>
            <w:r w:rsidR="00FE56E8" w:rsidRPr="00DE15E9">
              <w:rPr>
                <w:rFonts w:ascii="Times New Roman" w:hAnsi="Times New Roman" w:cs="Times New Roman"/>
                <w:sz w:val="20"/>
                <w:szCs w:val="20"/>
              </w:rPr>
              <w:t>și</w:t>
            </w:r>
            <w:r w:rsidR="00FE56E8" w:rsidRPr="00DE15E9">
              <w:rPr>
                <w:rFonts w:ascii="Times New Roman" w:hAnsi="Times New Roman" w:cs="Times New Roman"/>
                <w:spacing w:val="-2"/>
                <w:sz w:val="20"/>
                <w:szCs w:val="20"/>
              </w:rPr>
              <w:t xml:space="preserve"> </w:t>
            </w:r>
            <w:r w:rsidR="00FE56E8" w:rsidRPr="00DE15E9">
              <w:rPr>
                <w:rFonts w:ascii="Times New Roman" w:hAnsi="Times New Roman" w:cs="Times New Roman"/>
                <w:spacing w:val="-5"/>
                <w:sz w:val="20"/>
                <w:szCs w:val="20"/>
              </w:rPr>
              <w:t>e).</w:t>
            </w:r>
          </w:p>
          <w:p w14:paraId="6679D52B" w14:textId="3F444ED6" w:rsidR="00E0260F" w:rsidRPr="00DE15E9" w:rsidRDefault="00E0260F" w:rsidP="00DE15E9">
            <w:pPr>
              <w:pStyle w:val="ListParagraph"/>
              <w:tabs>
                <w:tab w:val="left" w:pos="311"/>
              </w:tabs>
              <w:spacing w:after="0" w:line="240" w:lineRule="auto"/>
              <w:ind w:left="0"/>
              <w:jc w:val="both"/>
              <w:rPr>
                <w:rFonts w:ascii="Times New Roman" w:eastAsia="Times New Roman" w:hAnsi="Times New Roman" w:cs="Times New Roman"/>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6AF3ADA8" w14:textId="0E99524D" w:rsidR="00E0260F" w:rsidRPr="00DE15E9" w:rsidRDefault="00FE56E8" w:rsidP="00DE15E9">
            <w:pPr>
              <w:pStyle w:val="isselectedend"/>
              <w:spacing w:before="0" w:beforeAutospacing="0" w:after="0" w:afterAutospacing="0"/>
              <w:jc w:val="both"/>
              <w:rPr>
                <w:sz w:val="20"/>
                <w:szCs w:val="20"/>
              </w:rPr>
            </w:pPr>
            <w:r w:rsidRPr="00DE15E9">
              <w:rPr>
                <w:sz w:val="20"/>
                <w:szCs w:val="20"/>
              </w:rPr>
              <w:t>f) to periodically publish the decisions adopted pursuant to points d) and e).</w:t>
            </w:r>
          </w:p>
        </w:tc>
        <w:tc>
          <w:tcPr>
            <w:tcW w:w="1276" w:type="dxa"/>
            <w:tcBorders>
              <w:top w:val="single" w:sz="4" w:space="0" w:color="000000"/>
              <w:left w:val="single" w:sz="4" w:space="0" w:color="000000"/>
              <w:bottom w:val="single" w:sz="4" w:space="0" w:color="000000"/>
              <w:right w:val="single" w:sz="4" w:space="0" w:color="000000"/>
            </w:tcBorders>
          </w:tcPr>
          <w:p w14:paraId="2159FA7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13EAB1ED" w14:textId="3828C1A3"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2DB88CE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1F845EC0" w14:textId="77777777" w:rsidTr="00033703">
        <w:tc>
          <w:tcPr>
            <w:tcW w:w="430" w:type="dxa"/>
            <w:tcBorders>
              <w:top w:val="single" w:sz="4" w:space="0" w:color="000000"/>
              <w:left w:val="single" w:sz="4" w:space="0" w:color="000000"/>
              <w:bottom w:val="single" w:sz="4" w:space="0" w:color="000000"/>
              <w:right w:val="single" w:sz="4" w:space="0" w:color="000000"/>
            </w:tcBorders>
          </w:tcPr>
          <w:p w14:paraId="0ECA1529"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59</w:t>
            </w:r>
          </w:p>
        </w:tc>
        <w:tc>
          <w:tcPr>
            <w:tcW w:w="2547" w:type="dxa"/>
            <w:tcBorders>
              <w:top w:val="single" w:sz="4" w:space="0" w:color="000000"/>
              <w:left w:val="single" w:sz="4" w:space="0" w:color="000000"/>
              <w:bottom w:val="single" w:sz="4" w:space="0" w:color="000000"/>
              <w:right w:val="single" w:sz="4" w:space="0" w:color="000000"/>
            </w:tcBorders>
          </w:tcPr>
          <w:p w14:paraId="799A70F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 xml:space="preserve">Sancțiunile menționate la primul paragraf litera (e) trebuie să fie eficace, proporționale și disuasive și </w:t>
            </w:r>
            <w:bookmarkStart w:id="1" w:name="_Hlk216103428"/>
            <w:r w:rsidRPr="00DE15E9">
              <w:rPr>
                <w:rFonts w:ascii="Times New Roman" w:hAnsi="Times New Roman" w:cs="Times New Roman"/>
                <w:sz w:val="20"/>
                <w:szCs w:val="20"/>
                <w:shd w:val="clear" w:color="auto" w:fill="FFFFFF"/>
                <w:lang w:val="ro-MD"/>
              </w:rPr>
              <w:t>să țină seama de natura, durata, recurența și gravitatea încălcării</w:t>
            </w:r>
            <w:bookmarkEnd w:id="1"/>
            <w:r w:rsidRPr="00DE15E9">
              <w:rPr>
                <w:rFonts w:ascii="Times New Roman" w:hAnsi="Times New Roman" w:cs="Times New Roman"/>
                <w:sz w:val="20"/>
                <w:szCs w:val="20"/>
                <w:shd w:val="clear" w:color="auto" w:fill="FFFFFF"/>
                <w:lang w:val="ro-MD"/>
              </w:rPr>
              <w:t>.</w:t>
            </w:r>
          </w:p>
        </w:tc>
        <w:tc>
          <w:tcPr>
            <w:tcW w:w="2552" w:type="dxa"/>
            <w:tcBorders>
              <w:top w:val="single" w:sz="4" w:space="0" w:color="000000"/>
              <w:left w:val="single" w:sz="4" w:space="0" w:color="000000"/>
              <w:bottom w:val="single" w:sz="4" w:space="0" w:color="000000"/>
              <w:right w:val="single" w:sz="4" w:space="0" w:color="000000"/>
            </w:tcBorders>
          </w:tcPr>
          <w:p w14:paraId="34ED11A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The penalties referred to in point (e) of the first subparagraph shall be effective, proportionate and dissuasive, taking into account the nature, duration, recurrence and gravity of the infringement.</w:t>
            </w:r>
          </w:p>
        </w:tc>
        <w:tc>
          <w:tcPr>
            <w:tcW w:w="2693" w:type="dxa"/>
            <w:tcBorders>
              <w:top w:val="single" w:sz="4" w:space="0" w:color="000000"/>
              <w:left w:val="single" w:sz="4" w:space="0" w:color="000000"/>
              <w:bottom w:val="single" w:sz="4" w:space="0" w:color="000000"/>
              <w:right w:val="single" w:sz="4" w:space="0" w:color="000000"/>
            </w:tcBorders>
          </w:tcPr>
          <w:p w14:paraId="153F4C3D" w14:textId="77777777" w:rsidR="00115BDF" w:rsidRPr="00DE15E9" w:rsidRDefault="00115BDF" w:rsidP="00DE15E9">
            <w:pPr>
              <w:spacing w:after="0" w:line="240" w:lineRule="auto"/>
              <w:jc w:val="both"/>
              <w:rPr>
                <w:rFonts w:ascii="Times New Roman" w:eastAsiaTheme="minorHAnsi" w:hAnsi="Times New Roman" w:cs="Times New Roman"/>
                <w:bCs/>
                <w:sz w:val="20"/>
                <w:szCs w:val="20"/>
              </w:rPr>
            </w:pPr>
            <w:r w:rsidRPr="00DE15E9">
              <w:rPr>
                <w:rFonts w:ascii="Times New Roman" w:hAnsi="Times New Roman" w:cs="Times New Roman"/>
                <w:bCs/>
                <w:sz w:val="20"/>
                <w:szCs w:val="20"/>
              </w:rPr>
              <w:t>Articolul  15. Individualizarea amenzii</w:t>
            </w:r>
          </w:p>
          <w:p w14:paraId="385C6FBE" w14:textId="77777777" w:rsidR="00115BDF" w:rsidRPr="00DE15E9" w:rsidRDefault="00115BDF" w:rsidP="00DE15E9">
            <w:pPr>
              <w:pStyle w:val="ListParagraph"/>
              <w:numPr>
                <w:ilvl w:val="0"/>
                <w:numId w:val="22"/>
              </w:numPr>
              <w:spacing w:after="0" w:line="240" w:lineRule="auto"/>
              <w:ind w:left="0" w:firstLine="426"/>
              <w:jc w:val="both"/>
              <w:rPr>
                <w:rFonts w:ascii="Times New Roman" w:hAnsi="Times New Roman" w:cs="Times New Roman"/>
                <w:sz w:val="20"/>
                <w:szCs w:val="20"/>
              </w:rPr>
            </w:pPr>
            <w:r w:rsidRPr="00DE15E9">
              <w:rPr>
                <w:rFonts w:ascii="Times New Roman" w:hAnsi="Times New Roman" w:cs="Times New Roman"/>
                <w:sz w:val="20"/>
                <w:szCs w:val="20"/>
              </w:rPr>
              <w:t xml:space="preserve"> La individualizarea amenzii, Consiliul Concurenței ține seama de gravitatea, durata și consecințele încălcării, de circumstanțele agravante și atenuante, precum și de comportamentul întreprinderii în cadrul procedurii, potrivit Legii concurenței nr. 183/2012, în măsura în care prezenta lege nu prevede altfel.</w:t>
            </w:r>
          </w:p>
          <w:p w14:paraId="1887BC09" w14:textId="1CCC40AB" w:rsidR="00E0260F" w:rsidRPr="00DE15E9" w:rsidRDefault="00115BDF" w:rsidP="00DE15E9">
            <w:pPr>
              <w:pStyle w:val="ListParagraph"/>
              <w:numPr>
                <w:ilvl w:val="0"/>
                <w:numId w:val="22"/>
              </w:numPr>
              <w:spacing w:after="0" w:line="240" w:lineRule="auto"/>
              <w:ind w:left="0" w:firstLine="426"/>
              <w:jc w:val="both"/>
              <w:rPr>
                <w:rFonts w:ascii="Times New Roman" w:hAnsi="Times New Roman" w:cs="Times New Roman"/>
                <w:sz w:val="20"/>
                <w:szCs w:val="20"/>
              </w:rPr>
            </w:pPr>
            <w:r w:rsidRPr="00DE15E9">
              <w:rPr>
                <w:rFonts w:ascii="Times New Roman" w:hAnsi="Times New Roman" w:cs="Times New Roman"/>
                <w:sz w:val="20"/>
                <w:szCs w:val="20"/>
              </w:rPr>
              <w:t xml:space="preserve"> Consiliul Concurenței poate aplica penalități cu titlu cominatoriu, în condițiile Legii concurenței nr. 183/2012, pentru a determina întreprinderea să înceteze practica comercială </w:t>
            </w:r>
            <w:r w:rsidRPr="00DE15E9">
              <w:rPr>
                <w:rFonts w:ascii="Times New Roman" w:hAnsi="Times New Roman" w:cs="Times New Roman"/>
                <w:sz w:val="20"/>
                <w:szCs w:val="20"/>
              </w:rPr>
              <w:lastRenderedPageBreak/>
              <w:t>neloială, să respecte măsurile dispuse prin decizie, să furnizeze informațiile și documentele solicitate sau să se supună inspecției efectuate potrivit legii.</w:t>
            </w:r>
          </w:p>
        </w:tc>
        <w:tc>
          <w:tcPr>
            <w:tcW w:w="2693" w:type="dxa"/>
            <w:tcBorders>
              <w:top w:val="single" w:sz="4" w:space="0" w:color="000000"/>
              <w:left w:val="single" w:sz="4" w:space="0" w:color="000000"/>
              <w:bottom w:val="single" w:sz="4" w:space="0" w:color="000000"/>
              <w:right w:val="single" w:sz="4" w:space="0" w:color="000000"/>
            </w:tcBorders>
          </w:tcPr>
          <w:p w14:paraId="4C0A4F59" w14:textId="77777777" w:rsidR="00115BDF" w:rsidRPr="00DE15E9" w:rsidRDefault="00115BDF" w:rsidP="00DE15E9">
            <w:pPr>
              <w:pStyle w:val="isselectedend"/>
              <w:spacing w:before="0" w:beforeAutospacing="0" w:after="0" w:afterAutospacing="0"/>
              <w:jc w:val="both"/>
              <w:rPr>
                <w:sz w:val="20"/>
                <w:szCs w:val="20"/>
              </w:rPr>
            </w:pPr>
            <w:r w:rsidRPr="00DE15E9">
              <w:rPr>
                <w:sz w:val="20"/>
                <w:szCs w:val="20"/>
              </w:rPr>
              <w:lastRenderedPageBreak/>
              <w:t>Article 15. Determination of the fine</w:t>
            </w:r>
          </w:p>
          <w:p w14:paraId="4292ECD6" w14:textId="77777777" w:rsidR="00115BDF" w:rsidRPr="00DE15E9" w:rsidRDefault="00115BDF" w:rsidP="00DE15E9">
            <w:pPr>
              <w:pStyle w:val="isselectedend"/>
              <w:spacing w:before="0" w:beforeAutospacing="0" w:after="0" w:afterAutospacing="0"/>
              <w:jc w:val="both"/>
              <w:rPr>
                <w:sz w:val="20"/>
                <w:szCs w:val="20"/>
              </w:rPr>
            </w:pPr>
            <w:r w:rsidRPr="00DE15E9">
              <w:rPr>
                <w:sz w:val="20"/>
                <w:szCs w:val="20"/>
              </w:rPr>
              <w:t>(1) When determining the fine, the Competition Council shall take into account the gravity, duration and consequences of the infringement, the aggravating and mitigating circumstances, as well as the conduct of the undertaking during the procedure, in accordance with Competition Law No. 183/2012, in so far as this Law does not provide otherwise.</w:t>
            </w:r>
          </w:p>
          <w:p w14:paraId="2A455D9E" w14:textId="3643B0E4" w:rsidR="00E0260F" w:rsidRPr="00DE15E9" w:rsidRDefault="00115BDF" w:rsidP="00DE15E9">
            <w:pPr>
              <w:pStyle w:val="NormalWeb"/>
              <w:spacing w:before="0" w:beforeAutospacing="0" w:after="0" w:afterAutospacing="0"/>
              <w:jc w:val="both"/>
              <w:rPr>
                <w:sz w:val="20"/>
                <w:szCs w:val="20"/>
              </w:rPr>
            </w:pPr>
            <w:r w:rsidRPr="00DE15E9">
              <w:rPr>
                <w:sz w:val="20"/>
                <w:szCs w:val="20"/>
              </w:rPr>
              <w:t xml:space="preserve">(2) The Competition Council may impose periodic penalty payments, under the conditions laid down in Competition Law No. 183/2012, in order to compel the undertaking to </w:t>
            </w:r>
            <w:r w:rsidRPr="00DE15E9">
              <w:rPr>
                <w:sz w:val="20"/>
                <w:szCs w:val="20"/>
              </w:rPr>
              <w:lastRenderedPageBreak/>
              <w:t>cease the unfair trading practice, comply with the measures ordered by decision, provide the requested information and documents, or submit to an inspection carried out in accordance with the law.</w:t>
            </w:r>
          </w:p>
        </w:tc>
        <w:tc>
          <w:tcPr>
            <w:tcW w:w="1276" w:type="dxa"/>
            <w:tcBorders>
              <w:top w:val="single" w:sz="4" w:space="0" w:color="000000"/>
              <w:left w:val="single" w:sz="4" w:space="0" w:color="000000"/>
              <w:bottom w:val="single" w:sz="4" w:space="0" w:color="000000"/>
              <w:right w:val="single" w:sz="4" w:space="0" w:color="000000"/>
            </w:tcBorders>
          </w:tcPr>
          <w:p w14:paraId="422540A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Compatibil</w:t>
            </w:r>
          </w:p>
        </w:tc>
        <w:tc>
          <w:tcPr>
            <w:tcW w:w="1985" w:type="dxa"/>
            <w:tcBorders>
              <w:top w:val="single" w:sz="4" w:space="0" w:color="000000"/>
              <w:left w:val="single" w:sz="4" w:space="0" w:color="000000"/>
              <w:bottom w:val="single" w:sz="4" w:space="0" w:color="000000"/>
              <w:right w:val="single" w:sz="4" w:space="0" w:color="000000"/>
            </w:tcBorders>
          </w:tcPr>
          <w:p w14:paraId="2A2E20B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Stabilite criterii de individualizare a sancțiunilor </w:t>
            </w:r>
          </w:p>
          <w:p w14:paraId="46AA8C8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17DD4A9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2E3C5DBC" w14:textId="77777777" w:rsidTr="00033703">
        <w:trPr>
          <w:trHeight w:val="3501"/>
        </w:trPr>
        <w:tc>
          <w:tcPr>
            <w:tcW w:w="430" w:type="dxa"/>
            <w:tcBorders>
              <w:top w:val="single" w:sz="4" w:space="0" w:color="000000"/>
              <w:left w:val="single" w:sz="4" w:space="0" w:color="000000"/>
              <w:bottom w:val="single" w:sz="4" w:space="0" w:color="000000"/>
              <w:right w:val="single" w:sz="4" w:space="0" w:color="000000"/>
            </w:tcBorders>
          </w:tcPr>
          <w:p w14:paraId="3433ACF0"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60</w:t>
            </w:r>
          </w:p>
        </w:tc>
        <w:tc>
          <w:tcPr>
            <w:tcW w:w="2547" w:type="dxa"/>
            <w:tcBorders>
              <w:top w:val="single" w:sz="4" w:space="0" w:color="000000"/>
              <w:left w:val="single" w:sz="4" w:space="0" w:color="000000"/>
              <w:bottom w:val="single" w:sz="4" w:space="0" w:color="000000"/>
              <w:right w:val="single" w:sz="4" w:space="0" w:color="000000"/>
            </w:tcBorders>
          </w:tcPr>
          <w:p w14:paraId="3D7E4E1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(2)   Statele membre se asigură că exercitarea competențelor menționate la alineatul (1) face obiectul unor garanții adecvate în ceea ce privește drepturile la apărare, în conformitate cu principiile generale ale dreptului Uniunii și cu Carta drepturilor fundamentale a Uniunii Europene, inclusiv în cazurile în care reclamantul solicită tratamentul confidențial al informațiilor în temeiul articolului 5 alineatul (3).</w:t>
            </w:r>
          </w:p>
        </w:tc>
        <w:tc>
          <w:tcPr>
            <w:tcW w:w="2552" w:type="dxa"/>
            <w:tcBorders>
              <w:top w:val="single" w:sz="4" w:space="0" w:color="000000"/>
              <w:left w:val="single" w:sz="4" w:space="0" w:color="000000"/>
              <w:bottom w:val="single" w:sz="4" w:space="0" w:color="000000"/>
              <w:right w:val="single" w:sz="4" w:space="0" w:color="000000"/>
            </w:tcBorders>
          </w:tcPr>
          <w:p w14:paraId="3186156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2.   Member States shall ensure that the exercise of the powers referred to in paragraph 1 is subject to appropriate safeguards in respect of rights of defence, in accordance with the general principles of Union law and the Charter of Fundamental Rights of the European Union, including in cases where the complainant requests confidential treatment of information pursuant to Article 5(3).</w:t>
            </w:r>
          </w:p>
        </w:tc>
        <w:tc>
          <w:tcPr>
            <w:tcW w:w="2693" w:type="dxa"/>
            <w:tcBorders>
              <w:top w:val="single" w:sz="4" w:space="0" w:color="000000"/>
              <w:left w:val="single" w:sz="4" w:space="0" w:color="000000"/>
              <w:bottom w:val="single" w:sz="4" w:space="0" w:color="000000"/>
              <w:right w:val="single" w:sz="4" w:space="0" w:color="000000"/>
            </w:tcBorders>
          </w:tcPr>
          <w:p w14:paraId="1284E330" w14:textId="69B89031" w:rsidR="00C63E26" w:rsidRPr="00DE15E9" w:rsidRDefault="00C63E26" w:rsidP="00DE15E9">
            <w:pPr>
              <w:spacing w:after="0" w:line="240" w:lineRule="auto"/>
              <w:jc w:val="both"/>
              <w:rPr>
                <w:rFonts w:ascii="Times New Roman" w:hAnsi="Times New Roman" w:cs="Times New Roman"/>
                <w:sz w:val="20"/>
                <w:szCs w:val="20"/>
              </w:rPr>
            </w:pPr>
            <w:r w:rsidRPr="00DE15E9">
              <w:rPr>
                <w:rFonts w:ascii="Times New Roman" w:hAnsi="Times New Roman" w:cs="Times New Roman"/>
                <w:sz w:val="20"/>
                <w:szCs w:val="20"/>
              </w:rPr>
              <w:t>Articolul 7.</w:t>
            </w:r>
          </w:p>
          <w:p w14:paraId="3E7D7720" w14:textId="085A7D48" w:rsidR="00115BDF" w:rsidRPr="00DE15E9" w:rsidRDefault="00115BDF" w:rsidP="00DE15E9">
            <w:pPr>
              <w:spacing w:after="0" w:line="240" w:lineRule="auto"/>
              <w:jc w:val="both"/>
              <w:rPr>
                <w:rFonts w:ascii="Times New Roman" w:eastAsiaTheme="minorHAnsi" w:hAnsi="Times New Roman" w:cs="Times New Roman"/>
                <w:b/>
                <w:sz w:val="20"/>
                <w:szCs w:val="20"/>
              </w:rPr>
            </w:pPr>
            <w:r w:rsidRPr="00DE15E9">
              <w:rPr>
                <w:rFonts w:ascii="Times New Roman" w:hAnsi="Times New Roman" w:cs="Times New Roman"/>
                <w:sz w:val="20"/>
                <w:szCs w:val="20"/>
              </w:rPr>
              <w:t>(4) La exercitarea atribuțiilor stabilite la alin. (3) se asigură garanții adecvate în ceea ce privește drepturile la apărare, în conformitate cu principiile generale ale dreptului Uniunii și cu Carta drepturilor fundamentale a Uniunii Europene, inclusiv în cazurile în care reclamantul solicită</w:t>
            </w:r>
            <w:r w:rsidRPr="00DE15E9">
              <w:rPr>
                <w:rFonts w:ascii="Times New Roman" w:hAnsi="Times New Roman" w:cs="Times New Roman"/>
                <w:spacing w:val="40"/>
                <w:sz w:val="20"/>
                <w:szCs w:val="20"/>
              </w:rPr>
              <w:t xml:space="preserve"> </w:t>
            </w:r>
            <w:r w:rsidRPr="00DE15E9">
              <w:rPr>
                <w:rFonts w:ascii="Times New Roman" w:hAnsi="Times New Roman" w:cs="Times New Roman"/>
                <w:sz w:val="20"/>
                <w:szCs w:val="20"/>
              </w:rPr>
              <w:t>tratamentul de confidențial al informațiilor în temeiul art. 8 alin. (6).</w:t>
            </w:r>
          </w:p>
          <w:p w14:paraId="34C39794" w14:textId="6A5AF532"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286F9A6B" w14:textId="4073BBD0" w:rsidR="00C63E26" w:rsidRPr="00DE15E9" w:rsidRDefault="00C63E26" w:rsidP="00DE15E9">
            <w:pPr>
              <w:pStyle w:val="isselectedend"/>
              <w:spacing w:before="0" w:beforeAutospacing="0" w:after="0" w:afterAutospacing="0"/>
              <w:jc w:val="both"/>
              <w:rPr>
                <w:sz w:val="20"/>
                <w:szCs w:val="20"/>
              </w:rPr>
            </w:pPr>
            <w:r w:rsidRPr="00DE15E9">
              <w:rPr>
                <w:sz w:val="20"/>
                <w:szCs w:val="20"/>
              </w:rPr>
              <w:t>Article 7.</w:t>
            </w:r>
          </w:p>
          <w:p w14:paraId="4E9AC9BA" w14:textId="688098B7" w:rsidR="00E0260F" w:rsidRPr="00DE15E9" w:rsidRDefault="00115BDF" w:rsidP="00DE15E9">
            <w:pPr>
              <w:pStyle w:val="isselectedend"/>
              <w:spacing w:before="0" w:beforeAutospacing="0" w:after="0" w:afterAutospacing="0"/>
              <w:jc w:val="both"/>
              <w:rPr>
                <w:sz w:val="20"/>
                <w:szCs w:val="20"/>
              </w:rPr>
            </w:pPr>
            <w:r w:rsidRPr="00DE15E9">
              <w:rPr>
                <w:sz w:val="20"/>
                <w:szCs w:val="20"/>
              </w:rPr>
              <w:t>(4) In exercising the powers laid down in paragraph (3), appropriate safeguards shall be ensured with regard to the rights of defence, in accordance with the general principles of Union law and the Charter of Fundamental Rights of the European Union, including in cases where the complainant requests confidential treatment of information pursuant to Article 8(6).</w:t>
            </w:r>
          </w:p>
        </w:tc>
        <w:tc>
          <w:tcPr>
            <w:tcW w:w="1276" w:type="dxa"/>
            <w:tcBorders>
              <w:top w:val="single" w:sz="4" w:space="0" w:color="000000"/>
              <w:left w:val="single" w:sz="4" w:space="0" w:color="000000"/>
              <w:bottom w:val="single" w:sz="4" w:space="0" w:color="000000"/>
              <w:right w:val="single" w:sz="4" w:space="0" w:color="000000"/>
            </w:tcBorders>
          </w:tcPr>
          <w:p w14:paraId="2339D0E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Compatibil</w:t>
            </w:r>
          </w:p>
        </w:tc>
        <w:tc>
          <w:tcPr>
            <w:tcW w:w="1985" w:type="dxa"/>
            <w:tcBorders>
              <w:top w:val="single" w:sz="4" w:space="0" w:color="000000"/>
              <w:left w:val="single" w:sz="4" w:space="0" w:color="000000"/>
              <w:bottom w:val="single" w:sz="4" w:space="0" w:color="000000"/>
              <w:right w:val="single" w:sz="4" w:space="0" w:color="000000"/>
            </w:tcBorders>
          </w:tcPr>
          <w:p w14:paraId="7C1093DF" w14:textId="17FA3043"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2305BD5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00D176FD" w14:textId="77777777" w:rsidTr="00033703">
        <w:tc>
          <w:tcPr>
            <w:tcW w:w="430" w:type="dxa"/>
            <w:tcBorders>
              <w:top w:val="single" w:sz="4" w:space="0" w:color="000000"/>
              <w:left w:val="single" w:sz="4" w:space="0" w:color="000000"/>
              <w:bottom w:val="single" w:sz="4" w:space="0" w:color="000000"/>
              <w:right w:val="single" w:sz="4" w:space="0" w:color="000000"/>
            </w:tcBorders>
          </w:tcPr>
          <w:p w14:paraId="5CE4CD9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61</w:t>
            </w:r>
          </w:p>
        </w:tc>
        <w:tc>
          <w:tcPr>
            <w:tcW w:w="2547" w:type="dxa"/>
            <w:tcBorders>
              <w:top w:val="single" w:sz="4" w:space="0" w:color="000000"/>
              <w:left w:val="single" w:sz="4" w:space="0" w:color="000000"/>
              <w:bottom w:val="single" w:sz="4" w:space="0" w:color="000000"/>
              <w:right w:val="single" w:sz="4" w:space="0" w:color="000000"/>
            </w:tcBorders>
          </w:tcPr>
          <w:p w14:paraId="50AEE61A" w14:textId="77777777" w:rsidR="00E0260F" w:rsidRPr="00DE15E9" w:rsidRDefault="00E0260F" w:rsidP="00DE15E9">
            <w:pPr>
              <w:spacing w:after="0" w:line="240" w:lineRule="auto"/>
              <w:jc w:val="both"/>
              <w:rPr>
                <w:rFonts w:ascii="Times New Roman" w:eastAsia="Times New Roman" w:hAnsi="Times New Roman" w:cs="Times New Roman"/>
                <w:b/>
                <w:sz w:val="20"/>
                <w:szCs w:val="20"/>
                <w:lang w:val="ro-MD"/>
              </w:rPr>
            </w:pPr>
            <w:r w:rsidRPr="00DE15E9">
              <w:rPr>
                <w:rFonts w:ascii="Times New Roman" w:eastAsia="Times New Roman" w:hAnsi="Times New Roman" w:cs="Times New Roman"/>
                <w:b/>
                <w:sz w:val="20"/>
                <w:szCs w:val="20"/>
                <w:lang w:val="ro-MD"/>
              </w:rPr>
              <w:t>Articolul 7</w:t>
            </w:r>
          </w:p>
          <w:p w14:paraId="60BE56A6" w14:textId="77777777" w:rsidR="00E0260F" w:rsidRPr="00DE15E9" w:rsidRDefault="00E0260F" w:rsidP="00DE15E9">
            <w:pPr>
              <w:pStyle w:val="oj-sti-art"/>
              <w:shd w:val="clear" w:color="auto" w:fill="FFFFFF"/>
              <w:spacing w:before="0" w:beforeAutospacing="0" w:after="0" w:afterAutospacing="0"/>
              <w:jc w:val="center"/>
              <w:rPr>
                <w:b/>
                <w:bCs/>
                <w:sz w:val="20"/>
                <w:szCs w:val="20"/>
                <w:lang w:val="ro-MD"/>
              </w:rPr>
            </w:pPr>
            <w:r w:rsidRPr="00DE15E9">
              <w:rPr>
                <w:b/>
                <w:bCs/>
                <w:sz w:val="20"/>
                <w:szCs w:val="20"/>
                <w:lang w:val="ro-MD"/>
              </w:rPr>
              <w:t>Proceduri alternative de soluționare a litigiilor</w:t>
            </w:r>
          </w:p>
          <w:p w14:paraId="3926D486" w14:textId="00CDA2A9" w:rsidR="00E0260F" w:rsidRPr="00DE15E9" w:rsidRDefault="00E0260F" w:rsidP="00DE15E9">
            <w:pPr>
              <w:pStyle w:val="oj-normal"/>
              <w:shd w:val="clear" w:color="auto" w:fill="FFFFFF"/>
              <w:spacing w:before="0" w:beforeAutospacing="0" w:after="0" w:afterAutospacing="0"/>
              <w:jc w:val="both"/>
              <w:rPr>
                <w:sz w:val="20"/>
                <w:szCs w:val="20"/>
                <w:lang w:val="ro-MD"/>
              </w:rPr>
            </w:pPr>
            <w:r w:rsidRPr="00DE15E9">
              <w:rPr>
                <w:sz w:val="20"/>
                <w:szCs w:val="20"/>
                <w:lang w:val="ro-MD"/>
              </w:rPr>
              <w:t xml:space="preserve">Fără a aduce atingere dreptului furnizorilor de a depune plângeri în temeiul articolului 5 și competențelor autorităților de aplicare a legii în temeiul articolului 6, statele membre pot promova utilizarea voluntară a unor mecanisme alternative de soluționare eficace și independentă a litigiilor, cum ar fi medierea, în vederea soluționării litigiilor </w:t>
            </w:r>
            <w:r w:rsidRPr="00DE15E9">
              <w:rPr>
                <w:sz w:val="20"/>
                <w:szCs w:val="20"/>
                <w:lang w:val="ro-MD"/>
              </w:rPr>
              <w:lastRenderedPageBreak/>
              <w:t>dintre furnizori și cumpărători în ceea ce privește utilizarea practicilor comerciale neloiale de către cumpărător.</w:t>
            </w:r>
          </w:p>
        </w:tc>
        <w:tc>
          <w:tcPr>
            <w:tcW w:w="2552" w:type="dxa"/>
            <w:tcBorders>
              <w:top w:val="single" w:sz="4" w:space="0" w:color="000000"/>
              <w:left w:val="single" w:sz="4" w:space="0" w:color="000000"/>
              <w:bottom w:val="single" w:sz="4" w:space="0" w:color="000000"/>
              <w:right w:val="single" w:sz="4" w:space="0" w:color="000000"/>
            </w:tcBorders>
          </w:tcPr>
          <w:p w14:paraId="21B3EF60" w14:textId="77777777" w:rsidR="00E0260F" w:rsidRPr="00DE15E9" w:rsidRDefault="00E0260F" w:rsidP="00DE15E9">
            <w:pPr>
              <w:spacing w:after="0" w:line="240" w:lineRule="auto"/>
              <w:jc w:val="both"/>
              <w:rPr>
                <w:rFonts w:ascii="Times New Roman" w:eastAsia="Times New Roman" w:hAnsi="Times New Roman" w:cs="Times New Roman"/>
                <w:b/>
                <w:sz w:val="20"/>
                <w:szCs w:val="20"/>
                <w:lang w:val="en-GB"/>
              </w:rPr>
            </w:pPr>
            <w:r w:rsidRPr="00DE15E9">
              <w:rPr>
                <w:rFonts w:ascii="Times New Roman" w:eastAsia="Times New Roman" w:hAnsi="Times New Roman" w:cs="Times New Roman"/>
                <w:b/>
                <w:sz w:val="20"/>
                <w:szCs w:val="20"/>
                <w:lang w:val="en-GB"/>
              </w:rPr>
              <w:lastRenderedPageBreak/>
              <w:t>Article 7</w:t>
            </w:r>
          </w:p>
          <w:p w14:paraId="0EF2FAE3" w14:textId="77777777" w:rsidR="00E0260F" w:rsidRPr="00DE15E9" w:rsidRDefault="00E0260F" w:rsidP="00DE15E9">
            <w:pPr>
              <w:pStyle w:val="oj-sti-art"/>
              <w:shd w:val="clear" w:color="auto" w:fill="FFFFFF"/>
              <w:spacing w:before="0" w:beforeAutospacing="0" w:after="0" w:afterAutospacing="0"/>
              <w:jc w:val="center"/>
              <w:rPr>
                <w:b/>
                <w:bCs/>
                <w:sz w:val="20"/>
                <w:szCs w:val="20"/>
                <w:lang w:val="en-GB"/>
              </w:rPr>
            </w:pPr>
            <w:r w:rsidRPr="00DE15E9">
              <w:rPr>
                <w:b/>
                <w:bCs/>
                <w:sz w:val="20"/>
                <w:szCs w:val="20"/>
                <w:lang w:val="en-GB"/>
              </w:rPr>
              <w:t>Alternative dispute resolution</w:t>
            </w:r>
          </w:p>
          <w:p w14:paraId="1A8F951C" w14:textId="77777777" w:rsidR="00E0260F" w:rsidRPr="00DE15E9" w:rsidRDefault="00E0260F" w:rsidP="00DE15E9">
            <w:pPr>
              <w:pStyle w:val="oj-normal"/>
              <w:shd w:val="clear" w:color="auto" w:fill="FFFFFF"/>
              <w:spacing w:before="0" w:beforeAutospacing="0" w:after="0" w:afterAutospacing="0"/>
              <w:jc w:val="both"/>
              <w:rPr>
                <w:sz w:val="20"/>
                <w:szCs w:val="20"/>
                <w:lang w:val="en-GB"/>
              </w:rPr>
            </w:pPr>
            <w:r w:rsidRPr="00DE15E9">
              <w:rPr>
                <w:sz w:val="20"/>
                <w:szCs w:val="20"/>
                <w:lang w:val="en-GB"/>
              </w:rPr>
              <w:t xml:space="preserve">Without prejudice to the right of suppliers to submit complaints under Article 5, and the powers of enforcement authorities under Article 6, Member States may promote the voluntary use of effective and independent alternative dispute resolution mechanisms, such as mediation, with a view to the settlement of disputes </w:t>
            </w:r>
            <w:r w:rsidRPr="00DE15E9">
              <w:rPr>
                <w:sz w:val="20"/>
                <w:szCs w:val="20"/>
                <w:lang w:val="en-GB"/>
              </w:rPr>
              <w:lastRenderedPageBreak/>
              <w:t>between suppliers and buyers regarding the use of unfair trading practices by the buyer.</w:t>
            </w:r>
          </w:p>
          <w:p w14:paraId="115800F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072670F6" w14:textId="77777777" w:rsidR="00C63E26" w:rsidRPr="00DE15E9" w:rsidRDefault="00C63E26" w:rsidP="00DE15E9">
            <w:pPr>
              <w:spacing w:after="0" w:line="240" w:lineRule="auto"/>
              <w:ind w:firstLine="426"/>
              <w:jc w:val="both"/>
              <w:rPr>
                <w:rFonts w:ascii="Times New Roman" w:eastAsiaTheme="minorHAnsi" w:hAnsi="Times New Roman" w:cs="Times New Roman"/>
                <w:bCs/>
                <w:sz w:val="20"/>
                <w:szCs w:val="20"/>
                <w:lang w:val="ro-MD"/>
              </w:rPr>
            </w:pPr>
            <w:r w:rsidRPr="00DE15E9">
              <w:rPr>
                <w:rFonts w:ascii="Times New Roman" w:hAnsi="Times New Roman" w:cs="Times New Roman"/>
                <w:bCs/>
                <w:sz w:val="20"/>
                <w:szCs w:val="20"/>
                <w:lang w:val="ro-MD"/>
              </w:rPr>
              <w:lastRenderedPageBreak/>
              <w:t>Articolul 10. Proceduri alternative de soluționare a litigiilor</w:t>
            </w:r>
          </w:p>
          <w:p w14:paraId="3A413D82" w14:textId="6421DF03" w:rsidR="00E0260F" w:rsidRPr="00DE15E9" w:rsidRDefault="00C63E26"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lang w:val="ro-MD"/>
              </w:rPr>
              <w:t xml:space="preserve">Litigiile privind practicile comerciale neloiale pot fi soluționate, înainte de a fi adresate Consiliului Concurenței, pe cale amiabilă, conform Legii nr. </w:t>
            </w:r>
            <w:r w:rsidRPr="00DE15E9">
              <w:rPr>
                <w:rFonts w:ascii="Times New Roman" w:hAnsi="Times New Roman" w:cs="Times New Roman"/>
                <w:sz w:val="20"/>
                <w:szCs w:val="20"/>
              </w:rPr>
              <w:t>9/2026 privind medierea și statutul mediatorului</w:t>
            </w:r>
            <w:r w:rsidRPr="00DE15E9">
              <w:rPr>
                <w:rFonts w:ascii="Times New Roman" w:hAnsi="Times New Roman" w:cs="Times New Roman"/>
                <w:sz w:val="20"/>
                <w:szCs w:val="20"/>
                <w:lang w:val="ro-MD"/>
              </w:rPr>
              <w:t xml:space="preserve"> ori conform Legii nr. 23/2008 cu privire la arbitraj. </w:t>
            </w:r>
            <w:r w:rsidRPr="00DE15E9">
              <w:rPr>
                <w:rFonts w:ascii="Times New Roman" w:hAnsi="Times New Roman" w:cs="Times New Roman"/>
                <w:sz w:val="20"/>
                <w:szCs w:val="20"/>
              </w:rPr>
              <w:t xml:space="preserve">Recurgerea la proceduri alternative de soluționare a litigiilor nu limitează dreptul furnizorului </w:t>
            </w:r>
            <w:r w:rsidRPr="00DE15E9">
              <w:rPr>
                <w:rFonts w:ascii="Times New Roman" w:hAnsi="Times New Roman" w:cs="Times New Roman"/>
                <w:sz w:val="20"/>
                <w:szCs w:val="20"/>
              </w:rPr>
              <w:lastRenderedPageBreak/>
              <w:t>de a depune plângere la Consiliul Concurenței în condițiile prezentei legi</w:t>
            </w:r>
            <w:r w:rsidR="00E0260F" w:rsidRPr="00DE15E9">
              <w:rPr>
                <w:rFonts w:ascii="Times New Roman" w:hAnsi="Times New Roman" w:cs="Times New Roman"/>
                <w:bCs/>
                <w:sz w:val="20"/>
                <w:szCs w:val="20"/>
                <w:lang w:val="ro-MD"/>
              </w:rPr>
              <w:t>.</w:t>
            </w:r>
          </w:p>
        </w:tc>
        <w:tc>
          <w:tcPr>
            <w:tcW w:w="2693" w:type="dxa"/>
            <w:tcBorders>
              <w:top w:val="single" w:sz="4" w:space="0" w:color="000000"/>
              <w:left w:val="single" w:sz="4" w:space="0" w:color="000000"/>
              <w:bottom w:val="single" w:sz="4" w:space="0" w:color="000000"/>
              <w:right w:val="single" w:sz="4" w:space="0" w:color="000000"/>
            </w:tcBorders>
          </w:tcPr>
          <w:p w14:paraId="1F748120" w14:textId="77777777" w:rsidR="00C63E26" w:rsidRPr="00DE15E9" w:rsidRDefault="00C63E26" w:rsidP="00DE15E9">
            <w:pPr>
              <w:pStyle w:val="isselectedend"/>
              <w:spacing w:before="0" w:beforeAutospacing="0" w:after="0" w:afterAutospacing="0"/>
              <w:jc w:val="both"/>
              <w:rPr>
                <w:sz w:val="20"/>
                <w:szCs w:val="20"/>
              </w:rPr>
            </w:pPr>
            <w:r w:rsidRPr="00DE15E9">
              <w:rPr>
                <w:sz w:val="20"/>
                <w:szCs w:val="20"/>
              </w:rPr>
              <w:lastRenderedPageBreak/>
              <w:t>Article 10. Alternative dispute resolution</w:t>
            </w:r>
          </w:p>
          <w:p w14:paraId="538A6EE8" w14:textId="77777777" w:rsidR="00C63E26" w:rsidRPr="00DE15E9" w:rsidRDefault="00C63E26" w:rsidP="00DE15E9">
            <w:pPr>
              <w:pStyle w:val="isselectedend"/>
              <w:spacing w:before="0" w:beforeAutospacing="0" w:after="0" w:afterAutospacing="0"/>
              <w:jc w:val="both"/>
              <w:rPr>
                <w:sz w:val="20"/>
                <w:szCs w:val="20"/>
              </w:rPr>
            </w:pPr>
            <w:r w:rsidRPr="00DE15E9">
              <w:rPr>
                <w:sz w:val="20"/>
                <w:szCs w:val="20"/>
              </w:rPr>
              <w:t xml:space="preserve">Disputes concerning unfair trading practices may be resolved amicably, before being referred to the Competition Council, in accordance with Law No. 9/2026 on mediation and the status of mediators, or in accordance with Law No. 23/2008 on arbitration. Recourse to alternative dispute resolution procedures shall not limit the supplier’s right to lodge a complaint with the </w:t>
            </w:r>
            <w:r w:rsidRPr="00DE15E9">
              <w:rPr>
                <w:sz w:val="20"/>
                <w:szCs w:val="20"/>
              </w:rPr>
              <w:lastRenderedPageBreak/>
              <w:t>Competition Council under the conditions laid down in this Law.</w:t>
            </w:r>
          </w:p>
          <w:p w14:paraId="73E1760C"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B7A91B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Compatibil</w:t>
            </w:r>
          </w:p>
        </w:tc>
        <w:tc>
          <w:tcPr>
            <w:tcW w:w="1985" w:type="dxa"/>
            <w:tcBorders>
              <w:top w:val="single" w:sz="4" w:space="0" w:color="000000"/>
              <w:left w:val="single" w:sz="4" w:space="0" w:color="000000"/>
              <w:bottom w:val="single" w:sz="4" w:space="0" w:color="000000"/>
              <w:right w:val="single" w:sz="4" w:space="0" w:color="000000"/>
            </w:tcBorders>
          </w:tcPr>
          <w:p w14:paraId="1833D30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1732541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0C2B3DD9" w14:textId="77777777" w:rsidTr="00033703">
        <w:tc>
          <w:tcPr>
            <w:tcW w:w="430" w:type="dxa"/>
            <w:tcBorders>
              <w:top w:val="single" w:sz="4" w:space="0" w:color="000000"/>
              <w:left w:val="single" w:sz="4" w:space="0" w:color="000000"/>
              <w:bottom w:val="single" w:sz="4" w:space="0" w:color="000000"/>
              <w:right w:val="single" w:sz="4" w:space="0" w:color="000000"/>
            </w:tcBorders>
          </w:tcPr>
          <w:p w14:paraId="7ECE7FF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62</w:t>
            </w:r>
          </w:p>
        </w:tc>
        <w:tc>
          <w:tcPr>
            <w:tcW w:w="2547" w:type="dxa"/>
            <w:tcBorders>
              <w:top w:val="single" w:sz="4" w:space="0" w:color="000000"/>
              <w:left w:val="single" w:sz="4" w:space="0" w:color="000000"/>
              <w:bottom w:val="single" w:sz="4" w:space="0" w:color="000000"/>
              <w:right w:val="single" w:sz="4" w:space="0" w:color="000000"/>
            </w:tcBorders>
          </w:tcPr>
          <w:p w14:paraId="530FAEC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Articolul 8</w:t>
            </w:r>
          </w:p>
          <w:p w14:paraId="1BAFCB8D" w14:textId="77777777" w:rsidR="00E0260F" w:rsidRPr="00DE15E9" w:rsidRDefault="00E0260F" w:rsidP="00DE15E9">
            <w:pPr>
              <w:pStyle w:val="oj-sti-art"/>
              <w:shd w:val="clear" w:color="auto" w:fill="FFFFFF"/>
              <w:spacing w:before="0" w:beforeAutospacing="0" w:after="0" w:afterAutospacing="0"/>
              <w:jc w:val="center"/>
              <w:rPr>
                <w:b/>
                <w:bCs/>
                <w:sz w:val="20"/>
                <w:szCs w:val="20"/>
                <w:lang w:val="ro-MD"/>
              </w:rPr>
            </w:pPr>
            <w:r w:rsidRPr="00DE15E9">
              <w:rPr>
                <w:b/>
                <w:bCs/>
                <w:sz w:val="20"/>
                <w:szCs w:val="20"/>
                <w:lang w:val="ro-MD"/>
              </w:rPr>
              <w:t>Cooperarea dintre autoritățile de aplicare a legii</w:t>
            </w:r>
          </w:p>
          <w:p w14:paraId="4220A4DB" w14:textId="77777777" w:rsidR="00E0260F" w:rsidRPr="00DE15E9" w:rsidRDefault="00E0260F" w:rsidP="00DE15E9">
            <w:pPr>
              <w:pStyle w:val="oj-normal"/>
              <w:shd w:val="clear" w:color="auto" w:fill="FFFFFF"/>
              <w:spacing w:before="0" w:beforeAutospacing="0" w:after="0" w:afterAutospacing="0"/>
              <w:jc w:val="both"/>
              <w:rPr>
                <w:sz w:val="20"/>
                <w:szCs w:val="20"/>
                <w:lang w:val="ro-MD"/>
              </w:rPr>
            </w:pPr>
            <w:r w:rsidRPr="00DE15E9">
              <w:rPr>
                <w:sz w:val="20"/>
                <w:szCs w:val="20"/>
                <w:lang w:val="ro-MD"/>
              </w:rPr>
              <w:t>(1)   Statele membre se asigură că autoritățile de aplicare a legii cooperează cu eficacitate între ele și cu Comisia și își oferă asistență reciprocă în cazul investigațiilor care au o dimensiune transfrontalieră.</w:t>
            </w:r>
          </w:p>
          <w:p w14:paraId="79614E1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24FD646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Article 8</w:t>
            </w:r>
          </w:p>
          <w:p w14:paraId="2800B4AE" w14:textId="77777777" w:rsidR="00E0260F" w:rsidRPr="00DE15E9" w:rsidRDefault="00E0260F" w:rsidP="00DE15E9">
            <w:pPr>
              <w:pStyle w:val="oj-sti-art"/>
              <w:shd w:val="clear" w:color="auto" w:fill="FFFFFF"/>
              <w:spacing w:before="0" w:beforeAutospacing="0" w:after="0" w:afterAutospacing="0"/>
              <w:jc w:val="center"/>
              <w:rPr>
                <w:b/>
                <w:bCs/>
                <w:sz w:val="20"/>
                <w:szCs w:val="20"/>
                <w:lang w:val="en-GB"/>
              </w:rPr>
            </w:pPr>
            <w:r w:rsidRPr="00DE15E9">
              <w:rPr>
                <w:b/>
                <w:bCs/>
                <w:sz w:val="20"/>
                <w:szCs w:val="20"/>
                <w:lang w:val="en-GB"/>
              </w:rPr>
              <w:t>Cooperation among enforcement authorities</w:t>
            </w:r>
          </w:p>
          <w:p w14:paraId="3E205014" w14:textId="77777777" w:rsidR="00E0260F" w:rsidRPr="00DE15E9" w:rsidRDefault="00E0260F" w:rsidP="00DE15E9">
            <w:pPr>
              <w:pStyle w:val="oj-normal"/>
              <w:shd w:val="clear" w:color="auto" w:fill="FFFFFF"/>
              <w:spacing w:before="0" w:beforeAutospacing="0" w:after="0" w:afterAutospacing="0"/>
              <w:jc w:val="both"/>
              <w:rPr>
                <w:sz w:val="20"/>
                <w:szCs w:val="20"/>
                <w:lang w:val="en-GB"/>
              </w:rPr>
            </w:pPr>
            <w:r w:rsidRPr="00DE15E9">
              <w:rPr>
                <w:sz w:val="20"/>
                <w:szCs w:val="20"/>
                <w:lang w:val="en-GB"/>
              </w:rPr>
              <w:t>1.   Member States shall ensure that enforcement authorities cooperate effectively with each other and with the Commission, and that they provide each other with mutual assistance in investigations that have a cross-border dimension.</w:t>
            </w:r>
          </w:p>
          <w:p w14:paraId="78ACD31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5FC182BC" w14:textId="77777777" w:rsidR="00C63E26" w:rsidRPr="00DE15E9" w:rsidRDefault="00C63E26" w:rsidP="00DE15E9">
            <w:pPr>
              <w:spacing w:after="0" w:line="240" w:lineRule="auto"/>
              <w:ind w:firstLine="426"/>
              <w:jc w:val="both"/>
              <w:rPr>
                <w:rFonts w:ascii="Times New Roman" w:eastAsiaTheme="minorHAnsi" w:hAnsi="Times New Roman" w:cs="Times New Roman"/>
                <w:bCs/>
                <w:sz w:val="20"/>
                <w:szCs w:val="20"/>
                <w:lang w:val="ro-MD"/>
              </w:rPr>
            </w:pPr>
            <w:r w:rsidRPr="00DE15E9">
              <w:rPr>
                <w:rFonts w:ascii="Times New Roman" w:hAnsi="Times New Roman" w:cs="Times New Roman"/>
                <w:bCs/>
                <w:sz w:val="20"/>
                <w:szCs w:val="20"/>
                <w:lang w:val="ro-MD"/>
              </w:rPr>
              <w:t>Articolul 11. Cooperarea dintre autoritățile de aplicare a legii</w:t>
            </w:r>
          </w:p>
          <w:p w14:paraId="1DC13D97" w14:textId="77777777" w:rsidR="00C63E26" w:rsidRPr="00DE15E9" w:rsidRDefault="00C63E26" w:rsidP="00DE15E9">
            <w:pPr>
              <w:pStyle w:val="ListParagraph"/>
              <w:numPr>
                <w:ilvl w:val="0"/>
                <w:numId w:val="23"/>
              </w:numPr>
              <w:spacing w:after="0" w:line="240" w:lineRule="auto"/>
              <w:ind w:left="0" w:firstLine="426"/>
              <w:jc w:val="both"/>
              <w:rPr>
                <w:rFonts w:ascii="Times New Roman" w:hAnsi="Times New Roman" w:cs="Times New Roman"/>
                <w:sz w:val="20"/>
                <w:szCs w:val="20"/>
                <w:lang w:val="ro-MD"/>
              </w:rPr>
            </w:pPr>
            <w:r w:rsidRPr="00DE15E9">
              <w:rPr>
                <w:rFonts w:ascii="Times New Roman" w:hAnsi="Times New Roman" w:cs="Times New Roman"/>
                <w:sz w:val="20"/>
                <w:szCs w:val="20"/>
                <w:lang w:val="ro-MD"/>
              </w:rPr>
              <w:t xml:space="preserve"> Consiliul Concurenței cooperează cu autoritățile competente din statele membre ale Uniunii Europene care aplică norme similare prezentei legi și cu Comisia Europeană și acordă asistență reciprocă în investigarea practicilor comerciale neloiale cu dimensiune transfrontalieră. Cooperarea se desfășoară în conformitate cu mecanismele și procedurile instituite la nivelul Uniunii Europene, </w:t>
            </w:r>
            <w:r w:rsidRPr="00DE15E9">
              <w:rPr>
                <w:rFonts w:ascii="Times New Roman" w:hAnsi="Times New Roman" w:cs="Times New Roman"/>
                <w:sz w:val="20"/>
                <w:szCs w:val="20"/>
              </w:rPr>
              <w:t>cu tratatele internaționale la care Republica Moldova este parte sau cu alte mecanisme de cooperare aplicabile</w:t>
            </w:r>
            <w:r w:rsidRPr="00DE15E9">
              <w:rPr>
                <w:rFonts w:ascii="Times New Roman" w:hAnsi="Times New Roman" w:cs="Times New Roman"/>
                <w:sz w:val="20"/>
                <w:szCs w:val="20"/>
                <w:lang w:val="ro-MD"/>
              </w:rPr>
              <w:t>.</w:t>
            </w:r>
          </w:p>
          <w:p w14:paraId="6347C583" w14:textId="3441EA2D"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1046AFC9" w14:textId="77777777" w:rsidR="00C63E26" w:rsidRPr="00DE15E9" w:rsidRDefault="00C63E26" w:rsidP="00DE15E9">
            <w:pPr>
              <w:pStyle w:val="isselectedend"/>
              <w:spacing w:before="0" w:beforeAutospacing="0" w:after="0" w:afterAutospacing="0"/>
              <w:jc w:val="both"/>
              <w:rPr>
                <w:sz w:val="20"/>
                <w:szCs w:val="20"/>
              </w:rPr>
            </w:pPr>
            <w:r w:rsidRPr="00DE15E9">
              <w:rPr>
                <w:sz w:val="20"/>
                <w:szCs w:val="20"/>
              </w:rPr>
              <w:t>Article 11. Cooperation between enforcement authorities</w:t>
            </w:r>
          </w:p>
          <w:p w14:paraId="53712441" w14:textId="171BFFB4" w:rsidR="00E0260F" w:rsidRPr="00DE15E9" w:rsidRDefault="00C63E26" w:rsidP="00DE15E9">
            <w:pPr>
              <w:pStyle w:val="isselectedend"/>
              <w:spacing w:before="0" w:beforeAutospacing="0" w:after="0" w:afterAutospacing="0"/>
              <w:jc w:val="both"/>
              <w:rPr>
                <w:sz w:val="20"/>
                <w:szCs w:val="20"/>
              </w:rPr>
            </w:pPr>
            <w:r w:rsidRPr="00DE15E9">
              <w:rPr>
                <w:sz w:val="20"/>
                <w:szCs w:val="20"/>
              </w:rPr>
              <w:t>(1) The Competition Council shall cooperate with the competent authorities of the Member States of the European Union applying rules similar to those laid down in this Law and with the European Commission, and shall provide mutual assistance in investigations concerning unfair trading practices with a cross-border dimension. Cooperation shall take place in accordance with the mechanisms and procedures established at European Union level, the international treaties to which the Republic of Moldova is a party or other applicable cooperation mechanisms.</w:t>
            </w:r>
          </w:p>
        </w:tc>
        <w:tc>
          <w:tcPr>
            <w:tcW w:w="1276" w:type="dxa"/>
            <w:tcBorders>
              <w:top w:val="single" w:sz="4" w:space="0" w:color="000000"/>
              <w:left w:val="single" w:sz="4" w:space="0" w:color="000000"/>
              <w:bottom w:val="single" w:sz="4" w:space="0" w:color="000000"/>
              <w:right w:val="single" w:sz="4" w:space="0" w:color="000000"/>
            </w:tcBorders>
          </w:tcPr>
          <w:p w14:paraId="3688C082" w14:textId="1C6AACC9"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374E0E79" w14:textId="5DC2FCD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488E0A3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67383B86" w14:textId="77777777" w:rsidTr="00033703">
        <w:tc>
          <w:tcPr>
            <w:tcW w:w="430" w:type="dxa"/>
            <w:tcBorders>
              <w:top w:val="single" w:sz="4" w:space="0" w:color="000000"/>
              <w:left w:val="single" w:sz="4" w:space="0" w:color="000000"/>
              <w:bottom w:val="single" w:sz="4" w:space="0" w:color="000000"/>
              <w:right w:val="single" w:sz="4" w:space="0" w:color="000000"/>
            </w:tcBorders>
          </w:tcPr>
          <w:p w14:paraId="71F05B16"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63</w:t>
            </w:r>
          </w:p>
        </w:tc>
        <w:tc>
          <w:tcPr>
            <w:tcW w:w="2547" w:type="dxa"/>
            <w:tcBorders>
              <w:top w:val="single" w:sz="4" w:space="0" w:color="000000"/>
              <w:left w:val="single" w:sz="4" w:space="0" w:color="000000"/>
              <w:bottom w:val="single" w:sz="4" w:space="0" w:color="000000"/>
              <w:right w:val="single" w:sz="4" w:space="0" w:color="000000"/>
            </w:tcBorders>
          </w:tcPr>
          <w:p w14:paraId="2CE3501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 xml:space="preserve">(2)   Autoritățile de aplicare a legii se întâlnesc cel puțin o dată pe an pentru a discuta aplicarea prezentei directive pe baza rapoartelor anuale menționate la articolul 10 alineatul (2). Autoritățile de aplicare a legii discută cele mai bune practici, cazurile noi și noile evoluții în </w:t>
            </w:r>
            <w:r w:rsidRPr="00DE15E9">
              <w:rPr>
                <w:rFonts w:ascii="Times New Roman" w:hAnsi="Times New Roman" w:cs="Times New Roman"/>
                <w:sz w:val="20"/>
                <w:szCs w:val="20"/>
                <w:shd w:val="clear" w:color="auto" w:fill="FFFFFF"/>
                <w:lang w:val="ro-MD"/>
              </w:rPr>
              <w:lastRenderedPageBreak/>
              <w:t>domeniul practicilor comerciale neloiale din lanțul de aprovizionare agricol și alimentar și fac schimb de informații, în special cu privire la măsurile de punere în aplicare pe care le-au adoptat în conformitate cu prezenta directivă și la practicile de asigurare a aplicării legii utilizate de acestea. Autoritățile de aplicare a legii pot adopta recomandări pentru a încuraja aplicarea uniformă a prezentei directive și pentru a îmbunătăți asigurarea aplicării acesteia. Comisia facilitează reuniunile respective.</w:t>
            </w:r>
          </w:p>
        </w:tc>
        <w:tc>
          <w:tcPr>
            <w:tcW w:w="2552" w:type="dxa"/>
            <w:tcBorders>
              <w:top w:val="single" w:sz="4" w:space="0" w:color="000000"/>
              <w:left w:val="single" w:sz="4" w:space="0" w:color="000000"/>
              <w:bottom w:val="single" w:sz="4" w:space="0" w:color="000000"/>
              <w:right w:val="single" w:sz="4" w:space="0" w:color="000000"/>
            </w:tcBorders>
          </w:tcPr>
          <w:p w14:paraId="2784F20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lastRenderedPageBreak/>
              <w:t xml:space="preserve">2.   The enforcement authorities shall meet at least once per year to discuss the application of this Directive, on the basis of the annual reports referred to in Article 10(2). The enforcement authorities shall discuss best practices, new cases and new developments in the area of </w:t>
            </w:r>
            <w:r w:rsidRPr="00DE15E9">
              <w:rPr>
                <w:rFonts w:ascii="Times New Roman" w:hAnsi="Times New Roman" w:cs="Times New Roman"/>
                <w:sz w:val="20"/>
                <w:szCs w:val="20"/>
                <w:shd w:val="clear" w:color="auto" w:fill="FFFFFF"/>
                <w:lang w:val="en-GB"/>
              </w:rPr>
              <w:lastRenderedPageBreak/>
              <w:t>unfair trading practices in the agricultural and food supply chain, and shall exchange information, in particular on the implementing measures that they have adopted in accordance with this Directive and on their enforcement practices. The enforcement authorities may adopt recommendations in order to encourage the consistent application of this Directive and to improve enforcement. The Commission shall facilitate those meetings.</w:t>
            </w:r>
          </w:p>
        </w:tc>
        <w:tc>
          <w:tcPr>
            <w:tcW w:w="2693" w:type="dxa"/>
            <w:tcBorders>
              <w:top w:val="single" w:sz="4" w:space="0" w:color="000000"/>
              <w:left w:val="single" w:sz="4" w:space="0" w:color="000000"/>
              <w:bottom w:val="single" w:sz="4" w:space="0" w:color="000000"/>
              <w:right w:val="single" w:sz="4" w:space="0" w:color="000000"/>
            </w:tcBorders>
          </w:tcPr>
          <w:p w14:paraId="7627CD0A" w14:textId="77777777" w:rsidR="00C63E26" w:rsidRPr="00DE15E9" w:rsidRDefault="00E0260F" w:rsidP="00DE15E9">
            <w:pPr>
              <w:spacing w:after="0" w:line="240" w:lineRule="auto"/>
              <w:jc w:val="both"/>
              <w:rPr>
                <w:rFonts w:ascii="Times New Roman" w:eastAsiaTheme="minorHAnsi" w:hAnsi="Times New Roman" w:cs="Times New Roman"/>
                <w:sz w:val="20"/>
                <w:szCs w:val="20"/>
                <w:lang w:val="ro-MD"/>
              </w:rPr>
            </w:pPr>
            <w:r w:rsidRPr="00DE15E9">
              <w:rPr>
                <w:rFonts w:ascii="Times New Roman" w:hAnsi="Times New Roman" w:cs="Times New Roman"/>
                <w:bCs/>
                <w:sz w:val="20"/>
                <w:szCs w:val="20"/>
                <w:lang w:val="ro-MD"/>
              </w:rPr>
              <w:lastRenderedPageBreak/>
              <w:t>(2)</w:t>
            </w:r>
            <w:r w:rsidRPr="00DE15E9">
              <w:rPr>
                <w:rFonts w:ascii="Times New Roman" w:hAnsi="Times New Roman" w:cs="Times New Roman"/>
                <w:bCs/>
                <w:sz w:val="20"/>
                <w:szCs w:val="20"/>
                <w:lang w:val="ro-MD"/>
              </w:rPr>
              <w:tab/>
            </w:r>
            <w:r w:rsidR="00C63E26" w:rsidRPr="00DE15E9">
              <w:rPr>
                <w:rFonts w:ascii="Times New Roman" w:hAnsi="Times New Roman" w:cs="Times New Roman"/>
                <w:sz w:val="20"/>
                <w:szCs w:val="20"/>
                <w:lang w:val="ro-MD"/>
              </w:rPr>
              <w:t xml:space="preserve">Cooperarea prevăzută la alin. (1) se realizează prin schimb de informații, reuniuni, platforme de coordonare și alte forme de colaborare, în scopul aplicării prezentei legi și al legislației europene relevante privind practicile comerciale neloiale. Schimbul de informații poate include </w:t>
            </w:r>
            <w:r w:rsidR="00C63E26" w:rsidRPr="00DE15E9">
              <w:rPr>
                <w:rFonts w:ascii="Times New Roman" w:hAnsi="Times New Roman" w:cs="Times New Roman"/>
                <w:sz w:val="20"/>
                <w:szCs w:val="20"/>
                <w:lang w:val="ro-MD"/>
              </w:rPr>
              <w:lastRenderedPageBreak/>
              <w:t>aspecte referitoare la evoluțiile legislative, bunele practici, măsurile de executare, instrumentele de cooperare, precum și alte elemente necesare pentru asigurarea unei aplicări eficiente și unitare a normelor.</w:t>
            </w:r>
          </w:p>
          <w:p w14:paraId="1D32AE1D" w14:textId="2E2EA96C"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7947FD2E" w14:textId="77777777" w:rsidR="00C63E26" w:rsidRPr="00DE15E9" w:rsidRDefault="00C63E26" w:rsidP="00DE15E9">
            <w:pPr>
              <w:pStyle w:val="NormalWeb"/>
              <w:spacing w:before="0" w:beforeAutospacing="0" w:after="0" w:afterAutospacing="0"/>
              <w:jc w:val="both"/>
              <w:rPr>
                <w:sz w:val="20"/>
                <w:szCs w:val="20"/>
              </w:rPr>
            </w:pPr>
            <w:r w:rsidRPr="00DE15E9">
              <w:rPr>
                <w:sz w:val="20"/>
                <w:szCs w:val="20"/>
              </w:rPr>
              <w:lastRenderedPageBreak/>
              <w:t xml:space="preserve">(2) The cooperation referred to in paragraph (1) shall be carried out through exchanges of information, meetings, coordination platforms and other forms of cooperation, for the purpose of enforcing this Law and applying the relevant European legislation on unfair trading practices. Exchanges </w:t>
            </w:r>
            <w:r w:rsidRPr="00DE15E9">
              <w:rPr>
                <w:sz w:val="20"/>
                <w:szCs w:val="20"/>
              </w:rPr>
              <w:lastRenderedPageBreak/>
              <w:t>of information may include matters relating to legislative developments, good practices, enforcement measures, cooperation tools, as well as other elements necessary to ensure the effective and uniform application of the rules.</w:t>
            </w:r>
          </w:p>
          <w:p w14:paraId="3C4E4383"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180BC2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62BFDE0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75B621B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66377B49" w14:textId="77777777" w:rsidTr="00033703">
        <w:tc>
          <w:tcPr>
            <w:tcW w:w="430" w:type="dxa"/>
            <w:tcBorders>
              <w:top w:val="single" w:sz="4" w:space="0" w:color="000000"/>
              <w:left w:val="single" w:sz="4" w:space="0" w:color="000000"/>
              <w:bottom w:val="single" w:sz="4" w:space="0" w:color="000000"/>
              <w:right w:val="single" w:sz="4" w:space="0" w:color="000000"/>
            </w:tcBorders>
          </w:tcPr>
          <w:p w14:paraId="73507FFC"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64</w:t>
            </w:r>
          </w:p>
        </w:tc>
        <w:tc>
          <w:tcPr>
            <w:tcW w:w="2547" w:type="dxa"/>
            <w:tcBorders>
              <w:top w:val="single" w:sz="4" w:space="0" w:color="000000"/>
              <w:left w:val="single" w:sz="4" w:space="0" w:color="000000"/>
              <w:bottom w:val="single" w:sz="4" w:space="0" w:color="000000"/>
              <w:right w:val="single" w:sz="4" w:space="0" w:color="000000"/>
            </w:tcBorders>
          </w:tcPr>
          <w:p w14:paraId="724ACD7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 xml:space="preserve">(3)   Comisia creează și gestionează un site web care permite schimbul de informații între autoritățile de aplicare a legii și Comisie, în special în ceea ce privește reuniunile anuale. Comisia creează un site web public care conține datele de contact ale autorităților de aplicare a legii desemnate și linkuri către site-urile web ale autorităților naționale de aplicare a legii sau ale altor autorități ale statelor membre care oferă informații cu privire la actele de transpunere a prezentei </w:t>
            </w:r>
            <w:r w:rsidRPr="00DE15E9">
              <w:rPr>
                <w:rFonts w:ascii="Times New Roman" w:hAnsi="Times New Roman" w:cs="Times New Roman"/>
                <w:sz w:val="20"/>
                <w:szCs w:val="20"/>
                <w:shd w:val="clear" w:color="auto" w:fill="FFFFFF"/>
                <w:lang w:val="ro-MD"/>
              </w:rPr>
              <w:lastRenderedPageBreak/>
              <w:t>directive menționate la articolul 13 alineatul (1).</w:t>
            </w:r>
          </w:p>
        </w:tc>
        <w:tc>
          <w:tcPr>
            <w:tcW w:w="2552" w:type="dxa"/>
            <w:tcBorders>
              <w:top w:val="single" w:sz="4" w:space="0" w:color="000000"/>
              <w:left w:val="single" w:sz="4" w:space="0" w:color="000000"/>
              <w:bottom w:val="single" w:sz="4" w:space="0" w:color="000000"/>
              <w:right w:val="single" w:sz="4" w:space="0" w:color="000000"/>
            </w:tcBorders>
          </w:tcPr>
          <w:p w14:paraId="3ABA712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lastRenderedPageBreak/>
              <w:t xml:space="preserve">3.   The Commission shall establish and manage a website that allows the exchange of information among the enforcement authorities and the Commission, in particular in relation to the annual meetings. The Commission shall establish a public website that provides the contact details of the designated enforcement authorities and links to websites of the national enforcement authorities or other authorities of Member States that provide information about the </w:t>
            </w:r>
            <w:r w:rsidRPr="00DE15E9">
              <w:rPr>
                <w:rFonts w:ascii="Times New Roman" w:hAnsi="Times New Roman" w:cs="Times New Roman"/>
                <w:sz w:val="20"/>
                <w:szCs w:val="20"/>
                <w:shd w:val="clear" w:color="auto" w:fill="FFFFFF"/>
                <w:lang w:val="en-GB"/>
              </w:rPr>
              <w:lastRenderedPageBreak/>
              <w:t>measures transposing this Directive referred to in Article 13(1).</w:t>
            </w:r>
          </w:p>
        </w:tc>
        <w:tc>
          <w:tcPr>
            <w:tcW w:w="2693" w:type="dxa"/>
            <w:tcBorders>
              <w:top w:val="single" w:sz="4" w:space="0" w:color="000000"/>
              <w:left w:val="single" w:sz="4" w:space="0" w:color="000000"/>
              <w:bottom w:val="single" w:sz="4" w:space="0" w:color="000000"/>
              <w:right w:val="single" w:sz="4" w:space="0" w:color="000000"/>
            </w:tcBorders>
          </w:tcPr>
          <w:p w14:paraId="1D93D44A" w14:textId="77777777"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4B43DCA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05757865" w14:textId="42D1C12D"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Prevedere UE neaplicabilă</w:t>
            </w:r>
          </w:p>
        </w:tc>
        <w:tc>
          <w:tcPr>
            <w:tcW w:w="1985" w:type="dxa"/>
            <w:tcBorders>
              <w:top w:val="single" w:sz="4" w:space="0" w:color="000000"/>
              <w:left w:val="single" w:sz="4" w:space="0" w:color="000000"/>
              <w:bottom w:val="single" w:sz="4" w:space="0" w:color="000000"/>
              <w:right w:val="single" w:sz="4" w:space="0" w:color="000000"/>
            </w:tcBorders>
          </w:tcPr>
          <w:p w14:paraId="0698803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lang w:val="ro-MD"/>
              </w:rPr>
              <w:t xml:space="preserve">Prevederea Directivei vizează publicarea deciziilor și schimbul de informații în cadrul mecanismelor instituționale ale Uniunii Europene. Conform cadrului normativ național, obligația de publicare a deciziilor autorității de aplicare este reglementată adaptat (publicare pe pagina web a Consiliului Concurenței), în conformitate cu principiile transparenței și cu </w:t>
            </w:r>
            <w:r w:rsidRPr="00DE15E9">
              <w:rPr>
                <w:rFonts w:ascii="Times New Roman" w:hAnsi="Times New Roman" w:cs="Times New Roman"/>
                <w:sz w:val="20"/>
                <w:szCs w:val="20"/>
                <w:lang w:val="ro-MD"/>
              </w:rPr>
              <w:lastRenderedPageBreak/>
              <w:t>cerințele privind protecția datelor și a informațiilor confidențiale.</w:t>
            </w:r>
          </w:p>
        </w:tc>
        <w:tc>
          <w:tcPr>
            <w:tcW w:w="2126" w:type="dxa"/>
            <w:tcBorders>
              <w:top w:val="single" w:sz="4" w:space="0" w:color="000000"/>
              <w:left w:val="single" w:sz="4" w:space="0" w:color="000000"/>
              <w:bottom w:val="single" w:sz="4" w:space="0" w:color="000000"/>
              <w:right w:val="single" w:sz="4" w:space="0" w:color="000000"/>
            </w:tcBorders>
          </w:tcPr>
          <w:p w14:paraId="237BFA2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19CF2DE7" w14:textId="77777777" w:rsidTr="00033703">
        <w:tc>
          <w:tcPr>
            <w:tcW w:w="430" w:type="dxa"/>
            <w:tcBorders>
              <w:top w:val="single" w:sz="4" w:space="0" w:color="000000"/>
              <w:left w:val="single" w:sz="4" w:space="0" w:color="000000"/>
              <w:bottom w:val="single" w:sz="4" w:space="0" w:color="000000"/>
              <w:right w:val="single" w:sz="4" w:space="0" w:color="000000"/>
            </w:tcBorders>
          </w:tcPr>
          <w:p w14:paraId="79817B4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65</w:t>
            </w:r>
          </w:p>
        </w:tc>
        <w:tc>
          <w:tcPr>
            <w:tcW w:w="2547" w:type="dxa"/>
            <w:tcBorders>
              <w:top w:val="single" w:sz="4" w:space="0" w:color="000000"/>
              <w:left w:val="single" w:sz="4" w:space="0" w:color="000000"/>
              <w:bottom w:val="single" w:sz="4" w:space="0" w:color="000000"/>
              <w:right w:val="single" w:sz="4" w:space="0" w:color="000000"/>
            </w:tcBorders>
          </w:tcPr>
          <w:p w14:paraId="77644CB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Articolul 9</w:t>
            </w:r>
          </w:p>
          <w:p w14:paraId="5DE08344" w14:textId="77777777" w:rsidR="00E0260F" w:rsidRPr="00DE15E9" w:rsidRDefault="00E0260F" w:rsidP="00DE15E9">
            <w:pPr>
              <w:pStyle w:val="oj-sti-art"/>
              <w:shd w:val="clear" w:color="auto" w:fill="FFFFFF"/>
              <w:spacing w:before="0" w:beforeAutospacing="0" w:after="0" w:afterAutospacing="0"/>
              <w:jc w:val="center"/>
              <w:rPr>
                <w:b/>
                <w:bCs/>
                <w:sz w:val="20"/>
                <w:szCs w:val="20"/>
                <w:lang w:val="ro-MD"/>
              </w:rPr>
            </w:pPr>
            <w:r w:rsidRPr="00DE15E9">
              <w:rPr>
                <w:b/>
                <w:bCs/>
                <w:sz w:val="20"/>
                <w:szCs w:val="20"/>
                <w:lang w:val="ro-MD"/>
              </w:rPr>
              <w:t>Reglementări naționale</w:t>
            </w:r>
          </w:p>
          <w:p w14:paraId="09189FBF" w14:textId="77777777" w:rsidR="00E0260F" w:rsidRPr="00DE15E9" w:rsidRDefault="00E0260F" w:rsidP="00DE15E9">
            <w:pPr>
              <w:pStyle w:val="oj-normal"/>
              <w:shd w:val="clear" w:color="auto" w:fill="FFFFFF"/>
              <w:spacing w:before="0" w:beforeAutospacing="0" w:after="0" w:afterAutospacing="0"/>
              <w:jc w:val="both"/>
              <w:rPr>
                <w:sz w:val="20"/>
                <w:szCs w:val="20"/>
                <w:lang w:val="ro-MD"/>
              </w:rPr>
            </w:pPr>
            <w:r w:rsidRPr="00DE15E9">
              <w:rPr>
                <w:sz w:val="20"/>
                <w:szCs w:val="20"/>
                <w:lang w:val="ro-MD"/>
              </w:rPr>
              <w:t>(1)   În vederea asigurării unui nivel mai ridicat de protecție, statele membre pot menține sau introduce reglementări mai strice pentru combaterea practicilor comerciale neloiale decât cele prevăzute de prezenta directivă, cu condiția ca respectivele reglementări naționale să fie compatibile cu normele privind funcționarea pieței interne.</w:t>
            </w:r>
          </w:p>
          <w:p w14:paraId="10B5264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108A14A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Article 9</w:t>
            </w:r>
          </w:p>
          <w:p w14:paraId="1C467673" w14:textId="77777777" w:rsidR="00E0260F" w:rsidRPr="00DE15E9" w:rsidRDefault="00E0260F" w:rsidP="00DE15E9">
            <w:pPr>
              <w:pStyle w:val="oj-sti-art"/>
              <w:shd w:val="clear" w:color="auto" w:fill="FFFFFF"/>
              <w:spacing w:before="0" w:beforeAutospacing="0" w:after="0" w:afterAutospacing="0"/>
              <w:jc w:val="center"/>
              <w:rPr>
                <w:b/>
                <w:bCs/>
                <w:sz w:val="20"/>
                <w:szCs w:val="20"/>
                <w:lang w:val="en-GB"/>
              </w:rPr>
            </w:pPr>
            <w:r w:rsidRPr="00DE15E9">
              <w:rPr>
                <w:b/>
                <w:bCs/>
                <w:sz w:val="20"/>
                <w:szCs w:val="20"/>
                <w:lang w:val="en-GB"/>
              </w:rPr>
              <w:t>National rules</w:t>
            </w:r>
          </w:p>
          <w:p w14:paraId="563AED52" w14:textId="77777777" w:rsidR="00E0260F" w:rsidRPr="00DE15E9" w:rsidRDefault="00E0260F" w:rsidP="00DE15E9">
            <w:pPr>
              <w:pStyle w:val="oj-normal"/>
              <w:shd w:val="clear" w:color="auto" w:fill="FFFFFF"/>
              <w:spacing w:before="0" w:beforeAutospacing="0" w:after="0" w:afterAutospacing="0"/>
              <w:jc w:val="both"/>
              <w:rPr>
                <w:sz w:val="20"/>
                <w:szCs w:val="20"/>
                <w:lang w:val="en-GB"/>
              </w:rPr>
            </w:pPr>
            <w:r w:rsidRPr="00DE15E9">
              <w:rPr>
                <w:sz w:val="20"/>
                <w:szCs w:val="20"/>
                <w:lang w:val="en-GB"/>
              </w:rPr>
              <w:t>1.   With a view to ensuring a higher level of protection, Member States may maintain or introduce stricter rules aimed at combating unfair trading practices than those laid down by this Directive, provided that such national rules are compatible with the rules on the functioning of the internal market.</w:t>
            </w:r>
          </w:p>
          <w:p w14:paraId="2DAF50E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39C0BB1D" w14:textId="77777777"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31D71CA8" w14:textId="77777777" w:rsidR="00E0260F" w:rsidRPr="00DE15E9" w:rsidRDefault="00E0260F" w:rsidP="00DE15E9">
            <w:pPr>
              <w:tabs>
                <w:tab w:val="left" w:pos="445"/>
              </w:tabs>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247319B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Compatibil</w:t>
            </w:r>
          </w:p>
        </w:tc>
        <w:tc>
          <w:tcPr>
            <w:tcW w:w="1985" w:type="dxa"/>
            <w:tcBorders>
              <w:top w:val="single" w:sz="4" w:space="0" w:color="000000"/>
              <w:left w:val="single" w:sz="4" w:space="0" w:color="000000"/>
              <w:bottom w:val="single" w:sz="4" w:space="0" w:color="000000"/>
              <w:right w:val="single" w:sz="4" w:space="0" w:color="000000"/>
            </w:tcBorders>
          </w:tcPr>
          <w:p w14:paraId="6EAD922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Prevedere valorificată, întrucât </w:t>
            </w:r>
            <w:r w:rsidRPr="00DE15E9">
              <w:rPr>
                <w:rStyle w:val="Strong"/>
                <w:rFonts w:ascii="Times New Roman" w:hAnsi="Times New Roman" w:cs="Times New Roman"/>
                <w:b w:val="0"/>
                <w:sz w:val="20"/>
                <w:szCs w:val="20"/>
              </w:rPr>
              <w:t>proiectul de lege național instituie un nivel de protecție mai ridicat decât minimul stabilit de directivă</w:t>
            </w:r>
            <w:r w:rsidRPr="00DE15E9">
              <w:rPr>
                <w:rFonts w:ascii="Times New Roman" w:hAnsi="Times New Roman" w:cs="Times New Roman"/>
                <w:sz w:val="20"/>
                <w:szCs w:val="20"/>
              </w:rPr>
              <w:t xml:space="preserve">, prin introducerea unor </w:t>
            </w:r>
            <w:r w:rsidRPr="00DE15E9">
              <w:rPr>
                <w:rStyle w:val="Strong"/>
                <w:rFonts w:ascii="Times New Roman" w:hAnsi="Times New Roman" w:cs="Times New Roman"/>
                <w:b w:val="0"/>
                <w:sz w:val="20"/>
                <w:szCs w:val="20"/>
              </w:rPr>
              <w:t>clauze mai dure</w:t>
            </w:r>
            <w:r w:rsidRPr="00DE15E9">
              <w:rPr>
                <w:rFonts w:ascii="Times New Roman" w:hAnsi="Times New Roman" w:cs="Times New Roman"/>
                <w:sz w:val="20"/>
                <w:szCs w:val="20"/>
              </w:rPr>
              <w:t xml:space="preserve"> privind interzicerea practicilor comerciale neloiale, regimul de sancțiuni aplicabil și competențele autorității de aplicare. Acestea includ, în special, </w:t>
            </w:r>
            <w:r w:rsidRPr="00DE15E9">
              <w:rPr>
                <w:rStyle w:val="Strong"/>
                <w:rFonts w:ascii="Times New Roman" w:hAnsi="Times New Roman" w:cs="Times New Roman"/>
                <w:b w:val="0"/>
                <w:sz w:val="20"/>
                <w:szCs w:val="20"/>
              </w:rPr>
              <w:t>extinderea sferei practicilor interzise</w:t>
            </w:r>
            <w:r w:rsidRPr="00DE15E9">
              <w:rPr>
                <w:rFonts w:ascii="Times New Roman" w:hAnsi="Times New Roman" w:cs="Times New Roman"/>
                <w:b/>
                <w:sz w:val="20"/>
                <w:szCs w:val="20"/>
              </w:rPr>
              <w:t xml:space="preserve">, </w:t>
            </w:r>
            <w:r w:rsidRPr="00DE15E9">
              <w:rPr>
                <w:rStyle w:val="Strong"/>
                <w:rFonts w:ascii="Times New Roman" w:hAnsi="Times New Roman" w:cs="Times New Roman"/>
                <w:b w:val="0"/>
                <w:sz w:val="20"/>
                <w:szCs w:val="20"/>
              </w:rPr>
              <w:t>stabilirea unor amenzi procentuale din cifra de afaceri cu caracter disuasiv</w:t>
            </w:r>
            <w:r w:rsidRPr="00DE15E9">
              <w:rPr>
                <w:rFonts w:ascii="Times New Roman" w:hAnsi="Times New Roman" w:cs="Times New Roman"/>
                <w:sz w:val="20"/>
                <w:szCs w:val="20"/>
              </w:rPr>
              <w:t xml:space="preserve">, precum și </w:t>
            </w:r>
            <w:r w:rsidRPr="00DE15E9">
              <w:rPr>
                <w:rStyle w:val="Strong"/>
                <w:rFonts w:ascii="Times New Roman" w:hAnsi="Times New Roman" w:cs="Times New Roman"/>
                <w:b w:val="0"/>
                <w:sz w:val="20"/>
                <w:szCs w:val="20"/>
              </w:rPr>
              <w:t>mecanisme procedurale consolidate</w:t>
            </w:r>
            <w:r w:rsidRPr="00DE15E9">
              <w:rPr>
                <w:rFonts w:ascii="Times New Roman" w:hAnsi="Times New Roman" w:cs="Times New Roman"/>
                <w:sz w:val="20"/>
                <w:szCs w:val="20"/>
              </w:rPr>
              <w:t xml:space="preserve"> pentru constatarea și sancționarea încălcărilor</w:t>
            </w:r>
          </w:p>
        </w:tc>
        <w:tc>
          <w:tcPr>
            <w:tcW w:w="2126" w:type="dxa"/>
            <w:tcBorders>
              <w:top w:val="single" w:sz="4" w:space="0" w:color="000000"/>
              <w:left w:val="single" w:sz="4" w:space="0" w:color="000000"/>
              <w:bottom w:val="single" w:sz="4" w:space="0" w:color="000000"/>
              <w:right w:val="single" w:sz="4" w:space="0" w:color="000000"/>
            </w:tcBorders>
          </w:tcPr>
          <w:p w14:paraId="13CC25B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7C6BF87C" w14:textId="77777777" w:rsidTr="00033703">
        <w:tc>
          <w:tcPr>
            <w:tcW w:w="430" w:type="dxa"/>
            <w:tcBorders>
              <w:top w:val="single" w:sz="4" w:space="0" w:color="000000"/>
              <w:left w:val="single" w:sz="4" w:space="0" w:color="000000"/>
              <w:bottom w:val="single" w:sz="4" w:space="0" w:color="000000"/>
              <w:right w:val="single" w:sz="4" w:space="0" w:color="000000"/>
            </w:tcBorders>
          </w:tcPr>
          <w:p w14:paraId="3C20C3A5"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67</w:t>
            </w:r>
          </w:p>
        </w:tc>
        <w:tc>
          <w:tcPr>
            <w:tcW w:w="2547" w:type="dxa"/>
            <w:tcBorders>
              <w:top w:val="single" w:sz="4" w:space="0" w:color="000000"/>
              <w:left w:val="single" w:sz="4" w:space="0" w:color="000000"/>
              <w:bottom w:val="single" w:sz="4" w:space="0" w:color="000000"/>
              <w:right w:val="single" w:sz="4" w:space="0" w:color="000000"/>
            </w:tcBorders>
          </w:tcPr>
          <w:p w14:paraId="4FFE6AC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 xml:space="preserve">(2)   Prezenta directivă nu aduce atingere reglementărilor naționale care vizează combaterea practicilor comerciale neloiale care nu se </w:t>
            </w:r>
            <w:r w:rsidRPr="00DE15E9">
              <w:rPr>
                <w:rFonts w:ascii="Times New Roman" w:hAnsi="Times New Roman" w:cs="Times New Roman"/>
                <w:sz w:val="20"/>
                <w:szCs w:val="20"/>
                <w:shd w:val="clear" w:color="auto" w:fill="FFFFFF"/>
                <w:lang w:val="ro-MD"/>
              </w:rPr>
              <w:lastRenderedPageBreak/>
              <w:t>încadrează în domeniul de aplicare al prezentei directive, cu condiția ca asemenea reglementări să fie compatibile cu normele privind funcționarea pieței interne.</w:t>
            </w:r>
          </w:p>
        </w:tc>
        <w:tc>
          <w:tcPr>
            <w:tcW w:w="2552" w:type="dxa"/>
            <w:tcBorders>
              <w:top w:val="single" w:sz="4" w:space="0" w:color="000000"/>
              <w:left w:val="single" w:sz="4" w:space="0" w:color="000000"/>
              <w:bottom w:val="single" w:sz="4" w:space="0" w:color="000000"/>
              <w:right w:val="single" w:sz="4" w:space="0" w:color="000000"/>
            </w:tcBorders>
          </w:tcPr>
          <w:p w14:paraId="6E534C5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lastRenderedPageBreak/>
              <w:t xml:space="preserve">2.   This Directive shall be without prejudice to national rules aimed at combating unfair trading practices that are not within the scope of this Directive, provided that </w:t>
            </w:r>
            <w:r w:rsidRPr="00DE15E9">
              <w:rPr>
                <w:rFonts w:ascii="Times New Roman" w:hAnsi="Times New Roman" w:cs="Times New Roman"/>
                <w:sz w:val="20"/>
                <w:szCs w:val="20"/>
                <w:shd w:val="clear" w:color="auto" w:fill="FFFFFF"/>
                <w:lang w:val="en-GB"/>
              </w:rPr>
              <w:lastRenderedPageBreak/>
              <w:t>such rules are compatible with the rules on the functioning of the internal market.</w:t>
            </w:r>
          </w:p>
        </w:tc>
        <w:tc>
          <w:tcPr>
            <w:tcW w:w="2693" w:type="dxa"/>
            <w:tcBorders>
              <w:top w:val="single" w:sz="4" w:space="0" w:color="000000"/>
              <w:left w:val="single" w:sz="4" w:space="0" w:color="000000"/>
              <w:bottom w:val="single" w:sz="4" w:space="0" w:color="000000"/>
              <w:right w:val="single" w:sz="4" w:space="0" w:color="000000"/>
            </w:tcBorders>
          </w:tcPr>
          <w:p w14:paraId="000844D5" w14:textId="77777777" w:rsidR="00E0260F" w:rsidRPr="00DE15E9" w:rsidRDefault="00C63E26" w:rsidP="00DE15E9">
            <w:pPr>
              <w:tabs>
                <w:tab w:val="left" w:pos="311"/>
              </w:tabs>
              <w:spacing w:after="0" w:line="240" w:lineRule="auto"/>
              <w:jc w:val="both"/>
              <w:rPr>
                <w:rFonts w:ascii="Times New Roman" w:hAnsi="Times New Roman" w:cs="Times New Roman"/>
                <w:bCs/>
                <w:sz w:val="20"/>
                <w:szCs w:val="20"/>
                <w:lang w:val="ro-MD"/>
              </w:rPr>
            </w:pPr>
            <w:r w:rsidRPr="00DE15E9">
              <w:rPr>
                <w:rFonts w:ascii="Times New Roman" w:hAnsi="Times New Roman" w:cs="Times New Roman"/>
                <w:bCs/>
                <w:sz w:val="20"/>
                <w:szCs w:val="20"/>
                <w:lang w:val="ro-MD"/>
              </w:rPr>
              <w:lastRenderedPageBreak/>
              <w:t>Articolul 16.  Dispoziții finale</w:t>
            </w:r>
          </w:p>
          <w:p w14:paraId="23D9528D" w14:textId="6F58C35B" w:rsidR="00C63E26" w:rsidRPr="00DE15E9" w:rsidRDefault="00C63E26" w:rsidP="00DE15E9">
            <w:pPr>
              <w:spacing w:after="0" w:line="240" w:lineRule="auto"/>
              <w:jc w:val="both"/>
              <w:rPr>
                <w:rFonts w:ascii="Times New Roman" w:eastAsiaTheme="minorHAnsi" w:hAnsi="Times New Roman" w:cs="Times New Roman"/>
                <w:sz w:val="20"/>
                <w:szCs w:val="20"/>
                <w:lang w:val="ro-MD"/>
              </w:rPr>
            </w:pPr>
            <w:r w:rsidRPr="00DE15E9">
              <w:rPr>
                <w:rFonts w:ascii="Times New Roman" w:eastAsia="Times New Roman" w:hAnsi="Times New Roman" w:cs="Times New Roman"/>
                <w:sz w:val="20"/>
                <w:szCs w:val="20"/>
              </w:rPr>
              <w:t xml:space="preserve">(3) Prezenta lege nu aduce atingere reglementărilor naționale care vizează combaterea practicilor comerciale neloiale care nu se </w:t>
            </w:r>
            <w:r w:rsidRPr="00DE15E9">
              <w:rPr>
                <w:rFonts w:ascii="Times New Roman" w:eastAsia="Times New Roman" w:hAnsi="Times New Roman" w:cs="Times New Roman"/>
                <w:sz w:val="20"/>
                <w:szCs w:val="20"/>
              </w:rPr>
              <w:lastRenderedPageBreak/>
              <w:t>încadrează în domeniul de aplicare al prezentei legi.</w:t>
            </w:r>
          </w:p>
          <w:p w14:paraId="4902D3D9" w14:textId="5BA264F7" w:rsidR="00C63E26" w:rsidRPr="00DE15E9" w:rsidRDefault="00C63E26" w:rsidP="00DE15E9">
            <w:pPr>
              <w:tabs>
                <w:tab w:val="left" w:pos="311"/>
              </w:tabs>
              <w:spacing w:after="0" w:line="240" w:lineRule="auto"/>
              <w:jc w:val="both"/>
              <w:rPr>
                <w:rFonts w:ascii="Times New Roman" w:hAnsi="Times New Roman" w:cs="Times New Roman"/>
                <w:b/>
                <w:bCs/>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368EA791" w14:textId="77777777" w:rsidR="00C63E26" w:rsidRPr="00DE15E9" w:rsidRDefault="00C63E26" w:rsidP="00DE15E9">
            <w:pPr>
              <w:pStyle w:val="isselectedend"/>
              <w:spacing w:before="0" w:beforeAutospacing="0" w:after="0" w:afterAutospacing="0"/>
              <w:jc w:val="both"/>
              <w:rPr>
                <w:sz w:val="20"/>
                <w:szCs w:val="20"/>
              </w:rPr>
            </w:pPr>
            <w:r w:rsidRPr="00DE15E9">
              <w:rPr>
                <w:sz w:val="20"/>
                <w:szCs w:val="20"/>
              </w:rPr>
              <w:lastRenderedPageBreak/>
              <w:t>Article 16. Final provisions</w:t>
            </w:r>
          </w:p>
          <w:p w14:paraId="78BEFE7D" w14:textId="77777777" w:rsidR="00C63E26" w:rsidRPr="00DE15E9" w:rsidRDefault="00C63E26" w:rsidP="00DE15E9">
            <w:pPr>
              <w:pStyle w:val="isselectedend"/>
              <w:spacing w:before="0" w:beforeAutospacing="0" w:after="0" w:afterAutospacing="0"/>
              <w:jc w:val="both"/>
              <w:rPr>
                <w:sz w:val="20"/>
                <w:szCs w:val="20"/>
              </w:rPr>
            </w:pPr>
            <w:r w:rsidRPr="00DE15E9">
              <w:rPr>
                <w:sz w:val="20"/>
                <w:szCs w:val="20"/>
              </w:rPr>
              <w:t xml:space="preserve">(3) This Law shall be without prejudice to national regulations aimed at combating unfair trading </w:t>
            </w:r>
            <w:r w:rsidRPr="00DE15E9">
              <w:rPr>
                <w:sz w:val="20"/>
                <w:szCs w:val="20"/>
              </w:rPr>
              <w:lastRenderedPageBreak/>
              <w:t>practices that do not fall within the scope of this Law.</w:t>
            </w:r>
          </w:p>
          <w:p w14:paraId="0C861A0E"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0FA245F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5F637F2E" w14:textId="5235F8C5"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0712EF1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72DDB774" w14:textId="77777777" w:rsidTr="00033703">
        <w:tc>
          <w:tcPr>
            <w:tcW w:w="430" w:type="dxa"/>
            <w:tcBorders>
              <w:top w:val="single" w:sz="4" w:space="0" w:color="000000"/>
              <w:left w:val="single" w:sz="4" w:space="0" w:color="000000"/>
              <w:bottom w:val="single" w:sz="4" w:space="0" w:color="000000"/>
              <w:right w:val="single" w:sz="4" w:space="0" w:color="000000"/>
            </w:tcBorders>
          </w:tcPr>
          <w:p w14:paraId="55289BC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68</w:t>
            </w:r>
          </w:p>
        </w:tc>
        <w:tc>
          <w:tcPr>
            <w:tcW w:w="2547" w:type="dxa"/>
            <w:tcBorders>
              <w:top w:val="single" w:sz="4" w:space="0" w:color="000000"/>
              <w:left w:val="single" w:sz="4" w:space="0" w:color="000000"/>
              <w:bottom w:val="single" w:sz="4" w:space="0" w:color="000000"/>
              <w:right w:val="single" w:sz="4" w:space="0" w:color="000000"/>
            </w:tcBorders>
          </w:tcPr>
          <w:p w14:paraId="11ED803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Articolul 10</w:t>
            </w:r>
          </w:p>
          <w:p w14:paraId="5F5C3357" w14:textId="77777777" w:rsidR="00E0260F" w:rsidRPr="00DE15E9" w:rsidRDefault="00E0260F" w:rsidP="00DE15E9">
            <w:pPr>
              <w:pStyle w:val="oj-sti-art"/>
              <w:shd w:val="clear" w:color="auto" w:fill="FFFFFF"/>
              <w:spacing w:before="0" w:beforeAutospacing="0" w:after="0" w:afterAutospacing="0"/>
              <w:rPr>
                <w:b/>
                <w:bCs/>
                <w:sz w:val="20"/>
                <w:szCs w:val="20"/>
                <w:lang w:val="ro-MD"/>
              </w:rPr>
            </w:pPr>
            <w:r w:rsidRPr="00DE15E9">
              <w:rPr>
                <w:b/>
                <w:bCs/>
                <w:sz w:val="20"/>
                <w:szCs w:val="20"/>
                <w:lang w:val="ro-MD"/>
              </w:rPr>
              <w:t>Raportare</w:t>
            </w:r>
          </w:p>
          <w:p w14:paraId="6F2A7262" w14:textId="77777777" w:rsidR="00E0260F" w:rsidRPr="00DE15E9" w:rsidRDefault="00E0260F" w:rsidP="00DE15E9">
            <w:pPr>
              <w:pStyle w:val="oj-normal"/>
              <w:shd w:val="clear" w:color="auto" w:fill="FFFFFF"/>
              <w:spacing w:before="0" w:beforeAutospacing="0" w:after="0" w:afterAutospacing="0"/>
              <w:jc w:val="both"/>
              <w:rPr>
                <w:sz w:val="20"/>
                <w:szCs w:val="20"/>
                <w:lang w:val="ro-MD"/>
              </w:rPr>
            </w:pPr>
            <w:r w:rsidRPr="00DE15E9">
              <w:rPr>
                <w:sz w:val="20"/>
                <w:szCs w:val="20"/>
                <w:lang w:val="ro-MD"/>
              </w:rPr>
              <w:t>(1)   Statele membre se asigură că autoritățile lor de aplicare a legii publică un raport anual privind activitățile lor cuprinse în domeniul de aplicare al prezentei directive, care precizează, printre altele, numărul plângerilor primite și numărul investigațiilor inițiate sau închise în cursul anului precedent. În cazul fiecărei investigații închise, raportul trebuie să conțină o scurtă descriere a problemei, rezultatul investigației și, dacă este cazul, decizia adoptată, sub rezerva cerințelor de confidențialitate prevăzute la articolul 5 alineatul (3).</w:t>
            </w:r>
          </w:p>
          <w:p w14:paraId="4A731B6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3CEE22C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Article 10</w:t>
            </w:r>
          </w:p>
          <w:p w14:paraId="16B99553" w14:textId="77777777" w:rsidR="00E0260F" w:rsidRPr="00DE15E9" w:rsidRDefault="00E0260F" w:rsidP="00DE15E9">
            <w:pPr>
              <w:pStyle w:val="oj-sti-art"/>
              <w:shd w:val="clear" w:color="auto" w:fill="FFFFFF"/>
              <w:spacing w:before="0" w:beforeAutospacing="0" w:after="0" w:afterAutospacing="0"/>
              <w:rPr>
                <w:b/>
                <w:bCs/>
                <w:sz w:val="20"/>
                <w:szCs w:val="20"/>
                <w:lang w:val="en-GB"/>
              </w:rPr>
            </w:pPr>
            <w:r w:rsidRPr="00DE15E9">
              <w:rPr>
                <w:b/>
                <w:bCs/>
                <w:sz w:val="20"/>
                <w:szCs w:val="20"/>
                <w:lang w:val="en-GB"/>
              </w:rPr>
              <w:t>Reporting</w:t>
            </w:r>
          </w:p>
          <w:p w14:paraId="68A240E1" w14:textId="77777777" w:rsidR="00E0260F" w:rsidRPr="00DE15E9" w:rsidRDefault="00E0260F" w:rsidP="00DE15E9">
            <w:pPr>
              <w:pStyle w:val="oj-normal"/>
              <w:shd w:val="clear" w:color="auto" w:fill="FFFFFF"/>
              <w:spacing w:before="0" w:beforeAutospacing="0" w:after="0" w:afterAutospacing="0"/>
              <w:jc w:val="both"/>
              <w:rPr>
                <w:sz w:val="20"/>
                <w:szCs w:val="20"/>
                <w:lang w:val="en-GB"/>
              </w:rPr>
            </w:pPr>
            <w:r w:rsidRPr="00DE15E9">
              <w:rPr>
                <w:sz w:val="20"/>
                <w:szCs w:val="20"/>
                <w:lang w:val="en-GB"/>
              </w:rPr>
              <w:t>1.   Member States shall ensure that their enforcement authorities publish an annual report about their activities falling within the scope of this Directive, which shall, inter alia, state the number of complaints received and the number of investigations opened or closed during the previous year. For each closed investigation, the report shall contain a summary description of the matter, the outcome of the investigation and, where applicable, the decision taken, subject to the confidentiality requirements laid down in Article 5(3).</w:t>
            </w:r>
          </w:p>
          <w:p w14:paraId="339FECA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1838CD84" w14:textId="77777777" w:rsidR="00C63E26" w:rsidRPr="00DE15E9" w:rsidRDefault="00C63E26" w:rsidP="00DE15E9">
            <w:pPr>
              <w:spacing w:after="0" w:line="240" w:lineRule="auto"/>
              <w:ind w:firstLine="426"/>
              <w:jc w:val="both"/>
              <w:rPr>
                <w:rFonts w:ascii="Times New Roman" w:eastAsiaTheme="minorHAnsi" w:hAnsi="Times New Roman" w:cs="Times New Roman"/>
                <w:sz w:val="20"/>
                <w:szCs w:val="20"/>
                <w:lang w:val="ro-MD"/>
              </w:rPr>
            </w:pPr>
            <w:r w:rsidRPr="00DE15E9">
              <w:rPr>
                <w:rFonts w:ascii="Times New Roman" w:hAnsi="Times New Roman" w:cs="Times New Roman"/>
                <w:bCs/>
                <w:sz w:val="20"/>
                <w:szCs w:val="20"/>
              </w:rPr>
              <w:t xml:space="preserve">Articolul 12. </w:t>
            </w:r>
            <w:r w:rsidRPr="00DE15E9">
              <w:rPr>
                <w:rFonts w:ascii="Times New Roman" w:hAnsi="Times New Roman" w:cs="Times New Roman"/>
                <w:bCs/>
                <w:sz w:val="20"/>
                <w:szCs w:val="20"/>
                <w:lang w:val="ro-MD"/>
              </w:rPr>
              <w:t xml:space="preserve">Accesul la informațiile privind practicile comerciale neloiale </w:t>
            </w:r>
          </w:p>
          <w:p w14:paraId="19459DC1" w14:textId="563100F1" w:rsidR="00E0260F" w:rsidRPr="00DE15E9" w:rsidRDefault="00C63E26"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lang w:val="ro-MD"/>
              </w:rPr>
              <w:t>Consiliul Concurenței publică anual, până la data de 15 martie, pe pagina sa web oficială, un raport care cuprinde, în special, numărul plângerilor primite, numărul investigațiilor inițiate și al celor finalizate în cursul anului precedent. În cazul fiecărei investigații finalizate, raportul trebuie să conțină o scurtă descriere a problemei, rezultatul investigației și decizia adoptată, sub rezerva cerințelor de confidențialitate stabilite la art. 8 alin. (6) și în Legea concurenței nr. 183/2012</w:t>
            </w:r>
          </w:p>
        </w:tc>
        <w:tc>
          <w:tcPr>
            <w:tcW w:w="2693" w:type="dxa"/>
            <w:tcBorders>
              <w:top w:val="single" w:sz="4" w:space="0" w:color="000000"/>
              <w:left w:val="single" w:sz="4" w:space="0" w:color="000000"/>
              <w:bottom w:val="single" w:sz="4" w:space="0" w:color="000000"/>
              <w:right w:val="single" w:sz="4" w:space="0" w:color="000000"/>
            </w:tcBorders>
          </w:tcPr>
          <w:p w14:paraId="21E935D8" w14:textId="77777777" w:rsidR="00C63E26" w:rsidRPr="00DE15E9" w:rsidRDefault="00C63E26" w:rsidP="00DE15E9">
            <w:pPr>
              <w:pStyle w:val="isselectedend"/>
              <w:spacing w:before="0" w:beforeAutospacing="0" w:after="0" w:afterAutospacing="0"/>
              <w:jc w:val="both"/>
              <w:rPr>
                <w:sz w:val="20"/>
                <w:szCs w:val="20"/>
              </w:rPr>
            </w:pPr>
            <w:r w:rsidRPr="00DE15E9">
              <w:rPr>
                <w:sz w:val="20"/>
                <w:szCs w:val="20"/>
              </w:rPr>
              <w:t>Article 12. Publication of information on unfair trading practices</w:t>
            </w:r>
          </w:p>
          <w:p w14:paraId="1EC1B09C" w14:textId="282D48AD" w:rsidR="00E0260F" w:rsidRPr="00DE15E9" w:rsidRDefault="00C63E26" w:rsidP="00DE15E9">
            <w:pPr>
              <w:pStyle w:val="isselectedend"/>
              <w:spacing w:before="0" w:beforeAutospacing="0" w:after="0" w:afterAutospacing="0"/>
              <w:jc w:val="both"/>
              <w:rPr>
                <w:sz w:val="20"/>
                <w:szCs w:val="20"/>
              </w:rPr>
            </w:pPr>
            <w:r w:rsidRPr="00DE15E9">
              <w:rPr>
                <w:sz w:val="20"/>
                <w:szCs w:val="20"/>
              </w:rPr>
              <w:t>The Competition Council shall publish annually, by 15 March, on its official website, a report covering, in particular, the number of complaints received, the number of investigations initiated and the number of investigations completed during the previous year. For each completed investigation, the report shall contain a brief description of the matter, the outcome of the investigation and the decision adopted, subject to the confidentiality requirements laid down in Article 8(6) and in Competition Law No. 183/2012.</w:t>
            </w:r>
          </w:p>
        </w:tc>
        <w:tc>
          <w:tcPr>
            <w:tcW w:w="1276" w:type="dxa"/>
            <w:tcBorders>
              <w:top w:val="single" w:sz="4" w:space="0" w:color="000000"/>
              <w:left w:val="single" w:sz="4" w:space="0" w:color="000000"/>
              <w:bottom w:val="single" w:sz="4" w:space="0" w:color="000000"/>
              <w:right w:val="single" w:sz="4" w:space="0" w:color="000000"/>
            </w:tcBorders>
          </w:tcPr>
          <w:p w14:paraId="07A10CB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4870A8BC" w14:textId="048B05FC"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2506043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36F822A4" w14:textId="77777777" w:rsidTr="00033703">
        <w:tc>
          <w:tcPr>
            <w:tcW w:w="430" w:type="dxa"/>
            <w:tcBorders>
              <w:top w:val="single" w:sz="4" w:space="0" w:color="000000"/>
              <w:left w:val="single" w:sz="4" w:space="0" w:color="000000"/>
              <w:bottom w:val="single" w:sz="4" w:space="0" w:color="000000"/>
              <w:right w:val="single" w:sz="4" w:space="0" w:color="000000"/>
            </w:tcBorders>
          </w:tcPr>
          <w:p w14:paraId="3ED3E3CA"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69</w:t>
            </w:r>
          </w:p>
        </w:tc>
        <w:tc>
          <w:tcPr>
            <w:tcW w:w="2547" w:type="dxa"/>
            <w:tcBorders>
              <w:top w:val="single" w:sz="4" w:space="0" w:color="000000"/>
              <w:left w:val="single" w:sz="4" w:space="0" w:color="000000"/>
              <w:bottom w:val="single" w:sz="4" w:space="0" w:color="000000"/>
              <w:right w:val="single" w:sz="4" w:space="0" w:color="000000"/>
            </w:tcBorders>
          </w:tcPr>
          <w:p w14:paraId="61D67F9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 xml:space="preserve">(2)   Până la data de 15 martie a fiecărui an, statele membre trimit Comisiei un raport privind practicile comerciale neloiale în relațiile dintre întreprinderi în cadrul lanțului de aprovizionare agricol și </w:t>
            </w:r>
            <w:r w:rsidRPr="00DE15E9">
              <w:rPr>
                <w:rFonts w:ascii="Times New Roman" w:hAnsi="Times New Roman" w:cs="Times New Roman"/>
                <w:sz w:val="20"/>
                <w:szCs w:val="20"/>
                <w:shd w:val="clear" w:color="auto" w:fill="FFFFFF"/>
                <w:lang w:val="ro-MD"/>
              </w:rPr>
              <w:lastRenderedPageBreak/>
              <w:t>alimentar. Raportul respectiv trebuie să conțină, în special, toate datele relevante referitoare la aplicarea și asigurarea aplicării normelor prevăzute în prezenta directivă în statul membru în cauză pe parcursul anului anterior.</w:t>
            </w:r>
          </w:p>
        </w:tc>
        <w:tc>
          <w:tcPr>
            <w:tcW w:w="2552" w:type="dxa"/>
            <w:tcBorders>
              <w:top w:val="single" w:sz="4" w:space="0" w:color="000000"/>
              <w:left w:val="single" w:sz="4" w:space="0" w:color="000000"/>
              <w:bottom w:val="single" w:sz="4" w:space="0" w:color="000000"/>
              <w:right w:val="single" w:sz="4" w:space="0" w:color="000000"/>
            </w:tcBorders>
          </w:tcPr>
          <w:p w14:paraId="7CE9C16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lastRenderedPageBreak/>
              <w:t xml:space="preserve">2.   By 15 March of each year, Member States shall send to the Commission a report on unfair trading practices in business-to-business relationships in the agricultural and food supply chain. That report shall </w:t>
            </w:r>
            <w:r w:rsidRPr="00DE15E9">
              <w:rPr>
                <w:rFonts w:ascii="Times New Roman" w:hAnsi="Times New Roman" w:cs="Times New Roman"/>
                <w:sz w:val="20"/>
                <w:szCs w:val="20"/>
                <w:shd w:val="clear" w:color="auto" w:fill="FFFFFF"/>
                <w:lang w:val="en-GB"/>
              </w:rPr>
              <w:lastRenderedPageBreak/>
              <w:t>contain, in particular, all relevant data on the application and enforcement of the rules under this Directive in the Member State concerned during the previous year.</w:t>
            </w:r>
          </w:p>
        </w:tc>
        <w:tc>
          <w:tcPr>
            <w:tcW w:w="2693" w:type="dxa"/>
            <w:tcBorders>
              <w:top w:val="single" w:sz="4" w:space="0" w:color="000000"/>
              <w:left w:val="single" w:sz="4" w:space="0" w:color="000000"/>
              <w:bottom w:val="single" w:sz="4" w:space="0" w:color="000000"/>
              <w:right w:val="single" w:sz="4" w:space="0" w:color="000000"/>
            </w:tcBorders>
          </w:tcPr>
          <w:p w14:paraId="68B2A16D" w14:textId="77777777" w:rsidR="00C63E26" w:rsidRPr="00DE15E9" w:rsidRDefault="00C63E26" w:rsidP="00DE15E9">
            <w:pPr>
              <w:spacing w:after="0" w:line="240" w:lineRule="auto"/>
              <w:ind w:firstLine="426"/>
              <w:jc w:val="both"/>
              <w:rPr>
                <w:rFonts w:ascii="Times New Roman" w:eastAsiaTheme="minorHAnsi" w:hAnsi="Times New Roman" w:cs="Times New Roman"/>
                <w:sz w:val="20"/>
                <w:szCs w:val="20"/>
                <w:lang w:val="ro-MD"/>
              </w:rPr>
            </w:pPr>
            <w:r w:rsidRPr="00DE15E9">
              <w:rPr>
                <w:rFonts w:ascii="Times New Roman" w:hAnsi="Times New Roman" w:cs="Times New Roman"/>
                <w:bCs/>
                <w:sz w:val="20"/>
                <w:szCs w:val="20"/>
                <w:lang w:val="ro-MD"/>
              </w:rPr>
              <w:lastRenderedPageBreak/>
              <w:t xml:space="preserve">Articolul 13. Raportare </w:t>
            </w:r>
          </w:p>
          <w:p w14:paraId="7DAF158D" w14:textId="2AFE764D" w:rsidR="00E0260F" w:rsidRPr="00DE15E9" w:rsidRDefault="00C63E26" w:rsidP="00DE15E9">
            <w:pPr>
              <w:pStyle w:val="ListParagraph"/>
              <w:numPr>
                <w:ilvl w:val="0"/>
                <w:numId w:val="24"/>
              </w:numPr>
              <w:spacing w:after="0" w:line="240" w:lineRule="auto"/>
              <w:ind w:left="0" w:firstLine="426"/>
              <w:jc w:val="both"/>
              <w:rPr>
                <w:rFonts w:ascii="Times New Roman" w:hAnsi="Times New Roman" w:cs="Times New Roman"/>
                <w:sz w:val="20"/>
                <w:szCs w:val="20"/>
                <w:lang w:val="ro-MD"/>
              </w:rPr>
            </w:pPr>
            <w:r w:rsidRPr="00DE15E9">
              <w:rPr>
                <w:rFonts w:ascii="Times New Roman" w:hAnsi="Times New Roman" w:cs="Times New Roman"/>
                <w:sz w:val="20"/>
                <w:szCs w:val="20"/>
                <w:lang w:val="ro-MD"/>
              </w:rPr>
              <w:t xml:space="preserve"> Consiliul Concurenței transmite anual, până la data de 15 martie, Comisiei Europene un raport privind practicile comerciale neloiale în relațiile dintre întreprinderi din cadrul </w:t>
            </w:r>
            <w:r w:rsidRPr="00DE15E9">
              <w:rPr>
                <w:rFonts w:ascii="Times New Roman" w:hAnsi="Times New Roman" w:cs="Times New Roman"/>
                <w:sz w:val="20"/>
                <w:szCs w:val="20"/>
                <w:lang w:val="ro-MD"/>
              </w:rPr>
              <w:lastRenderedPageBreak/>
              <w:t xml:space="preserve">lanțului de aprovizionare agricol și alimentar din Republica Moldova, întocmit în conformitate cu cerințele stabilite de Comisia Europeană. </w:t>
            </w:r>
            <w:r w:rsidRPr="00DE15E9">
              <w:rPr>
                <w:rFonts w:ascii="Times New Roman" w:hAnsi="Times New Roman" w:cs="Times New Roman"/>
                <w:sz w:val="20"/>
                <w:szCs w:val="20"/>
              </w:rPr>
              <w:t>Raportul conține datele relevante privind aplicarea și asigurarea aplicării normelor prevăzute de prezenta lege pe parcursul anului anterior</w:t>
            </w:r>
            <w:r w:rsidRPr="00DE15E9">
              <w:rPr>
                <w:rFonts w:ascii="Times New Roman" w:hAnsi="Times New Roman" w:cs="Times New Roman"/>
                <w:sz w:val="20"/>
                <w:szCs w:val="20"/>
                <w:lang w:val="ro-MD"/>
              </w:rPr>
              <w:t>.</w:t>
            </w:r>
          </w:p>
        </w:tc>
        <w:tc>
          <w:tcPr>
            <w:tcW w:w="2693" w:type="dxa"/>
            <w:tcBorders>
              <w:top w:val="single" w:sz="4" w:space="0" w:color="000000"/>
              <w:left w:val="single" w:sz="4" w:space="0" w:color="000000"/>
              <w:bottom w:val="single" w:sz="4" w:space="0" w:color="000000"/>
              <w:right w:val="single" w:sz="4" w:space="0" w:color="000000"/>
            </w:tcBorders>
          </w:tcPr>
          <w:p w14:paraId="1137A8D8" w14:textId="77777777" w:rsidR="00C63E26" w:rsidRPr="00DE15E9" w:rsidRDefault="00C63E26" w:rsidP="00DE15E9">
            <w:pPr>
              <w:pStyle w:val="isselectedend"/>
              <w:spacing w:before="0" w:beforeAutospacing="0" w:after="0" w:afterAutospacing="0"/>
              <w:jc w:val="both"/>
              <w:rPr>
                <w:sz w:val="20"/>
                <w:szCs w:val="20"/>
              </w:rPr>
            </w:pPr>
            <w:r w:rsidRPr="00DE15E9">
              <w:rPr>
                <w:sz w:val="20"/>
                <w:szCs w:val="20"/>
              </w:rPr>
              <w:lastRenderedPageBreak/>
              <w:t>Article 13. Reporting</w:t>
            </w:r>
          </w:p>
          <w:p w14:paraId="1F551334" w14:textId="77777777" w:rsidR="00C63E26" w:rsidRPr="00DE15E9" w:rsidRDefault="00C63E26" w:rsidP="00DE15E9">
            <w:pPr>
              <w:pStyle w:val="isselectedend"/>
              <w:spacing w:before="0" w:beforeAutospacing="0" w:after="0" w:afterAutospacing="0"/>
              <w:jc w:val="both"/>
              <w:rPr>
                <w:sz w:val="20"/>
                <w:szCs w:val="20"/>
              </w:rPr>
            </w:pPr>
            <w:r w:rsidRPr="00DE15E9">
              <w:rPr>
                <w:sz w:val="20"/>
                <w:szCs w:val="20"/>
              </w:rPr>
              <w:t xml:space="preserve">(1) The Competition Council shall, by 15 March each year, submit to the European Commission a report on unfair trading practices in business-to-business relationships within the agricultural and </w:t>
            </w:r>
            <w:r w:rsidRPr="00DE15E9">
              <w:rPr>
                <w:sz w:val="20"/>
                <w:szCs w:val="20"/>
              </w:rPr>
              <w:lastRenderedPageBreak/>
              <w:t>food supply chain in the Republic of Moldova, drawn up in accordance with the requirements established by the European Commission. The report shall contain the relevant data on the application and enforcement of the rules laid down in this Law during the previous year.</w:t>
            </w:r>
          </w:p>
          <w:p w14:paraId="40DAB0AB" w14:textId="77777777" w:rsidR="00E0260F" w:rsidRPr="00DE15E9" w:rsidRDefault="00E0260F" w:rsidP="00DE15E9">
            <w:pPr>
              <w:spacing w:after="0" w:line="240" w:lineRule="auto"/>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0B8601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 xml:space="preserve">Compatibil </w:t>
            </w:r>
          </w:p>
        </w:tc>
        <w:tc>
          <w:tcPr>
            <w:tcW w:w="1985" w:type="dxa"/>
            <w:tcBorders>
              <w:top w:val="single" w:sz="4" w:space="0" w:color="000000"/>
              <w:left w:val="single" w:sz="4" w:space="0" w:color="000000"/>
              <w:bottom w:val="single" w:sz="4" w:space="0" w:color="000000"/>
              <w:right w:val="single" w:sz="4" w:space="0" w:color="000000"/>
            </w:tcBorders>
          </w:tcPr>
          <w:p w14:paraId="5C4A651C" w14:textId="149A5BBA"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Prevedere aplicabilă din data aderării</w:t>
            </w:r>
          </w:p>
        </w:tc>
        <w:tc>
          <w:tcPr>
            <w:tcW w:w="2126" w:type="dxa"/>
            <w:tcBorders>
              <w:top w:val="single" w:sz="4" w:space="0" w:color="000000"/>
              <w:left w:val="single" w:sz="4" w:space="0" w:color="000000"/>
              <w:bottom w:val="single" w:sz="4" w:space="0" w:color="000000"/>
              <w:right w:val="single" w:sz="4" w:space="0" w:color="000000"/>
            </w:tcBorders>
          </w:tcPr>
          <w:p w14:paraId="2D15C37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4088B052" w14:textId="77777777" w:rsidTr="00033703">
        <w:tc>
          <w:tcPr>
            <w:tcW w:w="430" w:type="dxa"/>
            <w:tcBorders>
              <w:top w:val="single" w:sz="4" w:space="0" w:color="000000"/>
              <w:left w:val="single" w:sz="4" w:space="0" w:color="000000"/>
              <w:bottom w:val="single" w:sz="4" w:space="0" w:color="000000"/>
              <w:right w:val="single" w:sz="4" w:space="0" w:color="000000"/>
            </w:tcBorders>
          </w:tcPr>
          <w:p w14:paraId="6855BDD3"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70</w:t>
            </w:r>
          </w:p>
        </w:tc>
        <w:tc>
          <w:tcPr>
            <w:tcW w:w="2547" w:type="dxa"/>
            <w:tcBorders>
              <w:top w:val="single" w:sz="4" w:space="0" w:color="000000"/>
              <w:left w:val="single" w:sz="4" w:space="0" w:color="000000"/>
              <w:bottom w:val="single" w:sz="4" w:space="0" w:color="000000"/>
              <w:right w:val="single" w:sz="4" w:space="0" w:color="000000"/>
            </w:tcBorders>
          </w:tcPr>
          <w:p w14:paraId="3C603619"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(3)   Comisia poate adopta acte de punere în aplicare prin care să stabilească:</w:t>
            </w:r>
          </w:p>
          <w:tbl>
            <w:tblPr>
              <w:tblW w:w="4774" w:type="pct"/>
              <w:shd w:val="clear" w:color="auto" w:fill="FFFFFF"/>
              <w:tblLayout w:type="fixed"/>
              <w:tblCellMar>
                <w:left w:w="0" w:type="dxa"/>
                <w:right w:w="0" w:type="dxa"/>
              </w:tblCellMar>
              <w:tblLook w:val="04A0" w:firstRow="1" w:lastRow="0" w:firstColumn="1" w:lastColumn="0" w:noHBand="0" w:noVBand="1"/>
            </w:tblPr>
            <w:tblGrid>
              <w:gridCol w:w="2212"/>
            </w:tblGrid>
            <w:tr w:rsidR="00E0260F" w:rsidRPr="00DE15E9" w14:paraId="1EAE9EBD" w14:textId="77777777" w:rsidTr="00416654">
              <w:tc>
                <w:tcPr>
                  <w:tcW w:w="2222" w:type="dxa"/>
                  <w:shd w:val="clear" w:color="auto" w:fill="FFFFFF"/>
                  <w:hideMark/>
                </w:tcPr>
                <w:p w14:paraId="52082CE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norme privind informațiile necesare pentru aplicarea alineatului (2);</w:t>
                  </w:r>
                </w:p>
              </w:tc>
            </w:tr>
          </w:tbl>
          <w:p w14:paraId="2C0C7AD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75D0B309"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3.   The Commission may adopt implementing acts laying down:</w:t>
            </w:r>
          </w:p>
          <w:tbl>
            <w:tblPr>
              <w:tblW w:w="4776" w:type="pct"/>
              <w:shd w:val="clear" w:color="auto" w:fill="FFFFFF"/>
              <w:tblLayout w:type="fixed"/>
              <w:tblCellMar>
                <w:left w:w="0" w:type="dxa"/>
                <w:right w:w="0" w:type="dxa"/>
              </w:tblCellMar>
              <w:tblLook w:val="04A0" w:firstRow="1" w:lastRow="0" w:firstColumn="1" w:lastColumn="0" w:noHBand="0" w:noVBand="1"/>
            </w:tblPr>
            <w:tblGrid>
              <w:gridCol w:w="2218"/>
            </w:tblGrid>
            <w:tr w:rsidR="00E0260F" w:rsidRPr="00DE15E9" w14:paraId="322D181A" w14:textId="77777777" w:rsidTr="00416654">
              <w:tc>
                <w:tcPr>
                  <w:tcW w:w="2218" w:type="dxa"/>
                  <w:shd w:val="clear" w:color="auto" w:fill="FFFFFF"/>
                  <w:hideMark/>
                </w:tcPr>
                <w:p w14:paraId="62715DE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rules on the information necessary for the application of paragraph 2;</w:t>
                  </w:r>
                </w:p>
              </w:tc>
            </w:tr>
          </w:tbl>
          <w:p w14:paraId="0702707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03A168F7" w14:textId="77777777"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6244762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77751592" w14:textId="445FBDA6"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Prevedere UE neaplicabilă</w:t>
            </w:r>
          </w:p>
        </w:tc>
        <w:tc>
          <w:tcPr>
            <w:tcW w:w="1985" w:type="dxa"/>
            <w:tcBorders>
              <w:top w:val="single" w:sz="4" w:space="0" w:color="000000"/>
              <w:left w:val="single" w:sz="4" w:space="0" w:color="000000"/>
              <w:bottom w:val="single" w:sz="4" w:space="0" w:color="000000"/>
              <w:right w:val="single" w:sz="4" w:space="0" w:color="000000"/>
            </w:tcBorders>
          </w:tcPr>
          <w:p w14:paraId="61C981B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rPr>
              <w:t xml:space="preserve">Această dispoziție are caracter </w:t>
            </w:r>
            <w:r w:rsidRPr="00DE15E9">
              <w:rPr>
                <w:rStyle w:val="Strong"/>
                <w:rFonts w:ascii="Times New Roman" w:hAnsi="Times New Roman" w:cs="Times New Roman"/>
                <w:b w:val="0"/>
                <w:sz w:val="20"/>
                <w:szCs w:val="20"/>
              </w:rPr>
              <w:t>procedural la nivelul Uniunii Europene</w:t>
            </w:r>
            <w:r w:rsidRPr="00DE15E9">
              <w:rPr>
                <w:rFonts w:ascii="Times New Roman" w:hAnsi="Times New Roman" w:cs="Times New Roman"/>
                <w:sz w:val="20"/>
                <w:szCs w:val="20"/>
              </w:rPr>
              <w:t>, vizând atribuțiile Comisiei și relația dintre Comisie și statele membre, fără a institui obligații de transpunere în legislația națională</w:t>
            </w:r>
          </w:p>
        </w:tc>
        <w:tc>
          <w:tcPr>
            <w:tcW w:w="2126" w:type="dxa"/>
            <w:tcBorders>
              <w:top w:val="single" w:sz="4" w:space="0" w:color="000000"/>
              <w:left w:val="single" w:sz="4" w:space="0" w:color="000000"/>
              <w:bottom w:val="single" w:sz="4" w:space="0" w:color="000000"/>
              <w:right w:val="single" w:sz="4" w:space="0" w:color="000000"/>
            </w:tcBorders>
          </w:tcPr>
          <w:p w14:paraId="0A82371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586F874D" w14:textId="77777777" w:rsidTr="00033703">
        <w:tc>
          <w:tcPr>
            <w:tcW w:w="430" w:type="dxa"/>
            <w:tcBorders>
              <w:top w:val="single" w:sz="4" w:space="0" w:color="000000"/>
              <w:left w:val="single" w:sz="4" w:space="0" w:color="000000"/>
              <w:bottom w:val="single" w:sz="4" w:space="0" w:color="000000"/>
              <w:right w:val="single" w:sz="4" w:space="0" w:color="000000"/>
            </w:tcBorders>
          </w:tcPr>
          <w:p w14:paraId="56E1056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71</w:t>
            </w:r>
          </w:p>
        </w:tc>
        <w:tc>
          <w:tcPr>
            <w:tcW w:w="2547" w:type="dxa"/>
            <w:tcBorders>
              <w:top w:val="single" w:sz="4" w:space="0" w:color="000000"/>
              <w:left w:val="single" w:sz="4" w:space="0" w:color="000000"/>
              <w:bottom w:val="single" w:sz="4" w:space="0" w:color="000000"/>
              <w:right w:val="single" w:sz="4" w:space="0" w:color="000000"/>
            </w:tcBorders>
          </w:tcPr>
          <w:tbl>
            <w:tblPr>
              <w:tblW w:w="4920" w:type="pct"/>
              <w:shd w:val="clear" w:color="auto" w:fill="FFFFFF"/>
              <w:tblLayout w:type="fixed"/>
              <w:tblCellMar>
                <w:left w:w="0" w:type="dxa"/>
                <w:right w:w="0" w:type="dxa"/>
              </w:tblCellMar>
              <w:tblLook w:val="04A0" w:firstRow="1" w:lastRow="0" w:firstColumn="1" w:lastColumn="0" w:noHBand="0" w:noVBand="1"/>
            </w:tblPr>
            <w:tblGrid>
              <w:gridCol w:w="2280"/>
            </w:tblGrid>
            <w:tr w:rsidR="00E0260F" w:rsidRPr="00DE15E9" w14:paraId="29E73C0F" w14:textId="77777777" w:rsidTr="00416654">
              <w:tc>
                <w:tcPr>
                  <w:tcW w:w="2290" w:type="dxa"/>
                  <w:shd w:val="clear" w:color="auto" w:fill="FFFFFF"/>
                  <w:hideMark/>
                </w:tcPr>
                <w:p w14:paraId="1198B1B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măsuri pentru gestionarea informațiilor care trebuie trimise de statele membre Comisiei și norme referitoare la conținutul și forma pe care trebuie să le aibă astfel de informații;</w:t>
                  </w:r>
                </w:p>
              </w:tc>
            </w:tr>
          </w:tbl>
          <w:p w14:paraId="26F7DF3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02" w:type="pct"/>
              <w:shd w:val="clear" w:color="auto" w:fill="FFFFFF"/>
              <w:tblLayout w:type="fixed"/>
              <w:tblCellMar>
                <w:left w:w="0" w:type="dxa"/>
                <w:right w:w="0" w:type="dxa"/>
              </w:tblCellMar>
              <w:tblLook w:val="04A0" w:firstRow="1" w:lastRow="0" w:firstColumn="1" w:lastColumn="0" w:noHBand="0" w:noVBand="1"/>
            </w:tblPr>
            <w:tblGrid>
              <w:gridCol w:w="2230"/>
            </w:tblGrid>
            <w:tr w:rsidR="00E0260F" w:rsidRPr="00DE15E9" w14:paraId="12ADB4D6" w14:textId="77777777" w:rsidTr="00416654">
              <w:tc>
                <w:tcPr>
                  <w:tcW w:w="2230" w:type="dxa"/>
                  <w:shd w:val="clear" w:color="auto" w:fill="FFFFFF"/>
                  <w:hideMark/>
                </w:tcPr>
                <w:p w14:paraId="0E3B440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arrangements for the management of the information to be sent by Member States to the Commission and rules on the content and form of such information;</w:t>
                  </w:r>
                </w:p>
              </w:tc>
            </w:tr>
          </w:tbl>
          <w:p w14:paraId="2CFF259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53532139" w14:textId="77777777"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372E671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0A35BFF7" w14:textId="2DEA04FB"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Prevedere UE neaplicabilă</w:t>
            </w:r>
          </w:p>
        </w:tc>
        <w:tc>
          <w:tcPr>
            <w:tcW w:w="1985" w:type="dxa"/>
            <w:tcBorders>
              <w:top w:val="single" w:sz="4" w:space="0" w:color="000000"/>
              <w:left w:val="single" w:sz="4" w:space="0" w:color="000000"/>
              <w:bottom w:val="single" w:sz="4" w:space="0" w:color="000000"/>
              <w:right w:val="single" w:sz="4" w:space="0" w:color="000000"/>
            </w:tcBorders>
          </w:tcPr>
          <w:p w14:paraId="4B121BB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rPr>
              <w:t xml:space="preserve">Această dispoziție are caracter </w:t>
            </w:r>
            <w:r w:rsidRPr="00DE15E9">
              <w:rPr>
                <w:rStyle w:val="Strong"/>
                <w:rFonts w:ascii="Times New Roman" w:hAnsi="Times New Roman" w:cs="Times New Roman"/>
                <w:b w:val="0"/>
                <w:sz w:val="20"/>
                <w:szCs w:val="20"/>
              </w:rPr>
              <w:t>procedural la nivelul Uniunii Europene</w:t>
            </w:r>
            <w:r w:rsidRPr="00DE15E9">
              <w:rPr>
                <w:rFonts w:ascii="Times New Roman" w:hAnsi="Times New Roman" w:cs="Times New Roman"/>
                <w:sz w:val="20"/>
                <w:szCs w:val="20"/>
              </w:rPr>
              <w:t>, vizând atribuțiile Comisiei și relația dintre Comisie și statele membre, fără a institui obligații de transpunere în legislația națională</w:t>
            </w:r>
          </w:p>
        </w:tc>
        <w:tc>
          <w:tcPr>
            <w:tcW w:w="2126" w:type="dxa"/>
            <w:tcBorders>
              <w:top w:val="single" w:sz="4" w:space="0" w:color="000000"/>
              <w:left w:val="single" w:sz="4" w:space="0" w:color="000000"/>
              <w:bottom w:val="single" w:sz="4" w:space="0" w:color="000000"/>
              <w:right w:val="single" w:sz="4" w:space="0" w:color="000000"/>
            </w:tcBorders>
          </w:tcPr>
          <w:p w14:paraId="10BDB25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457D9CCC" w14:textId="77777777" w:rsidTr="00033703">
        <w:tc>
          <w:tcPr>
            <w:tcW w:w="430" w:type="dxa"/>
            <w:tcBorders>
              <w:top w:val="single" w:sz="4" w:space="0" w:color="000000"/>
              <w:left w:val="single" w:sz="4" w:space="0" w:color="000000"/>
              <w:bottom w:val="single" w:sz="4" w:space="0" w:color="000000"/>
              <w:right w:val="single" w:sz="4" w:space="0" w:color="000000"/>
            </w:tcBorders>
          </w:tcPr>
          <w:p w14:paraId="49A66AB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72</w:t>
            </w:r>
          </w:p>
        </w:tc>
        <w:tc>
          <w:tcPr>
            <w:tcW w:w="2547" w:type="dxa"/>
            <w:tcBorders>
              <w:top w:val="single" w:sz="4" w:space="0" w:color="000000"/>
              <w:left w:val="single" w:sz="4" w:space="0" w:color="000000"/>
              <w:bottom w:val="single" w:sz="4" w:space="0" w:color="000000"/>
              <w:right w:val="single" w:sz="4" w:space="0" w:color="000000"/>
            </w:tcBorders>
          </w:tcPr>
          <w:tbl>
            <w:tblPr>
              <w:tblW w:w="4811" w:type="pct"/>
              <w:shd w:val="clear" w:color="auto" w:fill="FFFFFF"/>
              <w:tblLayout w:type="fixed"/>
              <w:tblCellMar>
                <w:left w:w="0" w:type="dxa"/>
                <w:right w:w="0" w:type="dxa"/>
              </w:tblCellMar>
              <w:tblLook w:val="04A0" w:firstRow="1" w:lastRow="0" w:firstColumn="1" w:lastColumn="0" w:noHBand="0" w:noVBand="1"/>
            </w:tblPr>
            <w:tblGrid>
              <w:gridCol w:w="2229"/>
            </w:tblGrid>
            <w:tr w:rsidR="00E0260F" w:rsidRPr="00DE15E9" w14:paraId="15605E34" w14:textId="77777777" w:rsidTr="00416654">
              <w:tc>
                <w:tcPr>
                  <w:tcW w:w="2239" w:type="dxa"/>
                  <w:shd w:val="clear" w:color="auto" w:fill="FFFFFF"/>
                  <w:hideMark/>
                </w:tcPr>
                <w:p w14:paraId="1057DA5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măsuri privind transmiterea sau punerea informațiilor și a documentelor la dispoziția statelor membre, a organizațiilor internaționale, a autorităților competente ale țărilor terțe sau a publicului, </w:t>
                  </w:r>
                  <w:r w:rsidRPr="00DE15E9">
                    <w:rPr>
                      <w:rFonts w:ascii="Times New Roman" w:eastAsia="Times New Roman" w:hAnsi="Times New Roman" w:cs="Times New Roman"/>
                      <w:sz w:val="20"/>
                      <w:szCs w:val="20"/>
                      <w:lang w:val="ro-MD"/>
                    </w:rPr>
                    <w:lastRenderedPageBreak/>
                    <w:t>sub rezerva protecției datelor cu caracter personal și a intereselor legitime ale producătorilor agricoli și ale întreprinderilor în ceea ce privește protecția secretelor lor comerciale.</w:t>
                  </w:r>
                </w:p>
              </w:tc>
            </w:tr>
          </w:tbl>
          <w:p w14:paraId="2D0AAA8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11" w:type="pct"/>
              <w:shd w:val="clear" w:color="auto" w:fill="FFFFFF"/>
              <w:tblLayout w:type="fixed"/>
              <w:tblCellMar>
                <w:left w:w="0" w:type="dxa"/>
                <w:right w:w="0" w:type="dxa"/>
              </w:tblCellMar>
              <w:tblLook w:val="04A0" w:firstRow="1" w:lastRow="0" w:firstColumn="1" w:lastColumn="0" w:noHBand="0" w:noVBand="1"/>
            </w:tblPr>
            <w:tblGrid>
              <w:gridCol w:w="2234"/>
            </w:tblGrid>
            <w:tr w:rsidR="00E0260F" w:rsidRPr="00DE15E9" w14:paraId="5938EBB6" w14:textId="77777777" w:rsidTr="00416654">
              <w:tc>
                <w:tcPr>
                  <w:tcW w:w="2234" w:type="dxa"/>
                  <w:shd w:val="clear" w:color="auto" w:fill="FFFFFF"/>
                  <w:hideMark/>
                </w:tcPr>
                <w:p w14:paraId="0D3C313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lastRenderedPageBreak/>
                    <w:t xml:space="preserve">arrangements for transmitting, or for making information and documents available, to the Member States, international organisations, the competent authorities in third countries, or the </w:t>
                  </w:r>
                  <w:r w:rsidRPr="00DE15E9">
                    <w:rPr>
                      <w:rFonts w:ascii="Times New Roman" w:eastAsia="Times New Roman" w:hAnsi="Times New Roman" w:cs="Times New Roman"/>
                      <w:sz w:val="20"/>
                      <w:szCs w:val="20"/>
                      <w:lang w:val="en-GB"/>
                    </w:rPr>
                    <w:lastRenderedPageBreak/>
                    <w:t>public, subject to the protection of personal data and the legitimate interests of agricultural producers and enterprises in the protection of their business secrets.</w:t>
                  </w:r>
                </w:p>
              </w:tc>
            </w:tr>
          </w:tbl>
          <w:p w14:paraId="77B7920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586B4DB2" w14:textId="77777777"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2790966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70E7E1F5" w14:textId="4C3988CA"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Prevedere UE neaplicabilă</w:t>
            </w:r>
          </w:p>
        </w:tc>
        <w:tc>
          <w:tcPr>
            <w:tcW w:w="1985" w:type="dxa"/>
            <w:tcBorders>
              <w:top w:val="single" w:sz="4" w:space="0" w:color="000000"/>
              <w:left w:val="single" w:sz="4" w:space="0" w:color="000000"/>
              <w:bottom w:val="single" w:sz="4" w:space="0" w:color="000000"/>
              <w:right w:val="single" w:sz="4" w:space="0" w:color="000000"/>
            </w:tcBorders>
          </w:tcPr>
          <w:p w14:paraId="0AD478B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rPr>
              <w:t xml:space="preserve">Această dispoziție are caracter </w:t>
            </w:r>
            <w:r w:rsidRPr="00DE15E9">
              <w:rPr>
                <w:rStyle w:val="Strong"/>
                <w:rFonts w:ascii="Times New Roman" w:hAnsi="Times New Roman" w:cs="Times New Roman"/>
                <w:b w:val="0"/>
                <w:sz w:val="20"/>
                <w:szCs w:val="20"/>
              </w:rPr>
              <w:t>procedural la nivelul Uniunii Europene</w:t>
            </w:r>
            <w:r w:rsidRPr="00DE15E9">
              <w:rPr>
                <w:rFonts w:ascii="Times New Roman" w:hAnsi="Times New Roman" w:cs="Times New Roman"/>
                <w:sz w:val="20"/>
                <w:szCs w:val="20"/>
              </w:rPr>
              <w:t xml:space="preserve">, vizând atribuțiile Comisiei și relația dintre Comisie și statele membre, fără a institui obligații </w:t>
            </w:r>
            <w:r w:rsidRPr="00DE15E9">
              <w:rPr>
                <w:rFonts w:ascii="Times New Roman" w:hAnsi="Times New Roman" w:cs="Times New Roman"/>
                <w:sz w:val="20"/>
                <w:szCs w:val="20"/>
              </w:rPr>
              <w:lastRenderedPageBreak/>
              <w:t>de transpunere în legislația națională</w:t>
            </w:r>
          </w:p>
        </w:tc>
        <w:tc>
          <w:tcPr>
            <w:tcW w:w="2126" w:type="dxa"/>
            <w:tcBorders>
              <w:top w:val="single" w:sz="4" w:space="0" w:color="000000"/>
              <w:left w:val="single" w:sz="4" w:space="0" w:color="000000"/>
              <w:bottom w:val="single" w:sz="4" w:space="0" w:color="000000"/>
              <w:right w:val="single" w:sz="4" w:space="0" w:color="000000"/>
            </w:tcBorders>
          </w:tcPr>
          <w:p w14:paraId="14275F3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65FA311D" w14:textId="77777777" w:rsidTr="00033703">
        <w:tc>
          <w:tcPr>
            <w:tcW w:w="430" w:type="dxa"/>
            <w:tcBorders>
              <w:top w:val="single" w:sz="4" w:space="0" w:color="000000"/>
              <w:left w:val="single" w:sz="4" w:space="0" w:color="000000"/>
              <w:bottom w:val="single" w:sz="4" w:space="0" w:color="000000"/>
              <w:right w:val="single" w:sz="4" w:space="0" w:color="000000"/>
            </w:tcBorders>
          </w:tcPr>
          <w:p w14:paraId="7EF51EB0" w14:textId="77777777" w:rsidR="00E0260F" w:rsidRPr="00DE15E9" w:rsidRDefault="00E0260F" w:rsidP="00DE15E9">
            <w:pPr>
              <w:pStyle w:val="oj-normal"/>
              <w:shd w:val="clear" w:color="auto" w:fill="FFFFFF"/>
              <w:spacing w:before="0" w:beforeAutospacing="0" w:after="0" w:afterAutospacing="0"/>
              <w:jc w:val="both"/>
              <w:rPr>
                <w:sz w:val="20"/>
                <w:szCs w:val="20"/>
                <w:lang w:val="ro-MD"/>
              </w:rPr>
            </w:pPr>
            <w:r w:rsidRPr="00DE15E9">
              <w:rPr>
                <w:sz w:val="20"/>
                <w:szCs w:val="20"/>
                <w:lang w:val="ro-MD"/>
              </w:rPr>
              <w:t>73</w:t>
            </w:r>
          </w:p>
        </w:tc>
        <w:tc>
          <w:tcPr>
            <w:tcW w:w="2547" w:type="dxa"/>
            <w:tcBorders>
              <w:top w:val="single" w:sz="4" w:space="0" w:color="000000"/>
              <w:left w:val="single" w:sz="4" w:space="0" w:color="000000"/>
              <w:bottom w:val="single" w:sz="4" w:space="0" w:color="000000"/>
              <w:right w:val="single" w:sz="4" w:space="0" w:color="000000"/>
            </w:tcBorders>
          </w:tcPr>
          <w:p w14:paraId="1CA74B50" w14:textId="77777777" w:rsidR="00E0260F" w:rsidRPr="00DE15E9" w:rsidRDefault="00E0260F" w:rsidP="00DE15E9">
            <w:pPr>
              <w:pStyle w:val="oj-normal"/>
              <w:shd w:val="clear" w:color="auto" w:fill="FFFFFF"/>
              <w:spacing w:before="0" w:beforeAutospacing="0" w:after="0" w:afterAutospacing="0"/>
              <w:jc w:val="both"/>
              <w:rPr>
                <w:sz w:val="20"/>
                <w:szCs w:val="20"/>
                <w:lang w:val="ro-MD"/>
              </w:rPr>
            </w:pPr>
            <w:r w:rsidRPr="00DE15E9">
              <w:rPr>
                <w:sz w:val="20"/>
                <w:szCs w:val="20"/>
                <w:lang w:val="ro-MD"/>
              </w:rPr>
              <w:t>Respectivele acte de punere în aplicare se adoptă în conformitate cu procedura de examinare menționată la articolul 11 alineatul (2).</w:t>
            </w:r>
          </w:p>
          <w:p w14:paraId="5900FBD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15C9BD9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Those implementing acts shall be adopted in accordance with the examination procedure referred to in Article 11(2).</w:t>
            </w:r>
          </w:p>
        </w:tc>
        <w:tc>
          <w:tcPr>
            <w:tcW w:w="2693" w:type="dxa"/>
            <w:tcBorders>
              <w:top w:val="single" w:sz="4" w:space="0" w:color="000000"/>
              <w:left w:val="single" w:sz="4" w:space="0" w:color="000000"/>
              <w:bottom w:val="single" w:sz="4" w:space="0" w:color="000000"/>
              <w:right w:val="single" w:sz="4" w:space="0" w:color="000000"/>
            </w:tcBorders>
          </w:tcPr>
          <w:p w14:paraId="777B584B" w14:textId="77777777"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51F71A8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0FC25CE1" w14:textId="7B336216"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Prevedere UE neaplicabilă</w:t>
            </w:r>
          </w:p>
        </w:tc>
        <w:tc>
          <w:tcPr>
            <w:tcW w:w="1985" w:type="dxa"/>
            <w:tcBorders>
              <w:top w:val="single" w:sz="4" w:space="0" w:color="000000"/>
              <w:left w:val="single" w:sz="4" w:space="0" w:color="000000"/>
              <w:bottom w:val="single" w:sz="4" w:space="0" w:color="000000"/>
              <w:right w:val="single" w:sz="4" w:space="0" w:color="000000"/>
            </w:tcBorders>
          </w:tcPr>
          <w:p w14:paraId="2E71EC6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rPr>
              <w:t xml:space="preserve">Această dispoziție are caracter </w:t>
            </w:r>
            <w:r w:rsidRPr="00DE15E9">
              <w:rPr>
                <w:rStyle w:val="Strong"/>
                <w:rFonts w:ascii="Times New Roman" w:hAnsi="Times New Roman" w:cs="Times New Roman"/>
                <w:b w:val="0"/>
                <w:sz w:val="20"/>
                <w:szCs w:val="20"/>
              </w:rPr>
              <w:t>procedural la nivelul Uniunii Europene</w:t>
            </w:r>
            <w:r w:rsidRPr="00DE15E9">
              <w:rPr>
                <w:rFonts w:ascii="Times New Roman" w:hAnsi="Times New Roman" w:cs="Times New Roman"/>
                <w:sz w:val="20"/>
                <w:szCs w:val="20"/>
              </w:rPr>
              <w:t>, vizând atribuțiile Comisiei și relația dintre Comisie și statele membre, fără a institui obligații de transpunere în legislația națională</w:t>
            </w:r>
          </w:p>
        </w:tc>
        <w:tc>
          <w:tcPr>
            <w:tcW w:w="2126" w:type="dxa"/>
            <w:tcBorders>
              <w:top w:val="single" w:sz="4" w:space="0" w:color="000000"/>
              <w:left w:val="single" w:sz="4" w:space="0" w:color="000000"/>
              <w:bottom w:val="single" w:sz="4" w:space="0" w:color="000000"/>
              <w:right w:val="single" w:sz="4" w:space="0" w:color="000000"/>
            </w:tcBorders>
          </w:tcPr>
          <w:p w14:paraId="6387A60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4AEDD981" w14:textId="77777777" w:rsidTr="00033703">
        <w:tc>
          <w:tcPr>
            <w:tcW w:w="430" w:type="dxa"/>
            <w:tcBorders>
              <w:top w:val="single" w:sz="4" w:space="0" w:color="000000"/>
              <w:left w:val="single" w:sz="4" w:space="0" w:color="000000"/>
              <w:bottom w:val="single" w:sz="4" w:space="0" w:color="000000"/>
              <w:right w:val="single" w:sz="4" w:space="0" w:color="000000"/>
            </w:tcBorders>
          </w:tcPr>
          <w:p w14:paraId="4A3B110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74</w:t>
            </w:r>
          </w:p>
        </w:tc>
        <w:tc>
          <w:tcPr>
            <w:tcW w:w="2547" w:type="dxa"/>
            <w:tcBorders>
              <w:top w:val="single" w:sz="4" w:space="0" w:color="000000"/>
              <w:left w:val="single" w:sz="4" w:space="0" w:color="000000"/>
              <w:bottom w:val="single" w:sz="4" w:space="0" w:color="000000"/>
              <w:right w:val="single" w:sz="4" w:space="0" w:color="000000"/>
            </w:tcBorders>
          </w:tcPr>
          <w:p w14:paraId="570A3906" w14:textId="77777777" w:rsidR="00E0260F" w:rsidRPr="00DE15E9" w:rsidRDefault="00E0260F" w:rsidP="00DE15E9">
            <w:pPr>
              <w:spacing w:after="0" w:line="240" w:lineRule="auto"/>
              <w:jc w:val="both"/>
              <w:rPr>
                <w:rFonts w:ascii="Times New Roman" w:eastAsia="Times New Roman" w:hAnsi="Times New Roman" w:cs="Times New Roman"/>
                <w:b/>
                <w:sz w:val="20"/>
                <w:szCs w:val="20"/>
                <w:lang w:val="ro-MD"/>
              </w:rPr>
            </w:pPr>
            <w:r w:rsidRPr="00DE15E9">
              <w:rPr>
                <w:rFonts w:ascii="Times New Roman" w:eastAsia="Times New Roman" w:hAnsi="Times New Roman" w:cs="Times New Roman"/>
                <w:b/>
                <w:sz w:val="20"/>
                <w:szCs w:val="20"/>
                <w:lang w:val="ro-MD"/>
              </w:rPr>
              <w:t>Articolul 11</w:t>
            </w:r>
          </w:p>
          <w:p w14:paraId="3E3A8D72" w14:textId="77777777" w:rsidR="00E0260F" w:rsidRPr="00DE15E9" w:rsidRDefault="00E0260F" w:rsidP="00DE15E9">
            <w:pPr>
              <w:pStyle w:val="oj-sti-art"/>
              <w:shd w:val="clear" w:color="auto" w:fill="FFFFFF"/>
              <w:spacing w:before="0" w:beforeAutospacing="0" w:after="0" w:afterAutospacing="0"/>
              <w:jc w:val="center"/>
              <w:rPr>
                <w:b/>
                <w:bCs/>
                <w:sz w:val="20"/>
                <w:szCs w:val="20"/>
                <w:lang w:val="ro-MD"/>
              </w:rPr>
            </w:pPr>
            <w:r w:rsidRPr="00DE15E9">
              <w:rPr>
                <w:b/>
                <w:bCs/>
                <w:sz w:val="20"/>
                <w:szCs w:val="20"/>
                <w:lang w:val="ro-MD"/>
              </w:rPr>
              <w:t>Procedura comitetului</w:t>
            </w:r>
          </w:p>
          <w:p w14:paraId="67512853" w14:textId="77777777" w:rsidR="00E0260F" w:rsidRPr="00DE15E9" w:rsidRDefault="00E0260F" w:rsidP="00DE15E9">
            <w:pPr>
              <w:pStyle w:val="oj-normal"/>
              <w:shd w:val="clear" w:color="auto" w:fill="FFFFFF"/>
              <w:spacing w:before="0" w:beforeAutospacing="0" w:after="0" w:afterAutospacing="0"/>
              <w:jc w:val="both"/>
              <w:rPr>
                <w:sz w:val="20"/>
                <w:szCs w:val="20"/>
                <w:lang w:val="ro-MD"/>
              </w:rPr>
            </w:pPr>
            <w:r w:rsidRPr="00DE15E9">
              <w:rPr>
                <w:sz w:val="20"/>
                <w:szCs w:val="20"/>
                <w:lang w:val="ro-MD"/>
              </w:rPr>
              <w:t>(1)   Comisia este asistată de Comitetul pentru organizarea comună a piețelor agricole, instituit prin articolul 229 din Regulamentul (UE) nr. 1308/2013. Respectivul comitet reprezintă un comitet în înțelesul Regulamentului (UE) nr. 182/2011.</w:t>
            </w:r>
          </w:p>
          <w:p w14:paraId="2F84F72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1B0A8ECD" w14:textId="77777777" w:rsidR="00E0260F" w:rsidRPr="00DE15E9" w:rsidRDefault="00E0260F" w:rsidP="00DE15E9">
            <w:pPr>
              <w:spacing w:after="0" w:line="240" w:lineRule="auto"/>
              <w:jc w:val="both"/>
              <w:rPr>
                <w:rFonts w:ascii="Times New Roman" w:eastAsia="Times New Roman" w:hAnsi="Times New Roman" w:cs="Times New Roman"/>
                <w:b/>
                <w:sz w:val="20"/>
                <w:szCs w:val="20"/>
                <w:lang w:val="en-GB"/>
              </w:rPr>
            </w:pPr>
            <w:r w:rsidRPr="00DE15E9">
              <w:rPr>
                <w:rFonts w:ascii="Times New Roman" w:eastAsia="Times New Roman" w:hAnsi="Times New Roman" w:cs="Times New Roman"/>
                <w:b/>
                <w:sz w:val="20"/>
                <w:szCs w:val="20"/>
                <w:lang w:val="en-GB"/>
              </w:rPr>
              <w:t>Article 11</w:t>
            </w:r>
          </w:p>
          <w:p w14:paraId="7F151D12" w14:textId="77777777" w:rsidR="00E0260F" w:rsidRPr="00DE15E9" w:rsidRDefault="00E0260F" w:rsidP="00DE15E9">
            <w:pPr>
              <w:pStyle w:val="oj-sti-art"/>
              <w:shd w:val="clear" w:color="auto" w:fill="FFFFFF"/>
              <w:spacing w:before="0" w:beforeAutospacing="0" w:after="0" w:afterAutospacing="0"/>
              <w:jc w:val="center"/>
              <w:rPr>
                <w:b/>
                <w:bCs/>
                <w:sz w:val="20"/>
                <w:szCs w:val="20"/>
                <w:lang w:val="en-GB"/>
              </w:rPr>
            </w:pPr>
            <w:r w:rsidRPr="00DE15E9">
              <w:rPr>
                <w:b/>
                <w:bCs/>
                <w:sz w:val="20"/>
                <w:szCs w:val="20"/>
                <w:lang w:val="en-GB"/>
              </w:rPr>
              <w:t>Committee procedure</w:t>
            </w:r>
          </w:p>
          <w:p w14:paraId="68092A22" w14:textId="77777777" w:rsidR="00E0260F" w:rsidRPr="00DE15E9" w:rsidRDefault="00E0260F" w:rsidP="00DE15E9">
            <w:pPr>
              <w:pStyle w:val="oj-normal"/>
              <w:shd w:val="clear" w:color="auto" w:fill="FFFFFF"/>
              <w:spacing w:before="0" w:beforeAutospacing="0" w:after="0" w:afterAutospacing="0"/>
              <w:jc w:val="both"/>
              <w:rPr>
                <w:sz w:val="20"/>
                <w:szCs w:val="20"/>
                <w:lang w:val="en-GB"/>
              </w:rPr>
            </w:pPr>
            <w:r w:rsidRPr="00DE15E9">
              <w:rPr>
                <w:sz w:val="20"/>
                <w:szCs w:val="20"/>
                <w:lang w:val="en-GB"/>
              </w:rPr>
              <w:t>1.   The Commission shall be assisted by the Committee for the Common Organisation of the Agricultural Markets established by Article 229 of Regulation (EU) No 1308/2013. That Committee shall be a committee within the meaning of Regulation (EU) No 182/2011.</w:t>
            </w:r>
          </w:p>
        </w:tc>
        <w:tc>
          <w:tcPr>
            <w:tcW w:w="2693" w:type="dxa"/>
            <w:tcBorders>
              <w:top w:val="single" w:sz="4" w:space="0" w:color="000000"/>
              <w:left w:val="single" w:sz="4" w:space="0" w:color="000000"/>
              <w:bottom w:val="single" w:sz="4" w:space="0" w:color="000000"/>
              <w:right w:val="single" w:sz="4" w:space="0" w:color="000000"/>
            </w:tcBorders>
          </w:tcPr>
          <w:p w14:paraId="6B67B30A" w14:textId="77777777" w:rsidR="00E0260F" w:rsidRPr="00DE15E9" w:rsidRDefault="00514579" w:rsidP="00DE15E9">
            <w:pPr>
              <w:tabs>
                <w:tab w:val="left" w:pos="311"/>
              </w:tabs>
              <w:spacing w:after="0" w:line="240" w:lineRule="auto"/>
              <w:jc w:val="both"/>
              <w:rPr>
                <w:rFonts w:ascii="Times New Roman" w:hAnsi="Times New Roman" w:cs="Times New Roman"/>
                <w:bCs/>
                <w:sz w:val="20"/>
                <w:szCs w:val="20"/>
                <w:lang w:val="ro-MD"/>
              </w:rPr>
            </w:pPr>
            <w:r w:rsidRPr="00DE15E9">
              <w:rPr>
                <w:rFonts w:ascii="Times New Roman" w:hAnsi="Times New Roman" w:cs="Times New Roman"/>
                <w:bCs/>
                <w:sz w:val="20"/>
                <w:szCs w:val="20"/>
                <w:lang w:val="ro-MD"/>
              </w:rPr>
              <w:t xml:space="preserve">Articolul 13. </w:t>
            </w:r>
          </w:p>
          <w:p w14:paraId="42A23816" w14:textId="3296CEAE" w:rsidR="00514579" w:rsidRPr="00DE15E9" w:rsidRDefault="00514579"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rPr>
              <w:t>(3) Ministerul Agriculturii și Industriei Alimentare și, după caz, Consiliul Concurenței pot participa, prin reprezentanți delegați în mod oficial, la reuniuni, consultări, platforme de coordonare sau alte formate de cooperare organizate de Comisia Europeană ori de structurile relevante ale Uniunii Europene în domeniul practicilor comerciale neloiale și al organizării comune a piețelor agricole, în condițiile cadrului de cooperare aplicabil.</w:t>
            </w:r>
          </w:p>
        </w:tc>
        <w:tc>
          <w:tcPr>
            <w:tcW w:w="2693" w:type="dxa"/>
            <w:tcBorders>
              <w:top w:val="single" w:sz="4" w:space="0" w:color="000000"/>
              <w:left w:val="single" w:sz="4" w:space="0" w:color="000000"/>
              <w:bottom w:val="single" w:sz="4" w:space="0" w:color="000000"/>
              <w:right w:val="single" w:sz="4" w:space="0" w:color="000000"/>
            </w:tcBorders>
          </w:tcPr>
          <w:p w14:paraId="7C705CEB" w14:textId="77777777" w:rsidR="00E0260F" w:rsidRPr="00DE15E9" w:rsidRDefault="00514579"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Article 13.</w:t>
            </w:r>
          </w:p>
          <w:p w14:paraId="644E86BF" w14:textId="7F0D3B5D" w:rsidR="00514579" w:rsidRPr="00DE15E9" w:rsidRDefault="00514579" w:rsidP="00DE15E9">
            <w:pPr>
              <w:pStyle w:val="NormalWeb"/>
              <w:spacing w:before="0" w:beforeAutospacing="0" w:after="0" w:afterAutospacing="0"/>
              <w:jc w:val="both"/>
              <w:rPr>
                <w:sz w:val="20"/>
                <w:szCs w:val="20"/>
              </w:rPr>
            </w:pPr>
            <w:r w:rsidRPr="00DE15E9">
              <w:rPr>
                <w:sz w:val="20"/>
                <w:szCs w:val="20"/>
              </w:rPr>
              <w:t>(3) The Ministry of Agriculture and Food Industry and, where appropriate, the Competition Council may participate, through officially delegated representatives, in meetings, consultations, coordination platforms or other cooperation formats organised by the European Commission or by the relevant structures of the European Union in the field of unfair trading practices and the common organisation of agricultural markets, in accordance with the applicable cooperation framework.</w:t>
            </w:r>
          </w:p>
        </w:tc>
        <w:tc>
          <w:tcPr>
            <w:tcW w:w="1276" w:type="dxa"/>
            <w:tcBorders>
              <w:top w:val="single" w:sz="4" w:space="0" w:color="000000"/>
              <w:left w:val="single" w:sz="4" w:space="0" w:color="000000"/>
              <w:bottom w:val="single" w:sz="4" w:space="0" w:color="000000"/>
              <w:right w:val="single" w:sz="4" w:space="0" w:color="000000"/>
            </w:tcBorders>
          </w:tcPr>
          <w:p w14:paraId="339436A9" w14:textId="5F3A1B5F"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Parțial compatibil</w:t>
            </w:r>
          </w:p>
        </w:tc>
        <w:tc>
          <w:tcPr>
            <w:tcW w:w="1985" w:type="dxa"/>
            <w:tcBorders>
              <w:top w:val="single" w:sz="4" w:space="0" w:color="000000"/>
              <w:left w:val="single" w:sz="4" w:space="0" w:color="000000"/>
              <w:bottom w:val="single" w:sz="4" w:space="0" w:color="000000"/>
              <w:right w:val="single" w:sz="4" w:space="0" w:color="000000"/>
            </w:tcBorders>
          </w:tcPr>
          <w:p w14:paraId="5801D31A" w14:textId="4D563166"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rPr>
              <w:t>Prevederea națională asigură, în limitele competențelor statului, participarea Ministerului Agriculturii și Industriei Alimentare la lucrările Comitetului pentru organizarea comună a piețelor agricole, fără a putea reproduce procedura de comitet instituită la nivelul Uniunii Europene</w:t>
            </w:r>
          </w:p>
        </w:tc>
        <w:tc>
          <w:tcPr>
            <w:tcW w:w="2126" w:type="dxa"/>
            <w:tcBorders>
              <w:top w:val="single" w:sz="4" w:space="0" w:color="000000"/>
              <w:left w:val="single" w:sz="4" w:space="0" w:color="000000"/>
              <w:bottom w:val="single" w:sz="4" w:space="0" w:color="000000"/>
              <w:right w:val="single" w:sz="4" w:space="0" w:color="000000"/>
            </w:tcBorders>
          </w:tcPr>
          <w:p w14:paraId="590C60E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19EF57CD" w14:textId="77777777" w:rsidTr="00033703">
        <w:tc>
          <w:tcPr>
            <w:tcW w:w="430" w:type="dxa"/>
            <w:tcBorders>
              <w:top w:val="single" w:sz="4" w:space="0" w:color="000000"/>
              <w:left w:val="single" w:sz="4" w:space="0" w:color="000000"/>
              <w:bottom w:val="single" w:sz="4" w:space="0" w:color="000000"/>
              <w:right w:val="single" w:sz="4" w:space="0" w:color="000000"/>
            </w:tcBorders>
          </w:tcPr>
          <w:p w14:paraId="21BDF911"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75</w:t>
            </w:r>
          </w:p>
        </w:tc>
        <w:tc>
          <w:tcPr>
            <w:tcW w:w="2547" w:type="dxa"/>
            <w:tcBorders>
              <w:top w:val="single" w:sz="4" w:space="0" w:color="000000"/>
              <w:left w:val="single" w:sz="4" w:space="0" w:color="000000"/>
              <w:bottom w:val="single" w:sz="4" w:space="0" w:color="000000"/>
              <w:right w:val="single" w:sz="4" w:space="0" w:color="000000"/>
            </w:tcBorders>
          </w:tcPr>
          <w:p w14:paraId="38FE9CBB" w14:textId="2046F103"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 xml:space="preserve">(2)   În cazul în care se face trimitere la prezentul alineat, se aplică articolul 5 din </w:t>
            </w:r>
            <w:r w:rsidRPr="00DE15E9">
              <w:rPr>
                <w:rFonts w:ascii="Times New Roman" w:hAnsi="Times New Roman" w:cs="Times New Roman"/>
                <w:sz w:val="20"/>
                <w:szCs w:val="20"/>
                <w:shd w:val="clear" w:color="auto" w:fill="FFFFFF"/>
                <w:lang w:val="ro-MD"/>
              </w:rPr>
              <w:lastRenderedPageBreak/>
              <w:t>Regulamentul (UE) nr. 182/2011.</w:t>
            </w:r>
          </w:p>
        </w:tc>
        <w:tc>
          <w:tcPr>
            <w:tcW w:w="2552" w:type="dxa"/>
            <w:tcBorders>
              <w:top w:val="single" w:sz="4" w:space="0" w:color="000000"/>
              <w:left w:val="single" w:sz="4" w:space="0" w:color="000000"/>
              <w:bottom w:val="single" w:sz="4" w:space="0" w:color="000000"/>
              <w:right w:val="single" w:sz="4" w:space="0" w:color="000000"/>
            </w:tcBorders>
          </w:tcPr>
          <w:p w14:paraId="1ACF715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lastRenderedPageBreak/>
              <w:t xml:space="preserve">2.   Where reference is made to this paragraph, Article 5 of </w:t>
            </w:r>
            <w:r w:rsidRPr="00DE15E9">
              <w:rPr>
                <w:rFonts w:ascii="Times New Roman" w:hAnsi="Times New Roman" w:cs="Times New Roman"/>
                <w:sz w:val="20"/>
                <w:szCs w:val="20"/>
                <w:shd w:val="clear" w:color="auto" w:fill="FFFFFF"/>
                <w:lang w:val="en-GB"/>
              </w:rPr>
              <w:lastRenderedPageBreak/>
              <w:t>Regulation (EU) No 182/2011 shall apply.</w:t>
            </w:r>
          </w:p>
        </w:tc>
        <w:tc>
          <w:tcPr>
            <w:tcW w:w="2693" w:type="dxa"/>
            <w:tcBorders>
              <w:top w:val="single" w:sz="4" w:space="0" w:color="000000"/>
              <w:left w:val="single" w:sz="4" w:space="0" w:color="000000"/>
              <w:bottom w:val="single" w:sz="4" w:space="0" w:color="000000"/>
              <w:right w:val="single" w:sz="4" w:space="0" w:color="000000"/>
            </w:tcBorders>
          </w:tcPr>
          <w:p w14:paraId="233B4A41" w14:textId="77777777"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349C75E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71650EE3" w14:textId="62A326C4"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Prevedere UE neaplicabilă</w:t>
            </w:r>
          </w:p>
        </w:tc>
        <w:tc>
          <w:tcPr>
            <w:tcW w:w="1985" w:type="dxa"/>
            <w:tcBorders>
              <w:top w:val="single" w:sz="4" w:space="0" w:color="000000"/>
              <w:left w:val="single" w:sz="4" w:space="0" w:color="000000"/>
              <w:bottom w:val="single" w:sz="4" w:space="0" w:color="000000"/>
              <w:right w:val="single" w:sz="4" w:space="0" w:color="000000"/>
            </w:tcBorders>
          </w:tcPr>
          <w:p w14:paraId="4CF91C1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0BB7817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086A4B23" w14:textId="77777777" w:rsidTr="00033703">
        <w:tc>
          <w:tcPr>
            <w:tcW w:w="430" w:type="dxa"/>
            <w:tcBorders>
              <w:top w:val="single" w:sz="4" w:space="0" w:color="000000"/>
              <w:left w:val="single" w:sz="4" w:space="0" w:color="000000"/>
              <w:bottom w:val="single" w:sz="4" w:space="0" w:color="000000"/>
              <w:right w:val="single" w:sz="4" w:space="0" w:color="000000"/>
            </w:tcBorders>
          </w:tcPr>
          <w:p w14:paraId="0E082094" w14:textId="77777777" w:rsidR="00E0260F" w:rsidRPr="00DE15E9" w:rsidRDefault="00E0260F" w:rsidP="00DE15E9">
            <w:pPr>
              <w:pStyle w:val="oj-sti-art"/>
              <w:shd w:val="clear" w:color="auto" w:fill="FFFFFF"/>
              <w:spacing w:before="0" w:beforeAutospacing="0" w:after="0" w:afterAutospacing="0"/>
              <w:jc w:val="center"/>
              <w:rPr>
                <w:bCs/>
                <w:sz w:val="20"/>
                <w:szCs w:val="20"/>
                <w:lang w:val="ro-MD"/>
              </w:rPr>
            </w:pPr>
            <w:r w:rsidRPr="00DE15E9">
              <w:rPr>
                <w:bCs/>
                <w:sz w:val="20"/>
                <w:szCs w:val="20"/>
                <w:lang w:val="ro-MD"/>
              </w:rPr>
              <w:t>76</w:t>
            </w:r>
          </w:p>
        </w:tc>
        <w:tc>
          <w:tcPr>
            <w:tcW w:w="2547" w:type="dxa"/>
            <w:tcBorders>
              <w:top w:val="single" w:sz="4" w:space="0" w:color="000000"/>
              <w:left w:val="single" w:sz="4" w:space="0" w:color="000000"/>
              <w:bottom w:val="single" w:sz="4" w:space="0" w:color="000000"/>
              <w:right w:val="single" w:sz="4" w:space="0" w:color="000000"/>
            </w:tcBorders>
          </w:tcPr>
          <w:p w14:paraId="68D67DB8" w14:textId="77777777" w:rsidR="00E0260F" w:rsidRPr="00DE15E9" w:rsidRDefault="00E0260F" w:rsidP="00DE15E9">
            <w:pPr>
              <w:pStyle w:val="oj-sti-art"/>
              <w:shd w:val="clear" w:color="auto" w:fill="FFFFFF"/>
              <w:spacing w:before="0" w:beforeAutospacing="0" w:after="0" w:afterAutospacing="0"/>
              <w:rPr>
                <w:b/>
                <w:bCs/>
                <w:sz w:val="20"/>
                <w:szCs w:val="20"/>
                <w:lang w:val="ro-MD"/>
              </w:rPr>
            </w:pPr>
            <w:r w:rsidRPr="00DE15E9">
              <w:rPr>
                <w:b/>
                <w:bCs/>
                <w:sz w:val="20"/>
                <w:szCs w:val="20"/>
                <w:lang w:val="ro-MD"/>
              </w:rPr>
              <w:t>Articolul 12</w:t>
            </w:r>
          </w:p>
          <w:p w14:paraId="07A1DF47" w14:textId="77777777" w:rsidR="00E0260F" w:rsidRPr="00DE15E9" w:rsidRDefault="00E0260F" w:rsidP="00DE15E9">
            <w:pPr>
              <w:pStyle w:val="oj-sti-art"/>
              <w:shd w:val="clear" w:color="auto" w:fill="FFFFFF"/>
              <w:spacing w:before="0" w:beforeAutospacing="0" w:after="0" w:afterAutospacing="0"/>
              <w:rPr>
                <w:b/>
                <w:bCs/>
                <w:sz w:val="20"/>
                <w:szCs w:val="20"/>
                <w:lang w:val="ro-MD"/>
              </w:rPr>
            </w:pPr>
            <w:r w:rsidRPr="00DE15E9">
              <w:rPr>
                <w:b/>
                <w:bCs/>
                <w:sz w:val="20"/>
                <w:szCs w:val="20"/>
                <w:lang w:val="ro-MD"/>
              </w:rPr>
              <w:t>Evaluare</w:t>
            </w:r>
          </w:p>
          <w:p w14:paraId="67FF5BB1" w14:textId="77777777" w:rsidR="00E0260F" w:rsidRPr="00DE15E9" w:rsidRDefault="00E0260F" w:rsidP="00DE15E9">
            <w:pPr>
              <w:pStyle w:val="oj-normal"/>
              <w:shd w:val="clear" w:color="auto" w:fill="FFFFFF"/>
              <w:spacing w:before="0" w:beforeAutospacing="0" w:after="0" w:afterAutospacing="0"/>
              <w:jc w:val="both"/>
              <w:rPr>
                <w:sz w:val="20"/>
                <w:szCs w:val="20"/>
                <w:lang w:val="ro-MD"/>
              </w:rPr>
            </w:pPr>
            <w:r w:rsidRPr="00DE15E9">
              <w:rPr>
                <w:sz w:val="20"/>
                <w:szCs w:val="20"/>
                <w:lang w:val="ro-MD"/>
              </w:rPr>
              <w:t>(1)   Până la 1 noiembrie 2025, Comisia efectuează prima evaluare a prezentei directive și prezintă Parlamentului European și Consiliului, precum și Comitetului Economic și Social European și Comitetului Regiunilor un raport privind principalele constatări ale evaluării respective. Respectivul raport este însoțit, după caz, de propuneri legislative.</w:t>
            </w:r>
          </w:p>
          <w:p w14:paraId="4A6D784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64AC39F8" w14:textId="77777777" w:rsidR="00E0260F" w:rsidRPr="00DE15E9" w:rsidRDefault="00E0260F" w:rsidP="00DE15E9">
            <w:pPr>
              <w:spacing w:after="0" w:line="240" w:lineRule="auto"/>
              <w:jc w:val="both"/>
              <w:rPr>
                <w:rFonts w:ascii="Times New Roman" w:eastAsia="Times New Roman" w:hAnsi="Times New Roman" w:cs="Times New Roman"/>
                <w:b/>
                <w:sz w:val="20"/>
                <w:szCs w:val="20"/>
                <w:lang w:val="en-GB"/>
              </w:rPr>
            </w:pPr>
            <w:r w:rsidRPr="00DE15E9">
              <w:rPr>
                <w:rFonts w:ascii="Times New Roman" w:eastAsia="Times New Roman" w:hAnsi="Times New Roman" w:cs="Times New Roman"/>
                <w:b/>
                <w:sz w:val="20"/>
                <w:szCs w:val="20"/>
                <w:lang w:val="en-GB"/>
              </w:rPr>
              <w:t>Article 12</w:t>
            </w:r>
          </w:p>
          <w:p w14:paraId="3E38DACD" w14:textId="77777777" w:rsidR="00E0260F" w:rsidRPr="00DE15E9" w:rsidRDefault="00E0260F" w:rsidP="00DE15E9">
            <w:pPr>
              <w:pStyle w:val="oj-sti-art"/>
              <w:shd w:val="clear" w:color="auto" w:fill="FFFFFF"/>
              <w:spacing w:before="0" w:beforeAutospacing="0" w:after="0" w:afterAutospacing="0"/>
              <w:rPr>
                <w:b/>
                <w:bCs/>
                <w:sz w:val="20"/>
                <w:szCs w:val="20"/>
                <w:lang w:val="en-GB"/>
              </w:rPr>
            </w:pPr>
            <w:r w:rsidRPr="00DE15E9">
              <w:rPr>
                <w:b/>
                <w:bCs/>
                <w:sz w:val="20"/>
                <w:szCs w:val="20"/>
                <w:lang w:val="en-GB"/>
              </w:rPr>
              <w:t>Evaluation</w:t>
            </w:r>
          </w:p>
          <w:p w14:paraId="262EC00B" w14:textId="77777777" w:rsidR="00E0260F" w:rsidRPr="00DE15E9" w:rsidRDefault="00E0260F" w:rsidP="00DE15E9">
            <w:pPr>
              <w:pStyle w:val="oj-normal"/>
              <w:shd w:val="clear" w:color="auto" w:fill="FFFFFF"/>
              <w:spacing w:before="0" w:beforeAutospacing="0" w:after="0" w:afterAutospacing="0"/>
              <w:jc w:val="both"/>
              <w:rPr>
                <w:sz w:val="20"/>
                <w:szCs w:val="20"/>
                <w:lang w:val="en-GB"/>
              </w:rPr>
            </w:pPr>
            <w:r w:rsidRPr="00DE15E9">
              <w:rPr>
                <w:sz w:val="20"/>
                <w:szCs w:val="20"/>
                <w:lang w:val="en-GB"/>
              </w:rPr>
              <w:t>1.   By 1 November 2025, the Commission shall carry out the first evaluation of this Directive and shall present a report on the main findings of that evaluation to the European Parliament and to the Council, as well as to the European Economic and Social Committee and the Committee of the Regions. Such report shall be accompanied, if appropriate, by legislative proposals.</w:t>
            </w:r>
          </w:p>
          <w:p w14:paraId="6A8A2A1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517E2BEB" w14:textId="77777777"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7067B59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55AECFFA" w14:textId="734837B9"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Prevedere UE neaplicabilă</w:t>
            </w:r>
          </w:p>
        </w:tc>
        <w:tc>
          <w:tcPr>
            <w:tcW w:w="1985" w:type="dxa"/>
            <w:tcBorders>
              <w:top w:val="single" w:sz="4" w:space="0" w:color="000000"/>
              <w:left w:val="single" w:sz="4" w:space="0" w:color="000000"/>
              <w:bottom w:val="single" w:sz="4" w:space="0" w:color="000000"/>
              <w:right w:val="single" w:sz="4" w:space="0" w:color="000000"/>
            </w:tcBorders>
          </w:tcPr>
          <w:p w14:paraId="2E6D8D8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rPr>
              <w:t>Prevederea vizează obligația Comisiei Europene de a evalua directiva și nu impune măsuri de transpunere la nivel național</w:t>
            </w:r>
          </w:p>
        </w:tc>
        <w:tc>
          <w:tcPr>
            <w:tcW w:w="2126" w:type="dxa"/>
            <w:tcBorders>
              <w:top w:val="single" w:sz="4" w:space="0" w:color="000000"/>
              <w:left w:val="single" w:sz="4" w:space="0" w:color="000000"/>
              <w:bottom w:val="single" w:sz="4" w:space="0" w:color="000000"/>
              <w:right w:val="single" w:sz="4" w:space="0" w:color="000000"/>
            </w:tcBorders>
          </w:tcPr>
          <w:p w14:paraId="3BDC2AF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6F531734" w14:textId="77777777" w:rsidTr="00033703">
        <w:tc>
          <w:tcPr>
            <w:tcW w:w="430" w:type="dxa"/>
            <w:tcBorders>
              <w:top w:val="single" w:sz="4" w:space="0" w:color="000000"/>
              <w:left w:val="single" w:sz="4" w:space="0" w:color="000000"/>
              <w:bottom w:val="single" w:sz="4" w:space="0" w:color="000000"/>
              <w:right w:val="single" w:sz="4" w:space="0" w:color="000000"/>
            </w:tcBorders>
          </w:tcPr>
          <w:p w14:paraId="70D130AA"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77</w:t>
            </w:r>
          </w:p>
        </w:tc>
        <w:tc>
          <w:tcPr>
            <w:tcW w:w="2547" w:type="dxa"/>
            <w:tcBorders>
              <w:top w:val="single" w:sz="4" w:space="0" w:color="000000"/>
              <w:left w:val="single" w:sz="4" w:space="0" w:color="000000"/>
              <w:bottom w:val="single" w:sz="4" w:space="0" w:color="000000"/>
              <w:right w:val="single" w:sz="4" w:space="0" w:color="000000"/>
            </w:tcBorders>
          </w:tcPr>
          <w:p w14:paraId="2444D761"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(2)   Evaluarea analizează cel puțin:</w:t>
            </w:r>
          </w:p>
          <w:tbl>
            <w:tblPr>
              <w:tblW w:w="4811" w:type="pct"/>
              <w:shd w:val="clear" w:color="auto" w:fill="FFFFFF"/>
              <w:tblLayout w:type="fixed"/>
              <w:tblCellMar>
                <w:left w:w="0" w:type="dxa"/>
                <w:right w:w="0" w:type="dxa"/>
              </w:tblCellMar>
              <w:tblLook w:val="04A0" w:firstRow="1" w:lastRow="0" w:firstColumn="1" w:lastColumn="0" w:noHBand="0" w:noVBand="1"/>
            </w:tblPr>
            <w:tblGrid>
              <w:gridCol w:w="2229"/>
            </w:tblGrid>
            <w:tr w:rsidR="00E0260F" w:rsidRPr="00DE15E9" w14:paraId="39012802" w14:textId="77777777" w:rsidTr="00D65152">
              <w:tc>
                <w:tcPr>
                  <w:tcW w:w="2239" w:type="dxa"/>
                  <w:shd w:val="clear" w:color="auto" w:fill="FFFFFF"/>
                  <w:hideMark/>
                </w:tcPr>
                <w:p w14:paraId="0007743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eficacitatea măsurilor puse în aplicare la nivel național, care vizează combaterea practicilor comerciale neloiale în lanțul de aprovizionare agricol și alimentar;</w:t>
                  </w:r>
                </w:p>
              </w:tc>
            </w:tr>
          </w:tbl>
          <w:p w14:paraId="7C68B50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57F504DD" w14:textId="77777777" w:rsidR="00E0260F" w:rsidRPr="00DE15E9" w:rsidRDefault="00E0260F" w:rsidP="00DE15E9">
            <w:pPr>
              <w:shd w:val="clear" w:color="auto" w:fill="FFFFFF"/>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2.   That evaluation shall assess at least:</w:t>
            </w:r>
          </w:p>
          <w:tbl>
            <w:tblPr>
              <w:tblW w:w="4811" w:type="pct"/>
              <w:shd w:val="clear" w:color="auto" w:fill="FFFFFF"/>
              <w:tblLayout w:type="fixed"/>
              <w:tblCellMar>
                <w:left w:w="0" w:type="dxa"/>
                <w:right w:w="0" w:type="dxa"/>
              </w:tblCellMar>
              <w:tblLook w:val="04A0" w:firstRow="1" w:lastRow="0" w:firstColumn="1" w:lastColumn="0" w:noHBand="0" w:noVBand="1"/>
            </w:tblPr>
            <w:tblGrid>
              <w:gridCol w:w="2234"/>
            </w:tblGrid>
            <w:tr w:rsidR="00E0260F" w:rsidRPr="00DE15E9" w14:paraId="3BD4E5B6" w14:textId="77777777" w:rsidTr="00D65152">
              <w:tc>
                <w:tcPr>
                  <w:tcW w:w="2234" w:type="dxa"/>
                  <w:shd w:val="clear" w:color="auto" w:fill="FFFFFF"/>
                  <w:hideMark/>
                </w:tcPr>
                <w:p w14:paraId="6DC864E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the effectiveness of the measures implemented at national level aimed at combating unfair trading practices in the agricultural and food supply chain;</w:t>
                  </w:r>
                </w:p>
              </w:tc>
            </w:tr>
          </w:tbl>
          <w:p w14:paraId="717D5CA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71580480" w14:textId="77777777"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58B1855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2D54D7D6" w14:textId="692CFF6C"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Prevedere UE neaplicabilă</w:t>
            </w:r>
          </w:p>
        </w:tc>
        <w:tc>
          <w:tcPr>
            <w:tcW w:w="1985" w:type="dxa"/>
            <w:tcBorders>
              <w:top w:val="single" w:sz="4" w:space="0" w:color="000000"/>
              <w:left w:val="single" w:sz="4" w:space="0" w:color="000000"/>
              <w:bottom w:val="single" w:sz="4" w:space="0" w:color="000000"/>
              <w:right w:val="single" w:sz="4" w:space="0" w:color="000000"/>
            </w:tcBorders>
          </w:tcPr>
          <w:p w14:paraId="2AE8EAE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rPr>
              <w:t>Prevederea vizează obligația Comisiei Europene de a evalua directiva și nu impune măsuri de transpunere la nivel național</w:t>
            </w:r>
          </w:p>
        </w:tc>
        <w:tc>
          <w:tcPr>
            <w:tcW w:w="2126" w:type="dxa"/>
            <w:tcBorders>
              <w:top w:val="single" w:sz="4" w:space="0" w:color="000000"/>
              <w:left w:val="single" w:sz="4" w:space="0" w:color="000000"/>
              <w:bottom w:val="single" w:sz="4" w:space="0" w:color="000000"/>
              <w:right w:val="single" w:sz="4" w:space="0" w:color="000000"/>
            </w:tcBorders>
          </w:tcPr>
          <w:p w14:paraId="4489A38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2B46F8CE" w14:textId="77777777" w:rsidTr="00033703">
        <w:tc>
          <w:tcPr>
            <w:tcW w:w="430" w:type="dxa"/>
            <w:tcBorders>
              <w:top w:val="single" w:sz="4" w:space="0" w:color="000000"/>
              <w:left w:val="single" w:sz="4" w:space="0" w:color="000000"/>
              <w:bottom w:val="single" w:sz="4" w:space="0" w:color="000000"/>
              <w:right w:val="single" w:sz="4" w:space="0" w:color="000000"/>
            </w:tcBorders>
          </w:tcPr>
          <w:p w14:paraId="61AE29B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78</w:t>
            </w:r>
          </w:p>
        </w:tc>
        <w:tc>
          <w:tcPr>
            <w:tcW w:w="2547" w:type="dxa"/>
            <w:tcBorders>
              <w:top w:val="single" w:sz="4" w:space="0" w:color="000000"/>
              <w:left w:val="single" w:sz="4" w:space="0" w:color="000000"/>
              <w:bottom w:val="single" w:sz="4" w:space="0" w:color="000000"/>
              <w:right w:val="single" w:sz="4" w:space="0" w:color="000000"/>
            </w:tcBorders>
          </w:tcPr>
          <w:tbl>
            <w:tblPr>
              <w:tblW w:w="4802" w:type="pct"/>
              <w:shd w:val="clear" w:color="auto" w:fill="FFFFFF"/>
              <w:tblLayout w:type="fixed"/>
              <w:tblCellMar>
                <w:left w:w="0" w:type="dxa"/>
                <w:right w:w="0" w:type="dxa"/>
              </w:tblCellMar>
              <w:tblLook w:val="04A0" w:firstRow="1" w:lastRow="0" w:firstColumn="1" w:lastColumn="0" w:noHBand="0" w:noVBand="1"/>
            </w:tblPr>
            <w:tblGrid>
              <w:gridCol w:w="2225"/>
            </w:tblGrid>
            <w:tr w:rsidR="00E0260F" w:rsidRPr="00DE15E9" w14:paraId="2ACEE857" w14:textId="77777777" w:rsidTr="00D65152">
              <w:tc>
                <w:tcPr>
                  <w:tcW w:w="2235" w:type="dxa"/>
                  <w:shd w:val="clear" w:color="auto" w:fill="FFFFFF"/>
                  <w:hideMark/>
                </w:tcPr>
                <w:p w14:paraId="7182324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eficacitatea cooperării dintre autoritățile de aplicare a legii competente și, după caz, identifică modalități de îmbunătățire a acestei cooperări.</w:t>
                  </w:r>
                </w:p>
              </w:tc>
            </w:tr>
          </w:tbl>
          <w:p w14:paraId="5EB42DD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tbl>
            <w:tblPr>
              <w:tblW w:w="4802" w:type="pct"/>
              <w:shd w:val="clear" w:color="auto" w:fill="FFFFFF"/>
              <w:tblLayout w:type="fixed"/>
              <w:tblCellMar>
                <w:left w:w="0" w:type="dxa"/>
                <w:right w:w="0" w:type="dxa"/>
              </w:tblCellMar>
              <w:tblLook w:val="04A0" w:firstRow="1" w:lastRow="0" w:firstColumn="1" w:lastColumn="0" w:noHBand="0" w:noVBand="1"/>
            </w:tblPr>
            <w:tblGrid>
              <w:gridCol w:w="2230"/>
            </w:tblGrid>
            <w:tr w:rsidR="00E0260F" w:rsidRPr="00DE15E9" w14:paraId="22390FE3" w14:textId="77777777" w:rsidTr="00D65152">
              <w:tc>
                <w:tcPr>
                  <w:tcW w:w="2230" w:type="dxa"/>
                  <w:shd w:val="clear" w:color="auto" w:fill="FFFFFF"/>
                  <w:hideMark/>
                </w:tcPr>
                <w:p w14:paraId="414F81F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eastAsia="Times New Roman" w:hAnsi="Times New Roman" w:cs="Times New Roman"/>
                      <w:sz w:val="20"/>
                      <w:szCs w:val="20"/>
                      <w:lang w:val="en-GB"/>
                    </w:rPr>
                    <w:t>the effectiveness of cooperation among competent enforcement authorities and, where appropriate, shall identify ways to improve that cooperation.</w:t>
                  </w:r>
                </w:p>
              </w:tc>
            </w:tr>
          </w:tbl>
          <w:p w14:paraId="02232B5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1A419094" w14:textId="77777777"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6054428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1B8A0254" w14:textId="5308E559"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Prevedere UE neaplicabilă</w:t>
            </w:r>
          </w:p>
        </w:tc>
        <w:tc>
          <w:tcPr>
            <w:tcW w:w="1985" w:type="dxa"/>
            <w:tcBorders>
              <w:top w:val="single" w:sz="4" w:space="0" w:color="000000"/>
              <w:left w:val="single" w:sz="4" w:space="0" w:color="000000"/>
              <w:bottom w:val="single" w:sz="4" w:space="0" w:color="000000"/>
              <w:right w:val="single" w:sz="4" w:space="0" w:color="000000"/>
            </w:tcBorders>
          </w:tcPr>
          <w:p w14:paraId="1888019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rPr>
              <w:t>Prevederea vizează evaluarea de către Comisia Europeană a cooperării dintre autoritățile naționale și nu instituie obligații de transpunere la nivel național</w:t>
            </w:r>
          </w:p>
        </w:tc>
        <w:tc>
          <w:tcPr>
            <w:tcW w:w="2126" w:type="dxa"/>
            <w:tcBorders>
              <w:top w:val="single" w:sz="4" w:space="0" w:color="000000"/>
              <w:left w:val="single" w:sz="4" w:space="0" w:color="000000"/>
              <w:bottom w:val="single" w:sz="4" w:space="0" w:color="000000"/>
              <w:right w:val="single" w:sz="4" w:space="0" w:color="000000"/>
            </w:tcBorders>
          </w:tcPr>
          <w:p w14:paraId="34B1FD1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021936EA" w14:textId="77777777" w:rsidTr="00033703">
        <w:tc>
          <w:tcPr>
            <w:tcW w:w="430" w:type="dxa"/>
            <w:tcBorders>
              <w:top w:val="single" w:sz="4" w:space="0" w:color="000000"/>
              <w:left w:val="single" w:sz="4" w:space="0" w:color="000000"/>
              <w:bottom w:val="single" w:sz="4" w:space="0" w:color="000000"/>
              <w:right w:val="single" w:sz="4" w:space="0" w:color="000000"/>
            </w:tcBorders>
          </w:tcPr>
          <w:p w14:paraId="5CC3B912"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lastRenderedPageBreak/>
              <w:t>79</w:t>
            </w:r>
          </w:p>
        </w:tc>
        <w:tc>
          <w:tcPr>
            <w:tcW w:w="2547" w:type="dxa"/>
            <w:tcBorders>
              <w:top w:val="single" w:sz="4" w:space="0" w:color="000000"/>
              <w:left w:val="single" w:sz="4" w:space="0" w:color="000000"/>
              <w:bottom w:val="single" w:sz="4" w:space="0" w:color="000000"/>
              <w:right w:val="single" w:sz="4" w:space="0" w:color="000000"/>
            </w:tcBorders>
          </w:tcPr>
          <w:p w14:paraId="5B9FD74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(3)   Raportul Comisiei menționat la alineatul (1) se bazează pe rapoartele anuale menționate la articolul 10 alineatul (2). Dacă este necesar, Comisia poate solicita informații suplimentare din partea statelor membre, inclusiv informații cu privire la eficacitatea măsurilor care au fost puse în aplicare la nivel național și eficacitatea cooperării și a asistenței reciproce.</w:t>
            </w:r>
          </w:p>
        </w:tc>
        <w:tc>
          <w:tcPr>
            <w:tcW w:w="2552" w:type="dxa"/>
            <w:tcBorders>
              <w:top w:val="single" w:sz="4" w:space="0" w:color="000000"/>
              <w:left w:val="single" w:sz="4" w:space="0" w:color="000000"/>
              <w:bottom w:val="single" w:sz="4" w:space="0" w:color="000000"/>
              <w:right w:val="single" w:sz="4" w:space="0" w:color="000000"/>
            </w:tcBorders>
          </w:tcPr>
          <w:p w14:paraId="1E11D22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3.   The Commission shall base the report referred to in paragraph 1 on the annual reports referred to in Article 10(2). If necessary, the Commission may request additional information from Member States, including information on the effectiveness of the measures that were implemented at national level and the effectiveness of cooperation and mutual assistance.</w:t>
            </w:r>
          </w:p>
        </w:tc>
        <w:tc>
          <w:tcPr>
            <w:tcW w:w="2693" w:type="dxa"/>
            <w:tcBorders>
              <w:top w:val="single" w:sz="4" w:space="0" w:color="000000"/>
              <w:left w:val="single" w:sz="4" w:space="0" w:color="000000"/>
              <w:bottom w:val="single" w:sz="4" w:space="0" w:color="000000"/>
              <w:right w:val="single" w:sz="4" w:space="0" w:color="000000"/>
            </w:tcBorders>
          </w:tcPr>
          <w:p w14:paraId="2CB7C71C" w14:textId="77777777"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215E45B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38A4DDA3" w14:textId="509AEE36"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 xml:space="preserve">Prevedere UE neaplicabilă </w:t>
            </w:r>
          </w:p>
        </w:tc>
        <w:tc>
          <w:tcPr>
            <w:tcW w:w="1985" w:type="dxa"/>
            <w:tcBorders>
              <w:top w:val="single" w:sz="4" w:space="0" w:color="000000"/>
              <w:left w:val="single" w:sz="4" w:space="0" w:color="000000"/>
              <w:bottom w:val="single" w:sz="4" w:space="0" w:color="000000"/>
              <w:right w:val="single" w:sz="4" w:space="0" w:color="000000"/>
            </w:tcBorders>
          </w:tcPr>
          <w:p w14:paraId="27D7887D" w14:textId="59E9B62B"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rPr>
              <w:t>Prevederea reglementează mecanismele de evaluare și solicitare de informații la nivelul UE și nu impune obligații de transpunere la nivel național. Totuși, odată cu aderare la UE, RM prevederea va fi asumată imediat</w:t>
            </w:r>
          </w:p>
        </w:tc>
        <w:tc>
          <w:tcPr>
            <w:tcW w:w="2126" w:type="dxa"/>
            <w:tcBorders>
              <w:top w:val="single" w:sz="4" w:space="0" w:color="000000"/>
              <w:left w:val="single" w:sz="4" w:space="0" w:color="000000"/>
              <w:bottom w:val="single" w:sz="4" w:space="0" w:color="000000"/>
              <w:right w:val="single" w:sz="4" w:space="0" w:color="000000"/>
            </w:tcBorders>
          </w:tcPr>
          <w:p w14:paraId="129BE7D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032AA0FE" w14:textId="77777777" w:rsidTr="00033703">
        <w:tc>
          <w:tcPr>
            <w:tcW w:w="430" w:type="dxa"/>
            <w:tcBorders>
              <w:top w:val="single" w:sz="4" w:space="0" w:color="000000"/>
              <w:left w:val="single" w:sz="4" w:space="0" w:color="000000"/>
              <w:bottom w:val="single" w:sz="4" w:space="0" w:color="000000"/>
              <w:right w:val="single" w:sz="4" w:space="0" w:color="000000"/>
            </w:tcBorders>
          </w:tcPr>
          <w:p w14:paraId="1C5C5766"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80</w:t>
            </w:r>
          </w:p>
        </w:tc>
        <w:tc>
          <w:tcPr>
            <w:tcW w:w="2547" w:type="dxa"/>
            <w:tcBorders>
              <w:top w:val="single" w:sz="4" w:space="0" w:color="000000"/>
              <w:left w:val="single" w:sz="4" w:space="0" w:color="000000"/>
              <w:bottom w:val="single" w:sz="4" w:space="0" w:color="000000"/>
              <w:right w:val="single" w:sz="4" w:space="0" w:color="000000"/>
            </w:tcBorders>
          </w:tcPr>
          <w:p w14:paraId="1D9193D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(4)   Până la 1 noiembrie 2021, Comisia prezintă Parlamentului European și Consiliului, precum și Comitetului Economic și Social European și Comitetului Regiunilor un raport intermediar privind stadiul transpunerii și al implementării prezentei directive.</w:t>
            </w:r>
          </w:p>
        </w:tc>
        <w:tc>
          <w:tcPr>
            <w:tcW w:w="2552" w:type="dxa"/>
            <w:tcBorders>
              <w:top w:val="single" w:sz="4" w:space="0" w:color="000000"/>
              <w:left w:val="single" w:sz="4" w:space="0" w:color="000000"/>
              <w:bottom w:val="single" w:sz="4" w:space="0" w:color="000000"/>
              <w:right w:val="single" w:sz="4" w:space="0" w:color="000000"/>
            </w:tcBorders>
          </w:tcPr>
          <w:p w14:paraId="74E24B6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4.   By 1 November 2021, the Commission shall present an interim report on the state of the transposition and implementation of this Directive to the European Parliament and to the Council, as well as to the European Economic and Social Committee and the Committee of the Regions.</w:t>
            </w:r>
          </w:p>
        </w:tc>
        <w:tc>
          <w:tcPr>
            <w:tcW w:w="2693" w:type="dxa"/>
            <w:tcBorders>
              <w:top w:val="single" w:sz="4" w:space="0" w:color="000000"/>
              <w:left w:val="single" w:sz="4" w:space="0" w:color="000000"/>
              <w:bottom w:val="single" w:sz="4" w:space="0" w:color="000000"/>
              <w:right w:val="single" w:sz="4" w:space="0" w:color="000000"/>
            </w:tcBorders>
          </w:tcPr>
          <w:p w14:paraId="28742250" w14:textId="77777777"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0A5513D5"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7CE691C4" w14:textId="29456AC2"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Prevedere UE neaplicabilă</w:t>
            </w:r>
          </w:p>
        </w:tc>
        <w:tc>
          <w:tcPr>
            <w:tcW w:w="1985" w:type="dxa"/>
            <w:tcBorders>
              <w:top w:val="single" w:sz="4" w:space="0" w:color="000000"/>
              <w:left w:val="single" w:sz="4" w:space="0" w:color="000000"/>
              <w:bottom w:val="single" w:sz="4" w:space="0" w:color="000000"/>
              <w:right w:val="single" w:sz="4" w:space="0" w:color="000000"/>
            </w:tcBorders>
          </w:tcPr>
          <w:p w14:paraId="3472FFA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Prevederea vizează atribuțiile Comisiei Europene și nu impune obligații de transpunere la nivel național</w:t>
            </w:r>
          </w:p>
        </w:tc>
        <w:tc>
          <w:tcPr>
            <w:tcW w:w="2126" w:type="dxa"/>
            <w:tcBorders>
              <w:top w:val="single" w:sz="4" w:space="0" w:color="000000"/>
              <w:left w:val="single" w:sz="4" w:space="0" w:color="000000"/>
              <w:bottom w:val="single" w:sz="4" w:space="0" w:color="000000"/>
              <w:right w:val="single" w:sz="4" w:space="0" w:color="000000"/>
            </w:tcBorders>
          </w:tcPr>
          <w:p w14:paraId="3AC71984"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4C02AB2D" w14:textId="77777777" w:rsidTr="00033703">
        <w:tc>
          <w:tcPr>
            <w:tcW w:w="430" w:type="dxa"/>
            <w:tcBorders>
              <w:top w:val="single" w:sz="4" w:space="0" w:color="000000"/>
              <w:left w:val="single" w:sz="4" w:space="0" w:color="000000"/>
              <w:bottom w:val="single" w:sz="4" w:space="0" w:color="000000"/>
              <w:right w:val="single" w:sz="4" w:space="0" w:color="000000"/>
            </w:tcBorders>
          </w:tcPr>
          <w:p w14:paraId="156EE10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81</w:t>
            </w:r>
          </w:p>
        </w:tc>
        <w:tc>
          <w:tcPr>
            <w:tcW w:w="2547" w:type="dxa"/>
            <w:tcBorders>
              <w:top w:val="single" w:sz="4" w:space="0" w:color="000000"/>
              <w:left w:val="single" w:sz="4" w:space="0" w:color="000000"/>
              <w:bottom w:val="single" w:sz="4" w:space="0" w:color="000000"/>
              <w:right w:val="single" w:sz="4" w:space="0" w:color="000000"/>
            </w:tcBorders>
          </w:tcPr>
          <w:p w14:paraId="59BC9314" w14:textId="77777777" w:rsidR="00E0260F" w:rsidRPr="00DE15E9" w:rsidRDefault="00E0260F" w:rsidP="00DE15E9">
            <w:pPr>
              <w:spacing w:after="0" w:line="240" w:lineRule="auto"/>
              <w:jc w:val="both"/>
              <w:rPr>
                <w:rFonts w:ascii="Times New Roman" w:eastAsia="Times New Roman" w:hAnsi="Times New Roman" w:cs="Times New Roman"/>
                <w:b/>
                <w:sz w:val="20"/>
                <w:szCs w:val="20"/>
                <w:lang w:val="ro-MD"/>
              </w:rPr>
            </w:pPr>
            <w:r w:rsidRPr="00DE15E9">
              <w:rPr>
                <w:rFonts w:ascii="Times New Roman" w:eastAsia="Times New Roman" w:hAnsi="Times New Roman" w:cs="Times New Roman"/>
                <w:b/>
                <w:sz w:val="20"/>
                <w:szCs w:val="20"/>
                <w:lang w:val="ro-MD"/>
              </w:rPr>
              <w:t>Articolul 13</w:t>
            </w:r>
          </w:p>
          <w:p w14:paraId="32635190" w14:textId="77777777" w:rsidR="00E0260F" w:rsidRPr="00DE15E9" w:rsidRDefault="00E0260F" w:rsidP="00DE15E9">
            <w:pPr>
              <w:spacing w:after="0" w:line="240" w:lineRule="auto"/>
              <w:jc w:val="both"/>
              <w:rPr>
                <w:rFonts w:ascii="Times New Roman" w:eastAsia="Times New Roman" w:hAnsi="Times New Roman" w:cs="Times New Roman"/>
                <w:b/>
                <w:sz w:val="20"/>
                <w:szCs w:val="20"/>
                <w:lang w:val="ro-MD"/>
              </w:rPr>
            </w:pPr>
            <w:r w:rsidRPr="00DE15E9">
              <w:rPr>
                <w:rFonts w:ascii="Times New Roman" w:hAnsi="Times New Roman" w:cs="Times New Roman"/>
                <w:b/>
                <w:bCs/>
                <w:color w:val="333333"/>
                <w:sz w:val="20"/>
                <w:szCs w:val="20"/>
                <w:shd w:val="clear" w:color="auto" w:fill="FFFFFF"/>
                <w:lang w:val="ro-MD"/>
              </w:rPr>
              <w:t>Transpunere</w:t>
            </w:r>
          </w:p>
          <w:p w14:paraId="273CDF5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(1)   Statele membre adoptă și publică, până la 1 mai 2021, actele cu putere de lege și actele administrative necesare pentru a se conforma prezentei directive. Statele membre comunică de îndată Comisiei textul actelor respective.</w:t>
            </w:r>
          </w:p>
        </w:tc>
        <w:tc>
          <w:tcPr>
            <w:tcW w:w="2552" w:type="dxa"/>
            <w:tcBorders>
              <w:top w:val="single" w:sz="4" w:space="0" w:color="000000"/>
              <w:left w:val="single" w:sz="4" w:space="0" w:color="000000"/>
              <w:bottom w:val="single" w:sz="4" w:space="0" w:color="000000"/>
              <w:right w:val="single" w:sz="4" w:space="0" w:color="000000"/>
            </w:tcBorders>
          </w:tcPr>
          <w:p w14:paraId="65513198" w14:textId="77777777" w:rsidR="00E0260F" w:rsidRPr="00DE15E9" w:rsidRDefault="00E0260F" w:rsidP="00DE15E9">
            <w:pPr>
              <w:spacing w:after="0" w:line="240" w:lineRule="auto"/>
              <w:jc w:val="both"/>
              <w:rPr>
                <w:rFonts w:ascii="Times New Roman" w:eastAsia="Times New Roman" w:hAnsi="Times New Roman" w:cs="Times New Roman"/>
                <w:b/>
                <w:sz w:val="20"/>
                <w:szCs w:val="20"/>
                <w:lang w:val="en-GB"/>
              </w:rPr>
            </w:pPr>
            <w:r w:rsidRPr="00DE15E9">
              <w:rPr>
                <w:rFonts w:ascii="Times New Roman" w:eastAsia="Times New Roman" w:hAnsi="Times New Roman" w:cs="Times New Roman"/>
                <w:b/>
                <w:sz w:val="20"/>
                <w:szCs w:val="20"/>
                <w:lang w:val="en-GB"/>
              </w:rPr>
              <w:t>Article 13</w:t>
            </w:r>
          </w:p>
          <w:p w14:paraId="76E8935E" w14:textId="77777777" w:rsidR="00E0260F" w:rsidRPr="00DE15E9" w:rsidRDefault="00E0260F" w:rsidP="00DE15E9">
            <w:pPr>
              <w:pStyle w:val="oj-sti-art"/>
              <w:shd w:val="clear" w:color="auto" w:fill="FFFFFF"/>
              <w:spacing w:before="0" w:beforeAutospacing="0" w:after="0" w:afterAutospacing="0"/>
              <w:rPr>
                <w:b/>
                <w:bCs/>
                <w:sz w:val="20"/>
                <w:szCs w:val="20"/>
                <w:lang w:val="en-GB"/>
              </w:rPr>
            </w:pPr>
            <w:r w:rsidRPr="00DE15E9">
              <w:rPr>
                <w:b/>
                <w:bCs/>
                <w:sz w:val="20"/>
                <w:szCs w:val="20"/>
                <w:lang w:val="en-GB"/>
              </w:rPr>
              <w:t>Transposition</w:t>
            </w:r>
          </w:p>
          <w:p w14:paraId="536A86B7" w14:textId="77777777" w:rsidR="00E0260F" w:rsidRPr="00DE15E9" w:rsidRDefault="00E0260F" w:rsidP="00DE15E9">
            <w:pPr>
              <w:pStyle w:val="oj-normal"/>
              <w:shd w:val="clear" w:color="auto" w:fill="FFFFFF"/>
              <w:spacing w:before="0" w:beforeAutospacing="0" w:after="0" w:afterAutospacing="0"/>
              <w:jc w:val="both"/>
              <w:rPr>
                <w:sz w:val="20"/>
                <w:szCs w:val="20"/>
                <w:lang w:val="en-GB"/>
              </w:rPr>
            </w:pPr>
            <w:r w:rsidRPr="00DE15E9">
              <w:rPr>
                <w:sz w:val="20"/>
                <w:szCs w:val="20"/>
                <w:lang w:val="en-GB"/>
              </w:rPr>
              <w:t>1.   Member States shall adopt and publish, by 1 May 2021, the laws, regulations and administrative provisions necessary to comply with this Directive. They shall immediately communicate the text of those measures to the Commission.</w:t>
            </w:r>
          </w:p>
        </w:tc>
        <w:tc>
          <w:tcPr>
            <w:tcW w:w="2693" w:type="dxa"/>
            <w:tcBorders>
              <w:top w:val="single" w:sz="4" w:space="0" w:color="000000"/>
              <w:left w:val="single" w:sz="4" w:space="0" w:color="000000"/>
              <w:bottom w:val="single" w:sz="4" w:space="0" w:color="000000"/>
              <w:right w:val="single" w:sz="4" w:space="0" w:color="000000"/>
            </w:tcBorders>
          </w:tcPr>
          <w:p w14:paraId="38BF0734" w14:textId="77777777"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13841EE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4EA127B4" w14:textId="273CEE58"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Prevedere UE neaplicabilă</w:t>
            </w:r>
          </w:p>
        </w:tc>
        <w:tc>
          <w:tcPr>
            <w:tcW w:w="1985" w:type="dxa"/>
            <w:tcBorders>
              <w:top w:val="single" w:sz="4" w:space="0" w:color="000000"/>
              <w:left w:val="single" w:sz="4" w:space="0" w:color="000000"/>
              <w:bottom w:val="single" w:sz="4" w:space="0" w:color="000000"/>
              <w:right w:val="single" w:sz="4" w:space="0" w:color="000000"/>
            </w:tcBorders>
          </w:tcPr>
          <w:p w14:paraId="177D044D" w14:textId="77777777" w:rsidR="00E0260F" w:rsidRPr="00DE15E9" w:rsidRDefault="00E0260F" w:rsidP="00DE15E9">
            <w:pPr>
              <w:spacing w:after="0" w:line="240" w:lineRule="auto"/>
              <w:jc w:val="both"/>
              <w:rPr>
                <w:rFonts w:ascii="Times New Roman" w:hAnsi="Times New Roman" w:cs="Times New Roman"/>
                <w:sz w:val="20"/>
                <w:szCs w:val="20"/>
              </w:rPr>
            </w:pPr>
            <w:r w:rsidRPr="00DE15E9">
              <w:rPr>
                <w:rFonts w:ascii="Times New Roman" w:eastAsia="Times New Roman" w:hAnsi="Times New Roman" w:cs="Times New Roman"/>
                <w:sz w:val="20"/>
                <w:szCs w:val="20"/>
                <w:lang w:val="ro-MD"/>
              </w:rPr>
              <w:t xml:space="preserve">Dispoziția stabilește termene și obligații de transpunere pentru statele membre și </w:t>
            </w:r>
            <w:r w:rsidRPr="00DE15E9">
              <w:rPr>
                <w:rFonts w:ascii="Times New Roman" w:hAnsi="Times New Roman" w:cs="Times New Roman"/>
                <w:sz w:val="20"/>
                <w:szCs w:val="20"/>
              </w:rPr>
              <w:t xml:space="preserve">servește drept </w:t>
            </w:r>
            <w:r w:rsidRPr="00DE15E9">
              <w:rPr>
                <w:rStyle w:val="Strong"/>
                <w:rFonts w:ascii="Times New Roman" w:hAnsi="Times New Roman" w:cs="Times New Roman"/>
                <w:b w:val="0"/>
                <w:sz w:val="20"/>
                <w:szCs w:val="20"/>
              </w:rPr>
              <w:t>referință de conformare și aliniere voluntară la acquis-ul UE</w:t>
            </w:r>
            <w:r w:rsidRPr="00DE15E9">
              <w:rPr>
                <w:rFonts w:ascii="Times New Roman" w:hAnsi="Times New Roman" w:cs="Times New Roman"/>
                <w:sz w:val="20"/>
                <w:szCs w:val="20"/>
              </w:rPr>
              <w:t>, în cadrul procesului de armonizare legislativă în desfășurare în RM</w:t>
            </w:r>
          </w:p>
          <w:p w14:paraId="321AC4A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126" w:type="dxa"/>
            <w:tcBorders>
              <w:top w:val="single" w:sz="4" w:space="0" w:color="000000"/>
              <w:left w:val="single" w:sz="4" w:space="0" w:color="000000"/>
              <w:bottom w:val="single" w:sz="4" w:space="0" w:color="000000"/>
              <w:right w:val="single" w:sz="4" w:space="0" w:color="000000"/>
            </w:tcBorders>
          </w:tcPr>
          <w:p w14:paraId="47F6395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1EF7E2F0" w14:textId="77777777" w:rsidTr="00033703">
        <w:tc>
          <w:tcPr>
            <w:tcW w:w="430" w:type="dxa"/>
            <w:tcBorders>
              <w:top w:val="single" w:sz="4" w:space="0" w:color="000000"/>
              <w:left w:val="single" w:sz="4" w:space="0" w:color="000000"/>
              <w:bottom w:val="single" w:sz="4" w:space="0" w:color="000000"/>
              <w:right w:val="single" w:sz="4" w:space="0" w:color="000000"/>
            </w:tcBorders>
          </w:tcPr>
          <w:p w14:paraId="1D6DBEC2"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82</w:t>
            </w:r>
          </w:p>
        </w:tc>
        <w:tc>
          <w:tcPr>
            <w:tcW w:w="2547" w:type="dxa"/>
            <w:tcBorders>
              <w:top w:val="single" w:sz="4" w:space="0" w:color="000000"/>
              <w:left w:val="single" w:sz="4" w:space="0" w:color="000000"/>
              <w:bottom w:val="single" w:sz="4" w:space="0" w:color="000000"/>
              <w:right w:val="single" w:sz="4" w:space="0" w:color="000000"/>
            </w:tcBorders>
          </w:tcPr>
          <w:p w14:paraId="163BD10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Statele membre aplică actele respective cel târziu de la 1 noiembrie 2021.</w:t>
            </w:r>
          </w:p>
        </w:tc>
        <w:tc>
          <w:tcPr>
            <w:tcW w:w="2552" w:type="dxa"/>
            <w:tcBorders>
              <w:top w:val="single" w:sz="4" w:space="0" w:color="000000"/>
              <w:left w:val="single" w:sz="4" w:space="0" w:color="000000"/>
              <w:bottom w:val="single" w:sz="4" w:space="0" w:color="000000"/>
              <w:right w:val="single" w:sz="4" w:space="0" w:color="000000"/>
            </w:tcBorders>
          </w:tcPr>
          <w:p w14:paraId="0FCF988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They shall apply those measures not later than 1 November 2021.</w:t>
            </w:r>
          </w:p>
        </w:tc>
        <w:tc>
          <w:tcPr>
            <w:tcW w:w="2693" w:type="dxa"/>
            <w:tcBorders>
              <w:top w:val="single" w:sz="4" w:space="0" w:color="000000"/>
              <w:left w:val="single" w:sz="4" w:space="0" w:color="000000"/>
              <w:bottom w:val="single" w:sz="4" w:space="0" w:color="000000"/>
              <w:right w:val="single" w:sz="4" w:space="0" w:color="000000"/>
            </w:tcBorders>
          </w:tcPr>
          <w:p w14:paraId="2A1AF405" w14:textId="77777777"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6710252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716E31FD" w14:textId="0B44EA44"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Prevedere UE neaplicabilă</w:t>
            </w:r>
          </w:p>
        </w:tc>
        <w:tc>
          <w:tcPr>
            <w:tcW w:w="1985" w:type="dxa"/>
            <w:tcBorders>
              <w:top w:val="single" w:sz="4" w:space="0" w:color="000000"/>
              <w:left w:val="single" w:sz="4" w:space="0" w:color="000000"/>
              <w:bottom w:val="single" w:sz="4" w:space="0" w:color="000000"/>
              <w:right w:val="single" w:sz="4" w:space="0" w:color="000000"/>
            </w:tcBorders>
          </w:tcPr>
          <w:p w14:paraId="2B80BB8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Dispoziția vizează obligațiuni pentru statele membre</w:t>
            </w:r>
          </w:p>
        </w:tc>
        <w:tc>
          <w:tcPr>
            <w:tcW w:w="2126" w:type="dxa"/>
            <w:tcBorders>
              <w:top w:val="single" w:sz="4" w:space="0" w:color="000000"/>
              <w:left w:val="single" w:sz="4" w:space="0" w:color="000000"/>
              <w:bottom w:val="single" w:sz="4" w:space="0" w:color="000000"/>
              <w:right w:val="single" w:sz="4" w:space="0" w:color="000000"/>
            </w:tcBorders>
          </w:tcPr>
          <w:p w14:paraId="04A73DB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60DBD16C" w14:textId="77777777" w:rsidTr="00033703">
        <w:tc>
          <w:tcPr>
            <w:tcW w:w="430" w:type="dxa"/>
            <w:tcBorders>
              <w:top w:val="single" w:sz="4" w:space="0" w:color="000000"/>
              <w:left w:val="single" w:sz="4" w:space="0" w:color="000000"/>
              <w:bottom w:val="single" w:sz="4" w:space="0" w:color="000000"/>
              <w:right w:val="single" w:sz="4" w:space="0" w:color="000000"/>
            </w:tcBorders>
          </w:tcPr>
          <w:p w14:paraId="26C9C6EA"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83</w:t>
            </w:r>
          </w:p>
        </w:tc>
        <w:tc>
          <w:tcPr>
            <w:tcW w:w="2547" w:type="dxa"/>
            <w:tcBorders>
              <w:top w:val="single" w:sz="4" w:space="0" w:color="000000"/>
              <w:left w:val="single" w:sz="4" w:space="0" w:color="000000"/>
              <w:bottom w:val="single" w:sz="4" w:space="0" w:color="000000"/>
              <w:right w:val="single" w:sz="4" w:space="0" w:color="000000"/>
            </w:tcBorders>
          </w:tcPr>
          <w:p w14:paraId="25E0BB8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Atunci când statele membre adoptă actele respective, acestea conțin o trimitere la prezenta directivă sau sunt însoțite de o asemenea trimitere la data publicării lor oficiale. Statele membre stabilesc modalitatea de efectuare a acestei trimiteri.</w:t>
            </w:r>
          </w:p>
        </w:tc>
        <w:tc>
          <w:tcPr>
            <w:tcW w:w="2552" w:type="dxa"/>
            <w:tcBorders>
              <w:top w:val="single" w:sz="4" w:space="0" w:color="000000"/>
              <w:left w:val="single" w:sz="4" w:space="0" w:color="000000"/>
              <w:bottom w:val="single" w:sz="4" w:space="0" w:color="000000"/>
              <w:right w:val="single" w:sz="4" w:space="0" w:color="000000"/>
            </w:tcBorders>
          </w:tcPr>
          <w:p w14:paraId="3987E112"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When Member States adopt those measures, they shall contain a reference to this Directive or be accompanied by such a reference on the occasion of their official publication. Member States shall determine how such reference is to be made.</w:t>
            </w:r>
          </w:p>
        </w:tc>
        <w:tc>
          <w:tcPr>
            <w:tcW w:w="2693" w:type="dxa"/>
            <w:tcBorders>
              <w:top w:val="single" w:sz="4" w:space="0" w:color="000000"/>
              <w:left w:val="single" w:sz="4" w:space="0" w:color="000000"/>
              <w:bottom w:val="single" w:sz="4" w:space="0" w:color="000000"/>
              <w:right w:val="single" w:sz="4" w:space="0" w:color="000000"/>
            </w:tcBorders>
          </w:tcPr>
          <w:p w14:paraId="2CD24901" w14:textId="77777777"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1A47808F"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441BB595" w14:textId="3B1B5C24"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Prevedere UE netranspusă</w:t>
            </w:r>
          </w:p>
        </w:tc>
        <w:tc>
          <w:tcPr>
            <w:tcW w:w="1985" w:type="dxa"/>
            <w:tcBorders>
              <w:top w:val="single" w:sz="4" w:space="0" w:color="000000"/>
              <w:left w:val="single" w:sz="4" w:space="0" w:color="000000"/>
              <w:bottom w:val="single" w:sz="4" w:space="0" w:color="000000"/>
              <w:right w:val="single" w:sz="4" w:space="0" w:color="000000"/>
            </w:tcBorders>
          </w:tcPr>
          <w:p w14:paraId="7611E17A"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Style w:val="Strong"/>
                <w:rFonts w:ascii="Times New Roman" w:hAnsi="Times New Roman" w:cs="Times New Roman"/>
                <w:b w:val="0"/>
                <w:sz w:val="20"/>
                <w:szCs w:val="20"/>
              </w:rPr>
              <w:t>Preambulul proiectului de lege indică în mod expres alinierea și transpunerea Directivei (UE) 2019/633</w:t>
            </w:r>
            <w:r w:rsidRPr="00DE15E9">
              <w:rPr>
                <w:rFonts w:ascii="Times New Roman" w:hAnsi="Times New Roman" w:cs="Times New Roman"/>
                <w:sz w:val="20"/>
                <w:szCs w:val="20"/>
              </w:rPr>
              <w:t>, ceea ce asigură, din perspectivă declarativă și de tehnică legislativă, coerența cu acquis-ul UE</w:t>
            </w:r>
          </w:p>
        </w:tc>
        <w:tc>
          <w:tcPr>
            <w:tcW w:w="2126" w:type="dxa"/>
            <w:tcBorders>
              <w:top w:val="single" w:sz="4" w:space="0" w:color="000000"/>
              <w:left w:val="single" w:sz="4" w:space="0" w:color="000000"/>
              <w:bottom w:val="single" w:sz="4" w:space="0" w:color="000000"/>
              <w:right w:val="single" w:sz="4" w:space="0" w:color="000000"/>
            </w:tcBorders>
          </w:tcPr>
          <w:p w14:paraId="2704090C"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11DE44FA" w14:textId="77777777" w:rsidTr="00033703">
        <w:tc>
          <w:tcPr>
            <w:tcW w:w="430" w:type="dxa"/>
            <w:tcBorders>
              <w:top w:val="single" w:sz="4" w:space="0" w:color="000000"/>
              <w:left w:val="single" w:sz="4" w:space="0" w:color="000000"/>
              <w:bottom w:val="single" w:sz="4" w:space="0" w:color="000000"/>
              <w:right w:val="single" w:sz="4" w:space="0" w:color="000000"/>
            </w:tcBorders>
          </w:tcPr>
          <w:p w14:paraId="6BFE01AF" w14:textId="77777777" w:rsidR="00E0260F" w:rsidRPr="00DE15E9" w:rsidRDefault="00E0260F" w:rsidP="00DE15E9">
            <w:pPr>
              <w:spacing w:after="0" w:line="240" w:lineRule="auto"/>
              <w:jc w:val="both"/>
              <w:rPr>
                <w:rFonts w:ascii="Times New Roman" w:hAnsi="Times New Roman" w:cs="Times New Roman"/>
                <w:sz w:val="20"/>
                <w:szCs w:val="20"/>
                <w:shd w:val="clear" w:color="auto" w:fill="FFFFFF"/>
                <w:lang w:val="ro-MD"/>
              </w:rPr>
            </w:pPr>
            <w:r w:rsidRPr="00DE15E9">
              <w:rPr>
                <w:rFonts w:ascii="Times New Roman" w:hAnsi="Times New Roman" w:cs="Times New Roman"/>
                <w:sz w:val="20"/>
                <w:szCs w:val="20"/>
                <w:shd w:val="clear" w:color="auto" w:fill="FFFFFF"/>
                <w:lang w:val="ro-MD"/>
              </w:rPr>
              <w:t>84</w:t>
            </w:r>
          </w:p>
        </w:tc>
        <w:tc>
          <w:tcPr>
            <w:tcW w:w="2547" w:type="dxa"/>
            <w:tcBorders>
              <w:top w:val="single" w:sz="4" w:space="0" w:color="000000"/>
              <w:left w:val="single" w:sz="4" w:space="0" w:color="000000"/>
              <w:bottom w:val="single" w:sz="4" w:space="0" w:color="000000"/>
              <w:right w:val="single" w:sz="4" w:space="0" w:color="000000"/>
            </w:tcBorders>
          </w:tcPr>
          <w:p w14:paraId="0A939488"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shd w:val="clear" w:color="auto" w:fill="FFFFFF"/>
                <w:lang w:val="ro-MD"/>
              </w:rPr>
              <w:t>(2)   Comisiei îi sunt comunicate de către statele membre textele principalelor dispoziții de drept intern pe care le adoptă în domeniul reglementat de prezenta directivă.</w:t>
            </w:r>
          </w:p>
        </w:tc>
        <w:tc>
          <w:tcPr>
            <w:tcW w:w="2552" w:type="dxa"/>
            <w:tcBorders>
              <w:top w:val="single" w:sz="4" w:space="0" w:color="000000"/>
              <w:left w:val="single" w:sz="4" w:space="0" w:color="000000"/>
              <w:bottom w:val="single" w:sz="4" w:space="0" w:color="000000"/>
              <w:right w:val="single" w:sz="4" w:space="0" w:color="000000"/>
            </w:tcBorders>
          </w:tcPr>
          <w:p w14:paraId="5AB5E5E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r w:rsidRPr="00DE15E9">
              <w:rPr>
                <w:rFonts w:ascii="Times New Roman" w:hAnsi="Times New Roman" w:cs="Times New Roman"/>
                <w:sz w:val="20"/>
                <w:szCs w:val="20"/>
                <w:shd w:val="clear" w:color="auto" w:fill="FFFFFF"/>
                <w:lang w:val="en-GB"/>
              </w:rPr>
              <w:t>2.   Member States shall communicate to the Commission the text of the main provisions of national law which they adopt in the field covered by this Directive.</w:t>
            </w:r>
          </w:p>
        </w:tc>
        <w:tc>
          <w:tcPr>
            <w:tcW w:w="2693" w:type="dxa"/>
            <w:tcBorders>
              <w:top w:val="single" w:sz="4" w:space="0" w:color="000000"/>
              <w:left w:val="single" w:sz="4" w:space="0" w:color="000000"/>
              <w:bottom w:val="single" w:sz="4" w:space="0" w:color="000000"/>
              <w:right w:val="single" w:sz="4" w:space="0" w:color="000000"/>
            </w:tcBorders>
          </w:tcPr>
          <w:p w14:paraId="0F425146" w14:textId="77777777"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7E34A94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454F8B4C" w14:textId="18B160E6"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Prevedere UE netranspusă</w:t>
            </w:r>
          </w:p>
        </w:tc>
        <w:tc>
          <w:tcPr>
            <w:tcW w:w="1985" w:type="dxa"/>
            <w:tcBorders>
              <w:top w:val="single" w:sz="4" w:space="0" w:color="000000"/>
              <w:left w:val="single" w:sz="4" w:space="0" w:color="000000"/>
              <w:bottom w:val="single" w:sz="4" w:space="0" w:color="000000"/>
              <w:right w:val="single" w:sz="4" w:space="0" w:color="000000"/>
            </w:tcBorders>
          </w:tcPr>
          <w:p w14:paraId="179FAF90"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rPr>
              <w:t>Prevederea instituie o obligație de comunicare pentru statele membre ale UE și nu necesită transpunere. Oarecum, transmiterea proiectelor actelor către Comisie se realizează în cadrul cooperării instituționale</w:t>
            </w:r>
          </w:p>
        </w:tc>
        <w:tc>
          <w:tcPr>
            <w:tcW w:w="2126" w:type="dxa"/>
            <w:tcBorders>
              <w:top w:val="single" w:sz="4" w:space="0" w:color="000000"/>
              <w:left w:val="single" w:sz="4" w:space="0" w:color="000000"/>
              <w:bottom w:val="single" w:sz="4" w:space="0" w:color="000000"/>
              <w:right w:val="single" w:sz="4" w:space="0" w:color="000000"/>
            </w:tcBorders>
          </w:tcPr>
          <w:p w14:paraId="641EEFB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3F3618BB" w14:textId="77777777" w:rsidTr="00033703">
        <w:tc>
          <w:tcPr>
            <w:tcW w:w="430" w:type="dxa"/>
            <w:tcBorders>
              <w:top w:val="single" w:sz="4" w:space="0" w:color="000000"/>
              <w:left w:val="single" w:sz="4" w:space="0" w:color="000000"/>
              <w:bottom w:val="single" w:sz="4" w:space="0" w:color="000000"/>
              <w:right w:val="single" w:sz="4" w:space="0" w:color="000000"/>
            </w:tcBorders>
          </w:tcPr>
          <w:p w14:paraId="1708DEF9"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85</w:t>
            </w:r>
          </w:p>
        </w:tc>
        <w:tc>
          <w:tcPr>
            <w:tcW w:w="2547" w:type="dxa"/>
            <w:tcBorders>
              <w:top w:val="single" w:sz="4" w:space="0" w:color="000000"/>
              <w:left w:val="single" w:sz="4" w:space="0" w:color="000000"/>
              <w:bottom w:val="single" w:sz="4" w:space="0" w:color="000000"/>
              <w:right w:val="single" w:sz="4" w:space="0" w:color="000000"/>
            </w:tcBorders>
          </w:tcPr>
          <w:p w14:paraId="4A5EBA1E" w14:textId="77777777" w:rsidR="00E0260F" w:rsidRPr="00DE15E9" w:rsidRDefault="00E0260F" w:rsidP="00DE15E9">
            <w:pPr>
              <w:spacing w:after="0" w:line="240" w:lineRule="auto"/>
              <w:jc w:val="both"/>
              <w:rPr>
                <w:rFonts w:ascii="Times New Roman" w:eastAsia="Times New Roman" w:hAnsi="Times New Roman" w:cs="Times New Roman"/>
                <w:b/>
                <w:sz w:val="20"/>
                <w:szCs w:val="20"/>
                <w:lang w:val="ro-MD"/>
              </w:rPr>
            </w:pPr>
            <w:r w:rsidRPr="00DE15E9">
              <w:rPr>
                <w:rFonts w:ascii="Times New Roman" w:eastAsia="Times New Roman" w:hAnsi="Times New Roman" w:cs="Times New Roman"/>
                <w:b/>
                <w:sz w:val="20"/>
                <w:szCs w:val="20"/>
                <w:lang w:val="ro-MD"/>
              </w:rPr>
              <w:t>Articolul 14</w:t>
            </w:r>
          </w:p>
          <w:p w14:paraId="2F16EB90" w14:textId="77777777" w:rsidR="00E0260F" w:rsidRPr="00DE15E9" w:rsidRDefault="00E0260F" w:rsidP="00DE15E9">
            <w:pPr>
              <w:pStyle w:val="oj-sti-art"/>
              <w:shd w:val="clear" w:color="auto" w:fill="FFFFFF"/>
              <w:spacing w:before="0" w:beforeAutospacing="0" w:after="0" w:afterAutospacing="0"/>
              <w:rPr>
                <w:b/>
                <w:bCs/>
                <w:sz w:val="20"/>
                <w:szCs w:val="20"/>
                <w:lang w:val="ro-MD"/>
              </w:rPr>
            </w:pPr>
            <w:r w:rsidRPr="00DE15E9">
              <w:rPr>
                <w:b/>
                <w:bCs/>
                <w:sz w:val="20"/>
                <w:szCs w:val="20"/>
                <w:lang w:val="ro-MD"/>
              </w:rPr>
              <w:t>Intrarea în vigoare</w:t>
            </w:r>
          </w:p>
          <w:p w14:paraId="1D57C4E9" w14:textId="77777777" w:rsidR="00E0260F" w:rsidRPr="00DE15E9" w:rsidRDefault="00E0260F" w:rsidP="00DE15E9">
            <w:pPr>
              <w:pStyle w:val="oj-normal"/>
              <w:shd w:val="clear" w:color="auto" w:fill="FFFFFF"/>
              <w:spacing w:before="0" w:beforeAutospacing="0" w:after="0" w:afterAutospacing="0"/>
              <w:jc w:val="both"/>
              <w:rPr>
                <w:sz w:val="20"/>
                <w:szCs w:val="20"/>
                <w:lang w:val="ro-MD"/>
              </w:rPr>
            </w:pPr>
            <w:r w:rsidRPr="00DE15E9">
              <w:rPr>
                <w:sz w:val="20"/>
                <w:szCs w:val="20"/>
                <w:lang w:val="ro-MD"/>
              </w:rPr>
              <w:t>Prezenta directivă intră în vigoare în a cincea zi de la data publicării în </w:t>
            </w:r>
            <w:r w:rsidRPr="00DE15E9">
              <w:rPr>
                <w:rStyle w:val="oj-italic"/>
                <w:i/>
                <w:iCs/>
                <w:sz w:val="20"/>
                <w:szCs w:val="20"/>
                <w:lang w:val="ro-MD"/>
              </w:rPr>
              <w:t>Jurnalul Oficial al Uniunii Europene</w:t>
            </w:r>
            <w:r w:rsidRPr="00DE15E9">
              <w:rPr>
                <w:sz w:val="20"/>
                <w:szCs w:val="20"/>
                <w:lang w:val="ro-MD"/>
              </w:rPr>
              <w:t>.</w:t>
            </w:r>
          </w:p>
          <w:p w14:paraId="4B29F111"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2552" w:type="dxa"/>
            <w:tcBorders>
              <w:top w:val="single" w:sz="4" w:space="0" w:color="000000"/>
              <w:left w:val="single" w:sz="4" w:space="0" w:color="000000"/>
              <w:bottom w:val="single" w:sz="4" w:space="0" w:color="000000"/>
              <w:right w:val="single" w:sz="4" w:space="0" w:color="000000"/>
            </w:tcBorders>
          </w:tcPr>
          <w:p w14:paraId="2311EB86" w14:textId="77777777" w:rsidR="00E0260F" w:rsidRPr="00DE15E9" w:rsidRDefault="00E0260F" w:rsidP="00DE15E9">
            <w:pPr>
              <w:spacing w:after="0" w:line="240" w:lineRule="auto"/>
              <w:jc w:val="both"/>
              <w:rPr>
                <w:rFonts w:ascii="Times New Roman" w:eastAsia="Times New Roman" w:hAnsi="Times New Roman" w:cs="Times New Roman"/>
                <w:b/>
                <w:sz w:val="20"/>
                <w:szCs w:val="20"/>
                <w:lang w:val="en-GB"/>
              </w:rPr>
            </w:pPr>
            <w:r w:rsidRPr="00DE15E9">
              <w:rPr>
                <w:rFonts w:ascii="Times New Roman" w:eastAsia="Times New Roman" w:hAnsi="Times New Roman" w:cs="Times New Roman"/>
                <w:b/>
                <w:sz w:val="20"/>
                <w:szCs w:val="20"/>
                <w:lang w:val="en-GB"/>
              </w:rPr>
              <w:t>Article 14</w:t>
            </w:r>
          </w:p>
          <w:p w14:paraId="01853F10" w14:textId="77777777" w:rsidR="00E0260F" w:rsidRPr="00DE15E9" w:rsidRDefault="00E0260F" w:rsidP="00DE15E9">
            <w:pPr>
              <w:pStyle w:val="oj-sti-art"/>
              <w:shd w:val="clear" w:color="auto" w:fill="FFFFFF"/>
              <w:spacing w:before="0" w:beforeAutospacing="0" w:after="0" w:afterAutospacing="0"/>
              <w:rPr>
                <w:b/>
                <w:bCs/>
                <w:sz w:val="20"/>
                <w:szCs w:val="20"/>
                <w:lang w:val="en-GB"/>
              </w:rPr>
            </w:pPr>
            <w:r w:rsidRPr="00DE15E9">
              <w:rPr>
                <w:b/>
                <w:bCs/>
                <w:sz w:val="20"/>
                <w:szCs w:val="20"/>
                <w:lang w:val="en-GB"/>
              </w:rPr>
              <w:t>Entry into force</w:t>
            </w:r>
          </w:p>
          <w:p w14:paraId="6FD0F1F2" w14:textId="77777777" w:rsidR="00E0260F" w:rsidRPr="00DE15E9" w:rsidRDefault="00E0260F" w:rsidP="00DE15E9">
            <w:pPr>
              <w:pStyle w:val="oj-normal"/>
              <w:shd w:val="clear" w:color="auto" w:fill="FFFFFF"/>
              <w:spacing w:before="0" w:beforeAutospacing="0" w:after="0" w:afterAutospacing="0"/>
              <w:jc w:val="both"/>
              <w:rPr>
                <w:sz w:val="20"/>
                <w:szCs w:val="20"/>
                <w:lang w:val="en-GB"/>
              </w:rPr>
            </w:pPr>
            <w:r w:rsidRPr="00DE15E9">
              <w:rPr>
                <w:sz w:val="20"/>
                <w:szCs w:val="20"/>
                <w:lang w:val="en-GB"/>
              </w:rPr>
              <w:t>This Directive shall enter into force on the fifth day following that of its publication in the </w:t>
            </w:r>
            <w:r w:rsidRPr="00DE15E9">
              <w:rPr>
                <w:rStyle w:val="oj-italic"/>
                <w:i/>
                <w:iCs/>
                <w:sz w:val="20"/>
                <w:szCs w:val="20"/>
                <w:lang w:val="en-GB"/>
              </w:rPr>
              <w:t>Official Journal of the European Union</w:t>
            </w:r>
            <w:r w:rsidRPr="00DE15E9">
              <w:rPr>
                <w:sz w:val="20"/>
                <w:szCs w:val="20"/>
                <w:lang w:val="en-GB"/>
              </w:rPr>
              <w:t>.</w:t>
            </w:r>
          </w:p>
          <w:p w14:paraId="3DDEC667"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en-GB"/>
              </w:rPr>
            </w:pPr>
          </w:p>
        </w:tc>
        <w:tc>
          <w:tcPr>
            <w:tcW w:w="2693" w:type="dxa"/>
            <w:tcBorders>
              <w:top w:val="single" w:sz="4" w:space="0" w:color="000000"/>
              <w:left w:val="single" w:sz="4" w:space="0" w:color="000000"/>
              <w:bottom w:val="single" w:sz="4" w:space="0" w:color="000000"/>
              <w:right w:val="single" w:sz="4" w:space="0" w:color="000000"/>
            </w:tcBorders>
          </w:tcPr>
          <w:p w14:paraId="5CB6EC3B" w14:textId="77777777" w:rsidR="00785C2F" w:rsidRPr="00DE15E9" w:rsidRDefault="00785C2F" w:rsidP="00DE15E9">
            <w:pPr>
              <w:spacing w:after="0" w:line="240" w:lineRule="auto"/>
              <w:ind w:firstLine="426"/>
              <w:jc w:val="both"/>
              <w:rPr>
                <w:rFonts w:ascii="Times New Roman" w:eastAsiaTheme="minorHAnsi" w:hAnsi="Times New Roman" w:cs="Times New Roman"/>
                <w:bCs/>
                <w:sz w:val="20"/>
                <w:szCs w:val="20"/>
                <w:lang w:val="ro-MD"/>
              </w:rPr>
            </w:pPr>
            <w:r w:rsidRPr="00DE15E9">
              <w:rPr>
                <w:rFonts w:ascii="Times New Roman" w:hAnsi="Times New Roman" w:cs="Times New Roman"/>
                <w:bCs/>
                <w:sz w:val="20"/>
                <w:szCs w:val="20"/>
                <w:lang w:val="ro-MD"/>
              </w:rPr>
              <w:t>Articolul 16.  Dispoziții finale</w:t>
            </w:r>
          </w:p>
          <w:p w14:paraId="615BA75A" w14:textId="70918D0A" w:rsidR="00E0260F" w:rsidRPr="00DE15E9" w:rsidRDefault="00785C2F" w:rsidP="00DE15E9">
            <w:pPr>
              <w:tabs>
                <w:tab w:val="left" w:pos="311"/>
              </w:tabs>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lang w:val="ro-MD"/>
              </w:rPr>
              <w:t xml:space="preserve"> Prezenta lege intră în vigoare peste 6 luni de la data publicării în Monitorul Oficial al Republicii Moldova, cu excepția art. 11, care intră în vigoare la data aderării Republicii Moldova la </w:t>
            </w:r>
            <w:r w:rsidRPr="00DE15E9">
              <w:rPr>
                <w:rFonts w:ascii="Times New Roman" w:hAnsi="Times New Roman" w:cs="Times New Roman"/>
                <w:sz w:val="20"/>
                <w:szCs w:val="20"/>
                <w:lang w:val="ro-MD"/>
              </w:rPr>
              <w:lastRenderedPageBreak/>
              <w:t xml:space="preserve">Uniunea Europeană, și a art. 13 alin. (1), care intră în vigoare începând cu anul al doilea de la data aderării Republicii Moldova la Uniunea Europeană. </w:t>
            </w:r>
          </w:p>
        </w:tc>
        <w:tc>
          <w:tcPr>
            <w:tcW w:w="2693" w:type="dxa"/>
            <w:tcBorders>
              <w:top w:val="single" w:sz="4" w:space="0" w:color="000000"/>
              <w:left w:val="single" w:sz="4" w:space="0" w:color="000000"/>
              <w:bottom w:val="single" w:sz="4" w:space="0" w:color="000000"/>
              <w:right w:val="single" w:sz="4" w:space="0" w:color="000000"/>
            </w:tcBorders>
          </w:tcPr>
          <w:p w14:paraId="385BF83D" w14:textId="77777777" w:rsidR="00785C2F" w:rsidRPr="00DE15E9" w:rsidRDefault="00785C2F" w:rsidP="00DE15E9">
            <w:pPr>
              <w:pStyle w:val="isselectedend"/>
              <w:spacing w:before="0" w:beforeAutospacing="0" w:after="0" w:afterAutospacing="0"/>
              <w:jc w:val="both"/>
              <w:rPr>
                <w:sz w:val="20"/>
                <w:szCs w:val="20"/>
              </w:rPr>
            </w:pPr>
            <w:r w:rsidRPr="00DE15E9">
              <w:rPr>
                <w:sz w:val="20"/>
                <w:szCs w:val="20"/>
              </w:rPr>
              <w:lastRenderedPageBreak/>
              <w:t>Article 16. Final provisions</w:t>
            </w:r>
          </w:p>
          <w:p w14:paraId="14300BBA" w14:textId="3776EEEE" w:rsidR="00E0260F" w:rsidRPr="00DE15E9" w:rsidRDefault="00785C2F" w:rsidP="00DE15E9">
            <w:pPr>
              <w:pStyle w:val="isselectedend"/>
              <w:spacing w:before="0" w:beforeAutospacing="0" w:after="0" w:afterAutospacing="0"/>
              <w:jc w:val="both"/>
              <w:rPr>
                <w:sz w:val="20"/>
                <w:szCs w:val="20"/>
              </w:rPr>
            </w:pPr>
            <w:r w:rsidRPr="00DE15E9">
              <w:rPr>
                <w:sz w:val="20"/>
                <w:szCs w:val="20"/>
              </w:rPr>
              <w:t xml:space="preserve">(1) This Law shall enter into force six months after the date of its publication in the Official Gazette of the Republic of Moldova, except for Article 11, which shall enter into force on the date of accession of the Republic of </w:t>
            </w:r>
            <w:r w:rsidRPr="00DE15E9">
              <w:rPr>
                <w:sz w:val="20"/>
                <w:szCs w:val="20"/>
              </w:rPr>
              <w:lastRenderedPageBreak/>
              <w:t>Moldova to the European Union, and Article 13(1), which shall enter into force from the second year following its accession to the European Union.</w:t>
            </w:r>
          </w:p>
        </w:tc>
        <w:tc>
          <w:tcPr>
            <w:tcW w:w="1276" w:type="dxa"/>
            <w:tcBorders>
              <w:top w:val="single" w:sz="4" w:space="0" w:color="000000"/>
              <w:left w:val="single" w:sz="4" w:space="0" w:color="000000"/>
              <w:bottom w:val="single" w:sz="4" w:space="0" w:color="000000"/>
              <w:right w:val="single" w:sz="4" w:space="0" w:color="000000"/>
            </w:tcBorders>
          </w:tcPr>
          <w:p w14:paraId="123EA4DB" w14:textId="3536D481"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lastRenderedPageBreak/>
              <w:t>Prevedere UE neaplicabilă</w:t>
            </w:r>
          </w:p>
        </w:tc>
        <w:tc>
          <w:tcPr>
            <w:tcW w:w="1985" w:type="dxa"/>
            <w:tcBorders>
              <w:top w:val="single" w:sz="4" w:space="0" w:color="000000"/>
              <w:left w:val="single" w:sz="4" w:space="0" w:color="000000"/>
              <w:bottom w:val="single" w:sz="4" w:space="0" w:color="000000"/>
              <w:right w:val="single" w:sz="4" w:space="0" w:color="000000"/>
            </w:tcBorders>
          </w:tcPr>
          <w:p w14:paraId="08472793"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hAnsi="Times New Roman" w:cs="Times New Roman"/>
                <w:sz w:val="20"/>
                <w:szCs w:val="20"/>
              </w:rPr>
              <w:t xml:space="preserve">Dispoziția vizează exclusiv intrarea în vigoare a directivei la nivelul UE. Intrarea în vigoare a legii naționale este reglementată distinct, în funcție de particularitățile </w:t>
            </w:r>
            <w:r w:rsidRPr="00DE15E9">
              <w:rPr>
                <w:rFonts w:ascii="Times New Roman" w:hAnsi="Times New Roman" w:cs="Times New Roman"/>
                <w:sz w:val="20"/>
                <w:szCs w:val="20"/>
              </w:rPr>
              <w:lastRenderedPageBreak/>
              <w:t>interne și de procesul de aderare</w:t>
            </w:r>
          </w:p>
        </w:tc>
        <w:tc>
          <w:tcPr>
            <w:tcW w:w="2126" w:type="dxa"/>
            <w:tcBorders>
              <w:top w:val="single" w:sz="4" w:space="0" w:color="000000"/>
              <w:left w:val="single" w:sz="4" w:space="0" w:color="000000"/>
              <w:bottom w:val="single" w:sz="4" w:space="0" w:color="000000"/>
              <w:right w:val="single" w:sz="4" w:space="0" w:color="000000"/>
            </w:tcBorders>
          </w:tcPr>
          <w:p w14:paraId="2CC5E6DB"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r w:rsidR="00E0260F" w:rsidRPr="00DE15E9" w14:paraId="3E6FE5B7" w14:textId="77777777" w:rsidTr="00033703">
        <w:tc>
          <w:tcPr>
            <w:tcW w:w="430" w:type="dxa"/>
            <w:tcBorders>
              <w:top w:val="single" w:sz="4" w:space="0" w:color="000000"/>
              <w:left w:val="single" w:sz="4" w:space="0" w:color="000000"/>
              <w:bottom w:val="single" w:sz="4" w:space="0" w:color="000000"/>
              <w:right w:val="single" w:sz="4" w:space="0" w:color="000000"/>
            </w:tcBorders>
          </w:tcPr>
          <w:p w14:paraId="195F881E"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86</w:t>
            </w:r>
          </w:p>
        </w:tc>
        <w:tc>
          <w:tcPr>
            <w:tcW w:w="2547" w:type="dxa"/>
            <w:tcBorders>
              <w:top w:val="single" w:sz="4" w:space="0" w:color="000000"/>
              <w:left w:val="single" w:sz="4" w:space="0" w:color="000000"/>
              <w:bottom w:val="single" w:sz="4" w:space="0" w:color="000000"/>
              <w:right w:val="single" w:sz="4" w:space="0" w:color="000000"/>
            </w:tcBorders>
          </w:tcPr>
          <w:p w14:paraId="00F593A3" w14:textId="77777777" w:rsidR="00E0260F" w:rsidRPr="00DE15E9" w:rsidRDefault="00E0260F" w:rsidP="00DE15E9">
            <w:pPr>
              <w:spacing w:after="0" w:line="240" w:lineRule="auto"/>
              <w:jc w:val="both"/>
              <w:rPr>
                <w:rFonts w:ascii="Times New Roman" w:eastAsia="Times New Roman" w:hAnsi="Times New Roman" w:cs="Times New Roman"/>
                <w:b/>
                <w:sz w:val="20"/>
                <w:szCs w:val="20"/>
                <w:lang w:val="ro-MD"/>
              </w:rPr>
            </w:pPr>
            <w:r w:rsidRPr="00DE15E9">
              <w:rPr>
                <w:rFonts w:ascii="Times New Roman" w:eastAsia="Times New Roman" w:hAnsi="Times New Roman" w:cs="Times New Roman"/>
                <w:b/>
                <w:sz w:val="20"/>
                <w:szCs w:val="20"/>
                <w:lang w:val="ro-MD"/>
              </w:rPr>
              <w:t>Articolul 15</w:t>
            </w:r>
          </w:p>
          <w:p w14:paraId="682D722F" w14:textId="77777777" w:rsidR="00E0260F" w:rsidRPr="00DE15E9" w:rsidRDefault="00E0260F" w:rsidP="00DE15E9">
            <w:pPr>
              <w:pStyle w:val="oj-sti-art"/>
              <w:shd w:val="clear" w:color="auto" w:fill="FFFFFF"/>
              <w:spacing w:before="0" w:beforeAutospacing="0" w:after="0" w:afterAutospacing="0"/>
              <w:rPr>
                <w:b/>
                <w:bCs/>
                <w:sz w:val="20"/>
                <w:szCs w:val="20"/>
                <w:lang w:val="ro-MD"/>
              </w:rPr>
            </w:pPr>
            <w:r w:rsidRPr="00DE15E9">
              <w:rPr>
                <w:b/>
                <w:bCs/>
                <w:sz w:val="20"/>
                <w:szCs w:val="20"/>
                <w:lang w:val="ro-MD"/>
              </w:rPr>
              <w:t>Destinatari</w:t>
            </w:r>
          </w:p>
          <w:p w14:paraId="4FE018B1" w14:textId="17995FEE" w:rsidR="00E0260F" w:rsidRPr="00DE15E9" w:rsidRDefault="00E0260F" w:rsidP="00DE15E9">
            <w:pPr>
              <w:pStyle w:val="oj-normal"/>
              <w:shd w:val="clear" w:color="auto" w:fill="FFFFFF"/>
              <w:spacing w:before="0" w:beforeAutospacing="0" w:after="0" w:afterAutospacing="0"/>
              <w:jc w:val="both"/>
              <w:rPr>
                <w:sz w:val="20"/>
                <w:szCs w:val="20"/>
                <w:lang w:val="ro-MD"/>
              </w:rPr>
            </w:pPr>
            <w:r w:rsidRPr="00DE15E9">
              <w:rPr>
                <w:sz w:val="20"/>
                <w:szCs w:val="20"/>
                <w:lang w:val="ro-MD"/>
              </w:rPr>
              <w:t>Prezenta directivă se adresează statelor membre.</w:t>
            </w:r>
          </w:p>
        </w:tc>
        <w:tc>
          <w:tcPr>
            <w:tcW w:w="2552" w:type="dxa"/>
            <w:tcBorders>
              <w:top w:val="single" w:sz="4" w:space="0" w:color="000000"/>
              <w:left w:val="single" w:sz="4" w:space="0" w:color="000000"/>
              <w:bottom w:val="single" w:sz="4" w:space="0" w:color="000000"/>
              <w:right w:val="single" w:sz="4" w:space="0" w:color="000000"/>
            </w:tcBorders>
          </w:tcPr>
          <w:p w14:paraId="63200C13" w14:textId="77777777" w:rsidR="00E0260F" w:rsidRPr="00DE15E9" w:rsidRDefault="00E0260F" w:rsidP="00DE15E9">
            <w:pPr>
              <w:pStyle w:val="oj-sti-art"/>
              <w:shd w:val="clear" w:color="auto" w:fill="FFFFFF"/>
              <w:spacing w:before="0" w:beforeAutospacing="0" w:after="0" w:afterAutospacing="0"/>
              <w:rPr>
                <w:b/>
                <w:bCs/>
                <w:sz w:val="20"/>
                <w:szCs w:val="20"/>
                <w:lang w:val="en-GB"/>
              </w:rPr>
            </w:pPr>
            <w:r w:rsidRPr="00DE15E9">
              <w:rPr>
                <w:b/>
                <w:bCs/>
                <w:sz w:val="20"/>
                <w:szCs w:val="20"/>
                <w:lang w:val="en-GB"/>
              </w:rPr>
              <w:t>Article 15</w:t>
            </w:r>
          </w:p>
          <w:p w14:paraId="5F7C2392" w14:textId="77777777" w:rsidR="00E0260F" w:rsidRPr="00DE15E9" w:rsidRDefault="00E0260F" w:rsidP="00DE15E9">
            <w:pPr>
              <w:pStyle w:val="oj-sti-art"/>
              <w:shd w:val="clear" w:color="auto" w:fill="FFFFFF"/>
              <w:spacing w:before="0" w:beforeAutospacing="0" w:after="0" w:afterAutospacing="0"/>
              <w:rPr>
                <w:b/>
                <w:bCs/>
                <w:sz w:val="20"/>
                <w:szCs w:val="20"/>
                <w:lang w:val="en-GB"/>
              </w:rPr>
            </w:pPr>
            <w:r w:rsidRPr="00DE15E9">
              <w:rPr>
                <w:b/>
                <w:bCs/>
                <w:sz w:val="20"/>
                <w:szCs w:val="20"/>
                <w:lang w:val="en-GB"/>
              </w:rPr>
              <w:t>Addressees</w:t>
            </w:r>
          </w:p>
          <w:p w14:paraId="5B5763A8" w14:textId="0FA7133A" w:rsidR="00E0260F" w:rsidRPr="00DE15E9" w:rsidRDefault="00E0260F" w:rsidP="00DE15E9">
            <w:pPr>
              <w:pStyle w:val="oj-normal"/>
              <w:shd w:val="clear" w:color="auto" w:fill="FFFFFF"/>
              <w:spacing w:before="0" w:beforeAutospacing="0" w:after="0" w:afterAutospacing="0"/>
              <w:jc w:val="both"/>
              <w:rPr>
                <w:sz w:val="20"/>
                <w:szCs w:val="20"/>
                <w:lang w:val="en-GB"/>
              </w:rPr>
            </w:pPr>
            <w:r w:rsidRPr="00DE15E9">
              <w:rPr>
                <w:sz w:val="20"/>
                <w:szCs w:val="20"/>
                <w:lang w:val="en-GB"/>
              </w:rPr>
              <w:t>This Directive is addressed to the Member States</w:t>
            </w:r>
            <w:r w:rsidR="00C47AF6" w:rsidRPr="00DE15E9">
              <w:rPr>
                <w:sz w:val="20"/>
                <w:szCs w:val="20"/>
                <w:lang w:val="en-GB"/>
              </w:rPr>
              <w:t>.</w:t>
            </w:r>
          </w:p>
        </w:tc>
        <w:tc>
          <w:tcPr>
            <w:tcW w:w="2693" w:type="dxa"/>
            <w:tcBorders>
              <w:top w:val="single" w:sz="4" w:space="0" w:color="000000"/>
              <w:left w:val="single" w:sz="4" w:space="0" w:color="000000"/>
              <w:bottom w:val="single" w:sz="4" w:space="0" w:color="000000"/>
              <w:right w:val="single" w:sz="4" w:space="0" w:color="000000"/>
            </w:tcBorders>
          </w:tcPr>
          <w:p w14:paraId="42970DAE" w14:textId="77777777" w:rsidR="00E0260F" w:rsidRPr="00DE15E9" w:rsidRDefault="00E0260F" w:rsidP="00DE15E9">
            <w:pPr>
              <w:tabs>
                <w:tab w:val="left" w:pos="311"/>
              </w:tabs>
              <w:spacing w:after="0" w:line="240" w:lineRule="auto"/>
              <w:jc w:val="both"/>
              <w:rPr>
                <w:rFonts w:ascii="Times New Roman" w:eastAsia="Times New Roman" w:hAnsi="Times New Roman" w:cs="Times New Roman"/>
                <w:sz w:val="20"/>
                <w:szCs w:val="20"/>
                <w:lang w:val="ro-MD"/>
              </w:rPr>
            </w:pPr>
          </w:p>
        </w:tc>
        <w:tc>
          <w:tcPr>
            <w:tcW w:w="2693" w:type="dxa"/>
            <w:tcBorders>
              <w:top w:val="single" w:sz="4" w:space="0" w:color="000000"/>
              <w:left w:val="single" w:sz="4" w:space="0" w:color="000000"/>
              <w:bottom w:val="single" w:sz="4" w:space="0" w:color="000000"/>
              <w:right w:val="single" w:sz="4" w:space="0" w:color="000000"/>
            </w:tcBorders>
          </w:tcPr>
          <w:p w14:paraId="37F4AA66"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4039CAE5" w14:textId="5E98415F"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c>
          <w:tcPr>
            <w:tcW w:w="1985" w:type="dxa"/>
            <w:tcBorders>
              <w:top w:val="single" w:sz="4" w:space="0" w:color="000000"/>
              <w:left w:val="single" w:sz="4" w:space="0" w:color="000000"/>
              <w:bottom w:val="single" w:sz="4" w:space="0" w:color="000000"/>
              <w:right w:val="single" w:sz="4" w:space="0" w:color="000000"/>
            </w:tcBorders>
          </w:tcPr>
          <w:p w14:paraId="042983BE" w14:textId="218A57DC" w:rsidR="00E0260F" w:rsidRPr="00DE15E9" w:rsidRDefault="00E0260F" w:rsidP="00DE15E9">
            <w:pPr>
              <w:spacing w:after="0" w:line="240" w:lineRule="auto"/>
              <w:jc w:val="both"/>
              <w:rPr>
                <w:rFonts w:ascii="Times New Roman" w:eastAsia="Times New Roman" w:hAnsi="Times New Roman" w:cs="Times New Roman"/>
                <w:sz w:val="20"/>
                <w:szCs w:val="20"/>
                <w:lang w:val="ro-MD"/>
              </w:rPr>
            </w:pPr>
            <w:r w:rsidRPr="00DE15E9">
              <w:rPr>
                <w:rFonts w:ascii="Times New Roman" w:eastAsia="Times New Roman" w:hAnsi="Times New Roman" w:cs="Times New Roman"/>
                <w:sz w:val="20"/>
                <w:szCs w:val="20"/>
                <w:lang w:val="ro-MD"/>
              </w:rPr>
              <w:t>Prevederi UE neaplicabile</w:t>
            </w:r>
          </w:p>
        </w:tc>
        <w:tc>
          <w:tcPr>
            <w:tcW w:w="2126" w:type="dxa"/>
            <w:tcBorders>
              <w:top w:val="single" w:sz="4" w:space="0" w:color="000000"/>
              <w:left w:val="single" w:sz="4" w:space="0" w:color="000000"/>
              <w:bottom w:val="single" w:sz="4" w:space="0" w:color="000000"/>
              <w:right w:val="single" w:sz="4" w:space="0" w:color="000000"/>
            </w:tcBorders>
          </w:tcPr>
          <w:p w14:paraId="47AFCD9D" w14:textId="77777777" w:rsidR="00E0260F" w:rsidRPr="00DE15E9" w:rsidRDefault="00E0260F" w:rsidP="00DE15E9">
            <w:pPr>
              <w:spacing w:after="0" w:line="240" w:lineRule="auto"/>
              <w:jc w:val="both"/>
              <w:rPr>
                <w:rFonts w:ascii="Times New Roman" w:eastAsia="Times New Roman" w:hAnsi="Times New Roman" w:cs="Times New Roman"/>
                <w:sz w:val="20"/>
                <w:szCs w:val="20"/>
                <w:lang w:val="ro-MD"/>
              </w:rPr>
            </w:pPr>
          </w:p>
        </w:tc>
      </w:tr>
    </w:tbl>
    <w:p w14:paraId="21ACAEE1" w14:textId="77777777" w:rsidR="00D32921" w:rsidRPr="00DE15E9" w:rsidRDefault="00D32921" w:rsidP="00514579">
      <w:pPr>
        <w:spacing w:after="0" w:line="276" w:lineRule="auto"/>
        <w:rPr>
          <w:rFonts w:ascii="Times New Roman" w:hAnsi="Times New Roman" w:cs="Times New Roman"/>
          <w:sz w:val="20"/>
          <w:szCs w:val="20"/>
          <w:lang w:val="ro-MD"/>
        </w:rPr>
      </w:pPr>
    </w:p>
    <w:sectPr w:rsidR="00D32921" w:rsidRPr="00DE15E9" w:rsidSect="00DF3127">
      <w:footerReference w:type="default" r:id="rId11"/>
      <w:pgSz w:w="16838" w:h="11906" w:orient="landscape"/>
      <w:pgMar w:top="42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FDA47" w14:textId="77777777" w:rsidR="00100C91" w:rsidRDefault="00100C91" w:rsidP="00D65152">
      <w:pPr>
        <w:spacing w:after="0" w:line="240" w:lineRule="auto"/>
      </w:pPr>
      <w:r>
        <w:separator/>
      </w:r>
    </w:p>
  </w:endnote>
  <w:endnote w:type="continuationSeparator" w:id="0">
    <w:p w14:paraId="32AAAEA1" w14:textId="77777777" w:rsidR="00100C91" w:rsidRDefault="00100C91" w:rsidP="00D65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907512"/>
      <w:docPartObj>
        <w:docPartGallery w:val="Page Numbers (Bottom of Page)"/>
        <w:docPartUnique/>
      </w:docPartObj>
    </w:sdtPr>
    <w:sdtContent>
      <w:p w14:paraId="5C8C390B" w14:textId="77777777" w:rsidR="00115BDF" w:rsidRDefault="00115BDF">
        <w:pPr>
          <w:pStyle w:val="Footer"/>
          <w:jc w:val="right"/>
        </w:pPr>
        <w:r>
          <w:fldChar w:fldCharType="begin"/>
        </w:r>
        <w:r>
          <w:instrText>PAGE   \* MERGEFORMAT</w:instrText>
        </w:r>
        <w:r>
          <w:fldChar w:fldCharType="separate"/>
        </w:r>
        <w:r>
          <w:t>2</w:t>
        </w:r>
        <w:r>
          <w:fldChar w:fldCharType="end"/>
        </w:r>
      </w:p>
    </w:sdtContent>
  </w:sdt>
  <w:p w14:paraId="0A75434D" w14:textId="77777777" w:rsidR="00115BDF" w:rsidRDefault="00115B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AE65A" w14:textId="77777777" w:rsidR="00100C91" w:rsidRDefault="00100C91" w:rsidP="00D65152">
      <w:pPr>
        <w:spacing w:after="0" w:line="240" w:lineRule="auto"/>
      </w:pPr>
      <w:r>
        <w:separator/>
      </w:r>
    </w:p>
  </w:footnote>
  <w:footnote w:type="continuationSeparator" w:id="0">
    <w:p w14:paraId="7A8C6ECA" w14:textId="77777777" w:rsidR="00100C91" w:rsidRDefault="00100C91" w:rsidP="00D651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B2DAC"/>
    <w:multiLevelType w:val="hybridMultilevel"/>
    <w:tmpl w:val="E564B65C"/>
    <w:lvl w:ilvl="0" w:tplc="724431F6">
      <w:start w:val="1"/>
      <w:numFmt w:val="decimal"/>
      <w:lvlText w:val="(%1)"/>
      <w:lvlJc w:val="left"/>
      <w:pPr>
        <w:ind w:left="786" w:hanging="360"/>
      </w:pPr>
      <w:rPr>
        <w:rFonts w:ascii="Times New Roman" w:eastAsia="Times New Roman" w:hAnsi="Times New Roman" w:cs="Times New Roman" w:hint="default"/>
        <w:b w:val="0"/>
        <w:bCs/>
        <w:i w:val="0"/>
        <w:iCs/>
        <w:spacing w:val="0"/>
        <w:w w:val="100"/>
        <w:sz w:val="24"/>
        <w:szCs w:val="24"/>
        <w:lang w:val="ro-RO" w:eastAsia="en-US" w:bidi="ar-SA"/>
      </w:rPr>
    </w:lvl>
    <w:lvl w:ilvl="1" w:tplc="04180019">
      <w:start w:val="1"/>
      <w:numFmt w:val="lowerLetter"/>
      <w:lvlText w:val="%2."/>
      <w:lvlJc w:val="left"/>
      <w:pPr>
        <w:ind w:left="1866" w:hanging="360"/>
      </w:pPr>
    </w:lvl>
    <w:lvl w:ilvl="2" w:tplc="0418001B">
      <w:start w:val="1"/>
      <w:numFmt w:val="lowerRoman"/>
      <w:lvlText w:val="%3."/>
      <w:lvlJc w:val="right"/>
      <w:pPr>
        <w:ind w:left="2586" w:hanging="180"/>
      </w:pPr>
    </w:lvl>
    <w:lvl w:ilvl="3" w:tplc="0418000F">
      <w:start w:val="1"/>
      <w:numFmt w:val="decimal"/>
      <w:lvlText w:val="%4."/>
      <w:lvlJc w:val="left"/>
      <w:pPr>
        <w:ind w:left="3306" w:hanging="360"/>
      </w:pPr>
    </w:lvl>
    <w:lvl w:ilvl="4" w:tplc="04180019">
      <w:start w:val="1"/>
      <w:numFmt w:val="lowerLetter"/>
      <w:lvlText w:val="%5."/>
      <w:lvlJc w:val="left"/>
      <w:pPr>
        <w:ind w:left="4026" w:hanging="360"/>
      </w:pPr>
    </w:lvl>
    <w:lvl w:ilvl="5" w:tplc="0418001B">
      <w:start w:val="1"/>
      <w:numFmt w:val="lowerRoman"/>
      <w:lvlText w:val="%6."/>
      <w:lvlJc w:val="right"/>
      <w:pPr>
        <w:ind w:left="4746" w:hanging="180"/>
      </w:pPr>
    </w:lvl>
    <w:lvl w:ilvl="6" w:tplc="0418000F">
      <w:start w:val="1"/>
      <w:numFmt w:val="decimal"/>
      <w:lvlText w:val="%7."/>
      <w:lvlJc w:val="left"/>
      <w:pPr>
        <w:ind w:left="5466" w:hanging="360"/>
      </w:pPr>
    </w:lvl>
    <w:lvl w:ilvl="7" w:tplc="04180019">
      <w:start w:val="1"/>
      <w:numFmt w:val="lowerLetter"/>
      <w:lvlText w:val="%8."/>
      <w:lvlJc w:val="left"/>
      <w:pPr>
        <w:ind w:left="6186" w:hanging="360"/>
      </w:pPr>
    </w:lvl>
    <w:lvl w:ilvl="8" w:tplc="0418001B">
      <w:start w:val="1"/>
      <w:numFmt w:val="lowerRoman"/>
      <w:lvlText w:val="%9."/>
      <w:lvlJc w:val="right"/>
      <w:pPr>
        <w:ind w:left="6906" w:hanging="180"/>
      </w:pPr>
    </w:lvl>
  </w:abstractNum>
  <w:abstractNum w:abstractNumId="1" w15:restartNumberingAfterBreak="0">
    <w:nsid w:val="151E5900"/>
    <w:multiLevelType w:val="multilevel"/>
    <w:tmpl w:val="5C72E63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6C70145"/>
    <w:multiLevelType w:val="hybridMultilevel"/>
    <w:tmpl w:val="A28C5864"/>
    <w:lvl w:ilvl="0" w:tplc="E8605484">
      <w:start w:val="1"/>
      <w:numFmt w:val="decimal"/>
      <w:lvlText w:val="(%1)"/>
      <w:lvlJc w:val="left"/>
      <w:pPr>
        <w:ind w:left="1146" w:hanging="360"/>
      </w:pPr>
    </w:lvl>
    <w:lvl w:ilvl="1" w:tplc="04180019">
      <w:start w:val="1"/>
      <w:numFmt w:val="lowerLetter"/>
      <w:lvlText w:val="%2."/>
      <w:lvlJc w:val="left"/>
      <w:pPr>
        <w:ind w:left="1866" w:hanging="360"/>
      </w:pPr>
    </w:lvl>
    <w:lvl w:ilvl="2" w:tplc="0418001B">
      <w:start w:val="1"/>
      <w:numFmt w:val="lowerRoman"/>
      <w:lvlText w:val="%3."/>
      <w:lvlJc w:val="right"/>
      <w:pPr>
        <w:ind w:left="2586" w:hanging="180"/>
      </w:pPr>
    </w:lvl>
    <w:lvl w:ilvl="3" w:tplc="0418000F">
      <w:start w:val="1"/>
      <w:numFmt w:val="decimal"/>
      <w:lvlText w:val="%4."/>
      <w:lvlJc w:val="left"/>
      <w:pPr>
        <w:ind w:left="3306" w:hanging="360"/>
      </w:pPr>
    </w:lvl>
    <w:lvl w:ilvl="4" w:tplc="04180019">
      <w:start w:val="1"/>
      <w:numFmt w:val="lowerLetter"/>
      <w:lvlText w:val="%5."/>
      <w:lvlJc w:val="left"/>
      <w:pPr>
        <w:ind w:left="4026" w:hanging="360"/>
      </w:pPr>
    </w:lvl>
    <w:lvl w:ilvl="5" w:tplc="0418001B">
      <w:start w:val="1"/>
      <w:numFmt w:val="lowerRoman"/>
      <w:lvlText w:val="%6."/>
      <w:lvlJc w:val="right"/>
      <w:pPr>
        <w:ind w:left="4746" w:hanging="180"/>
      </w:pPr>
    </w:lvl>
    <w:lvl w:ilvl="6" w:tplc="0418000F">
      <w:start w:val="1"/>
      <w:numFmt w:val="decimal"/>
      <w:lvlText w:val="%7."/>
      <w:lvlJc w:val="left"/>
      <w:pPr>
        <w:ind w:left="5466" w:hanging="360"/>
      </w:pPr>
    </w:lvl>
    <w:lvl w:ilvl="7" w:tplc="04180019">
      <w:start w:val="1"/>
      <w:numFmt w:val="lowerLetter"/>
      <w:lvlText w:val="%8."/>
      <w:lvlJc w:val="left"/>
      <w:pPr>
        <w:ind w:left="6186" w:hanging="360"/>
      </w:pPr>
    </w:lvl>
    <w:lvl w:ilvl="8" w:tplc="0418001B">
      <w:start w:val="1"/>
      <w:numFmt w:val="lowerRoman"/>
      <w:lvlText w:val="%9."/>
      <w:lvlJc w:val="right"/>
      <w:pPr>
        <w:ind w:left="6906" w:hanging="180"/>
      </w:pPr>
    </w:lvl>
  </w:abstractNum>
  <w:abstractNum w:abstractNumId="3" w15:restartNumberingAfterBreak="0">
    <w:nsid w:val="182D35DD"/>
    <w:multiLevelType w:val="hybridMultilevel"/>
    <w:tmpl w:val="42504618"/>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 w15:restartNumberingAfterBreak="0">
    <w:nsid w:val="1C080592"/>
    <w:multiLevelType w:val="multilevel"/>
    <w:tmpl w:val="DB560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E14348"/>
    <w:multiLevelType w:val="multilevel"/>
    <w:tmpl w:val="B5EA81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2F24A10"/>
    <w:multiLevelType w:val="multilevel"/>
    <w:tmpl w:val="2DF8C968"/>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CC64DF"/>
    <w:multiLevelType w:val="multilevel"/>
    <w:tmpl w:val="01A69F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59C0D49"/>
    <w:multiLevelType w:val="hybridMultilevel"/>
    <w:tmpl w:val="C3F4D8A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9" w15:restartNumberingAfterBreak="0">
    <w:nsid w:val="2AFD5493"/>
    <w:multiLevelType w:val="multilevel"/>
    <w:tmpl w:val="A894B5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3090B5D"/>
    <w:multiLevelType w:val="hybridMultilevel"/>
    <w:tmpl w:val="C3F4D8A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0803EEA"/>
    <w:multiLevelType w:val="hybridMultilevel"/>
    <w:tmpl w:val="CE16D73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 w15:restartNumberingAfterBreak="0">
    <w:nsid w:val="4A206F62"/>
    <w:multiLevelType w:val="hybridMultilevel"/>
    <w:tmpl w:val="566A8F90"/>
    <w:lvl w:ilvl="0" w:tplc="04180011">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 w15:restartNumberingAfterBreak="0">
    <w:nsid w:val="4C663485"/>
    <w:multiLevelType w:val="hybridMultilevel"/>
    <w:tmpl w:val="74F69E70"/>
    <w:lvl w:ilvl="0" w:tplc="E8605484">
      <w:start w:val="1"/>
      <w:numFmt w:val="decimal"/>
      <w:lvlText w:val="(%1)"/>
      <w:lvlJc w:val="left"/>
      <w:pPr>
        <w:ind w:left="1146" w:hanging="360"/>
      </w:pPr>
    </w:lvl>
    <w:lvl w:ilvl="1" w:tplc="04180019">
      <w:start w:val="1"/>
      <w:numFmt w:val="lowerLetter"/>
      <w:lvlText w:val="%2."/>
      <w:lvlJc w:val="left"/>
      <w:pPr>
        <w:ind w:left="1866" w:hanging="360"/>
      </w:pPr>
    </w:lvl>
    <w:lvl w:ilvl="2" w:tplc="0418001B">
      <w:start w:val="1"/>
      <w:numFmt w:val="lowerRoman"/>
      <w:lvlText w:val="%3."/>
      <w:lvlJc w:val="right"/>
      <w:pPr>
        <w:ind w:left="2586" w:hanging="180"/>
      </w:pPr>
    </w:lvl>
    <w:lvl w:ilvl="3" w:tplc="0418000F">
      <w:start w:val="1"/>
      <w:numFmt w:val="decimal"/>
      <w:lvlText w:val="%4."/>
      <w:lvlJc w:val="left"/>
      <w:pPr>
        <w:ind w:left="3306" w:hanging="360"/>
      </w:pPr>
    </w:lvl>
    <w:lvl w:ilvl="4" w:tplc="04180019">
      <w:start w:val="1"/>
      <w:numFmt w:val="lowerLetter"/>
      <w:lvlText w:val="%5."/>
      <w:lvlJc w:val="left"/>
      <w:pPr>
        <w:ind w:left="4026" w:hanging="360"/>
      </w:pPr>
    </w:lvl>
    <w:lvl w:ilvl="5" w:tplc="0418001B">
      <w:start w:val="1"/>
      <w:numFmt w:val="lowerRoman"/>
      <w:lvlText w:val="%6."/>
      <w:lvlJc w:val="right"/>
      <w:pPr>
        <w:ind w:left="4746" w:hanging="180"/>
      </w:pPr>
    </w:lvl>
    <w:lvl w:ilvl="6" w:tplc="0418000F">
      <w:start w:val="1"/>
      <w:numFmt w:val="decimal"/>
      <w:lvlText w:val="%7."/>
      <w:lvlJc w:val="left"/>
      <w:pPr>
        <w:ind w:left="5466" w:hanging="360"/>
      </w:pPr>
    </w:lvl>
    <w:lvl w:ilvl="7" w:tplc="04180019">
      <w:start w:val="1"/>
      <w:numFmt w:val="lowerLetter"/>
      <w:lvlText w:val="%8."/>
      <w:lvlJc w:val="left"/>
      <w:pPr>
        <w:ind w:left="6186" w:hanging="360"/>
      </w:pPr>
    </w:lvl>
    <w:lvl w:ilvl="8" w:tplc="0418001B">
      <w:start w:val="1"/>
      <w:numFmt w:val="lowerRoman"/>
      <w:lvlText w:val="%9."/>
      <w:lvlJc w:val="right"/>
      <w:pPr>
        <w:ind w:left="6906" w:hanging="180"/>
      </w:pPr>
    </w:lvl>
  </w:abstractNum>
  <w:abstractNum w:abstractNumId="14" w15:restartNumberingAfterBreak="0">
    <w:nsid w:val="4D7F51C2"/>
    <w:multiLevelType w:val="hybridMultilevel"/>
    <w:tmpl w:val="CF0EC6EC"/>
    <w:lvl w:ilvl="0" w:tplc="D16836C6">
      <w:start w:val="1"/>
      <w:numFmt w:val="decimal"/>
      <w:lvlText w:val="(%1)"/>
      <w:lvlJc w:val="left"/>
      <w:pPr>
        <w:ind w:left="786" w:hanging="360"/>
      </w:pPr>
      <w:rPr>
        <w:b w:val="0"/>
        <w:bCs/>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 w15:restartNumberingAfterBreak="0">
    <w:nsid w:val="52623A19"/>
    <w:multiLevelType w:val="hybridMultilevel"/>
    <w:tmpl w:val="DE54F464"/>
    <w:lvl w:ilvl="0" w:tplc="6AB655FA">
      <w:start w:val="1"/>
      <w:numFmt w:val="decimal"/>
      <w:lvlText w:val="%1)"/>
      <w:lvlJc w:val="left"/>
      <w:pPr>
        <w:ind w:left="720" w:hanging="360"/>
      </w:pPr>
      <w:rPr>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6" w15:restartNumberingAfterBreak="0">
    <w:nsid w:val="53911D48"/>
    <w:multiLevelType w:val="hybridMultilevel"/>
    <w:tmpl w:val="387C44A6"/>
    <w:lvl w:ilvl="0" w:tplc="11264AE0">
      <w:start w:val="1"/>
      <w:numFmt w:val="lowerLetter"/>
      <w:lvlText w:val="%1)"/>
      <w:lvlJc w:val="left"/>
      <w:pPr>
        <w:ind w:left="1146" w:hanging="360"/>
      </w:pPr>
      <w:rPr>
        <w:b w:val="0"/>
      </w:rPr>
    </w:lvl>
    <w:lvl w:ilvl="1" w:tplc="04180019">
      <w:start w:val="1"/>
      <w:numFmt w:val="lowerLetter"/>
      <w:lvlText w:val="%2."/>
      <w:lvlJc w:val="left"/>
      <w:pPr>
        <w:ind w:left="1866" w:hanging="360"/>
      </w:pPr>
    </w:lvl>
    <w:lvl w:ilvl="2" w:tplc="0418001B">
      <w:start w:val="1"/>
      <w:numFmt w:val="lowerRoman"/>
      <w:lvlText w:val="%3."/>
      <w:lvlJc w:val="right"/>
      <w:pPr>
        <w:ind w:left="2586" w:hanging="180"/>
      </w:pPr>
    </w:lvl>
    <w:lvl w:ilvl="3" w:tplc="0418000F">
      <w:start w:val="1"/>
      <w:numFmt w:val="decimal"/>
      <w:lvlText w:val="%4."/>
      <w:lvlJc w:val="left"/>
      <w:pPr>
        <w:ind w:left="3306" w:hanging="360"/>
      </w:pPr>
    </w:lvl>
    <w:lvl w:ilvl="4" w:tplc="04180019">
      <w:start w:val="1"/>
      <w:numFmt w:val="lowerLetter"/>
      <w:lvlText w:val="%5."/>
      <w:lvlJc w:val="left"/>
      <w:pPr>
        <w:ind w:left="4026" w:hanging="360"/>
      </w:pPr>
    </w:lvl>
    <w:lvl w:ilvl="5" w:tplc="0418001B">
      <w:start w:val="1"/>
      <w:numFmt w:val="lowerRoman"/>
      <w:lvlText w:val="%6."/>
      <w:lvlJc w:val="right"/>
      <w:pPr>
        <w:ind w:left="4746" w:hanging="180"/>
      </w:pPr>
    </w:lvl>
    <w:lvl w:ilvl="6" w:tplc="0418000F">
      <w:start w:val="1"/>
      <w:numFmt w:val="decimal"/>
      <w:lvlText w:val="%7."/>
      <w:lvlJc w:val="left"/>
      <w:pPr>
        <w:ind w:left="5466" w:hanging="360"/>
      </w:pPr>
    </w:lvl>
    <w:lvl w:ilvl="7" w:tplc="04180019">
      <w:start w:val="1"/>
      <w:numFmt w:val="lowerLetter"/>
      <w:lvlText w:val="%8."/>
      <w:lvlJc w:val="left"/>
      <w:pPr>
        <w:ind w:left="6186" w:hanging="360"/>
      </w:pPr>
    </w:lvl>
    <w:lvl w:ilvl="8" w:tplc="0418001B">
      <w:start w:val="1"/>
      <w:numFmt w:val="lowerRoman"/>
      <w:lvlText w:val="%9."/>
      <w:lvlJc w:val="right"/>
      <w:pPr>
        <w:ind w:left="6906" w:hanging="180"/>
      </w:pPr>
    </w:lvl>
  </w:abstractNum>
  <w:abstractNum w:abstractNumId="17" w15:restartNumberingAfterBreak="0">
    <w:nsid w:val="53E36E9F"/>
    <w:multiLevelType w:val="hybridMultilevel"/>
    <w:tmpl w:val="B0F05758"/>
    <w:lvl w:ilvl="0" w:tplc="04180011">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8" w15:restartNumberingAfterBreak="0">
    <w:nsid w:val="56802D1D"/>
    <w:multiLevelType w:val="multilevel"/>
    <w:tmpl w:val="FCBA244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7A7793E"/>
    <w:multiLevelType w:val="hybridMultilevel"/>
    <w:tmpl w:val="EC9A504A"/>
    <w:lvl w:ilvl="0" w:tplc="BF826210">
      <w:start w:val="1"/>
      <w:numFmt w:val="decimal"/>
      <w:lvlText w:val="(%1)"/>
      <w:lvlJc w:val="left"/>
      <w:pPr>
        <w:ind w:left="720" w:hanging="360"/>
      </w:pPr>
      <w:rPr>
        <w:b w:val="0"/>
        <w:bCs/>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0" w15:restartNumberingAfterBreak="0">
    <w:nsid w:val="5ACB7506"/>
    <w:multiLevelType w:val="hybridMultilevel"/>
    <w:tmpl w:val="96B0712A"/>
    <w:lvl w:ilvl="0" w:tplc="D60C046E">
      <w:start w:val="1"/>
      <w:numFmt w:val="decimal"/>
      <w:lvlText w:val="(%1)"/>
      <w:lvlJc w:val="left"/>
      <w:pPr>
        <w:ind w:left="720" w:hanging="360"/>
      </w:pPr>
      <w:rPr>
        <w:b w:val="0"/>
        <w:bCs/>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1" w15:restartNumberingAfterBreak="0">
    <w:nsid w:val="5BE9540E"/>
    <w:multiLevelType w:val="hybridMultilevel"/>
    <w:tmpl w:val="AE742B48"/>
    <w:lvl w:ilvl="0" w:tplc="DFA8D25E">
      <w:start w:val="1"/>
      <w:numFmt w:val="decimal"/>
      <w:lvlText w:val="%1)"/>
      <w:lvlJc w:val="left"/>
      <w:pPr>
        <w:ind w:left="644" w:hanging="360"/>
      </w:pPr>
      <w:rPr>
        <w:strike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2AB02A6"/>
    <w:multiLevelType w:val="hybridMultilevel"/>
    <w:tmpl w:val="B5E6BC0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3" w15:restartNumberingAfterBreak="0">
    <w:nsid w:val="6A7F54C8"/>
    <w:multiLevelType w:val="multilevel"/>
    <w:tmpl w:val="A120F3E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1436280"/>
    <w:multiLevelType w:val="multilevel"/>
    <w:tmpl w:val="1BCCE1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77221C90"/>
    <w:multiLevelType w:val="hybridMultilevel"/>
    <w:tmpl w:val="438E2C0C"/>
    <w:lvl w:ilvl="0" w:tplc="12080D52">
      <w:start w:val="1"/>
      <w:numFmt w:val="decimal"/>
      <w:lvlText w:val="(%1)"/>
      <w:lvlJc w:val="left"/>
      <w:pPr>
        <w:ind w:left="720" w:hanging="360"/>
      </w:pPr>
      <w:rPr>
        <w:rFonts w:hint="default"/>
        <w:b w:val="0"/>
        <w:bCs/>
      </w:rPr>
    </w:lvl>
    <w:lvl w:ilvl="1" w:tplc="42C4CE6C">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8B45606"/>
    <w:multiLevelType w:val="hybridMultilevel"/>
    <w:tmpl w:val="438E2C0C"/>
    <w:lvl w:ilvl="0" w:tplc="12080D52">
      <w:start w:val="1"/>
      <w:numFmt w:val="decimal"/>
      <w:lvlText w:val="(%1)"/>
      <w:lvlJc w:val="left"/>
      <w:pPr>
        <w:ind w:left="720" w:hanging="360"/>
      </w:pPr>
      <w:rPr>
        <w:rFonts w:hint="default"/>
        <w:b w:val="0"/>
        <w:bCs/>
      </w:rPr>
    </w:lvl>
    <w:lvl w:ilvl="1" w:tplc="42C4CE6C">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7EDD3BA8"/>
    <w:multiLevelType w:val="hybridMultilevel"/>
    <w:tmpl w:val="438E2C0C"/>
    <w:lvl w:ilvl="0" w:tplc="12080D52">
      <w:start w:val="1"/>
      <w:numFmt w:val="decimal"/>
      <w:lvlText w:val="(%1)"/>
      <w:lvlJc w:val="left"/>
      <w:pPr>
        <w:ind w:left="720" w:hanging="360"/>
      </w:pPr>
      <w:rPr>
        <w:rFonts w:hint="default"/>
        <w:b w:val="0"/>
        <w:bCs/>
      </w:rPr>
    </w:lvl>
    <w:lvl w:ilvl="1" w:tplc="42C4CE6C">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5642235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379109">
    <w:abstractNumId w:val="25"/>
  </w:num>
  <w:num w:numId="3" w16cid:durableId="1360466750">
    <w:abstractNumId w:val="27"/>
  </w:num>
  <w:num w:numId="4" w16cid:durableId="11307823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16660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652765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396386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059769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919253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433311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89208295">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98417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094096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844287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014820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466172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1068733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33265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85953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06494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204013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414562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574031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89933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05539754">
    <w:abstractNumId w:val="8"/>
  </w:num>
  <w:num w:numId="26" w16cid:durableId="471485838">
    <w:abstractNumId w:val="3"/>
  </w:num>
  <w:num w:numId="27" w16cid:durableId="1998872370">
    <w:abstractNumId w:val="10"/>
  </w:num>
  <w:num w:numId="28" w16cid:durableId="522210519">
    <w:abstractNumId w:val="4"/>
  </w:num>
  <w:num w:numId="29" w16cid:durableId="1557231189">
    <w:abstractNumId w:val="21"/>
  </w:num>
  <w:num w:numId="30" w16cid:durableId="1019357022">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317"/>
    <w:rsid w:val="00021AED"/>
    <w:rsid w:val="00031CA8"/>
    <w:rsid w:val="00033703"/>
    <w:rsid w:val="000338AD"/>
    <w:rsid w:val="00037ECA"/>
    <w:rsid w:val="0004668D"/>
    <w:rsid w:val="00051554"/>
    <w:rsid w:val="00053E4B"/>
    <w:rsid w:val="000564B8"/>
    <w:rsid w:val="00067D0E"/>
    <w:rsid w:val="000757DA"/>
    <w:rsid w:val="00080026"/>
    <w:rsid w:val="000822E6"/>
    <w:rsid w:val="00083955"/>
    <w:rsid w:val="00086552"/>
    <w:rsid w:val="0009260F"/>
    <w:rsid w:val="000A7548"/>
    <w:rsid w:val="000D2C04"/>
    <w:rsid w:val="000E2328"/>
    <w:rsid w:val="000E53D3"/>
    <w:rsid w:val="000E5CE7"/>
    <w:rsid w:val="000E7286"/>
    <w:rsid w:val="00100C91"/>
    <w:rsid w:val="00103A78"/>
    <w:rsid w:val="00105BAD"/>
    <w:rsid w:val="00110889"/>
    <w:rsid w:val="001146F2"/>
    <w:rsid w:val="00115BDF"/>
    <w:rsid w:val="00126AB7"/>
    <w:rsid w:val="00135618"/>
    <w:rsid w:val="0015502E"/>
    <w:rsid w:val="001556E8"/>
    <w:rsid w:val="00167BDC"/>
    <w:rsid w:val="00180DF8"/>
    <w:rsid w:val="0019645D"/>
    <w:rsid w:val="001967DD"/>
    <w:rsid w:val="001A1EC4"/>
    <w:rsid w:val="001A6E7B"/>
    <w:rsid w:val="001C1A73"/>
    <w:rsid w:val="001C3AE6"/>
    <w:rsid w:val="001C478D"/>
    <w:rsid w:val="001D5D0C"/>
    <w:rsid w:val="001D7084"/>
    <w:rsid w:val="001E1DE0"/>
    <w:rsid w:val="00204054"/>
    <w:rsid w:val="0020617E"/>
    <w:rsid w:val="00211AB6"/>
    <w:rsid w:val="00214F4F"/>
    <w:rsid w:val="00216FB4"/>
    <w:rsid w:val="002245FC"/>
    <w:rsid w:val="00231F8D"/>
    <w:rsid w:val="0024117B"/>
    <w:rsid w:val="00242A1E"/>
    <w:rsid w:val="002449E2"/>
    <w:rsid w:val="00256F7F"/>
    <w:rsid w:val="00260C78"/>
    <w:rsid w:val="0027462A"/>
    <w:rsid w:val="002850F9"/>
    <w:rsid w:val="002A551B"/>
    <w:rsid w:val="002A69BB"/>
    <w:rsid w:val="002B6AB3"/>
    <w:rsid w:val="002C4103"/>
    <w:rsid w:val="002E2DEC"/>
    <w:rsid w:val="002E57B2"/>
    <w:rsid w:val="002F21D2"/>
    <w:rsid w:val="002F53E6"/>
    <w:rsid w:val="003016C5"/>
    <w:rsid w:val="0031314E"/>
    <w:rsid w:val="003330DB"/>
    <w:rsid w:val="0033343E"/>
    <w:rsid w:val="00342452"/>
    <w:rsid w:val="00347017"/>
    <w:rsid w:val="00357D44"/>
    <w:rsid w:val="00360703"/>
    <w:rsid w:val="00365662"/>
    <w:rsid w:val="003715A2"/>
    <w:rsid w:val="003728F2"/>
    <w:rsid w:val="003740CE"/>
    <w:rsid w:val="00376E96"/>
    <w:rsid w:val="00381D75"/>
    <w:rsid w:val="003A0F20"/>
    <w:rsid w:val="003A7221"/>
    <w:rsid w:val="003B44FB"/>
    <w:rsid w:val="003C2A5F"/>
    <w:rsid w:val="003D4B24"/>
    <w:rsid w:val="003E580E"/>
    <w:rsid w:val="003F00D1"/>
    <w:rsid w:val="003F024F"/>
    <w:rsid w:val="004036E1"/>
    <w:rsid w:val="0041334E"/>
    <w:rsid w:val="00416654"/>
    <w:rsid w:val="00425D0E"/>
    <w:rsid w:val="00432365"/>
    <w:rsid w:val="004502A4"/>
    <w:rsid w:val="00457D80"/>
    <w:rsid w:val="00463F81"/>
    <w:rsid w:val="00471F5C"/>
    <w:rsid w:val="004779E9"/>
    <w:rsid w:val="004852C2"/>
    <w:rsid w:val="00490715"/>
    <w:rsid w:val="00493941"/>
    <w:rsid w:val="004C4067"/>
    <w:rsid w:val="004C59AF"/>
    <w:rsid w:val="004D1A32"/>
    <w:rsid w:val="004D370F"/>
    <w:rsid w:val="004D5930"/>
    <w:rsid w:val="004E5501"/>
    <w:rsid w:val="004E5BF3"/>
    <w:rsid w:val="004F0A02"/>
    <w:rsid w:val="004F0D03"/>
    <w:rsid w:val="004F70F8"/>
    <w:rsid w:val="00507281"/>
    <w:rsid w:val="00510F4B"/>
    <w:rsid w:val="00514579"/>
    <w:rsid w:val="005227F8"/>
    <w:rsid w:val="00525D83"/>
    <w:rsid w:val="0053011E"/>
    <w:rsid w:val="0054026A"/>
    <w:rsid w:val="005428D0"/>
    <w:rsid w:val="00547FCD"/>
    <w:rsid w:val="005520FF"/>
    <w:rsid w:val="0055327A"/>
    <w:rsid w:val="00563BCB"/>
    <w:rsid w:val="0057189D"/>
    <w:rsid w:val="00580C0F"/>
    <w:rsid w:val="0059210C"/>
    <w:rsid w:val="00594100"/>
    <w:rsid w:val="00595DFD"/>
    <w:rsid w:val="00596F74"/>
    <w:rsid w:val="005C1C42"/>
    <w:rsid w:val="005D0F53"/>
    <w:rsid w:val="005D1EA2"/>
    <w:rsid w:val="005D5E4D"/>
    <w:rsid w:val="005E0CCC"/>
    <w:rsid w:val="005E35FB"/>
    <w:rsid w:val="005E5A0E"/>
    <w:rsid w:val="005E6004"/>
    <w:rsid w:val="00605513"/>
    <w:rsid w:val="0061142C"/>
    <w:rsid w:val="006154D9"/>
    <w:rsid w:val="00621275"/>
    <w:rsid w:val="0063253C"/>
    <w:rsid w:val="00634BF5"/>
    <w:rsid w:val="0064613F"/>
    <w:rsid w:val="00646868"/>
    <w:rsid w:val="00656BF2"/>
    <w:rsid w:val="00666682"/>
    <w:rsid w:val="00666B61"/>
    <w:rsid w:val="006768E4"/>
    <w:rsid w:val="00680EE9"/>
    <w:rsid w:val="006817FC"/>
    <w:rsid w:val="006861A2"/>
    <w:rsid w:val="006A44F4"/>
    <w:rsid w:val="006B10BA"/>
    <w:rsid w:val="006B1BB3"/>
    <w:rsid w:val="006B3973"/>
    <w:rsid w:val="006D29B9"/>
    <w:rsid w:val="006F2742"/>
    <w:rsid w:val="00702EBB"/>
    <w:rsid w:val="00712808"/>
    <w:rsid w:val="00714EAD"/>
    <w:rsid w:val="007236B9"/>
    <w:rsid w:val="007247D5"/>
    <w:rsid w:val="00764133"/>
    <w:rsid w:val="007702E7"/>
    <w:rsid w:val="00771E8F"/>
    <w:rsid w:val="007745AA"/>
    <w:rsid w:val="007759D0"/>
    <w:rsid w:val="0078314C"/>
    <w:rsid w:val="00785C2F"/>
    <w:rsid w:val="00786566"/>
    <w:rsid w:val="007921BA"/>
    <w:rsid w:val="00794062"/>
    <w:rsid w:val="00794A37"/>
    <w:rsid w:val="007A07A2"/>
    <w:rsid w:val="007A32E7"/>
    <w:rsid w:val="007B0BD8"/>
    <w:rsid w:val="007F2993"/>
    <w:rsid w:val="008018A2"/>
    <w:rsid w:val="00811F5A"/>
    <w:rsid w:val="0082266E"/>
    <w:rsid w:val="00845133"/>
    <w:rsid w:val="00847E9B"/>
    <w:rsid w:val="00857CCF"/>
    <w:rsid w:val="00864B9D"/>
    <w:rsid w:val="00871786"/>
    <w:rsid w:val="00875C3B"/>
    <w:rsid w:val="008958F2"/>
    <w:rsid w:val="008A2821"/>
    <w:rsid w:val="008A60E8"/>
    <w:rsid w:val="008D33F3"/>
    <w:rsid w:val="008D3858"/>
    <w:rsid w:val="008E1605"/>
    <w:rsid w:val="008F424A"/>
    <w:rsid w:val="008F7D77"/>
    <w:rsid w:val="00910784"/>
    <w:rsid w:val="00930BC4"/>
    <w:rsid w:val="0093344E"/>
    <w:rsid w:val="0094248A"/>
    <w:rsid w:val="00954A34"/>
    <w:rsid w:val="00956530"/>
    <w:rsid w:val="00965F95"/>
    <w:rsid w:val="009706F2"/>
    <w:rsid w:val="00974BE7"/>
    <w:rsid w:val="00983E9C"/>
    <w:rsid w:val="00985A7C"/>
    <w:rsid w:val="00986CE2"/>
    <w:rsid w:val="0099136A"/>
    <w:rsid w:val="009A06F4"/>
    <w:rsid w:val="009A35DC"/>
    <w:rsid w:val="009A5ACD"/>
    <w:rsid w:val="009B1317"/>
    <w:rsid w:val="009B5342"/>
    <w:rsid w:val="009C113D"/>
    <w:rsid w:val="009C4E75"/>
    <w:rsid w:val="009F06BF"/>
    <w:rsid w:val="009F4560"/>
    <w:rsid w:val="009F7EBE"/>
    <w:rsid w:val="00A0692B"/>
    <w:rsid w:val="00A06EF2"/>
    <w:rsid w:val="00A07974"/>
    <w:rsid w:val="00A13EF7"/>
    <w:rsid w:val="00A140D7"/>
    <w:rsid w:val="00A16E01"/>
    <w:rsid w:val="00A176B1"/>
    <w:rsid w:val="00A266AD"/>
    <w:rsid w:val="00A44115"/>
    <w:rsid w:val="00A46A7A"/>
    <w:rsid w:val="00A5697C"/>
    <w:rsid w:val="00A64CE4"/>
    <w:rsid w:val="00A66A82"/>
    <w:rsid w:val="00A70595"/>
    <w:rsid w:val="00A762F5"/>
    <w:rsid w:val="00A77E6C"/>
    <w:rsid w:val="00A90123"/>
    <w:rsid w:val="00A940CE"/>
    <w:rsid w:val="00A9424B"/>
    <w:rsid w:val="00A96835"/>
    <w:rsid w:val="00AA6457"/>
    <w:rsid w:val="00AB75C2"/>
    <w:rsid w:val="00AC0C1C"/>
    <w:rsid w:val="00AC1154"/>
    <w:rsid w:val="00AC7C3F"/>
    <w:rsid w:val="00AD14D6"/>
    <w:rsid w:val="00AD18AE"/>
    <w:rsid w:val="00AD1B92"/>
    <w:rsid w:val="00AD32FE"/>
    <w:rsid w:val="00AD411F"/>
    <w:rsid w:val="00AE1D91"/>
    <w:rsid w:val="00AF01C9"/>
    <w:rsid w:val="00AF62C8"/>
    <w:rsid w:val="00AF6AF4"/>
    <w:rsid w:val="00B06748"/>
    <w:rsid w:val="00B10D75"/>
    <w:rsid w:val="00B15025"/>
    <w:rsid w:val="00B17D23"/>
    <w:rsid w:val="00B20595"/>
    <w:rsid w:val="00B41BF8"/>
    <w:rsid w:val="00B66888"/>
    <w:rsid w:val="00B67B8F"/>
    <w:rsid w:val="00B75730"/>
    <w:rsid w:val="00B77064"/>
    <w:rsid w:val="00B95873"/>
    <w:rsid w:val="00BD358E"/>
    <w:rsid w:val="00BD683F"/>
    <w:rsid w:val="00BE20D7"/>
    <w:rsid w:val="00BF140A"/>
    <w:rsid w:val="00BF5C75"/>
    <w:rsid w:val="00C000C8"/>
    <w:rsid w:val="00C01B59"/>
    <w:rsid w:val="00C06C78"/>
    <w:rsid w:val="00C157C4"/>
    <w:rsid w:val="00C25145"/>
    <w:rsid w:val="00C308D4"/>
    <w:rsid w:val="00C31423"/>
    <w:rsid w:val="00C330F5"/>
    <w:rsid w:val="00C3426E"/>
    <w:rsid w:val="00C351F3"/>
    <w:rsid w:val="00C4203A"/>
    <w:rsid w:val="00C45F72"/>
    <w:rsid w:val="00C46BCA"/>
    <w:rsid w:val="00C47AF6"/>
    <w:rsid w:val="00C57659"/>
    <w:rsid w:val="00C61E61"/>
    <w:rsid w:val="00C63E26"/>
    <w:rsid w:val="00C658A8"/>
    <w:rsid w:val="00C94DB2"/>
    <w:rsid w:val="00CA14B6"/>
    <w:rsid w:val="00CA78C6"/>
    <w:rsid w:val="00CB37DB"/>
    <w:rsid w:val="00CB5FB2"/>
    <w:rsid w:val="00CC57AB"/>
    <w:rsid w:val="00CC61F9"/>
    <w:rsid w:val="00CC681B"/>
    <w:rsid w:val="00CD1298"/>
    <w:rsid w:val="00CE1522"/>
    <w:rsid w:val="00CE56B4"/>
    <w:rsid w:val="00CF1289"/>
    <w:rsid w:val="00CF27A4"/>
    <w:rsid w:val="00CF45A1"/>
    <w:rsid w:val="00CF720F"/>
    <w:rsid w:val="00D10CD6"/>
    <w:rsid w:val="00D172B6"/>
    <w:rsid w:val="00D1740E"/>
    <w:rsid w:val="00D24F4F"/>
    <w:rsid w:val="00D32921"/>
    <w:rsid w:val="00D33747"/>
    <w:rsid w:val="00D43A78"/>
    <w:rsid w:val="00D6446C"/>
    <w:rsid w:val="00D65152"/>
    <w:rsid w:val="00D72041"/>
    <w:rsid w:val="00D74715"/>
    <w:rsid w:val="00D75B39"/>
    <w:rsid w:val="00D80EF4"/>
    <w:rsid w:val="00D96094"/>
    <w:rsid w:val="00DA1C18"/>
    <w:rsid w:val="00DA2D2E"/>
    <w:rsid w:val="00DA541D"/>
    <w:rsid w:val="00DA72CB"/>
    <w:rsid w:val="00DB4D90"/>
    <w:rsid w:val="00DC136C"/>
    <w:rsid w:val="00DC482A"/>
    <w:rsid w:val="00DD3DF9"/>
    <w:rsid w:val="00DE15E9"/>
    <w:rsid w:val="00DE1B5B"/>
    <w:rsid w:val="00DE7D38"/>
    <w:rsid w:val="00DF3127"/>
    <w:rsid w:val="00DF346E"/>
    <w:rsid w:val="00E0260F"/>
    <w:rsid w:val="00E206E3"/>
    <w:rsid w:val="00E26320"/>
    <w:rsid w:val="00E330AD"/>
    <w:rsid w:val="00E3729F"/>
    <w:rsid w:val="00E4125E"/>
    <w:rsid w:val="00E46DDE"/>
    <w:rsid w:val="00E51EB0"/>
    <w:rsid w:val="00E7269B"/>
    <w:rsid w:val="00E8336C"/>
    <w:rsid w:val="00E83D21"/>
    <w:rsid w:val="00E95BC6"/>
    <w:rsid w:val="00EA48AD"/>
    <w:rsid w:val="00EB381A"/>
    <w:rsid w:val="00EC104C"/>
    <w:rsid w:val="00EC153F"/>
    <w:rsid w:val="00EC4526"/>
    <w:rsid w:val="00EC5297"/>
    <w:rsid w:val="00EE386A"/>
    <w:rsid w:val="00EE5AA0"/>
    <w:rsid w:val="00EE7271"/>
    <w:rsid w:val="00EF5A74"/>
    <w:rsid w:val="00EF7028"/>
    <w:rsid w:val="00F1217C"/>
    <w:rsid w:val="00F22E84"/>
    <w:rsid w:val="00F271C1"/>
    <w:rsid w:val="00F2792F"/>
    <w:rsid w:val="00F33215"/>
    <w:rsid w:val="00F33692"/>
    <w:rsid w:val="00F41FC9"/>
    <w:rsid w:val="00F50500"/>
    <w:rsid w:val="00F561B3"/>
    <w:rsid w:val="00F6010C"/>
    <w:rsid w:val="00F6012E"/>
    <w:rsid w:val="00F64418"/>
    <w:rsid w:val="00F665B8"/>
    <w:rsid w:val="00F670B6"/>
    <w:rsid w:val="00F823E8"/>
    <w:rsid w:val="00F97C4B"/>
    <w:rsid w:val="00FB3B0F"/>
    <w:rsid w:val="00FB4E77"/>
    <w:rsid w:val="00FE1408"/>
    <w:rsid w:val="00FE56E8"/>
    <w:rsid w:val="00FE6FB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CEB45"/>
  <w15:chartTrackingRefBased/>
  <w15:docId w15:val="{8EC36C5D-FF6A-4E6D-AEBA-03593787F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317"/>
    <w:rPr>
      <w:rFonts w:ascii="Calibri" w:eastAsia="Calibri" w:hAnsi="Calibri" w:cs="Calibri"/>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1317"/>
    <w:pPr>
      <w:ind w:left="720"/>
      <w:contextualSpacing/>
    </w:pPr>
    <w:rPr>
      <w:lang w:val="ro"/>
    </w:rPr>
  </w:style>
  <w:style w:type="paragraph" w:customStyle="1" w:styleId="oj-normal">
    <w:name w:val="oj-normal"/>
    <w:basedOn w:val="Normal"/>
    <w:rsid w:val="000865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86552"/>
    <w:rPr>
      <w:color w:val="0000FF"/>
      <w:u w:val="single"/>
    </w:rPr>
  </w:style>
  <w:style w:type="character" w:customStyle="1" w:styleId="oj-super">
    <w:name w:val="oj-super"/>
    <w:basedOn w:val="DefaultParagraphFont"/>
    <w:rsid w:val="00086552"/>
  </w:style>
  <w:style w:type="paragraph" w:customStyle="1" w:styleId="oj-sti-art">
    <w:name w:val="oj-sti-art"/>
    <w:basedOn w:val="Normal"/>
    <w:rsid w:val="00FE14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j-italic">
    <w:name w:val="oj-italic"/>
    <w:basedOn w:val="DefaultParagraphFont"/>
    <w:rsid w:val="0041334E"/>
  </w:style>
  <w:style w:type="paragraph" w:styleId="Header">
    <w:name w:val="header"/>
    <w:basedOn w:val="Normal"/>
    <w:link w:val="HeaderChar"/>
    <w:uiPriority w:val="99"/>
    <w:unhideWhenUsed/>
    <w:rsid w:val="00D65152"/>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5152"/>
    <w:rPr>
      <w:rFonts w:ascii="Calibri" w:eastAsia="Calibri" w:hAnsi="Calibri" w:cs="Calibri"/>
      <w:lang w:eastAsia="ro-RO"/>
    </w:rPr>
  </w:style>
  <w:style w:type="paragraph" w:styleId="Footer">
    <w:name w:val="footer"/>
    <w:basedOn w:val="Normal"/>
    <w:link w:val="FooterChar"/>
    <w:uiPriority w:val="99"/>
    <w:unhideWhenUsed/>
    <w:rsid w:val="00D65152"/>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5152"/>
    <w:rPr>
      <w:rFonts w:ascii="Calibri" w:eastAsia="Calibri" w:hAnsi="Calibri" w:cs="Calibri"/>
      <w:lang w:eastAsia="ro-RO"/>
    </w:rPr>
  </w:style>
  <w:style w:type="character" w:styleId="CommentReference">
    <w:name w:val="annotation reference"/>
    <w:basedOn w:val="DefaultParagraphFont"/>
    <w:uiPriority w:val="99"/>
    <w:semiHidden/>
    <w:unhideWhenUsed/>
    <w:rsid w:val="003A7221"/>
    <w:rPr>
      <w:sz w:val="16"/>
      <w:szCs w:val="16"/>
    </w:rPr>
  </w:style>
  <w:style w:type="paragraph" w:styleId="CommentText">
    <w:name w:val="annotation text"/>
    <w:basedOn w:val="Normal"/>
    <w:link w:val="CommentTextChar"/>
    <w:uiPriority w:val="99"/>
    <w:unhideWhenUsed/>
    <w:rsid w:val="003A7221"/>
    <w:pPr>
      <w:spacing w:line="240" w:lineRule="auto"/>
    </w:pPr>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3A7221"/>
    <w:rPr>
      <w:kern w:val="2"/>
      <w:sz w:val="20"/>
      <w:szCs w:val="20"/>
      <w14:ligatures w14:val="standardContextual"/>
    </w:rPr>
  </w:style>
  <w:style w:type="paragraph" w:styleId="BalloonText">
    <w:name w:val="Balloon Text"/>
    <w:basedOn w:val="Normal"/>
    <w:link w:val="BalloonTextChar"/>
    <w:uiPriority w:val="99"/>
    <w:semiHidden/>
    <w:unhideWhenUsed/>
    <w:rsid w:val="00C658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8A8"/>
    <w:rPr>
      <w:rFonts w:ascii="Segoe UI" w:eastAsia="Calibri" w:hAnsi="Segoe UI" w:cs="Segoe UI"/>
      <w:sz w:val="18"/>
      <w:szCs w:val="18"/>
      <w:lang w:eastAsia="ro-RO"/>
    </w:rPr>
  </w:style>
  <w:style w:type="character" w:styleId="Strong">
    <w:name w:val="Strong"/>
    <w:basedOn w:val="DefaultParagraphFont"/>
    <w:uiPriority w:val="22"/>
    <w:qFormat/>
    <w:rsid w:val="00507281"/>
    <w:rPr>
      <w:b/>
      <w:bCs/>
    </w:rPr>
  </w:style>
  <w:style w:type="paragraph" w:customStyle="1" w:styleId="isselectedend">
    <w:name w:val="isselectedend"/>
    <w:basedOn w:val="Normal"/>
    <w:rsid w:val="006B10B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6B10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1D5D0C"/>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B7706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77064"/>
    <w:rPr>
      <w:rFonts w:ascii="Consolas" w:eastAsia="Calibri" w:hAnsi="Consolas" w:cs="Calibri"/>
      <w:sz w:val="20"/>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0080">
      <w:bodyDiv w:val="1"/>
      <w:marLeft w:val="0"/>
      <w:marRight w:val="0"/>
      <w:marTop w:val="0"/>
      <w:marBottom w:val="0"/>
      <w:divBdr>
        <w:top w:val="none" w:sz="0" w:space="0" w:color="auto"/>
        <w:left w:val="none" w:sz="0" w:space="0" w:color="auto"/>
        <w:bottom w:val="none" w:sz="0" w:space="0" w:color="auto"/>
        <w:right w:val="none" w:sz="0" w:space="0" w:color="auto"/>
      </w:divBdr>
      <w:divsChild>
        <w:div w:id="1294947391">
          <w:marLeft w:val="0"/>
          <w:marRight w:val="0"/>
          <w:marTop w:val="0"/>
          <w:marBottom w:val="0"/>
          <w:divBdr>
            <w:top w:val="none" w:sz="0" w:space="0" w:color="auto"/>
            <w:left w:val="none" w:sz="0" w:space="0" w:color="auto"/>
            <w:bottom w:val="none" w:sz="0" w:space="0" w:color="auto"/>
            <w:right w:val="none" w:sz="0" w:space="0" w:color="auto"/>
          </w:divBdr>
        </w:div>
        <w:div w:id="637804940">
          <w:marLeft w:val="0"/>
          <w:marRight w:val="0"/>
          <w:marTop w:val="0"/>
          <w:marBottom w:val="0"/>
          <w:divBdr>
            <w:top w:val="none" w:sz="0" w:space="0" w:color="auto"/>
            <w:left w:val="none" w:sz="0" w:space="0" w:color="auto"/>
            <w:bottom w:val="none" w:sz="0" w:space="0" w:color="auto"/>
            <w:right w:val="none" w:sz="0" w:space="0" w:color="auto"/>
          </w:divBdr>
        </w:div>
      </w:divsChild>
    </w:div>
    <w:div w:id="13774244">
      <w:bodyDiv w:val="1"/>
      <w:marLeft w:val="0"/>
      <w:marRight w:val="0"/>
      <w:marTop w:val="0"/>
      <w:marBottom w:val="0"/>
      <w:divBdr>
        <w:top w:val="none" w:sz="0" w:space="0" w:color="auto"/>
        <w:left w:val="none" w:sz="0" w:space="0" w:color="auto"/>
        <w:bottom w:val="none" w:sz="0" w:space="0" w:color="auto"/>
        <w:right w:val="none" w:sz="0" w:space="0" w:color="auto"/>
      </w:divBdr>
      <w:divsChild>
        <w:div w:id="1078862373">
          <w:marLeft w:val="0"/>
          <w:marRight w:val="0"/>
          <w:marTop w:val="0"/>
          <w:marBottom w:val="0"/>
          <w:divBdr>
            <w:top w:val="none" w:sz="0" w:space="0" w:color="auto"/>
            <w:left w:val="none" w:sz="0" w:space="0" w:color="auto"/>
            <w:bottom w:val="none" w:sz="0" w:space="0" w:color="auto"/>
            <w:right w:val="none" w:sz="0" w:space="0" w:color="auto"/>
          </w:divBdr>
        </w:div>
        <w:div w:id="2002152979">
          <w:marLeft w:val="0"/>
          <w:marRight w:val="0"/>
          <w:marTop w:val="0"/>
          <w:marBottom w:val="0"/>
          <w:divBdr>
            <w:top w:val="none" w:sz="0" w:space="0" w:color="auto"/>
            <w:left w:val="none" w:sz="0" w:space="0" w:color="auto"/>
            <w:bottom w:val="none" w:sz="0" w:space="0" w:color="auto"/>
            <w:right w:val="none" w:sz="0" w:space="0" w:color="auto"/>
          </w:divBdr>
        </w:div>
      </w:divsChild>
    </w:div>
    <w:div w:id="14696977">
      <w:bodyDiv w:val="1"/>
      <w:marLeft w:val="0"/>
      <w:marRight w:val="0"/>
      <w:marTop w:val="0"/>
      <w:marBottom w:val="0"/>
      <w:divBdr>
        <w:top w:val="none" w:sz="0" w:space="0" w:color="auto"/>
        <w:left w:val="none" w:sz="0" w:space="0" w:color="auto"/>
        <w:bottom w:val="none" w:sz="0" w:space="0" w:color="auto"/>
        <w:right w:val="none" w:sz="0" w:space="0" w:color="auto"/>
      </w:divBdr>
    </w:div>
    <w:div w:id="17777956">
      <w:bodyDiv w:val="1"/>
      <w:marLeft w:val="0"/>
      <w:marRight w:val="0"/>
      <w:marTop w:val="0"/>
      <w:marBottom w:val="0"/>
      <w:divBdr>
        <w:top w:val="none" w:sz="0" w:space="0" w:color="auto"/>
        <w:left w:val="none" w:sz="0" w:space="0" w:color="auto"/>
        <w:bottom w:val="none" w:sz="0" w:space="0" w:color="auto"/>
        <w:right w:val="none" w:sz="0" w:space="0" w:color="auto"/>
      </w:divBdr>
    </w:div>
    <w:div w:id="33702879">
      <w:bodyDiv w:val="1"/>
      <w:marLeft w:val="0"/>
      <w:marRight w:val="0"/>
      <w:marTop w:val="0"/>
      <w:marBottom w:val="0"/>
      <w:divBdr>
        <w:top w:val="none" w:sz="0" w:space="0" w:color="auto"/>
        <w:left w:val="none" w:sz="0" w:space="0" w:color="auto"/>
        <w:bottom w:val="none" w:sz="0" w:space="0" w:color="auto"/>
        <w:right w:val="none" w:sz="0" w:space="0" w:color="auto"/>
      </w:divBdr>
    </w:div>
    <w:div w:id="40255829">
      <w:bodyDiv w:val="1"/>
      <w:marLeft w:val="0"/>
      <w:marRight w:val="0"/>
      <w:marTop w:val="0"/>
      <w:marBottom w:val="0"/>
      <w:divBdr>
        <w:top w:val="none" w:sz="0" w:space="0" w:color="auto"/>
        <w:left w:val="none" w:sz="0" w:space="0" w:color="auto"/>
        <w:bottom w:val="none" w:sz="0" w:space="0" w:color="auto"/>
        <w:right w:val="none" w:sz="0" w:space="0" w:color="auto"/>
      </w:divBdr>
    </w:div>
    <w:div w:id="41950570">
      <w:bodyDiv w:val="1"/>
      <w:marLeft w:val="0"/>
      <w:marRight w:val="0"/>
      <w:marTop w:val="0"/>
      <w:marBottom w:val="0"/>
      <w:divBdr>
        <w:top w:val="none" w:sz="0" w:space="0" w:color="auto"/>
        <w:left w:val="none" w:sz="0" w:space="0" w:color="auto"/>
        <w:bottom w:val="none" w:sz="0" w:space="0" w:color="auto"/>
        <w:right w:val="none" w:sz="0" w:space="0" w:color="auto"/>
      </w:divBdr>
      <w:divsChild>
        <w:div w:id="352222258">
          <w:marLeft w:val="0"/>
          <w:marRight w:val="0"/>
          <w:marTop w:val="0"/>
          <w:marBottom w:val="0"/>
          <w:divBdr>
            <w:top w:val="none" w:sz="0" w:space="0" w:color="auto"/>
            <w:left w:val="none" w:sz="0" w:space="0" w:color="auto"/>
            <w:bottom w:val="none" w:sz="0" w:space="0" w:color="auto"/>
            <w:right w:val="none" w:sz="0" w:space="0" w:color="auto"/>
          </w:divBdr>
        </w:div>
        <w:div w:id="1684628580">
          <w:marLeft w:val="0"/>
          <w:marRight w:val="0"/>
          <w:marTop w:val="0"/>
          <w:marBottom w:val="0"/>
          <w:divBdr>
            <w:top w:val="none" w:sz="0" w:space="0" w:color="auto"/>
            <w:left w:val="none" w:sz="0" w:space="0" w:color="auto"/>
            <w:bottom w:val="none" w:sz="0" w:space="0" w:color="auto"/>
            <w:right w:val="none" w:sz="0" w:space="0" w:color="auto"/>
          </w:divBdr>
        </w:div>
      </w:divsChild>
    </w:div>
    <w:div w:id="65343781">
      <w:bodyDiv w:val="1"/>
      <w:marLeft w:val="0"/>
      <w:marRight w:val="0"/>
      <w:marTop w:val="0"/>
      <w:marBottom w:val="0"/>
      <w:divBdr>
        <w:top w:val="none" w:sz="0" w:space="0" w:color="auto"/>
        <w:left w:val="none" w:sz="0" w:space="0" w:color="auto"/>
        <w:bottom w:val="none" w:sz="0" w:space="0" w:color="auto"/>
        <w:right w:val="none" w:sz="0" w:space="0" w:color="auto"/>
      </w:divBdr>
    </w:div>
    <w:div w:id="70933499">
      <w:bodyDiv w:val="1"/>
      <w:marLeft w:val="0"/>
      <w:marRight w:val="0"/>
      <w:marTop w:val="0"/>
      <w:marBottom w:val="0"/>
      <w:divBdr>
        <w:top w:val="none" w:sz="0" w:space="0" w:color="auto"/>
        <w:left w:val="none" w:sz="0" w:space="0" w:color="auto"/>
        <w:bottom w:val="none" w:sz="0" w:space="0" w:color="auto"/>
        <w:right w:val="none" w:sz="0" w:space="0" w:color="auto"/>
      </w:divBdr>
    </w:div>
    <w:div w:id="71050123">
      <w:bodyDiv w:val="1"/>
      <w:marLeft w:val="0"/>
      <w:marRight w:val="0"/>
      <w:marTop w:val="0"/>
      <w:marBottom w:val="0"/>
      <w:divBdr>
        <w:top w:val="none" w:sz="0" w:space="0" w:color="auto"/>
        <w:left w:val="none" w:sz="0" w:space="0" w:color="auto"/>
        <w:bottom w:val="none" w:sz="0" w:space="0" w:color="auto"/>
        <w:right w:val="none" w:sz="0" w:space="0" w:color="auto"/>
      </w:divBdr>
    </w:div>
    <w:div w:id="79723213">
      <w:bodyDiv w:val="1"/>
      <w:marLeft w:val="0"/>
      <w:marRight w:val="0"/>
      <w:marTop w:val="0"/>
      <w:marBottom w:val="0"/>
      <w:divBdr>
        <w:top w:val="none" w:sz="0" w:space="0" w:color="auto"/>
        <w:left w:val="none" w:sz="0" w:space="0" w:color="auto"/>
        <w:bottom w:val="none" w:sz="0" w:space="0" w:color="auto"/>
        <w:right w:val="none" w:sz="0" w:space="0" w:color="auto"/>
      </w:divBdr>
    </w:div>
    <w:div w:id="81613292">
      <w:bodyDiv w:val="1"/>
      <w:marLeft w:val="0"/>
      <w:marRight w:val="0"/>
      <w:marTop w:val="0"/>
      <w:marBottom w:val="0"/>
      <w:divBdr>
        <w:top w:val="none" w:sz="0" w:space="0" w:color="auto"/>
        <w:left w:val="none" w:sz="0" w:space="0" w:color="auto"/>
        <w:bottom w:val="none" w:sz="0" w:space="0" w:color="auto"/>
        <w:right w:val="none" w:sz="0" w:space="0" w:color="auto"/>
      </w:divBdr>
    </w:div>
    <w:div w:id="83381961">
      <w:bodyDiv w:val="1"/>
      <w:marLeft w:val="0"/>
      <w:marRight w:val="0"/>
      <w:marTop w:val="0"/>
      <w:marBottom w:val="0"/>
      <w:divBdr>
        <w:top w:val="none" w:sz="0" w:space="0" w:color="auto"/>
        <w:left w:val="none" w:sz="0" w:space="0" w:color="auto"/>
        <w:bottom w:val="none" w:sz="0" w:space="0" w:color="auto"/>
        <w:right w:val="none" w:sz="0" w:space="0" w:color="auto"/>
      </w:divBdr>
    </w:div>
    <w:div w:id="85006277">
      <w:bodyDiv w:val="1"/>
      <w:marLeft w:val="0"/>
      <w:marRight w:val="0"/>
      <w:marTop w:val="0"/>
      <w:marBottom w:val="0"/>
      <w:divBdr>
        <w:top w:val="none" w:sz="0" w:space="0" w:color="auto"/>
        <w:left w:val="none" w:sz="0" w:space="0" w:color="auto"/>
        <w:bottom w:val="none" w:sz="0" w:space="0" w:color="auto"/>
        <w:right w:val="none" w:sz="0" w:space="0" w:color="auto"/>
      </w:divBdr>
    </w:div>
    <w:div w:id="88426150">
      <w:bodyDiv w:val="1"/>
      <w:marLeft w:val="0"/>
      <w:marRight w:val="0"/>
      <w:marTop w:val="0"/>
      <w:marBottom w:val="0"/>
      <w:divBdr>
        <w:top w:val="none" w:sz="0" w:space="0" w:color="auto"/>
        <w:left w:val="none" w:sz="0" w:space="0" w:color="auto"/>
        <w:bottom w:val="none" w:sz="0" w:space="0" w:color="auto"/>
        <w:right w:val="none" w:sz="0" w:space="0" w:color="auto"/>
      </w:divBdr>
      <w:divsChild>
        <w:div w:id="1064372314">
          <w:marLeft w:val="0"/>
          <w:marRight w:val="0"/>
          <w:marTop w:val="0"/>
          <w:marBottom w:val="0"/>
          <w:divBdr>
            <w:top w:val="none" w:sz="0" w:space="0" w:color="auto"/>
            <w:left w:val="none" w:sz="0" w:space="0" w:color="auto"/>
            <w:bottom w:val="none" w:sz="0" w:space="0" w:color="auto"/>
            <w:right w:val="none" w:sz="0" w:space="0" w:color="auto"/>
          </w:divBdr>
        </w:div>
        <w:div w:id="1863738125">
          <w:marLeft w:val="0"/>
          <w:marRight w:val="0"/>
          <w:marTop w:val="0"/>
          <w:marBottom w:val="0"/>
          <w:divBdr>
            <w:top w:val="none" w:sz="0" w:space="0" w:color="auto"/>
            <w:left w:val="none" w:sz="0" w:space="0" w:color="auto"/>
            <w:bottom w:val="none" w:sz="0" w:space="0" w:color="auto"/>
            <w:right w:val="none" w:sz="0" w:space="0" w:color="auto"/>
          </w:divBdr>
        </w:div>
      </w:divsChild>
    </w:div>
    <w:div w:id="94254877">
      <w:bodyDiv w:val="1"/>
      <w:marLeft w:val="0"/>
      <w:marRight w:val="0"/>
      <w:marTop w:val="0"/>
      <w:marBottom w:val="0"/>
      <w:divBdr>
        <w:top w:val="none" w:sz="0" w:space="0" w:color="auto"/>
        <w:left w:val="none" w:sz="0" w:space="0" w:color="auto"/>
        <w:bottom w:val="none" w:sz="0" w:space="0" w:color="auto"/>
        <w:right w:val="none" w:sz="0" w:space="0" w:color="auto"/>
      </w:divBdr>
    </w:div>
    <w:div w:id="98455445">
      <w:bodyDiv w:val="1"/>
      <w:marLeft w:val="0"/>
      <w:marRight w:val="0"/>
      <w:marTop w:val="0"/>
      <w:marBottom w:val="0"/>
      <w:divBdr>
        <w:top w:val="none" w:sz="0" w:space="0" w:color="auto"/>
        <w:left w:val="none" w:sz="0" w:space="0" w:color="auto"/>
        <w:bottom w:val="none" w:sz="0" w:space="0" w:color="auto"/>
        <w:right w:val="none" w:sz="0" w:space="0" w:color="auto"/>
      </w:divBdr>
    </w:div>
    <w:div w:id="111557355">
      <w:bodyDiv w:val="1"/>
      <w:marLeft w:val="0"/>
      <w:marRight w:val="0"/>
      <w:marTop w:val="0"/>
      <w:marBottom w:val="0"/>
      <w:divBdr>
        <w:top w:val="none" w:sz="0" w:space="0" w:color="auto"/>
        <w:left w:val="none" w:sz="0" w:space="0" w:color="auto"/>
        <w:bottom w:val="none" w:sz="0" w:space="0" w:color="auto"/>
        <w:right w:val="none" w:sz="0" w:space="0" w:color="auto"/>
      </w:divBdr>
    </w:div>
    <w:div w:id="113062590">
      <w:bodyDiv w:val="1"/>
      <w:marLeft w:val="0"/>
      <w:marRight w:val="0"/>
      <w:marTop w:val="0"/>
      <w:marBottom w:val="0"/>
      <w:divBdr>
        <w:top w:val="none" w:sz="0" w:space="0" w:color="auto"/>
        <w:left w:val="none" w:sz="0" w:space="0" w:color="auto"/>
        <w:bottom w:val="none" w:sz="0" w:space="0" w:color="auto"/>
        <w:right w:val="none" w:sz="0" w:space="0" w:color="auto"/>
      </w:divBdr>
    </w:div>
    <w:div w:id="115636834">
      <w:bodyDiv w:val="1"/>
      <w:marLeft w:val="0"/>
      <w:marRight w:val="0"/>
      <w:marTop w:val="0"/>
      <w:marBottom w:val="0"/>
      <w:divBdr>
        <w:top w:val="none" w:sz="0" w:space="0" w:color="auto"/>
        <w:left w:val="none" w:sz="0" w:space="0" w:color="auto"/>
        <w:bottom w:val="none" w:sz="0" w:space="0" w:color="auto"/>
        <w:right w:val="none" w:sz="0" w:space="0" w:color="auto"/>
      </w:divBdr>
    </w:div>
    <w:div w:id="127284533">
      <w:bodyDiv w:val="1"/>
      <w:marLeft w:val="0"/>
      <w:marRight w:val="0"/>
      <w:marTop w:val="0"/>
      <w:marBottom w:val="0"/>
      <w:divBdr>
        <w:top w:val="none" w:sz="0" w:space="0" w:color="auto"/>
        <w:left w:val="none" w:sz="0" w:space="0" w:color="auto"/>
        <w:bottom w:val="none" w:sz="0" w:space="0" w:color="auto"/>
        <w:right w:val="none" w:sz="0" w:space="0" w:color="auto"/>
      </w:divBdr>
    </w:div>
    <w:div w:id="160045137">
      <w:bodyDiv w:val="1"/>
      <w:marLeft w:val="0"/>
      <w:marRight w:val="0"/>
      <w:marTop w:val="0"/>
      <w:marBottom w:val="0"/>
      <w:divBdr>
        <w:top w:val="none" w:sz="0" w:space="0" w:color="auto"/>
        <w:left w:val="none" w:sz="0" w:space="0" w:color="auto"/>
        <w:bottom w:val="none" w:sz="0" w:space="0" w:color="auto"/>
        <w:right w:val="none" w:sz="0" w:space="0" w:color="auto"/>
      </w:divBdr>
    </w:div>
    <w:div w:id="166792344">
      <w:bodyDiv w:val="1"/>
      <w:marLeft w:val="0"/>
      <w:marRight w:val="0"/>
      <w:marTop w:val="0"/>
      <w:marBottom w:val="0"/>
      <w:divBdr>
        <w:top w:val="none" w:sz="0" w:space="0" w:color="auto"/>
        <w:left w:val="none" w:sz="0" w:space="0" w:color="auto"/>
        <w:bottom w:val="none" w:sz="0" w:space="0" w:color="auto"/>
        <w:right w:val="none" w:sz="0" w:space="0" w:color="auto"/>
      </w:divBdr>
    </w:div>
    <w:div w:id="178737982">
      <w:bodyDiv w:val="1"/>
      <w:marLeft w:val="0"/>
      <w:marRight w:val="0"/>
      <w:marTop w:val="0"/>
      <w:marBottom w:val="0"/>
      <w:divBdr>
        <w:top w:val="none" w:sz="0" w:space="0" w:color="auto"/>
        <w:left w:val="none" w:sz="0" w:space="0" w:color="auto"/>
        <w:bottom w:val="none" w:sz="0" w:space="0" w:color="auto"/>
        <w:right w:val="none" w:sz="0" w:space="0" w:color="auto"/>
      </w:divBdr>
    </w:div>
    <w:div w:id="181284915">
      <w:bodyDiv w:val="1"/>
      <w:marLeft w:val="0"/>
      <w:marRight w:val="0"/>
      <w:marTop w:val="0"/>
      <w:marBottom w:val="0"/>
      <w:divBdr>
        <w:top w:val="none" w:sz="0" w:space="0" w:color="auto"/>
        <w:left w:val="none" w:sz="0" w:space="0" w:color="auto"/>
        <w:bottom w:val="none" w:sz="0" w:space="0" w:color="auto"/>
        <w:right w:val="none" w:sz="0" w:space="0" w:color="auto"/>
      </w:divBdr>
    </w:div>
    <w:div w:id="182015557">
      <w:bodyDiv w:val="1"/>
      <w:marLeft w:val="0"/>
      <w:marRight w:val="0"/>
      <w:marTop w:val="0"/>
      <w:marBottom w:val="0"/>
      <w:divBdr>
        <w:top w:val="none" w:sz="0" w:space="0" w:color="auto"/>
        <w:left w:val="none" w:sz="0" w:space="0" w:color="auto"/>
        <w:bottom w:val="none" w:sz="0" w:space="0" w:color="auto"/>
        <w:right w:val="none" w:sz="0" w:space="0" w:color="auto"/>
      </w:divBdr>
    </w:div>
    <w:div w:id="182520150">
      <w:bodyDiv w:val="1"/>
      <w:marLeft w:val="0"/>
      <w:marRight w:val="0"/>
      <w:marTop w:val="0"/>
      <w:marBottom w:val="0"/>
      <w:divBdr>
        <w:top w:val="none" w:sz="0" w:space="0" w:color="auto"/>
        <w:left w:val="none" w:sz="0" w:space="0" w:color="auto"/>
        <w:bottom w:val="none" w:sz="0" w:space="0" w:color="auto"/>
        <w:right w:val="none" w:sz="0" w:space="0" w:color="auto"/>
      </w:divBdr>
      <w:divsChild>
        <w:div w:id="1601374903">
          <w:marLeft w:val="0"/>
          <w:marRight w:val="0"/>
          <w:marTop w:val="0"/>
          <w:marBottom w:val="0"/>
          <w:divBdr>
            <w:top w:val="none" w:sz="0" w:space="0" w:color="auto"/>
            <w:left w:val="none" w:sz="0" w:space="0" w:color="auto"/>
            <w:bottom w:val="none" w:sz="0" w:space="0" w:color="auto"/>
            <w:right w:val="none" w:sz="0" w:space="0" w:color="auto"/>
          </w:divBdr>
        </w:div>
      </w:divsChild>
    </w:div>
    <w:div w:id="194463484">
      <w:bodyDiv w:val="1"/>
      <w:marLeft w:val="0"/>
      <w:marRight w:val="0"/>
      <w:marTop w:val="0"/>
      <w:marBottom w:val="0"/>
      <w:divBdr>
        <w:top w:val="none" w:sz="0" w:space="0" w:color="auto"/>
        <w:left w:val="none" w:sz="0" w:space="0" w:color="auto"/>
        <w:bottom w:val="none" w:sz="0" w:space="0" w:color="auto"/>
        <w:right w:val="none" w:sz="0" w:space="0" w:color="auto"/>
      </w:divBdr>
    </w:div>
    <w:div w:id="194470453">
      <w:bodyDiv w:val="1"/>
      <w:marLeft w:val="0"/>
      <w:marRight w:val="0"/>
      <w:marTop w:val="0"/>
      <w:marBottom w:val="0"/>
      <w:divBdr>
        <w:top w:val="none" w:sz="0" w:space="0" w:color="auto"/>
        <w:left w:val="none" w:sz="0" w:space="0" w:color="auto"/>
        <w:bottom w:val="none" w:sz="0" w:space="0" w:color="auto"/>
        <w:right w:val="none" w:sz="0" w:space="0" w:color="auto"/>
      </w:divBdr>
    </w:div>
    <w:div w:id="196896459">
      <w:bodyDiv w:val="1"/>
      <w:marLeft w:val="0"/>
      <w:marRight w:val="0"/>
      <w:marTop w:val="0"/>
      <w:marBottom w:val="0"/>
      <w:divBdr>
        <w:top w:val="none" w:sz="0" w:space="0" w:color="auto"/>
        <w:left w:val="none" w:sz="0" w:space="0" w:color="auto"/>
        <w:bottom w:val="none" w:sz="0" w:space="0" w:color="auto"/>
        <w:right w:val="none" w:sz="0" w:space="0" w:color="auto"/>
      </w:divBdr>
    </w:div>
    <w:div w:id="200554153">
      <w:bodyDiv w:val="1"/>
      <w:marLeft w:val="0"/>
      <w:marRight w:val="0"/>
      <w:marTop w:val="0"/>
      <w:marBottom w:val="0"/>
      <w:divBdr>
        <w:top w:val="none" w:sz="0" w:space="0" w:color="auto"/>
        <w:left w:val="none" w:sz="0" w:space="0" w:color="auto"/>
        <w:bottom w:val="none" w:sz="0" w:space="0" w:color="auto"/>
        <w:right w:val="none" w:sz="0" w:space="0" w:color="auto"/>
      </w:divBdr>
    </w:div>
    <w:div w:id="202907007">
      <w:bodyDiv w:val="1"/>
      <w:marLeft w:val="0"/>
      <w:marRight w:val="0"/>
      <w:marTop w:val="0"/>
      <w:marBottom w:val="0"/>
      <w:divBdr>
        <w:top w:val="none" w:sz="0" w:space="0" w:color="auto"/>
        <w:left w:val="none" w:sz="0" w:space="0" w:color="auto"/>
        <w:bottom w:val="none" w:sz="0" w:space="0" w:color="auto"/>
        <w:right w:val="none" w:sz="0" w:space="0" w:color="auto"/>
      </w:divBdr>
    </w:div>
    <w:div w:id="224029121">
      <w:bodyDiv w:val="1"/>
      <w:marLeft w:val="0"/>
      <w:marRight w:val="0"/>
      <w:marTop w:val="0"/>
      <w:marBottom w:val="0"/>
      <w:divBdr>
        <w:top w:val="none" w:sz="0" w:space="0" w:color="auto"/>
        <w:left w:val="none" w:sz="0" w:space="0" w:color="auto"/>
        <w:bottom w:val="none" w:sz="0" w:space="0" w:color="auto"/>
        <w:right w:val="none" w:sz="0" w:space="0" w:color="auto"/>
      </w:divBdr>
    </w:div>
    <w:div w:id="238247844">
      <w:bodyDiv w:val="1"/>
      <w:marLeft w:val="0"/>
      <w:marRight w:val="0"/>
      <w:marTop w:val="0"/>
      <w:marBottom w:val="0"/>
      <w:divBdr>
        <w:top w:val="none" w:sz="0" w:space="0" w:color="auto"/>
        <w:left w:val="none" w:sz="0" w:space="0" w:color="auto"/>
        <w:bottom w:val="none" w:sz="0" w:space="0" w:color="auto"/>
        <w:right w:val="none" w:sz="0" w:space="0" w:color="auto"/>
      </w:divBdr>
    </w:div>
    <w:div w:id="241915640">
      <w:bodyDiv w:val="1"/>
      <w:marLeft w:val="0"/>
      <w:marRight w:val="0"/>
      <w:marTop w:val="0"/>
      <w:marBottom w:val="0"/>
      <w:divBdr>
        <w:top w:val="none" w:sz="0" w:space="0" w:color="auto"/>
        <w:left w:val="none" w:sz="0" w:space="0" w:color="auto"/>
        <w:bottom w:val="none" w:sz="0" w:space="0" w:color="auto"/>
        <w:right w:val="none" w:sz="0" w:space="0" w:color="auto"/>
      </w:divBdr>
    </w:div>
    <w:div w:id="254172724">
      <w:bodyDiv w:val="1"/>
      <w:marLeft w:val="0"/>
      <w:marRight w:val="0"/>
      <w:marTop w:val="0"/>
      <w:marBottom w:val="0"/>
      <w:divBdr>
        <w:top w:val="none" w:sz="0" w:space="0" w:color="auto"/>
        <w:left w:val="none" w:sz="0" w:space="0" w:color="auto"/>
        <w:bottom w:val="none" w:sz="0" w:space="0" w:color="auto"/>
        <w:right w:val="none" w:sz="0" w:space="0" w:color="auto"/>
      </w:divBdr>
    </w:div>
    <w:div w:id="283342719">
      <w:bodyDiv w:val="1"/>
      <w:marLeft w:val="0"/>
      <w:marRight w:val="0"/>
      <w:marTop w:val="0"/>
      <w:marBottom w:val="0"/>
      <w:divBdr>
        <w:top w:val="none" w:sz="0" w:space="0" w:color="auto"/>
        <w:left w:val="none" w:sz="0" w:space="0" w:color="auto"/>
        <w:bottom w:val="none" w:sz="0" w:space="0" w:color="auto"/>
        <w:right w:val="none" w:sz="0" w:space="0" w:color="auto"/>
      </w:divBdr>
    </w:div>
    <w:div w:id="286593070">
      <w:bodyDiv w:val="1"/>
      <w:marLeft w:val="0"/>
      <w:marRight w:val="0"/>
      <w:marTop w:val="0"/>
      <w:marBottom w:val="0"/>
      <w:divBdr>
        <w:top w:val="none" w:sz="0" w:space="0" w:color="auto"/>
        <w:left w:val="none" w:sz="0" w:space="0" w:color="auto"/>
        <w:bottom w:val="none" w:sz="0" w:space="0" w:color="auto"/>
        <w:right w:val="none" w:sz="0" w:space="0" w:color="auto"/>
      </w:divBdr>
    </w:div>
    <w:div w:id="295767868">
      <w:bodyDiv w:val="1"/>
      <w:marLeft w:val="0"/>
      <w:marRight w:val="0"/>
      <w:marTop w:val="0"/>
      <w:marBottom w:val="0"/>
      <w:divBdr>
        <w:top w:val="none" w:sz="0" w:space="0" w:color="auto"/>
        <w:left w:val="none" w:sz="0" w:space="0" w:color="auto"/>
        <w:bottom w:val="none" w:sz="0" w:space="0" w:color="auto"/>
        <w:right w:val="none" w:sz="0" w:space="0" w:color="auto"/>
      </w:divBdr>
    </w:div>
    <w:div w:id="308946419">
      <w:bodyDiv w:val="1"/>
      <w:marLeft w:val="0"/>
      <w:marRight w:val="0"/>
      <w:marTop w:val="0"/>
      <w:marBottom w:val="0"/>
      <w:divBdr>
        <w:top w:val="none" w:sz="0" w:space="0" w:color="auto"/>
        <w:left w:val="none" w:sz="0" w:space="0" w:color="auto"/>
        <w:bottom w:val="none" w:sz="0" w:space="0" w:color="auto"/>
        <w:right w:val="none" w:sz="0" w:space="0" w:color="auto"/>
      </w:divBdr>
    </w:div>
    <w:div w:id="314071173">
      <w:bodyDiv w:val="1"/>
      <w:marLeft w:val="0"/>
      <w:marRight w:val="0"/>
      <w:marTop w:val="0"/>
      <w:marBottom w:val="0"/>
      <w:divBdr>
        <w:top w:val="none" w:sz="0" w:space="0" w:color="auto"/>
        <w:left w:val="none" w:sz="0" w:space="0" w:color="auto"/>
        <w:bottom w:val="none" w:sz="0" w:space="0" w:color="auto"/>
        <w:right w:val="none" w:sz="0" w:space="0" w:color="auto"/>
      </w:divBdr>
    </w:div>
    <w:div w:id="316805330">
      <w:bodyDiv w:val="1"/>
      <w:marLeft w:val="0"/>
      <w:marRight w:val="0"/>
      <w:marTop w:val="0"/>
      <w:marBottom w:val="0"/>
      <w:divBdr>
        <w:top w:val="none" w:sz="0" w:space="0" w:color="auto"/>
        <w:left w:val="none" w:sz="0" w:space="0" w:color="auto"/>
        <w:bottom w:val="none" w:sz="0" w:space="0" w:color="auto"/>
        <w:right w:val="none" w:sz="0" w:space="0" w:color="auto"/>
      </w:divBdr>
    </w:div>
    <w:div w:id="317685372">
      <w:bodyDiv w:val="1"/>
      <w:marLeft w:val="0"/>
      <w:marRight w:val="0"/>
      <w:marTop w:val="0"/>
      <w:marBottom w:val="0"/>
      <w:divBdr>
        <w:top w:val="none" w:sz="0" w:space="0" w:color="auto"/>
        <w:left w:val="none" w:sz="0" w:space="0" w:color="auto"/>
        <w:bottom w:val="none" w:sz="0" w:space="0" w:color="auto"/>
        <w:right w:val="none" w:sz="0" w:space="0" w:color="auto"/>
      </w:divBdr>
    </w:div>
    <w:div w:id="340746312">
      <w:bodyDiv w:val="1"/>
      <w:marLeft w:val="0"/>
      <w:marRight w:val="0"/>
      <w:marTop w:val="0"/>
      <w:marBottom w:val="0"/>
      <w:divBdr>
        <w:top w:val="none" w:sz="0" w:space="0" w:color="auto"/>
        <w:left w:val="none" w:sz="0" w:space="0" w:color="auto"/>
        <w:bottom w:val="none" w:sz="0" w:space="0" w:color="auto"/>
        <w:right w:val="none" w:sz="0" w:space="0" w:color="auto"/>
      </w:divBdr>
    </w:div>
    <w:div w:id="342634180">
      <w:bodyDiv w:val="1"/>
      <w:marLeft w:val="0"/>
      <w:marRight w:val="0"/>
      <w:marTop w:val="0"/>
      <w:marBottom w:val="0"/>
      <w:divBdr>
        <w:top w:val="none" w:sz="0" w:space="0" w:color="auto"/>
        <w:left w:val="none" w:sz="0" w:space="0" w:color="auto"/>
        <w:bottom w:val="none" w:sz="0" w:space="0" w:color="auto"/>
        <w:right w:val="none" w:sz="0" w:space="0" w:color="auto"/>
      </w:divBdr>
    </w:div>
    <w:div w:id="348140105">
      <w:bodyDiv w:val="1"/>
      <w:marLeft w:val="0"/>
      <w:marRight w:val="0"/>
      <w:marTop w:val="0"/>
      <w:marBottom w:val="0"/>
      <w:divBdr>
        <w:top w:val="none" w:sz="0" w:space="0" w:color="auto"/>
        <w:left w:val="none" w:sz="0" w:space="0" w:color="auto"/>
        <w:bottom w:val="none" w:sz="0" w:space="0" w:color="auto"/>
        <w:right w:val="none" w:sz="0" w:space="0" w:color="auto"/>
      </w:divBdr>
    </w:div>
    <w:div w:id="354162181">
      <w:bodyDiv w:val="1"/>
      <w:marLeft w:val="0"/>
      <w:marRight w:val="0"/>
      <w:marTop w:val="0"/>
      <w:marBottom w:val="0"/>
      <w:divBdr>
        <w:top w:val="none" w:sz="0" w:space="0" w:color="auto"/>
        <w:left w:val="none" w:sz="0" w:space="0" w:color="auto"/>
        <w:bottom w:val="none" w:sz="0" w:space="0" w:color="auto"/>
        <w:right w:val="none" w:sz="0" w:space="0" w:color="auto"/>
      </w:divBdr>
    </w:div>
    <w:div w:id="361901932">
      <w:bodyDiv w:val="1"/>
      <w:marLeft w:val="0"/>
      <w:marRight w:val="0"/>
      <w:marTop w:val="0"/>
      <w:marBottom w:val="0"/>
      <w:divBdr>
        <w:top w:val="none" w:sz="0" w:space="0" w:color="auto"/>
        <w:left w:val="none" w:sz="0" w:space="0" w:color="auto"/>
        <w:bottom w:val="none" w:sz="0" w:space="0" w:color="auto"/>
        <w:right w:val="none" w:sz="0" w:space="0" w:color="auto"/>
      </w:divBdr>
    </w:div>
    <w:div w:id="367068045">
      <w:bodyDiv w:val="1"/>
      <w:marLeft w:val="0"/>
      <w:marRight w:val="0"/>
      <w:marTop w:val="0"/>
      <w:marBottom w:val="0"/>
      <w:divBdr>
        <w:top w:val="none" w:sz="0" w:space="0" w:color="auto"/>
        <w:left w:val="none" w:sz="0" w:space="0" w:color="auto"/>
        <w:bottom w:val="none" w:sz="0" w:space="0" w:color="auto"/>
        <w:right w:val="none" w:sz="0" w:space="0" w:color="auto"/>
      </w:divBdr>
    </w:div>
    <w:div w:id="368648137">
      <w:bodyDiv w:val="1"/>
      <w:marLeft w:val="0"/>
      <w:marRight w:val="0"/>
      <w:marTop w:val="0"/>
      <w:marBottom w:val="0"/>
      <w:divBdr>
        <w:top w:val="none" w:sz="0" w:space="0" w:color="auto"/>
        <w:left w:val="none" w:sz="0" w:space="0" w:color="auto"/>
        <w:bottom w:val="none" w:sz="0" w:space="0" w:color="auto"/>
        <w:right w:val="none" w:sz="0" w:space="0" w:color="auto"/>
      </w:divBdr>
    </w:div>
    <w:div w:id="370154769">
      <w:bodyDiv w:val="1"/>
      <w:marLeft w:val="0"/>
      <w:marRight w:val="0"/>
      <w:marTop w:val="0"/>
      <w:marBottom w:val="0"/>
      <w:divBdr>
        <w:top w:val="none" w:sz="0" w:space="0" w:color="auto"/>
        <w:left w:val="none" w:sz="0" w:space="0" w:color="auto"/>
        <w:bottom w:val="none" w:sz="0" w:space="0" w:color="auto"/>
        <w:right w:val="none" w:sz="0" w:space="0" w:color="auto"/>
      </w:divBdr>
      <w:divsChild>
        <w:div w:id="1513106754">
          <w:marLeft w:val="0"/>
          <w:marRight w:val="0"/>
          <w:marTop w:val="0"/>
          <w:marBottom w:val="0"/>
          <w:divBdr>
            <w:top w:val="none" w:sz="0" w:space="0" w:color="auto"/>
            <w:left w:val="none" w:sz="0" w:space="0" w:color="auto"/>
            <w:bottom w:val="none" w:sz="0" w:space="0" w:color="auto"/>
            <w:right w:val="none" w:sz="0" w:space="0" w:color="auto"/>
          </w:divBdr>
        </w:div>
        <w:div w:id="1119033459">
          <w:marLeft w:val="0"/>
          <w:marRight w:val="0"/>
          <w:marTop w:val="0"/>
          <w:marBottom w:val="0"/>
          <w:divBdr>
            <w:top w:val="none" w:sz="0" w:space="0" w:color="auto"/>
            <w:left w:val="none" w:sz="0" w:space="0" w:color="auto"/>
            <w:bottom w:val="none" w:sz="0" w:space="0" w:color="auto"/>
            <w:right w:val="none" w:sz="0" w:space="0" w:color="auto"/>
          </w:divBdr>
        </w:div>
      </w:divsChild>
    </w:div>
    <w:div w:id="379013798">
      <w:bodyDiv w:val="1"/>
      <w:marLeft w:val="0"/>
      <w:marRight w:val="0"/>
      <w:marTop w:val="0"/>
      <w:marBottom w:val="0"/>
      <w:divBdr>
        <w:top w:val="none" w:sz="0" w:space="0" w:color="auto"/>
        <w:left w:val="none" w:sz="0" w:space="0" w:color="auto"/>
        <w:bottom w:val="none" w:sz="0" w:space="0" w:color="auto"/>
        <w:right w:val="none" w:sz="0" w:space="0" w:color="auto"/>
      </w:divBdr>
    </w:div>
    <w:div w:id="379284878">
      <w:bodyDiv w:val="1"/>
      <w:marLeft w:val="0"/>
      <w:marRight w:val="0"/>
      <w:marTop w:val="0"/>
      <w:marBottom w:val="0"/>
      <w:divBdr>
        <w:top w:val="none" w:sz="0" w:space="0" w:color="auto"/>
        <w:left w:val="none" w:sz="0" w:space="0" w:color="auto"/>
        <w:bottom w:val="none" w:sz="0" w:space="0" w:color="auto"/>
        <w:right w:val="none" w:sz="0" w:space="0" w:color="auto"/>
      </w:divBdr>
    </w:div>
    <w:div w:id="387264557">
      <w:bodyDiv w:val="1"/>
      <w:marLeft w:val="0"/>
      <w:marRight w:val="0"/>
      <w:marTop w:val="0"/>
      <w:marBottom w:val="0"/>
      <w:divBdr>
        <w:top w:val="none" w:sz="0" w:space="0" w:color="auto"/>
        <w:left w:val="none" w:sz="0" w:space="0" w:color="auto"/>
        <w:bottom w:val="none" w:sz="0" w:space="0" w:color="auto"/>
        <w:right w:val="none" w:sz="0" w:space="0" w:color="auto"/>
      </w:divBdr>
    </w:div>
    <w:div w:id="414937670">
      <w:bodyDiv w:val="1"/>
      <w:marLeft w:val="0"/>
      <w:marRight w:val="0"/>
      <w:marTop w:val="0"/>
      <w:marBottom w:val="0"/>
      <w:divBdr>
        <w:top w:val="none" w:sz="0" w:space="0" w:color="auto"/>
        <w:left w:val="none" w:sz="0" w:space="0" w:color="auto"/>
        <w:bottom w:val="none" w:sz="0" w:space="0" w:color="auto"/>
        <w:right w:val="none" w:sz="0" w:space="0" w:color="auto"/>
      </w:divBdr>
    </w:div>
    <w:div w:id="431246342">
      <w:bodyDiv w:val="1"/>
      <w:marLeft w:val="0"/>
      <w:marRight w:val="0"/>
      <w:marTop w:val="0"/>
      <w:marBottom w:val="0"/>
      <w:divBdr>
        <w:top w:val="none" w:sz="0" w:space="0" w:color="auto"/>
        <w:left w:val="none" w:sz="0" w:space="0" w:color="auto"/>
        <w:bottom w:val="none" w:sz="0" w:space="0" w:color="auto"/>
        <w:right w:val="none" w:sz="0" w:space="0" w:color="auto"/>
      </w:divBdr>
    </w:div>
    <w:div w:id="444347194">
      <w:bodyDiv w:val="1"/>
      <w:marLeft w:val="0"/>
      <w:marRight w:val="0"/>
      <w:marTop w:val="0"/>
      <w:marBottom w:val="0"/>
      <w:divBdr>
        <w:top w:val="none" w:sz="0" w:space="0" w:color="auto"/>
        <w:left w:val="none" w:sz="0" w:space="0" w:color="auto"/>
        <w:bottom w:val="none" w:sz="0" w:space="0" w:color="auto"/>
        <w:right w:val="none" w:sz="0" w:space="0" w:color="auto"/>
      </w:divBdr>
      <w:divsChild>
        <w:div w:id="815224571">
          <w:marLeft w:val="0"/>
          <w:marRight w:val="0"/>
          <w:marTop w:val="0"/>
          <w:marBottom w:val="0"/>
          <w:divBdr>
            <w:top w:val="none" w:sz="0" w:space="0" w:color="auto"/>
            <w:left w:val="none" w:sz="0" w:space="0" w:color="auto"/>
            <w:bottom w:val="none" w:sz="0" w:space="0" w:color="auto"/>
            <w:right w:val="none" w:sz="0" w:space="0" w:color="auto"/>
          </w:divBdr>
        </w:div>
        <w:div w:id="1786076631">
          <w:marLeft w:val="0"/>
          <w:marRight w:val="0"/>
          <w:marTop w:val="0"/>
          <w:marBottom w:val="0"/>
          <w:divBdr>
            <w:top w:val="none" w:sz="0" w:space="0" w:color="auto"/>
            <w:left w:val="none" w:sz="0" w:space="0" w:color="auto"/>
            <w:bottom w:val="none" w:sz="0" w:space="0" w:color="auto"/>
            <w:right w:val="none" w:sz="0" w:space="0" w:color="auto"/>
          </w:divBdr>
        </w:div>
      </w:divsChild>
    </w:div>
    <w:div w:id="455568262">
      <w:bodyDiv w:val="1"/>
      <w:marLeft w:val="0"/>
      <w:marRight w:val="0"/>
      <w:marTop w:val="0"/>
      <w:marBottom w:val="0"/>
      <w:divBdr>
        <w:top w:val="none" w:sz="0" w:space="0" w:color="auto"/>
        <w:left w:val="none" w:sz="0" w:space="0" w:color="auto"/>
        <w:bottom w:val="none" w:sz="0" w:space="0" w:color="auto"/>
        <w:right w:val="none" w:sz="0" w:space="0" w:color="auto"/>
      </w:divBdr>
      <w:divsChild>
        <w:div w:id="234779683">
          <w:marLeft w:val="0"/>
          <w:marRight w:val="0"/>
          <w:marTop w:val="0"/>
          <w:marBottom w:val="0"/>
          <w:divBdr>
            <w:top w:val="none" w:sz="0" w:space="0" w:color="auto"/>
            <w:left w:val="none" w:sz="0" w:space="0" w:color="auto"/>
            <w:bottom w:val="none" w:sz="0" w:space="0" w:color="auto"/>
            <w:right w:val="none" w:sz="0" w:space="0" w:color="auto"/>
          </w:divBdr>
        </w:div>
        <w:div w:id="337272212">
          <w:marLeft w:val="0"/>
          <w:marRight w:val="0"/>
          <w:marTop w:val="0"/>
          <w:marBottom w:val="0"/>
          <w:divBdr>
            <w:top w:val="none" w:sz="0" w:space="0" w:color="auto"/>
            <w:left w:val="none" w:sz="0" w:space="0" w:color="auto"/>
            <w:bottom w:val="none" w:sz="0" w:space="0" w:color="auto"/>
            <w:right w:val="none" w:sz="0" w:space="0" w:color="auto"/>
          </w:divBdr>
        </w:div>
      </w:divsChild>
    </w:div>
    <w:div w:id="466944801">
      <w:bodyDiv w:val="1"/>
      <w:marLeft w:val="0"/>
      <w:marRight w:val="0"/>
      <w:marTop w:val="0"/>
      <w:marBottom w:val="0"/>
      <w:divBdr>
        <w:top w:val="none" w:sz="0" w:space="0" w:color="auto"/>
        <w:left w:val="none" w:sz="0" w:space="0" w:color="auto"/>
        <w:bottom w:val="none" w:sz="0" w:space="0" w:color="auto"/>
        <w:right w:val="none" w:sz="0" w:space="0" w:color="auto"/>
      </w:divBdr>
    </w:div>
    <w:div w:id="495925474">
      <w:bodyDiv w:val="1"/>
      <w:marLeft w:val="0"/>
      <w:marRight w:val="0"/>
      <w:marTop w:val="0"/>
      <w:marBottom w:val="0"/>
      <w:divBdr>
        <w:top w:val="none" w:sz="0" w:space="0" w:color="auto"/>
        <w:left w:val="none" w:sz="0" w:space="0" w:color="auto"/>
        <w:bottom w:val="none" w:sz="0" w:space="0" w:color="auto"/>
        <w:right w:val="none" w:sz="0" w:space="0" w:color="auto"/>
      </w:divBdr>
    </w:div>
    <w:div w:id="497621159">
      <w:bodyDiv w:val="1"/>
      <w:marLeft w:val="0"/>
      <w:marRight w:val="0"/>
      <w:marTop w:val="0"/>
      <w:marBottom w:val="0"/>
      <w:divBdr>
        <w:top w:val="none" w:sz="0" w:space="0" w:color="auto"/>
        <w:left w:val="none" w:sz="0" w:space="0" w:color="auto"/>
        <w:bottom w:val="none" w:sz="0" w:space="0" w:color="auto"/>
        <w:right w:val="none" w:sz="0" w:space="0" w:color="auto"/>
      </w:divBdr>
    </w:div>
    <w:div w:id="511575251">
      <w:bodyDiv w:val="1"/>
      <w:marLeft w:val="0"/>
      <w:marRight w:val="0"/>
      <w:marTop w:val="0"/>
      <w:marBottom w:val="0"/>
      <w:divBdr>
        <w:top w:val="none" w:sz="0" w:space="0" w:color="auto"/>
        <w:left w:val="none" w:sz="0" w:space="0" w:color="auto"/>
        <w:bottom w:val="none" w:sz="0" w:space="0" w:color="auto"/>
        <w:right w:val="none" w:sz="0" w:space="0" w:color="auto"/>
      </w:divBdr>
    </w:div>
    <w:div w:id="512038757">
      <w:bodyDiv w:val="1"/>
      <w:marLeft w:val="0"/>
      <w:marRight w:val="0"/>
      <w:marTop w:val="0"/>
      <w:marBottom w:val="0"/>
      <w:divBdr>
        <w:top w:val="none" w:sz="0" w:space="0" w:color="auto"/>
        <w:left w:val="none" w:sz="0" w:space="0" w:color="auto"/>
        <w:bottom w:val="none" w:sz="0" w:space="0" w:color="auto"/>
        <w:right w:val="none" w:sz="0" w:space="0" w:color="auto"/>
      </w:divBdr>
    </w:div>
    <w:div w:id="513344700">
      <w:bodyDiv w:val="1"/>
      <w:marLeft w:val="0"/>
      <w:marRight w:val="0"/>
      <w:marTop w:val="0"/>
      <w:marBottom w:val="0"/>
      <w:divBdr>
        <w:top w:val="none" w:sz="0" w:space="0" w:color="auto"/>
        <w:left w:val="none" w:sz="0" w:space="0" w:color="auto"/>
        <w:bottom w:val="none" w:sz="0" w:space="0" w:color="auto"/>
        <w:right w:val="none" w:sz="0" w:space="0" w:color="auto"/>
      </w:divBdr>
    </w:div>
    <w:div w:id="514148630">
      <w:bodyDiv w:val="1"/>
      <w:marLeft w:val="0"/>
      <w:marRight w:val="0"/>
      <w:marTop w:val="0"/>
      <w:marBottom w:val="0"/>
      <w:divBdr>
        <w:top w:val="none" w:sz="0" w:space="0" w:color="auto"/>
        <w:left w:val="none" w:sz="0" w:space="0" w:color="auto"/>
        <w:bottom w:val="none" w:sz="0" w:space="0" w:color="auto"/>
        <w:right w:val="none" w:sz="0" w:space="0" w:color="auto"/>
      </w:divBdr>
    </w:div>
    <w:div w:id="553589134">
      <w:bodyDiv w:val="1"/>
      <w:marLeft w:val="0"/>
      <w:marRight w:val="0"/>
      <w:marTop w:val="0"/>
      <w:marBottom w:val="0"/>
      <w:divBdr>
        <w:top w:val="none" w:sz="0" w:space="0" w:color="auto"/>
        <w:left w:val="none" w:sz="0" w:space="0" w:color="auto"/>
        <w:bottom w:val="none" w:sz="0" w:space="0" w:color="auto"/>
        <w:right w:val="none" w:sz="0" w:space="0" w:color="auto"/>
      </w:divBdr>
    </w:div>
    <w:div w:id="560602073">
      <w:bodyDiv w:val="1"/>
      <w:marLeft w:val="0"/>
      <w:marRight w:val="0"/>
      <w:marTop w:val="0"/>
      <w:marBottom w:val="0"/>
      <w:divBdr>
        <w:top w:val="none" w:sz="0" w:space="0" w:color="auto"/>
        <w:left w:val="none" w:sz="0" w:space="0" w:color="auto"/>
        <w:bottom w:val="none" w:sz="0" w:space="0" w:color="auto"/>
        <w:right w:val="none" w:sz="0" w:space="0" w:color="auto"/>
      </w:divBdr>
    </w:div>
    <w:div w:id="564948661">
      <w:bodyDiv w:val="1"/>
      <w:marLeft w:val="0"/>
      <w:marRight w:val="0"/>
      <w:marTop w:val="0"/>
      <w:marBottom w:val="0"/>
      <w:divBdr>
        <w:top w:val="none" w:sz="0" w:space="0" w:color="auto"/>
        <w:left w:val="none" w:sz="0" w:space="0" w:color="auto"/>
        <w:bottom w:val="none" w:sz="0" w:space="0" w:color="auto"/>
        <w:right w:val="none" w:sz="0" w:space="0" w:color="auto"/>
      </w:divBdr>
      <w:divsChild>
        <w:div w:id="1731883318">
          <w:marLeft w:val="0"/>
          <w:marRight w:val="0"/>
          <w:marTop w:val="0"/>
          <w:marBottom w:val="0"/>
          <w:divBdr>
            <w:top w:val="none" w:sz="0" w:space="0" w:color="auto"/>
            <w:left w:val="none" w:sz="0" w:space="0" w:color="auto"/>
            <w:bottom w:val="none" w:sz="0" w:space="0" w:color="auto"/>
            <w:right w:val="none" w:sz="0" w:space="0" w:color="auto"/>
          </w:divBdr>
        </w:div>
        <w:div w:id="1141000078">
          <w:marLeft w:val="0"/>
          <w:marRight w:val="0"/>
          <w:marTop w:val="0"/>
          <w:marBottom w:val="0"/>
          <w:divBdr>
            <w:top w:val="none" w:sz="0" w:space="0" w:color="auto"/>
            <w:left w:val="none" w:sz="0" w:space="0" w:color="auto"/>
            <w:bottom w:val="none" w:sz="0" w:space="0" w:color="auto"/>
            <w:right w:val="none" w:sz="0" w:space="0" w:color="auto"/>
          </w:divBdr>
        </w:div>
      </w:divsChild>
    </w:div>
    <w:div w:id="571695136">
      <w:bodyDiv w:val="1"/>
      <w:marLeft w:val="0"/>
      <w:marRight w:val="0"/>
      <w:marTop w:val="0"/>
      <w:marBottom w:val="0"/>
      <w:divBdr>
        <w:top w:val="none" w:sz="0" w:space="0" w:color="auto"/>
        <w:left w:val="none" w:sz="0" w:space="0" w:color="auto"/>
        <w:bottom w:val="none" w:sz="0" w:space="0" w:color="auto"/>
        <w:right w:val="none" w:sz="0" w:space="0" w:color="auto"/>
      </w:divBdr>
    </w:div>
    <w:div w:id="571740557">
      <w:bodyDiv w:val="1"/>
      <w:marLeft w:val="0"/>
      <w:marRight w:val="0"/>
      <w:marTop w:val="0"/>
      <w:marBottom w:val="0"/>
      <w:divBdr>
        <w:top w:val="none" w:sz="0" w:space="0" w:color="auto"/>
        <w:left w:val="none" w:sz="0" w:space="0" w:color="auto"/>
        <w:bottom w:val="none" w:sz="0" w:space="0" w:color="auto"/>
        <w:right w:val="none" w:sz="0" w:space="0" w:color="auto"/>
      </w:divBdr>
      <w:divsChild>
        <w:div w:id="1371032172">
          <w:marLeft w:val="0"/>
          <w:marRight w:val="0"/>
          <w:marTop w:val="0"/>
          <w:marBottom w:val="0"/>
          <w:divBdr>
            <w:top w:val="none" w:sz="0" w:space="0" w:color="auto"/>
            <w:left w:val="none" w:sz="0" w:space="0" w:color="auto"/>
            <w:bottom w:val="none" w:sz="0" w:space="0" w:color="auto"/>
            <w:right w:val="none" w:sz="0" w:space="0" w:color="auto"/>
          </w:divBdr>
        </w:div>
      </w:divsChild>
    </w:div>
    <w:div w:id="573128987">
      <w:bodyDiv w:val="1"/>
      <w:marLeft w:val="0"/>
      <w:marRight w:val="0"/>
      <w:marTop w:val="0"/>
      <w:marBottom w:val="0"/>
      <w:divBdr>
        <w:top w:val="none" w:sz="0" w:space="0" w:color="auto"/>
        <w:left w:val="none" w:sz="0" w:space="0" w:color="auto"/>
        <w:bottom w:val="none" w:sz="0" w:space="0" w:color="auto"/>
        <w:right w:val="none" w:sz="0" w:space="0" w:color="auto"/>
      </w:divBdr>
    </w:div>
    <w:div w:id="596909414">
      <w:bodyDiv w:val="1"/>
      <w:marLeft w:val="0"/>
      <w:marRight w:val="0"/>
      <w:marTop w:val="0"/>
      <w:marBottom w:val="0"/>
      <w:divBdr>
        <w:top w:val="none" w:sz="0" w:space="0" w:color="auto"/>
        <w:left w:val="none" w:sz="0" w:space="0" w:color="auto"/>
        <w:bottom w:val="none" w:sz="0" w:space="0" w:color="auto"/>
        <w:right w:val="none" w:sz="0" w:space="0" w:color="auto"/>
      </w:divBdr>
      <w:divsChild>
        <w:div w:id="533227174">
          <w:marLeft w:val="0"/>
          <w:marRight w:val="0"/>
          <w:marTop w:val="0"/>
          <w:marBottom w:val="0"/>
          <w:divBdr>
            <w:top w:val="none" w:sz="0" w:space="0" w:color="auto"/>
            <w:left w:val="none" w:sz="0" w:space="0" w:color="auto"/>
            <w:bottom w:val="none" w:sz="0" w:space="0" w:color="auto"/>
            <w:right w:val="none" w:sz="0" w:space="0" w:color="auto"/>
          </w:divBdr>
        </w:div>
      </w:divsChild>
    </w:div>
    <w:div w:id="599608662">
      <w:bodyDiv w:val="1"/>
      <w:marLeft w:val="0"/>
      <w:marRight w:val="0"/>
      <w:marTop w:val="0"/>
      <w:marBottom w:val="0"/>
      <w:divBdr>
        <w:top w:val="none" w:sz="0" w:space="0" w:color="auto"/>
        <w:left w:val="none" w:sz="0" w:space="0" w:color="auto"/>
        <w:bottom w:val="none" w:sz="0" w:space="0" w:color="auto"/>
        <w:right w:val="none" w:sz="0" w:space="0" w:color="auto"/>
      </w:divBdr>
    </w:div>
    <w:div w:id="604386417">
      <w:bodyDiv w:val="1"/>
      <w:marLeft w:val="0"/>
      <w:marRight w:val="0"/>
      <w:marTop w:val="0"/>
      <w:marBottom w:val="0"/>
      <w:divBdr>
        <w:top w:val="none" w:sz="0" w:space="0" w:color="auto"/>
        <w:left w:val="none" w:sz="0" w:space="0" w:color="auto"/>
        <w:bottom w:val="none" w:sz="0" w:space="0" w:color="auto"/>
        <w:right w:val="none" w:sz="0" w:space="0" w:color="auto"/>
      </w:divBdr>
      <w:divsChild>
        <w:div w:id="380592376">
          <w:marLeft w:val="0"/>
          <w:marRight w:val="0"/>
          <w:marTop w:val="0"/>
          <w:marBottom w:val="0"/>
          <w:divBdr>
            <w:top w:val="none" w:sz="0" w:space="0" w:color="auto"/>
            <w:left w:val="none" w:sz="0" w:space="0" w:color="auto"/>
            <w:bottom w:val="none" w:sz="0" w:space="0" w:color="auto"/>
            <w:right w:val="none" w:sz="0" w:space="0" w:color="auto"/>
          </w:divBdr>
        </w:div>
        <w:div w:id="639959414">
          <w:marLeft w:val="0"/>
          <w:marRight w:val="0"/>
          <w:marTop w:val="0"/>
          <w:marBottom w:val="0"/>
          <w:divBdr>
            <w:top w:val="none" w:sz="0" w:space="0" w:color="auto"/>
            <w:left w:val="none" w:sz="0" w:space="0" w:color="auto"/>
            <w:bottom w:val="none" w:sz="0" w:space="0" w:color="auto"/>
            <w:right w:val="none" w:sz="0" w:space="0" w:color="auto"/>
          </w:divBdr>
        </w:div>
      </w:divsChild>
    </w:div>
    <w:div w:id="617378086">
      <w:bodyDiv w:val="1"/>
      <w:marLeft w:val="0"/>
      <w:marRight w:val="0"/>
      <w:marTop w:val="0"/>
      <w:marBottom w:val="0"/>
      <w:divBdr>
        <w:top w:val="none" w:sz="0" w:space="0" w:color="auto"/>
        <w:left w:val="none" w:sz="0" w:space="0" w:color="auto"/>
        <w:bottom w:val="none" w:sz="0" w:space="0" w:color="auto"/>
        <w:right w:val="none" w:sz="0" w:space="0" w:color="auto"/>
      </w:divBdr>
    </w:div>
    <w:div w:id="622157492">
      <w:bodyDiv w:val="1"/>
      <w:marLeft w:val="0"/>
      <w:marRight w:val="0"/>
      <w:marTop w:val="0"/>
      <w:marBottom w:val="0"/>
      <w:divBdr>
        <w:top w:val="none" w:sz="0" w:space="0" w:color="auto"/>
        <w:left w:val="none" w:sz="0" w:space="0" w:color="auto"/>
        <w:bottom w:val="none" w:sz="0" w:space="0" w:color="auto"/>
        <w:right w:val="none" w:sz="0" w:space="0" w:color="auto"/>
      </w:divBdr>
    </w:div>
    <w:div w:id="626744385">
      <w:bodyDiv w:val="1"/>
      <w:marLeft w:val="0"/>
      <w:marRight w:val="0"/>
      <w:marTop w:val="0"/>
      <w:marBottom w:val="0"/>
      <w:divBdr>
        <w:top w:val="none" w:sz="0" w:space="0" w:color="auto"/>
        <w:left w:val="none" w:sz="0" w:space="0" w:color="auto"/>
        <w:bottom w:val="none" w:sz="0" w:space="0" w:color="auto"/>
        <w:right w:val="none" w:sz="0" w:space="0" w:color="auto"/>
      </w:divBdr>
    </w:div>
    <w:div w:id="627859302">
      <w:bodyDiv w:val="1"/>
      <w:marLeft w:val="0"/>
      <w:marRight w:val="0"/>
      <w:marTop w:val="0"/>
      <w:marBottom w:val="0"/>
      <w:divBdr>
        <w:top w:val="none" w:sz="0" w:space="0" w:color="auto"/>
        <w:left w:val="none" w:sz="0" w:space="0" w:color="auto"/>
        <w:bottom w:val="none" w:sz="0" w:space="0" w:color="auto"/>
        <w:right w:val="none" w:sz="0" w:space="0" w:color="auto"/>
      </w:divBdr>
    </w:div>
    <w:div w:id="650259543">
      <w:bodyDiv w:val="1"/>
      <w:marLeft w:val="0"/>
      <w:marRight w:val="0"/>
      <w:marTop w:val="0"/>
      <w:marBottom w:val="0"/>
      <w:divBdr>
        <w:top w:val="none" w:sz="0" w:space="0" w:color="auto"/>
        <w:left w:val="none" w:sz="0" w:space="0" w:color="auto"/>
        <w:bottom w:val="none" w:sz="0" w:space="0" w:color="auto"/>
        <w:right w:val="none" w:sz="0" w:space="0" w:color="auto"/>
      </w:divBdr>
    </w:div>
    <w:div w:id="652829975">
      <w:bodyDiv w:val="1"/>
      <w:marLeft w:val="0"/>
      <w:marRight w:val="0"/>
      <w:marTop w:val="0"/>
      <w:marBottom w:val="0"/>
      <w:divBdr>
        <w:top w:val="none" w:sz="0" w:space="0" w:color="auto"/>
        <w:left w:val="none" w:sz="0" w:space="0" w:color="auto"/>
        <w:bottom w:val="none" w:sz="0" w:space="0" w:color="auto"/>
        <w:right w:val="none" w:sz="0" w:space="0" w:color="auto"/>
      </w:divBdr>
    </w:div>
    <w:div w:id="652830887">
      <w:bodyDiv w:val="1"/>
      <w:marLeft w:val="0"/>
      <w:marRight w:val="0"/>
      <w:marTop w:val="0"/>
      <w:marBottom w:val="0"/>
      <w:divBdr>
        <w:top w:val="none" w:sz="0" w:space="0" w:color="auto"/>
        <w:left w:val="none" w:sz="0" w:space="0" w:color="auto"/>
        <w:bottom w:val="none" w:sz="0" w:space="0" w:color="auto"/>
        <w:right w:val="none" w:sz="0" w:space="0" w:color="auto"/>
      </w:divBdr>
    </w:div>
    <w:div w:id="657418814">
      <w:bodyDiv w:val="1"/>
      <w:marLeft w:val="0"/>
      <w:marRight w:val="0"/>
      <w:marTop w:val="0"/>
      <w:marBottom w:val="0"/>
      <w:divBdr>
        <w:top w:val="none" w:sz="0" w:space="0" w:color="auto"/>
        <w:left w:val="none" w:sz="0" w:space="0" w:color="auto"/>
        <w:bottom w:val="none" w:sz="0" w:space="0" w:color="auto"/>
        <w:right w:val="none" w:sz="0" w:space="0" w:color="auto"/>
      </w:divBdr>
    </w:div>
    <w:div w:id="663555386">
      <w:bodyDiv w:val="1"/>
      <w:marLeft w:val="0"/>
      <w:marRight w:val="0"/>
      <w:marTop w:val="0"/>
      <w:marBottom w:val="0"/>
      <w:divBdr>
        <w:top w:val="none" w:sz="0" w:space="0" w:color="auto"/>
        <w:left w:val="none" w:sz="0" w:space="0" w:color="auto"/>
        <w:bottom w:val="none" w:sz="0" w:space="0" w:color="auto"/>
        <w:right w:val="none" w:sz="0" w:space="0" w:color="auto"/>
      </w:divBdr>
    </w:div>
    <w:div w:id="674915229">
      <w:bodyDiv w:val="1"/>
      <w:marLeft w:val="0"/>
      <w:marRight w:val="0"/>
      <w:marTop w:val="0"/>
      <w:marBottom w:val="0"/>
      <w:divBdr>
        <w:top w:val="none" w:sz="0" w:space="0" w:color="auto"/>
        <w:left w:val="none" w:sz="0" w:space="0" w:color="auto"/>
        <w:bottom w:val="none" w:sz="0" w:space="0" w:color="auto"/>
        <w:right w:val="none" w:sz="0" w:space="0" w:color="auto"/>
      </w:divBdr>
    </w:div>
    <w:div w:id="693457796">
      <w:bodyDiv w:val="1"/>
      <w:marLeft w:val="0"/>
      <w:marRight w:val="0"/>
      <w:marTop w:val="0"/>
      <w:marBottom w:val="0"/>
      <w:divBdr>
        <w:top w:val="none" w:sz="0" w:space="0" w:color="auto"/>
        <w:left w:val="none" w:sz="0" w:space="0" w:color="auto"/>
        <w:bottom w:val="none" w:sz="0" w:space="0" w:color="auto"/>
        <w:right w:val="none" w:sz="0" w:space="0" w:color="auto"/>
      </w:divBdr>
    </w:div>
    <w:div w:id="695891970">
      <w:bodyDiv w:val="1"/>
      <w:marLeft w:val="0"/>
      <w:marRight w:val="0"/>
      <w:marTop w:val="0"/>
      <w:marBottom w:val="0"/>
      <w:divBdr>
        <w:top w:val="none" w:sz="0" w:space="0" w:color="auto"/>
        <w:left w:val="none" w:sz="0" w:space="0" w:color="auto"/>
        <w:bottom w:val="none" w:sz="0" w:space="0" w:color="auto"/>
        <w:right w:val="none" w:sz="0" w:space="0" w:color="auto"/>
      </w:divBdr>
    </w:div>
    <w:div w:id="708647636">
      <w:bodyDiv w:val="1"/>
      <w:marLeft w:val="0"/>
      <w:marRight w:val="0"/>
      <w:marTop w:val="0"/>
      <w:marBottom w:val="0"/>
      <w:divBdr>
        <w:top w:val="none" w:sz="0" w:space="0" w:color="auto"/>
        <w:left w:val="none" w:sz="0" w:space="0" w:color="auto"/>
        <w:bottom w:val="none" w:sz="0" w:space="0" w:color="auto"/>
        <w:right w:val="none" w:sz="0" w:space="0" w:color="auto"/>
      </w:divBdr>
    </w:div>
    <w:div w:id="729617850">
      <w:bodyDiv w:val="1"/>
      <w:marLeft w:val="0"/>
      <w:marRight w:val="0"/>
      <w:marTop w:val="0"/>
      <w:marBottom w:val="0"/>
      <w:divBdr>
        <w:top w:val="none" w:sz="0" w:space="0" w:color="auto"/>
        <w:left w:val="none" w:sz="0" w:space="0" w:color="auto"/>
        <w:bottom w:val="none" w:sz="0" w:space="0" w:color="auto"/>
        <w:right w:val="none" w:sz="0" w:space="0" w:color="auto"/>
      </w:divBdr>
    </w:div>
    <w:div w:id="734665648">
      <w:bodyDiv w:val="1"/>
      <w:marLeft w:val="0"/>
      <w:marRight w:val="0"/>
      <w:marTop w:val="0"/>
      <w:marBottom w:val="0"/>
      <w:divBdr>
        <w:top w:val="none" w:sz="0" w:space="0" w:color="auto"/>
        <w:left w:val="none" w:sz="0" w:space="0" w:color="auto"/>
        <w:bottom w:val="none" w:sz="0" w:space="0" w:color="auto"/>
        <w:right w:val="none" w:sz="0" w:space="0" w:color="auto"/>
      </w:divBdr>
    </w:div>
    <w:div w:id="770056073">
      <w:bodyDiv w:val="1"/>
      <w:marLeft w:val="0"/>
      <w:marRight w:val="0"/>
      <w:marTop w:val="0"/>
      <w:marBottom w:val="0"/>
      <w:divBdr>
        <w:top w:val="none" w:sz="0" w:space="0" w:color="auto"/>
        <w:left w:val="none" w:sz="0" w:space="0" w:color="auto"/>
        <w:bottom w:val="none" w:sz="0" w:space="0" w:color="auto"/>
        <w:right w:val="none" w:sz="0" w:space="0" w:color="auto"/>
      </w:divBdr>
    </w:div>
    <w:div w:id="788164803">
      <w:bodyDiv w:val="1"/>
      <w:marLeft w:val="0"/>
      <w:marRight w:val="0"/>
      <w:marTop w:val="0"/>
      <w:marBottom w:val="0"/>
      <w:divBdr>
        <w:top w:val="none" w:sz="0" w:space="0" w:color="auto"/>
        <w:left w:val="none" w:sz="0" w:space="0" w:color="auto"/>
        <w:bottom w:val="none" w:sz="0" w:space="0" w:color="auto"/>
        <w:right w:val="none" w:sz="0" w:space="0" w:color="auto"/>
      </w:divBdr>
    </w:div>
    <w:div w:id="794064374">
      <w:bodyDiv w:val="1"/>
      <w:marLeft w:val="0"/>
      <w:marRight w:val="0"/>
      <w:marTop w:val="0"/>
      <w:marBottom w:val="0"/>
      <w:divBdr>
        <w:top w:val="none" w:sz="0" w:space="0" w:color="auto"/>
        <w:left w:val="none" w:sz="0" w:space="0" w:color="auto"/>
        <w:bottom w:val="none" w:sz="0" w:space="0" w:color="auto"/>
        <w:right w:val="none" w:sz="0" w:space="0" w:color="auto"/>
      </w:divBdr>
    </w:div>
    <w:div w:id="798378217">
      <w:bodyDiv w:val="1"/>
      <w:marLeft w:val="0"/>
      <w:marRight w:val="0"/>
      <w:marTop w:val="0"/>
      <w:marBottom w:val="0"/>
      <w:divBdr>
        <w:top w:val="none" w:sz="0" w:space="0" w:color="auto"/>
        <w:left w:val="none" w:sz="0" w:space="0" w:color="auto"/>
        <w:bottom w:val="none" w:sz="0" w:space="0" w:color="auto"/>
        <w:right w:val="none" w:sz="0" w:space="0" w:color="auto"/>
      </w:divBdr>
    </w:div>
    <w:div w:id="805658627">
      <w:bodyDiv w:val="1"/>
      <w:marLeft w:val="0"/>
      <w:marRight w:val="0"/>
      <w:marTop w:val="0"/>
      <w:marBottom w:val="0"/>
      <w:divBdr>
        <w:top w:val="none" w:sz="0" w:space="0" w:color="auto"/>
        <w:left w:val="none" w:sz="0" w:space="0" w:color="auto"/>
        <w:bottom w:val="none" w:sz="0" w:space="0" w:color="auto"/>
        <w:right w:val="none" w:sz="0" w:space="0" w:color="auto"/>
      </w:divBdr>
    </w:div>
    <w:div w:id="828447699">
      <w:bodyDiv w:val="1"/>
      <w:marLeft w:val="0"/>
      <w:marRight w:val="0"/>
      <w:marTop w:val="0"/>
      <w:marBottom w:val="0"/>
      <w:divBdr>
        <w:top w:val="none" w:sz="0" w:space="0" w:color="auto"/>
        <w:left w:val="none" w:sz="0" w:space="0" w:color="auto"/>
        <w:bottom w:val="none" w:sz="0" w:space="0" w:color="auto"/>
        <w:right w:val="none" w:sz="0" w:space="0" w:color="auto"/>
      </w:divBdr>
    </w:div>
    <w:div w:id="843784789">
      <w:bodyDiv w:val="1"/>
      <w:marLeft w:val="0"/>
      <w:marRight w:val="0"/>
      <w:marTop w:val="0"/>
      <w:marBottom w:val="0"/>
      <w:divBdr>
        <w:top w:val="none" w:sz="0" w:space="0" w:color="auto"/>
        <w:left w:val="none" w:sz="0" w:space="0" w:color="auto"/>
        <w:bottom w:val="none" w:sz="0" w:space="0" w:color="auto"/>
        <w:right w:val="none" w:sz="0" w:space="0" w:color="auto"/>
      </w:divBdr>
    </w:div>
    <w:div w:id="846790935">
      <w:bodyDiv w:val="1"/>
      <w:marLeft w:val="0"/>
      <w:marRight w:val="0"/>
      <w:marTop w:val="0"/>
      <w:marBottom w:val="0"/>
      <w:divBdr>
        <w:top w:val="none" w:sz="0" w:space="0" w:color="auto"/>
        <w:left w:val="none" w:sz="0" w:space="0" w:color="auto"/>
        <w:bottom w:val="none" w:sz="0" w:space="0" w:color="auto"/>
        <w:right w:val="none" w:sz="0" w:space="0" w:color="auto"/>
      </w:divBdr>
    </w:div>
    <w:div w:id="858006156">
      <w:bodyDiv w:val="1"/>
      <w:marLeft w:val="0"/>
      <w:marRight w:val="0"/>
      <w:marTop w:val="0"/>
      <w:marBottom w:val="0"/>
      <w:divBdr>
        <w:top w:val="none" w:sz="0" w:space="0" w:color="auto"/>
        <w:left w:val="none" w:sz="0" w:space="0" w:color="auto"/>
        <w:bottom w:val="none" w:sz="0" w:space="0" w:color="auto"/>
        <w:right w:val="none" w:sz="0" w:space="0" w:color="auto"/>
      </w:divBdr>
      <w:divsChild>
        <w:div w:id="1535383581">
          <w:marLeft w:val="0"/>
          <w:marRight w:val="0"/>
          <w:marTop w:val="0"/>
          <w:marBottom w:val="0"/>
          <w:divBdr>
            <w:top w:val="none" w:sz="0" w:space="0" w:color="auto"/>
            <w:left w:val="none" w:sz="0" w:space="0" w:color="auto"/>
            <w:bottom w:val="none" w:sz="0" w:space="0" w:color="auto"/>
            <w:right w:val="none" w:sz="0" w:space="0" w:color="auto"/>
          </w:divBdr>
        </w:div>
        <w:div w:id="643004282">
          <w:marLeft w:val="0"/>
          <w:marRight w:val="0"/>
          <w:marTop w:val="0"/>
          <w:marBottom w:val="0"/>
          <w:divBdr>
            <w:top w:val="none" w:sz="0" w:space="0" w:color="auto"/>
            <w:left w:val="none" w:sz="0" w:space="0" w:color="auto"/>
            <w:bottom w:val="none" w:sz="0" w:space="0" w:color="auto"/>
            <w:right w:val="none" w:sz="0" w:space="0" w:color="auto"/>
          </w:divBdr>
        </w:div>
      </w:divsChild>
    </w:div>
    <w:div w:id="860363987">
      <w:bodyDiv w:val="1"/>
      <w:marLeft w:val="0"/>
      <w:marRight w:val="0"/>
      <w:marTop w:val="0"/>
      <w:marBottom w:val="0"/>
      <w:divBdr>
        <w:top w:val="none" w:sz="0" w:space="0" w:color="auto"/>
        <w:left w:val="none" w:sz="0" w:space="0" w:color="auto"/>
        <w:bottom w:val="none" w:sz="0" w:space="0" w:color="auto"/>
        <w:right w:val="none" w:sz="0" w:space="0" w:color="auto"/>
      </w:divBdr>
    </w:div>
    <w:div w:id="863790397">
      <w:bodyDiv w:val="1"/>
      <w:marLeft w:val="0"/>
      <w:marRight w:val="0"/>
      <w:marTop w:val="0"/>
      <w:marBottom w:val="0"/>
      <w:divBdr>
        <w:top w:val="none" w:sz="0" w:space="0" w:color="auto"/>
        <w:left w:val="none" w:sz="0" w:space="0" w:color="auto"/>
        <w:bottom w:val="none" w:sz="0" w:space="0" w:color="auto"/>
        <w:right w:val="none" w:sz="0" w:space="0" w:color="auto"/>
      </w:divBdr>
    </w:div>
    <w:div w:id="878324351">
      <w:bodyDiv w:val="1"/>
      <w:marLeft w:val="0"/>
      <w:marRight w:val="0"/>
      <w:marTop w:val="0"/>
      <w:marBottom w:val="0"/>
      <w:divBdr>
        <w:top w:val="none" w:sz="0" w:space="0" w:color="auto"/>
        <w:left w:val="none" w:sz="0" w:space="0" w:color="auto"/>
        <w:bottom w:val="none" w:sz="0" w:space="0" w:color="auto"/>
        <w:right w:val="none" w:sz="0" w:space="0" w:color="auto"/>
      </w:divBdr>
    </w:div>
    <w:div w:id="884172176">
      <w:bodyDiv w:val="1"/>
      <w:marLeft w:val="0"/>
      <w:marRight w:val="0"/>
      <w:marTop w:val="0"/>
      <w:marBottom w:val="0"/>
      <w:divBdr>
        <w:top w:val="none" w:sz="0" w:space="0" w:color="auto"/>
        <w:left w:val="none" w:sz="0" w:space="0" w:color="auto"/>
        <w:bottom w:val="none" w:sz="0" w:space="0" w:color="auto"/>
        <w:right w:val="none" w:sz="0" w:space="0" w:color="auto"/>
      </w:divBdr>
    </w:div>
    <w:div w:id="889921951">
      <w:bodyDiv w:val="1"/>
      <w:marLeft w:val="0"/>
      <w:marRight w:val="0"/>
      <w:marTop w:val="0"/>
      <w:marBottom w:val="0"/>
      <w:divBdr>
        <w:top w:val="none" w:sz="0" w:space="0" w:color="auto"/>
        <w:left w:val="none" w:sz="0" w:space="0" w:color="auto"/>
        <w:bottom w:val="none" w:sz="0" w:space="0" w:color="auto"/>
        <w:right w:val="none" w:sz="0" w:space="0" w:color="auto"/>
      </w:divBdr>
    </w:div>
    <w:div w:id="890921573">
      <w:bodyDiv w:val="1"/>
      <w:marLeft w:val="0"/>
      <w:marRight w:val="0"/>
      <w:marTop w:val="0"/>
      <w:marBottom w:val="0"/>
      <w:divBdr>
        <w:top w:val="none" w:sz="0" w:space="0" w:color="auto"/>
        <w:left w:val="none" w:sz="0" w:space="0" w:color="auto"/>
        <w:bottom w:val="none" w:sz="0" w:space="0" w:color="auto"/>
        <w:right w:val="none" w:sz="0" w:space="0" w:color="auto"/>
      </w:divBdr>
    </w:div>
    <w:div w:id="894777225">
      <w:bodyDiv w:val="1"/>
      <w:marLeft w:val="0"/>
      <w:marRight w:val="0"/>
      <w:marTop w:val="0"/>
      <w:marBottom w:val="0"/>
      <w:divBdr>
        <w:top w:val="none" w:sz="0" w:space="0" w:color="auto"/>
        <w:left w:val="none" w:sz="0" w:space="0" w:color="auto"/>
        <w:bottom w:val="none" w:sz="0" w:space="0" w:color="auto"/>
        <w:right w:val="none" w:sz="0" w:space="0" w:color="auto"/>
      </w:divBdr>
    </w:div>
    <w:div w:id="896160712">
      <w:bodyDiv w:val="1"/>
      <w:marLeft w:val="0"/>
      <w:marRight w:val="0"/>
      <w:marTop w:val="0"/>
      <w:marBottom w:val="0"/>
      <w:divBdr>
        <w:top w:val="none" w:sz="0" w:space="0" w:color="auto"/>
        <w:left w:val="none" w:sz="0" w:space="0" w:color="auto"/>
        <w:bottom w:val="none" w:sz="0" w:space="0" w:color="auto"/>
        <w:right w:val="none" w:sz="0" w:space="0" w:color="auto"/>
      </w:divBdr>
    </w:div>
    <w:div w:id="901794784">
      <w:bodyDiv w:val="1"/>
      <w:marLeft w:val="0"/>
      <w:marRight w:val="0"/>
      <w:marTop w:val="0"/>
      <w:marBottom w:val="0"/>
      <w:divBdr>
        <w:top w:val="none" w:sz="0" w:space="0" w:color="auto"/>
        <w:left w:val="none" w:sz="0" w:space="0" w:color="auto"/>
        <w:bottom w:val="none" w:sz="0" w:space="0" w:color="auto"/>
        <w:right w:val="none" w:sz="0" w:space="0" w:color="auto"/>
      </w:divBdr>
    </w:div>
    <w:div w:id="920916874">
      <w:bodyDiv w:val="1"/>
      <w:marLeft w:val="0"/>
      <w:marRight w:val="0"/>
      <w:marTop w:val="0"/>
      <w:marBottom w:val="0"/>
      <w:divBdr>
        <w:top w:val="none" w:sz="0" w:space="0" w:color="auto"/>
        <w:left w:val="none" w:sz="0" w:space="0" w:color="auto"/>
        <w:bottom w:val="none" w:sz="0" w:space="0" w:color="auto"/>
        <w:right w:val="none" w:sz="0" w:space="0" w:color="auto"/>
      </w:divBdr>
    </w:div>
    <w:div w:id="925453346">
      <w:bodyDiv w:val="1"/>
      <w:marLeft w:val="0"/>
      <w:marRight w:val="0"/>
      <w:marTop w:val="0"/>
      <w:marBottom w:val="0"/>
      <w:divBdr>
        <w:top w:val="none" w:sz="0" w:space="0" w:color="auto"/>
        <w:left w:val="none" w:sz="0" w:space="0" w:color="auto"/>
        <w:bottom w:val="none" w:sz="0" w:space="0" w:color="auto"/>
        <w:right w:val="none" w:sz="0" w:space="0" w:color="auto"/>
      </w:divBdr>
    </w:div>
    <w:div w:id="942103583">
      <w:bodyDiv w:val="1"/>
      <w:marLeft w:val="0"/>
      <w:marRight w:val="0"/>
      <w:marTop w:val="0"/>
      <w:marBottom w:val="0"/>
      <w:divBdr>
        <w:top w:val="none" w:sz="0" w:space="0" w:color="auto"/>
        <w:left w:val="none" w:sz="0" w:space="0" w:color="auto"/>
        <w:bottom w:val="none" w:sz="0" w:space="0" w:color="auto"/>
        <w:right w:val="none" w:sz="0" w:space="0" w:color="auto"/>
      </w:divBdr>
    </w:div>
    <w:div w:id="949358211">
      <w:bodyDiv w:val="1"/>
      <w:marLeft w:val="0"/>
      <w:marRight w:val="0"/>
      <w:marTop w:val="0"/>
      <w:marBottom w:val="0"/>
      <w:divBdr>
        <w:top w:val="none" w:sz="0" w:space="0" w:color="auto"/>
        <w:left w:val="none" w:sz="0" w:space="0" w:color="auto"/>
        <w:bottom w:val="none" w:sz="0" w:space="0" w:color="auto"/>
        <w:right w:val="none" w:sz="0" w:space="0" w:color="auto"/>
      </w:divBdr>
    </w:div>
    <w:div w:id="951399513">
      <w:bodyDiv w:val="1"/>
      <w:marLeft w:val="0"/>
      <w:marRight w:val="0"/>
      <w:marTop w:val="0"/>
      <w:marBottom w:val="0"/>
      <w:divBdr>
        <w:top w:val="none" w:sz="0" w:space="0" w:color="auto"/>
        <w:left w:val="none" w:sz="0" w:space="0" w:color="auto"/>
        <w:bottom w:val="none" w:sz="0" w:space="0" w:color="auto"/>
        <w:right w:val="none" w:sz="0" w:space="0" w:color="auto"/>
      </w:divBdr>
    </w:div>
    <w:div w:id="962883439">
      <w:bodyDiv w:val="1"/>
      <w:marLeft w:val="0"/>
      <w:marRight w:val="0"/>
      <w:marTop w:val="0"/>
      <w:marBottom w:val="0"/>
      <w:divBdr>
        <w:top w:val="none" w:sz="0" w:space="0" w:color="auto"/>
        <w:left w:val="none" w:sz="0" w:space="0" w:color="auto"/>
        <w:bottom w:val="none" w:sz="0" w:space="0" w:color="auto"/>
        <w:right w:val="none" w:sz="0" w:space="0" w:color="auto"/>
      </w:divBdr>
    </w:div>
    <w:div w:id="980234007">
      <w:bodyDiv w:val="1"/>
      <w:marLeft w:val="0"/>
      <w:marRight w:val="0"/>
      <w:marTop w:val="0"/>
      <w:marBottom w:val="0"/>
      <w:divBdr>
        <w:top w:val="none" w:sz="0" w:space="0" w:color="auto"/>
        <w:left w:val="none" w:sz="0" w:space="0" w:color="auto"/>
        <w:bottom w:val="none" w:sz="0" w:space="0" w:color="auto"/>
        <w:right w:val="none" w:sz="0" w:space="0" w:color="auto"/>
      </w:divBdr>
    </w:div>
    <w:div w:id="1006446683">
      <w:bodyDiv w:val="1"/>
      <w:marLeft w:val="0"/>
      <w:marRight w:val="0"/>
      <w:marTop w:val="0"/>
      <w:marBottom w:val="0"/>
      <w:divBdr>
        <w:top w:val="none" w:sz="0" w:space="0" w:color="auto"/>
        <w:left w:val="none" w:sz="0" w:space="0" w:color="auto"/>
        <w:bottom w:val="none" w:sz="0" w:space="0" w:color="auto"/>
        <w:right w:val="none" w:sz="0" w:space="0" w:color="auto"/>
      </w:divBdr>
    </w:div>
    <w:div w:id="1007825308">
      <w:bodyDiv w:val="1"/>
      <w:marLeft w:val="0"/>
      <w:marRight w:val="0"/>
      <w:marTop w:val="0"/>
      <w:marBottom w:val="0"/>
      <w:divBdr>
        <w:top w:val="none" w:sz="0" w:space="0" w:color="auto"/>
        <w:left w:val="none" w:sz="0" w:space="0" w:color="auto"/>
        <w:bottom w:val="none" w:sz="0" w:space="0" w:color="auto"/>
        <w:right w:val="none" w:sz="0" w:space="0" w:color="auto"/>
      </w:divBdr>
    </w:div>
    <w:div w:id="1022633817">
      <w:bodyDiv w:val="1"/>
      <w:marLeft w:val="0"/>
      <w:marRight w:val="0"/>
      <w:marTop w:val="0"/>
      <w:marBottom w:val="0"/>
      <w:divBdr>
        <w:top w:val="none" w:sz="0" w:space="0" w:color="auto"/>
        <w:left w:val="none" w:sz="0" w:space="0" w:color="auto"/>
        <w:bottom w:val="none" w:sz="0" w:space="0" w:color="auto"/>
        <w:right w:val="none" w:sz="0" w:space="0" w:color="auto"/>
      </w:divBdr>
      <w:divsChild>
        <w:div w:id="476343879">
          <w:marLeft w:val="0"/>
          <w:marRight w:val="0"/>
          <w:marTop w:val="0"/>
          <w:marBottom w:val="0"/>
          <w:divBdr>
            <w:top w:val="none" w:sz="0" w:space="0" w:color="auto"/>
            <w:left w:val="none" w:sz="0" w:space="0" w:color="auto"/>
            <w:bottom w:val="none" w:sz="0" w:space="0" w:color="auto"/>
            <w:right w:val="none" w:sz="0" w:space="0" w:color="auto"/>
          </w:divBdr>
        </w:div>
      </w:divsChild>
    </w:div>
    <w:div w:id="1041131316">
      <w:bodyDiv w:val="1"/>
      <w:marLeft w:val="0"/>
      <w:marRight w:val="0"/>
      <w:marTop w:val="0"/>
      <w:marBottom w:val="0"/>
      <w:divBdr>
        <w:top w:val="none" w:sz="0" w:space="0" w:color="auto"/>
        <w:left w:val="none" w:sz="0" w:space="0" w:color="auto"/>
        <w:bottom w:val="none" w:sz="0" w:space="0" w:color="auto"/>
        <w:right w:val="none" w:sz="0" w:space="0" w:color="auto"/>
      </w:divBdr>
    </w:div>
    <w:div w:id="1057819362">
      <w:bodyDiv w:val="1"/>
      <w:marLeft w:val="0"/>
      <w:marRight w:val="0"/>
      <w:marTop w:val="0"/>
      <w:marBottom w:val="0"/>
      <w:divBdr>
        <w:top w:val="none" w:sz="0" w:space="0" w:color="auto"/>
        <w:left w:val="none" w:sz="0" w:space="0" w:color="auto"/>
        <w:bottom w:val="none" w:sz="0" w:space="0" w:color="auto"/>
        <w:right w:val="none" w:sz="0" w:space="0" w:color="auto"/>
      </w:divBdr>
      <w:divsChild>
        <w:div w:id="1351643434">
          <w:marLeft w:val="0"/>
          <w:marRight w:val="0"/>
          <w:marTop w:val="0"/>
          <w:marBottom w:val="0"/>
          <w:divBdr>
            <w:top w:val="none" w:sz="0" w:space="0" w:color="auto"/>
            <w:left w:val="none" w:sz="0" w:space="0" w:color="auto"/>
            <w:bottom w:val="none" w:sz="0" w:space="0" w:color="auto"/>
            <w:right w:val="none" w:sz="0" w:space="0" w:color="auto"/>
          </w:divBdr>
        </w:div>
        <w:div w:id="62601732">
          <w:marLeft w:val="0"/>
          <w:marRight w:val="0"/>
          <w:marTop w:val="0"/>
          <w:marBottom w:val="0"/>
          <w:divBdr>
            <w:top w:val="none" w:sz="0" w:space="0" w:color="auto"/>
            <w:left w:val="none" w:sz="0" w:space="0" w:color="auto"/>
            <w:bottom w:val="none" w:sz="0" w:space="0" w:color="auto"/>
            <w:right w:val="none" w:sz="0" w:space="0" w:color="auto"/>
          </w:divBdr>
        </w:div>
      </w:divsChild>
    </w:div>
    <w:div w:id="1061292856">
      <w:bodyDiv w:val="1"/>
      <w:marLeft w:val="0"/>
      <w:marRight w:val="0"/>
      <w:marTop w:val="0"/>
      <w:marBottom w:val="0"/>
      <w:divBdr>
        <w:top w:val="none" w:sz="0" w:space="0" w:color="auto"/>
        <w:left w:val="none" w:sz="0" w:space="0" w:color="auto"/>
        <w:bottom w:val="none" w:sz="0" w:space="0" w:color="auto"/>
        <w:right w:val="none" w:sz="0" w:space="0" w:color="auto"/>
      </w:divBdr>
    </w:div>
    <w:div w:id="1065647018">
      <w:bodyDiv w:val="1"/>
      <w:marLeft w:val="0"/>
      <w:marRight w:val="0"/>
      <w:marTop w:val="0"/>
      <w:marBottom w:val="0"/>
      <w:divBdr>
        <w:top w:val="none" w:sz="0" w:space="0" w:color="auto"/>
        <w:left w:val="none" w:sz="0" w:space="0" w:color="auto"/>
        <w:bottom w:val="none" w:sz="0" w:space="0" w:color="auto"/>
        <w:right w:val="none" w:sz="0" w:space="0" w:color="auto"/>
      </w:divBdr>
      <w:divsChild>
        <w:div w:id="1106576444">
          <w:marLeft w:val="0"/>
          <w:marRight w:val="0"/>
          <w:marTop w:val="0"/>
          <w:marBottom w:val="0"/>
          <w:divBdr>
            <w:top w:val="none" w:sz="0" w:space="0" w:color="auto"/>
            <w:left w:val="none" w:sz="0" w:space="0" w:color="auto"/>
            <w:bottom w:val="none" w:sz="0" w:space="0" w:color="auto"/>
            <w:right w:val="none" w:sz="0" w:space="0" w:color="auto"/>
          </w:divBdr>
        </w:div>
      </w:divsChild>
    </w:div>
    <w:div w:id="1069960707">
      <w:bodyDiv w:val="1"/>
      <w:marLeft w:val="0"/>
      <w:marRight w:val="0"/>
      <w:marTop w:val="0"/>
      <w:marBottom w:val="0"/>
      <w:divBdr>
        <w:top w:val="none" w:sz="0" w:space="0" w:color="auto"/>
        <w:left w:val="none" w:sz="0" w:space="0" w:color="auto"/>
        <w:bottom w:val="none" w:sz="0" w:space="0" w:color="auto"/>
        <w:right w:val="none" w:sz="0" w:space="0" w:color="auto"/>
      </w:divBdr>
    </w:div>
    <w:div w:id="1070925024">
      <w:bodyDiv w:val="1"/>
      <w:marLeft w:val="0"/>
      <w:marRight w:val="0"/>
      <w:marTop w:val="0"/>
      <w:marBottom w:val="0"/>
      <w:divBdr>
        <w:top w:val="none" w:sz="0" w:space="0" w:color="auto"/>
        <w:left w:val="none" w:sz="0" w:space="0" w:color="auto"/>
        <w:bottom w:val="none" w:sz="0" w:space="0" w:color="auto"/>
        <w:right w:val="none" w:sz="0" w:space="0" w:color="auto"/>
      </w:divBdr>
    </w:div>
    <w:div w:id="1087388834">
      <w:bodyDiv w:val="1"/>
      <w:marLeft w:val="0"/>
      <w:marRight w:val="0"/>
      <w:marTop w:val="0"/>
      <w:marBottom w:val="0"/>
      <w:divBdr>
        <w:top w:val="none" w:sz="0" w:space="0" w:color="auto"/>
        <w:left w:val="none" w:sz="0" w:space="0" w:color="auto"/>
        <w:bottom w:val="none" w:sz="0" w:space="0" w:color="auto"/>
        <w:right w:val="none" w:sz="0" w:space="0" w:color="auto"/>
      </w:divBdr>
    </w:div>
    <w:div w:id="1090808229">
      <w:bodyDiv w:val="1"/>
      <w:marLeft w:val="0"/>
      <w:marRight w:val="0"/>
      <w:marTop w:val="0"/>
      <w:marBottom w:val="0"/>
      <w:divBdr>
        <w:top w:val="none" w:sz="0" w:space="0" w:color="auto"/>
        <w:left w:val="none" w:sz="0" w:space="0" w:color="auto"/>
        <w:bottom w:val="none" w:sz="0" w:space="0" w:color="auto"/>
        <w:right w:val="none" w:sz="0" w:space="0" w:color="auto"/>
      </w:divBdr>
    </w:div>
    <w:div w:id="1113474435">
      <w:bodyDiv w:val="1"/>
      <w:marLeft w:val="0"/>
      <w:marRight w:val="0"/>
      <w:marTop w:val="0"/>
      <w:marBottom w:val="0"/>
      <w:divBdr>
        <w:top w:val="none" w:sz="0" w:space="0" w:color="auto"/>
        <w:left w:val="none" w:sz="0" w:space="0" w:color="auto"/>
        <w:bottom w:val="none" w:sz="0" w:space="0" w:color="auto"/>
        <w:right w:val="none" w:sz="0" w:space="0" w:color="auto"/>
      </w:divBdr>
    </w:div>
    <w:div w:id="1121459919">
      <w:bodyDiv w:val="1"/>
      <w:marLeft w:val="0"/>
      <w:marRight w:val="0"/>
      <w:marTop w:val="0"/>
      <w:marBottom w:val="0"/>
      <w:divBdr>
        <w:top w:val="none" w:sz="0" w:space="0" w:color="auto"/>
        <w:left w:val="none" w:sz="0" w:space="0" w:color="auto"/>
        <w:bottom w:val="none" w:sz="0" w:space="0" w:color="auto"/>
        <w:right w:val="none" w:sz="0" w:space="0" w:color="auto"/>
      </w:divBdr>
    </w:div>
    <w:div w:id="1122726108">
      <w:bodyDiv w:val="1"/>
      <w:marLeft w:val="0"/>
      <w:marRight w:val="0"/>
      <w:marTop w:val="0"/>
      <w:marBottom w:val="0"/>
      <w:divBdr>
        <w:top w:val="none" w:sz="0" w:space="0" w:color="auto"/>
        <w:left w:val="none" w:sz="0" w:space="0" w:color="auto"/>
        <w:bottom w:val="none" w:sz="0" w:space="0" w:color="auto"/>
        <w:right w:val="none" w:sz="0" w:space="0" w:color="auto"/>
      </w:divBdr>
    </w:div>
    <w:div w:id="1123235148">
      <w:bodyDiv w:val="1"/>
      <w:marLeft w:val="0"/>
      <w:marRight w:val="0"/>
      <w:marTop w:val="0"/>
      <w:marBottom w:val="0"/>
      <w:divBdr>
        <w:top w:val="none" w:sz="0" w:space="0" w:color="auto"/>
        <w:left w:val="none" w:sz="0" w:space="0" w:color="auto"/>
        <w:bottom w:val="none" w:sz="0" w:space="0" w:color="auto"/>
        <w:right w:val="none" w:sz="0" w:space="0" w:color="auto"/>
      </w:divBdr>
    </w:div>
    <w:div w:id="1123353640">
      <w:bodyDiv w:val="1"/>
      <w:marLeft w:val="0"/>
      <w:marRight w:val="0"/>
      <w:marTop w:val="0"/>
      <w:marBottom w:val="0"/>
      <w:divBdr>
        <w:top w:val="none" w:sz="0" w:space="0" w:color="auto"/>
        <w:left w:val="none" w:sz="0" w:space="0" w:color="auto"/>
        <w:bottom w:val="none" w:sz="0" w:space="0" w:color="auto"/>
        <w:right w:val="none" w:sz="0" w:space="0" w:color="auto"/>
      </w:divBdr>
    </w:div>
    <w:div w:id="1129128940">
      <w:bodyDiv w:val="1"/>
      <w:marLeft w:val="0"/>
      <w:marRight w:val="0"/>
      <w:marTop w:val="0"/>
      <w:marBottom w:val="0"/>
      <w:divBdr>
        <w:top w:val="none" w:sz="0" w:space="0" w:color="auto"/>
        <w:left w:val="none" w:sz="0" w:space="0" w:color="auto"/>
        <w:bottom w:val="none" w:sz="0" w:space="0" w:color="auto"/>
        <w:right w:val="none" w:sz="0" w:space="0" w:color="auto"/>
      </w:divBdr>
      <w:divsChild>
        <w:div w:id="1494830190">
          <w:marLeft w:val="0"/>
          <w:marRight w:val="0"/>
          <w:marTop w:val="0"/>
          <w:marBottom w:val="0"/>
          <w:divBdr>
            <w:top w:val="none" w:sz="0" w:space="0" w:color="auto"/>
            <w:left w:val="none" w:sz="0" w:space="0" w:color="auto"/>
            <w:bottom w:val="none" w:sz="0" w:space="0" w:color="auto"/>
            <w:right w:val="none" w:sz="0" w:space="0" w:color="auto"/>
          </w:divBdr>
        </w:div>
      </w:divsChild>
    </w:div>
    <w:div w:id="1136608005">
      <w:bodyDiv w:val="1"/>
      <w:marLeft w:val="0"/>
      <w:marRight w:val="0"/>
      <w:marTop w:val="0"/>
      <w:marBottom w:val="0"/>
      <w:divBdr>
        <w:top w:val="none" w:sz="0" w:space="0" w:color="auto"/>
        <w:left w:val="none" w:sz="0" w:space="0" w:color="auto"/>
        <w:bottom w:val="none" w:sz="0" w:space="0" w:color="auto"/>
        <w:right w:val="none" w:sz="0" w:space="0" w:color="auto"/>
      </w:divBdr>
    </w:div>
    <w:div w:id="1145582948">
      <w:bodyDiv w:val="1"/>
      <w:marLeft w:val="0"/>
      <w:marRight w:val="0"/>
      <w:marTop w:val="0"/>
      <w:marBottom w:val="0"/>
      <w:divBdr>
        <w:top w:val="none" w:sz="0" w:space="0" w:color="auto"/>
        <w:left w:val="none" w:sz="0" w:space="0" w:color="auto"/>
        <w:bottom w:val="none" w:sz="0" w:space="0" w:color="auto"/>
        <w:right w:val="none" w:sz="0" w:space="0" w:color="auto"/>
      </w:divBdr>
    </w:div>
    <w:div w:id="1160656490">
      <w:bodyDiv w:val="1"/>
      <w:marLeft w:val="0"/>
      <w:marRight w:val="0"/>
      <w:marTop w:val="0"/>
      <w:marBottom w:val="0"/>
      <w:divBdr>
        <w:top w:val="none" w:sz="0" w:space="0" w:color="auto"/>
        <w:left w:val="none" w:sz="0" w:space="0" w:color="auto"/>
        <w:bottom w:val="none" w:sz="0" w:space="0" w:color="auto"/>
        <w:right w:val="none" w:sz="0" w:space="0" w:color="auto"/>
      </w:divBdr>
    </w:div>
    <w:div w:id="1163933116">
      <w:bodyDiv w:val="1"/>
      <w:marLeft w:val="0"/>
      <w:marRight w:val="0"/>
      <w:marTop w:val="0"/>
      <w:marBottom w:val="0"/>
      <w:divBdr>
        <w:top w:val="none" w:sz="0" w:space="0" w:color="auto"/>
        <w:left w:val="none" w:sz="0" w:space="0" w:color="auto"/>
        <w:bottom w:val="none" w:sz="0" w:space="0" w:color="auto"/>
        <w:right w:val="none" w:sz="0" w:space="0" w:color="auto"/>
      </w:divBdr>
    </w:div>
    <w:div w:id="1171987692">
      <w:bodyDiv w:val="1"/>
      <w:marLeft w:val="0"/>
      <w:marRight w:val="0"/>
      <w:marTop w:val="0"/>
      <w:marBottom w:val="0"/>
      <w:divBdr>
        <w:top w:val="none" w:sz="0" w:space="0" w:color="auto"/>
        <w:left w:val="none" w:sz="0" w:space="0" w:color="auto"/>
        <w:bottom w:val="none" w:sz="0" w:space="0" w:color="auto"/>
        <w:right w:val="none" w:sz="0" w:space="0" w:color="auto"/>
      </w:divBdr>
    </w:div>
    <w:div w:id="1173034532">
      <w:bodyDiv w:val="1"/>
      <w:marLeft w:val="0"/>
      <w:marRight w:val="0"/>
      <w:marTop w:val="0"/>
      <w:marBottom w:val="0"/>
      <w:divBdr>
        <w:top w:val="none" w:sz="0" w:space="0" w:color="auto"/>
        <w:left w:val="none" w:sz="0" w:space="0" w:color="auto"/>
        <w:bottom w:val="none" w:sz="0" w:space="0" w:color="auto"/>
        <w:right w:val="none" w:sz="0" w:space="0" w:color="auto"/>
      </w:divBdr>
      <w:divsChild>
        <w:div w:id="869609166">
          <w:marLeft w:val="0"/>
          <w:marRight w:val="0"/>
          <w:marTop w:val="0"/>
          <w:marBottom w:val="0"/>
          <w:divBdr>
            <w:top w:val="none" w:sz="0" w:space="0" w:color="auto"/>
            <w:left w:val="none" w:sz="0" w:space="0" w:color="auto"/>
            <w:bottom w:val="none" w:sz="0" w:space="0" w:color="auto"/>
            <w:right w:val="none" w:sz="0" w:space="0" w:color="auto"/>
          </w:divBdr>
        </w:div>
        <w:div w:id="703019494">
          <w:marLeft w:val="0"/>
          <w:marRight w:val="0"/>
          <w:marTop w:val="0"/>
          <w:marBottom w:val="0"/>
          <w:divBdr>
            <w:top w:val="none" w:sz="0" w:space="0" w:color="auto"/>
            <w:left w:val="none" w:sz="0" w:space="0" w:color="auto"/>
            <w:bottom w:val="none" w:sz="0" w:space="0" w:color="auto"/>
            <w:right w:val="none" w:sz="0" w:space="0" w:color="auto"/>
          </w:divBdr>
        </w:div>
      </w:divsChild>
    </w:div>
    <w:div w:id="1177380051">
      <w:bodyDiv w:val="1"/>
      <w:marLeft w:val="0"/>
      <w:marRight w:val="0"/>
      <w:marTop w:val="0"/>
      <w:marBottom w:val="0"/>
      <w:divBdr>
        <w:top w:val="none" w:sz="0" w:space="0" w:color="auto"/>
        <w:left w:val="none" w:sz="0" w:space="0" w:color="auto"/>
        <w:bottom w:val="none" w:sz="0" w:space="0" w:color="auto"/>
        <w:right w:val="none" w:sz="0" w:space="0" w:color="auto"/>
      </w:divBdr>
    </w:div>
    <w:div w:id="1179930724">
      <w:bodyDiv w:val="1"/>
      <w:marLeft w:val="0"/>
      <w:marRight w:val="0"/>
      <w:marTop w:val="0"/>
      <w:marBottom w:val="0"/>
      <w:divBdr>
        <w:top w:val="none" w:sz="0" w:space="0" w:color="auto"/>
        <w:left w:val="none" w:sz="0" w:space="0" w:color="auto"/>
        <w:bottom w:val="none" w:sz="0" w:space="0" w:color="auto"/>
        <w:right w:val="none" w:sz="0" w:space="0" w:color="auto"/>
      </w:divBdr>
    </w:div>
    <w:div w:id="1184245087">
      <w:bodyDiv w:val="1"/>
      <w:marLeft w:val="0"/>
      <w:marRight w:val="0"/>
      <w:marTop w:val="0"/>
      <w:marBottom w:val="0"/>
      <w:divBdr>
        <w:top w:val="none" w:sz="0" w:space="0" w:color="auto"/>
        <w:left w:val="none" w:sz="0" w:space="0" w:color="auto"/>
        <w:bottom w:val="none" w:sz="0" w:space="0" w:color="auto"/>
        <w:right w:val="none" w:sz="0" w:space="0" w:color="auto"/>
      </w:divBdr>
    </w:div>
    <w:div w:id="1201430380">
      <w:bodyDiv w:val="1"/>
      <w:marLeft w:val="0"/>
      <w:marRight w:val="0"/>
      <w:marTop w:val="0"/>
      <w:marBottom w:val="0"/>
      <w:divBdr>
        <w:top w:val="none" w:sz="0" w:space="0" w:color="auto"/>
        <w:left w:val="none" w:sz="0" w:space="0" w:color="auto"/>
        <w:bottom w:val="none" w:sz="0" w:space="0" w:color="auto"/>
        <w:right w:val="none" w:sz="0" w:space="0" w:color="auto"/>
      </w:divBdr>
      <w:divsChild>
        <w:div w:id="1306351940">
          <w:marLeft w:val="0"/>
          <w:marRight w:val="0"/>
          <w:marTop w:val="0"/>
          <w:marBottom w:val="0"/>
          <w:divBdr>
            <w:top w:val="none" w:sz="0" w:space="0" w:color="auto"/>
            <w:left w:val="none" w:sz="0" w:space="0" w:color="auto"/>
            <w:bottom w:val="none" w:sz="0" w:space="0" w:color="auto"/>
            <w:right w:val="none" w:sz="0" w:space="0" w:color="auto"/>
          </w:divBdr>
        </w:div>
        <w:div w:id="1228566341">
          <w:marLeft w:val="0"/>
          <w:marRight w:val="0"/>
          <w:marTop w:val="0"/>
          <w:marBottom w:val="0"/>
          <w:divBdr>
            <w:top w:val="none" w:sz="0" w:space="0" w:color="auto"/>
            <w:left w:val="none" w:sz="0" w:space="0" w:color="auto"/>
            <w:bottom w:val="none" w:sz="0" w:space="0" w:color="auto"/>
            <w:right w:val="none" w:sz="0" w:space="0" w:color="auto"/>
          </w:divBdr>
        </w:div>
      </w:divsChild>
    </w:div>
    <w:div w:id="1204246828">
      <w:bodyDiv w:val="1"/>
      <w:marLeft w:val="0"/>
      <w:marRight w:val="0"/>
      <w:marTop w:val="0"/>
      <w:marBottom w:val="0"/>
      <w:divBdr>
        <w:top w:val="none" w:sz="0" w:space="0" w:color="auto"/>
        <w:left w:val="none" w:sz="0" w:space="0" w:color="auto"/>
        <w:bottom w:val="none" w:sz="0" w:space="0" w:color="auto"/>
        <w:right w:val="none" w:sz="0" w:space="0" w:color="auto"/>
      </w:divBdr>
    </w:div>
    <w:div w:id="1204247634">
      <w:bodyDiv w:val="1"/>
      <w:marLeft w:val="0"/>
      <w:marRight w:val="0"/>
      <w:marTop w:val="0"/>
      <w:marBottom w:val="0"/>
      <w:divBdr>
        <w:top w:val="none" w:sz="0" w:space="0" w:color="auto"/>
        <w:left w:val="none" w:sz="0" w:space="0" w:color="auto"/>
        <w:bottom w:val="none" w:sz="0" w:space="0" w:color="auto"/>
        <w:right w:val="none" w:sz="0" w:space="0" w:color="auto"/>
      </w:divBdr>
    </w:div>
    <w:div w:id="1205872994">
      <w:bodyDiv w:val="1"/>
      <w:marLeft w:val="0"/>
      <w:marRight w:val="0"/>
      <w:marTop w:val="0"/>
      <w:marBottom w:val="0"/>
      <w:divBdr>
        <w:top w:val="none" w:sz="0" w:space="0" w:color="auto"/>
        <w:left w:val="none" w:sz="0" w:space="0" w:color="auto"/>
        <w:bottom w:val="none" w:sz="0" w:space="0" w:color="auto"/>
        <w:right w:val="none" w:sz="0" w:space="0" w:color="auto"/>
      </w:divBdr>
    </w:div>
    <w:div w:id="1205945705">
      <w:bodyDiv w:val="1"/>
      <w:marLeft w:val="0"/>
      <w:marRight w:val="0"/>
      <w:marTop w:val="0"/>
      <w:marBottom w:val="0"/>
      <w:divBdr>
        <w:top w:val="none" w:sz="0" w:space="0" w:color="auto"/>
        <w:left w:val="none" w:sz="0" w:space="0" w:color="auto"/>
        <w:bottom w:val="none" w:sz="0" w:space="0" w:color="auto"/>
        <w:right w:val="none" w:sz="0" w:space="0" w:color="auto"/>
      </w:divBdr>
      <w:divsChild>
        <w:div w:id="1744374308">
          <w:marLeft w:val="0"/>
          <w:marRight w:val="0"/>
          <w:marTop w:val="0"/>
          <w:marBottom w:val="0"/>
          <w:divBdr>
            <w:top w:val="none" w:sz="0" w:space="0" w:color="auto"/>
            <w:left w:val="none" w:sz="0" w:space="0" w:color="auto"/>
            <w:bottom w:val="none" w:sz="0" w:space="0" w:color="auto"/>
            <w:right w:val="none" w:sz="0" w:space="0" w:color="auto"/>
          </w:divBdr>
        </w:div>
        <w:div w:id="299845312">
          <w:marLeft w:val="0"/>
          <w:marRight w:val="0"/>
          <w:marTop w:val="0"/>
          <w:marBottom w:val="0"/>
          <w:divBdr>
            <w:top w:val="none" w:sz="0" w:space="0" w:color="auto"/>
            <w:left w:val="none" w:sz="0" w:space="0" w:color="auto"/>
            <w:bottom w:val="none" w:sz="0" w:space="0" w:color="auto"/>
            <w:right w:val="none" w:sz="0" w:space="0" w:color="auto"/>
          </w:divBdr>
        </w:div>
      </w:divsChild>
    </w:div>
    <w:div w:id="1242913689">
      <w:bodyDiv w:val="1"/>
      <w:marLeft w:val="0"/>
      <w:marRight w:val="0"/>
      <w:marTop w:val="0"/>
      <w:marBottom w:val="0"/>
      <w:divBdr>
        <w:top w:val="none" w:sz="0" w:space="0" w:color="auto"/>
        <w:left w:val="none" w:sz="0" w:space="0" w:color="auto"/>
        <w:bottom w:val="none" w:sz="0" w:space="0" w:color="auto"/>
        <w:right w:val="none" w:sz="0" w:space="0" w:color="auto"/>
      </w:divBdr>
    </w:div>
    <w:div w:id="1246646625">
      <w:bodyDiv w:val="1"/>
      <w:marLeft w:val="0"/>
      <w:marRight w:val="0"/>
      <w:marTop w:val="0"/>
      <w:marBottom w:val="0"/>
      <w:divBdr>
        <w:top w:val="none" w:sz="0" w:space="0" w:color="auto"/>
        <w:left w:val="none" w:sz="0" w:space="0" w:color="auto"/>
        <w:bottom w:val="none" w:sz="0" w:space="0" w:color="auto"/>
        <w:right w:val="none" w:sz="0" w:space="0" w:color="auto"/>
      </w:divBdr>
    </w:div>
    <w:div w:id="1255044165">
      <w:bodyDiv w:val="1"/>
      <w:marLeft w:val="0"/>
      <w:marRight w:val="0"/>
      <w:marTop w:val="0"/>
      <w:marBottom w:val="0"/>
      <w:divBdr>
        <w:top w:val="none" w:sz="0" w:space="0" w:color="auto"/>
        <w:left w:val="none" w:sz="0" w:space="0" w:color="auto"/>
        <w:bottom w:val="none" w:sz="0" w:space="0" w:color="auto"/>
        <w:right w:val="none" w:sz="0" w:space="0" w:color="auto"/>
      </w:divBdr>
    </w:div>
    <w:div w:id="1270312929">
      <w:bodyDiv w:val="1"/>
      <w:marLeft w:val="0"/>
      <w:marRight w:val="0"/>
      <w:marTop w:val="0"/>
      <w:marBottom w:val="0"/>
      <w:divBdr>
        <w:top w:val="none" w:sz="0" w:space="0" w:color="auto"/>
        <w:left w:val="none" w:sz="0" w:space="0" w:color="auto"/>
        <w:bottom w:val="none" w:sz="0" w:space="0" w:color="auto"/>
        <w:right w:val="none" w:sz="0" w:space="0" w:color="auto"/>
      </w:divBdr>
    </w:div>
    <w:div w:id="1295017700">
      <w:bodyDiv w:val="1"/>
      <w:marLeft w:val="0"/>
      <w:marRight w:val="0"/>
      <w:marTop w:val="0"/>
      <w:marBottom w:val="0"/>
      <w:divBdr>
        <w:top w:val="none" w:sz="0" w:space="0" w:color="auto"/>
        <w:left w:val="none" w:sz="0" w:space="0" w:color="auto"/>
        <w:bottom w:val="none" w:sz="0" w:space="0" w:color="auto"/>
        <w:right w:val="none" w:sz="0" w:space="0" w:color="auto"/>
      </w:divBdr>
    </w:div>
    <w:div w:id="1301958303">
      <w:bodyDiv w:val="1"/>
      <w:marLeft w:val="0"/>
      <w:marRight w:val="0"/>
      <w:marTop w:val="0"/>
      <w:marBottom w:val="0"/>
      <w:divBdr>
        <w:top w:val="none" w:sz="0" w:space="0" w:color="auto"/>
        <w:left w:val="none" w:sz="0" w:space="0" w:color="auto"/>
        <w:bottom w:val="none" w:sz="0" w:space="0" w:color="auto"/>
        <w:right w:val="none" w:sz="0" w:space="0" w:color="auto"/>
      </w:divBdr>
      <w:divsChild>
        <w:div w:id="1804347696">
          <w:marLeft w:val="0"/>
          <w:marRight w:val="0"/>
          <w:marTop w:val="0"/>
          <w:marBottom w:val="0"/>
          <w:divBdr>
            <w:top w:val="none" w:sz="0" w:space="0" w:color="auto"/>
            <w:left w:val="none" w:sz="0" w:space="0" w:color="auto"/>
            <w:bottom w:val="none" w:sz="0" w:space="0" w:color="auto"/>
            <w:right w:val="none" w:sz="0" w:space="0" w:color="auto"/>
          </w:divBdr>
        </w:div>
        <w:div w:id="845553518">
          <w:marLeft w:val="0"/>
          <w:marRight w:val="0"/>
          <w:marTop w:val="0"/>
          <w:marBottom w:val="0"/>
          <w:divBdr>
            <w:top w:val="none" w:sz="0" w:space="0" w:color="auto"/>
            <w:left w:val="none" w:sz="0" w:space="0" w:color="auto"/>
            <w:bottom w:val="none" w:sz="0" w:space="0" w:color="auto"/>
            <w:right w:val="none" w:sz="0" w:space="0" w:color="auto"/>
          </w:divBdr>
        </w:div>
      </w:divsChild>
    </w:div>
    <w:div w:id="1304191798">
      <w:bodyDiv w:val="1"/>
      <w:marLeft w:val="0"/>
      <w:marRight w:val="0"/>
      <w:marTop w:val="0"/>
      <w:marBottom w:val="0"/>
      <w:divBdr>
        <w:top w:val="none" w:sz="0" w:space="0" w:color="auto"/>
        <w:left w:val="none" w:sz="0" w:space="0" w:color="auto"/>
        <w:bottom w:val="none" w:sz="0" w:space="0" w:color="auto"/>
        <w:right w:val="none" w:sz="0" w:space="0" w:color="auto"/>
      </w:divBdr>
    </w:div>
    <w:div w:id="1304311547">
      <w:bodyDiv w:val="1"/>
      <w:marLeft w:val="0"/>
      <w:marRight w:val="0"/>
      <w:marTop w:val="0"/>
      <w:marBottom w:val="0"/>
      <w:divBdr>
        <w:top w:val="none" w:sz="0" w:space="0" w:color="auto"/>
        <w:left w:val="none" w:sz="0" w:space="0" w:color="auto"/>
        <w:bottom w:val="none" w:sz="0" w:space="0" w:color="auto"/>
        <w:right w:val="none" w:sz="0" w:space="0" w:color="auto"/>
      </w:divBdr>
      <w:divsChild>
        <w:div w:id="1987079931">
          <w:marLeft w:val="0"/>
          <w:marRight w:val="0"/>
          <w:marTop w:val="0"/>
          <w:marBottom w:val="0"/>
          <w:divBdr>
            <w:top w:val="none" w:sz="0" w:space="0" w:color="auto"/>
            <w:left w:val="none" w:sz="0" w:space="0" w:color="auto"/>
            <w:bottom w:val="none" w:sz="0" w:space="0" w:color="auto"/>
            <w:right w:val="none" w:sz="0" w:space="0" w:color="auto"/>
          </w:divBdr>
        </w:div>
      </w:divsChild>
    </w:div>
    <w:div w:id="1317026594">
      <w:bodyDiv w:val="1"/>
      <w:marLeft w:val="0"/>
      <w:marRight w:val="0"/>
      <w:marTop w:val="0"/>
      <w:marBottom w:val="0"/>
      <w:divBdr>
        <w:top w:val="none" w:sz="0" w:space="0" w:color="auto"/>
        <w:left w:val="none" w:sz="0" w:space="0" w:color="auto"/>
        <w:bottom w:val="none" w:sz="0" w:space="0" w:color="auto"/>
        <w:right w:val="none" w:sz="0" w:space="0" w:color="auto"/>
      </w:divBdr>
    </w:div>
    <w:div w:id="1340542824">
      <w:bodyDiv w:val="1"/>
      <w:marLeft w:val="0"/>
      <w:marRight w:val="0"/>
      <w:marTop w:val="0"/>
      <w:marBottom w:val="0"/>
      <w:divBdr>
        <w:top w:val="none" w:sz="0" w:space="0" w:color="auto"/>
        <w:left w:val="none" w:sz="0" w:space="0" w:color="auto"/>
        <w:bottom w:val="none" w:sz="0" w:space="0" w:color="auto"/>
        <w:right w:val="none" w:sz="0" w:space="0" w:color="auto"/>
      </w:divBdr>
    </w:div>
    <w:div w:id="1350370974">
      <w:bodyDiv w:val="1"/>
      <w:marLeft w:val="0"/>
      <w:marRight w:val="0"/>
      <w:marTop w:val="0"/>
      <w:marBottom w:val="0"/>
      <w:divBdr>
        <w:top w:val="none" w:sz="0" w:space="0" w:color="auto"/>
        <w:left w:val="none" w:sz="0" w:space="0" w:color="auto"/>
        <w:bottom w:val="none" w:sz="0" w:space="0" w:color="auto"/>
        <w:right w:val="none" w:sz="0" w:space="0" w:color="auto"/>
      </w:divBdr>
    </w:div>
    <w:div w:id="1351175072">
      <w:bodyDiv w:val="1"/>
      <w:marLeft w:val="0"/>
      <w:marRight w:val="0"/>
      <w:marTop w:val="0"/>
      <w:marBottom w:val="0"/>
      <w:divBdr>
        <w:top w:val="none" w:sz="0" w:space="0" w:color="auto"/>
        <w:left w:val="none" w:sz="0" w:space="0" w:color="auto"/>
        <w:bottom w:val="none" w:sz="0" w:space="0" w:color="auto"/>
        <w:right w:val="none" w:sz="0" w:space="0" w:color="auto"/>
      </w:divBdr>
    </w:div>
    <w:div w:id="1351838587">
      <w:bodyDiv w:val="1"/>
      <w:marLeft w:val="0"/>
      <w:marRight w:val="0"/>
      <w:marTop w:val="0"/>
      <w:marBottom w:val="0"/>
      <w:divBdr>
        <w:top w:val="none" w:sz="0" w:space="0" w:color="auto"/>
        <w:left w:val="none" w:sz="0" w:space="0" w:color="auto"/>
        <w:bottom w:val="none" w:sz="0" w:space="0" w:color="auto"/>
        <w:right w:val="none" w:sz="0" w:space="0" w:color="auto"/>
      </w:divBdr>
    </w:div>
    <w:div w:id="1355620860">
      <w:bodyDiv w:val="1"/>
      <w:marLeft w:val="0"/>
      <w:marRight w:val="0"/>
      <w:marTop w:val="0"/>
      <w:marBottom w:val="0"/>
      <w:divBdr>
        <w:top w:val="none" w:sz="0" w:space="0" w:color="auto"/>
        <w:left w:val="none" w:sz="0" w:space="0" w:color="auto"/>
        <w:bottom w:val="none" w:sz="0" w:space="0" w:color="auto"/>
        <w:right w:val="none" w:sz="0" w:space="0" w:color="auto"/>
      </w:divBdr>
    </w:div>
    <w:div w:id="1374382042">
      <w:bodyDiv w:val="1"/>
      <w:marLeft w:val="0"/>
      <w:marRight w:val="0"/>
      <w:marTop w:val="0"/>
      <w:marBottom w:val="0"/>
      <w:divBdr>
        <w:top w:val="none" w:sz="0" w:space="0" w:color="auto"/>
        <w:left w:val="none" w:sz="0" w:space="0" w:color="auto"/>
        <w:bottom w:val="none" w:sz="0" w:space="0" w:color="auto"/>
        <w:right w:val="none" w:sz="0" w:space="0" w:color="auto"/>
      </w:divBdr>
    </w:div>
    <w:div w:id="1383553638">
      <w:bodyDiv w:val="1"/>
      <w:marLeft w:val="0"/>
      <w:marRight w:val="0"/>
      <w:marTop w:val="0"/>
      <w:marBottom w:val="0"/>
      <w:divBdr>
        <w:top w:val="none" w:sz="0" w:space="0" w:color="auto"/>
        <w:left w:val="none" w:sz="0" w:space="0" w:color="auto"/>
        <w:bottom w:val="none" w:sz="0" w:space="0" w:color="auto"/>
        <w:right w:val="none" w:sz="0" w:space="0" w:color="auto"/>
      </w:divBdr>
    </w:div>
    <w:div w:id="1431122031">
      <w:bodyDiv w:val="1"/>
      <w:marLeft w:val="0"/>
      <w:marRight w:val="0"/>
      <w:marTop w:val="0"/>
      <w:marBottom w:val="0"/>
      <w:divBdr>
        <w:top w:val="none" w:sz="0" w:space="0" w:color="auto"/>
        <w:left w:val="none" w:sz="0" w:space="0" w:color="auto"/>
        <w:bottom w:val="none" w:sz="0" w:space="0" w:color="auto"/>
        <w:right w:val="none" w:sz="0" w:space="0" w:color="auto"/>
      </w:divBdr>
    </w:div>
    <w:div w:id="1435133423">
      <w:bodyDiv w:val="1"/>
      <w:marLeft w:val="0"/>
      <w:marRight w:val="0"/>
      <w:marTop w:val="0"/>
      <w:marBottom w:val="0"/>
      <w:divBdr>
        <w:top w:val="none" w:sz="0" w:space="0" w:color="auto"/>
        <w:left w:val="none" w:sz="0" w:space="0" w:color="auto"/>
        <w:bottom w:val="none" w:sz="0" w:space="0" w:color="auto"/>
        <w:right w:val="none" w:sz="0" w:space="0" w:color="auto"/>
      </w:divBdr>
    </w:div>
    <w:div w:id="1439566665">
      <w:bodyDiv w:val="1"/>
      <w:marLeft w:val="0"/>
      <w:marRight w:val="0"/>
      <w:marTop w:val="0"/>
      <w:marBottom w:val="0"/>
      <w:divBdr>
        <w:top w:val="none" w:sz="0" w:space="0" w:color="auto"/>
        <w:left w:val="none" w:sz="0" w:space="0" w:color="auto"/>
        <w:bottom w:val="none" w:sz="0" w:space="0" w:color="auto"/>
        <w:right w:val="none" w:sz="0" w:space="0" w:color="auto"/>
      </w:divBdr>
    </w:div>
    <w:div w:id="1441414894">
      <w:bodyDiv w:val="1"/>
      <w:marLeft w:val="0"/>
      <w:marRight w:val="0"/>
      <w:marTop w:val="0"/>
      <w:marBottom w:val="0"/>
      <w:divBdr>
        <w:top w:val="none" w:sz="0" w:space="0" w:color="auto"/>
        <w:left w:val="none" w:sz="0" w:space="0" w:color="auto"/>
        <w:bottom w:val="none" w:sz="0" w:space="0" w:color="auto"/>
        <w:right w:val="none" w:sz="0" w:space="0" w:color="auto"/>
      </w:divBdr>
    </w:div>
    <w:div w:id="1450513739">
      <w:bodyDiv w:val="1"/>
      <w:marLeft w:val="0"/>
      <w:marRight w:val="0"/>
      <w:marTop w:val="0"/>
      <w:marBottom w:val="0"/>
      <w:divBdr>
        <w:top w:val="none" w:sz="0" w:space="0" w:color="auto"/>
        <w:left w:val="none" w:sz="0" w:space="0" w:color="auto"/>
        <w:bottom w:val="none" w:sz="0" w:space="0" w:color="auto"/>
        <w:right w:val="none" w:sz="0" w:space="0" w:color="auto"/>
      </w:divBdr>
    </w:div>
    <w:div w:id="1453595358">
      <w:bodyDiv w:val="1"/>
      <w:marLeft w:val="0"/>
      <w:marRight w:val="0"/>
      <w:marTop w:val="0"/>
      <w:marBottom w:val="0"/>
      <w:divBdr>
        <w:top w:val="none" w:sz="0" w:space="0" w:color="auto"/>
        <w:left w:val="none" w:sz="0" w:space="0" w:color="auto"/>
        <w:bottom w:val="none" w:sz="0" w:space="0" w:color="auto"/>
        <w:right w:val="none" w:sz="0" w:space="0" w:color="auto"/>
      </w:divBdr>
    </w:div>
    <w:div w:id="1454131548">
      <w:bodyDiv w:val="1"/>
      <w:marLeft w:val="0"/>
      <w:marRight w:val="0"/>
      <w:marTop w:val="0"/>
      <w:marBottom w:val="0"/>
      <w:divBdr>
        <w:top w:val="none" w:sz="0" w:space="0" w:color="auto"/>
        <w:left w:val="none" w:sz="0" w:space="0" w:color="auto"/>
        <w:bottom w:val="none" w:sz="0" w:space="0" w:color="auto"/>
        <w:right w:val="none" w:sz="0" w:space="0" w:color="auto"/>
      </w:divBdr>
    </w:div>
    <w:div w:id="1484351063">
      <w:bodyDiv w:val="1"/>
      <w:marLeft w:val="0"/>
      <w:marRight w:val="0"/>
      <w:marTop w:val="0"/>
      <w:marBottom w:val="0"/>
      <w:divBdr>
        <w:top w:val="none" w:sz="0" w:space="0" w:color="auto"/>
        <w:left w:val="none" w:sz="0" w:space="0" w:color="auto"/>
        <w:bottom w:val="none" w:sz="0" w:space="0" w:color="auto"/>
        <w:right w:val="none" w:sz="0" w:space="0" w:color="auto"/>
      </w:divBdr>
    </w:div>
    <w:div w:id="1486974583">
      <w:bodyDiv w:val="1"/>
      <w:marLeft w:val="0"/>
      <w:marRight w:val="0"/>
      <w:marTop w:val="0"/>
      <w:marBottom w:val="0"/>
      <w:divBdr>
        <w:top w:val="none" w:sz="0" w:space="0" w:color="auto"/>
        <w:left w:val="none" w:sz="0" w:space="0" w:color="auto"/>
        <w:bottom w:val="none" w:sz="0" w:space="0" w:color="auto"/>
        <w:right w:val="none" w:sz="0" w:space="0" w:color="auto"/>
      </w:divBdr>
    </w:div>
    <w:div w:id="1509639449">
      <w:bodyDiv w:val="1"/>
      <w:marLeft w:val="0"/>
      <w:marRight w:val="0"/>
      <w:marTop w:val="0"/>
      <w:marBottom w:val="0"/>
      <w:divBdr>
        <w:top w:val="none" w:sz="0" w:space="0" w:color="auto"/>
        <w:left w:val="none" w:sz="0" w:space="0" w:color="auto"/>
        <w:bottom w:val="none" w:sz="0" w:space="0" w:color="auto"/>
        <w:right w:val="none" w:sz="0" w:space="0" w:color="auto"/>
      </w:divBdr>
      <w:divsChild>
        <w:div w:id="914977134">
          <w:marLeft w:val="0"/>
          <w:marRight w:val="0"/>
          <w:marTop w:val="0"/>
          <w:marBottom w:val="0"/>
          <w:divBdr>
            <w:top w:val="none" w:sz="0" w:space="0" w:color="auto"/>
            <w:left w:val="none" w:sz="0" w:space="0" w:color="auto"/>
            <w:bottom w:val="none" w:sz="0" w:space="0" w:color="auto"/>
            <w:right w:val="none" w:sz="0" w:space="0" w:color="auto"/>
          </w:divBdr>
          <w:divsChild>
            <w:div w:id="5325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136924">
      <w:bodyDiv w:val="1"/>
      <w:marLeft w:val="0"/>
      <w:marRight w:val="0"/>
      <w:marTop w:val="0"/>
      <w:marBottom w:val="0"/>
      <w:divBdr>
        <w:top w:val="none" w:sz="0" w:space="0" w:color="auto"/>
        <w:left w:val="none" w:sz="0" w:space="0" w:color="auto"/>
        <w:bottom w:val="none" w:sz="0" w:space="0" w:color="auto"/>
        <w:right w:val="none" w:sz="0" w:space="0" w:color="auto"/>
      </w:divBdr>
    </w:div>
    <w:div w:id="1517234758">
      <w:bodyDiv w:val="1"/>
      <w:marLeft w:val="0"/>
      <w:marRight w:val="0"/>
      <w:marTop w:val="0"/>
      <w:marBottom w:val="0"/>
      <w:divBdr>
        <w:top w:val="none" w:sz="0" w:space="0" w:color="auto"/>
        <w:left w:val="none" w:sz="0" w:space="0" w:color="auto"/>
        <w:bottom w:val="none" w:sz="0" w:space="0" w:color="auto"/>
        <w:right w:val="none" w:sz="0" w:space="0" w:color="auto"/>
      </w:divBdr>
      <w:divsChild>
        <w:div w:id="452598495">
          <w:marLeft w:val="0"/>
          <w:marRight w:val="0"/>
          <w:marTop w:val="0"/>
          <w:marBottom w:val="0"/>
          <w:divBdr>
            <w:top w:val="none" w:sz="0" w:space="0" w:color="auto"/>
            <w:left w:val="none" w:sz="0" w:space="0" w:color="auto"/>
            <w:bottom w:val="none" w:sz="0" w:space="0" w:color="auto"/>
            <w:right w:val="none" w:sz="0" w:space="0" w:color="auto"/>
          </w:divBdr>
        </w:div>
      </w:divsChild>
    </w:div>
    <w:div w:id="1528593911">
      <w:bodyDiv w:val="1"/>
      <w:marLeft w:val="0"/>
      <w:marRight w:val="0"/>
      <w:marTop w:val="0"/>
      <w:marBottom w:val="0"/>
      <w:divBdr>
        <w:top w:val="none" w:sz="0" w:space="0" w:color="auto"/>
        <w:left w:val="none" w:sz="0" w:space="0" w:color="auto"/>
        <w:bottom w:val="none" w:sz="0" w:space="0" w:color="auto"/>
        <w:right w:val="none" w:sz="0" w:space="0" w:color="auto"/>
      </w:divBdr>
    </w:div>
    <w:div w:id="1536767732">
      <w:bodyDiv w:val="1"/>
      <w:marLeft w:val="0"/>
      <w:marRight w:val="0"/>
      <w:marTop w:val="0"/>
      <w:marBottom w:val="0"/>
      <w:divBdr>
        <w:top w:val="none" w:sz="0" w:space="0" w:color="auto"/>
        <w:left w:val="none" w:sz="0" w:space="0" w:color="auto"/>
        <w:bottom w:val="none" w:sz="0" w:space="0" w:color="auto"/>
        <w:right w:val="none" w:sz="0" w:space="0" w:color="auto"/>
      </w:divBdr>
    </w:div>
    <w:div w:id="1543781975">
      <w:bodyDiv w:val="1"/>
      <w:marLeft w:val="0"/>
      <w:marRight w:val="0"/>
      <w:marTop w:val="0"/>
      <w:marBottom w:val="0"/>
      <w:divBdr>
        <w:top w:val="none" w:sz="0" w:space="0" w:color="auto"/>
        <w:left w:val="none" w:sz="0" w:space="0" w:color="auto"/>
        <w:bottom w:val="none" w:sz="0" w:space="0" w:color="auto"/>
        <w:right w:val="none" w:sz="0" w:space="0" w:color="auto"/>
      </w:divBdr>
    </w:div>
    <w:div w:id="1561019616">
      <w:bodyDiv w:val="1"/>
      <w:marLeft w:val="0"/>
      <w:marRight w:val="0"/>
      <w:marTop w:val="0"/>
      <w:marBottom w:val="0"/>
      <w:divBdr>
        <w:top w:val="none" w:sz="0" w:space="0" w:color="auto"/>
        <w:left w:val="none" w:sz="0" w:space="0" w:color="auto"/>
        <w:bottom w:val="none" w:sz="0" w:space="0" w:color="auto"/>
        <w:right w:val="none" w:sz="0" w:space="0" w:color="auto"/>
      </w:divBdr>
    </w:div>
    <w:div w:id="1561288276">
      <w:bodyDiv w:val="1"/>
      <w:marLeft w:val="0"/>
      <w:marRight w:val="0"/>
      <w:marTop w:val="0"/>
      <w:marBottom w:val="0"/>
      <w:divBdr>
        <w:top w:val="none" w:sz="0" w:space="0" w:color="auto"/>
        <w:left w:val="none" w:sz="0" w:space="0" w:color="auto"/>
        <w:bottom w:val="none" w:sz="0" w:space="0" w:color="auto"/>
        <w:right w:val="none" w:sz="0" w:space="0" w:color="auto"/>
      </w:divBdr>
      <w:divsChild>
        <w:div w:id="726074060">
          <w:marLeft w:val="0"/>
          <w:marRight w:val="0"/>
          <w:marTop w:val="0"/>
          <w:marBottom w:val="0"/>
          <w:divBdr>
            <w:top w:val="none" w:sz="0" w:space="0" w:color="auto"/>
            <w:left w:val="none" w:sz="0" w:space="0" w:color="auto"/>
            <w:bottom w:val="none" w:sz="0" w:space="0" w:color="auto"/>
            <w:right w:val="none" w:sz="0" w:space="0" w:color="auto"/>
          </w:divBdr>
        </w:div>
        <w:div w:id="1284847365">
          <w:marLeft w:val="0"/>
          <w:marRight w:val="0"/>
          <w:marTop w:val="0"/>
          <w:marBottom w:val="0"/>
          <w:divBdr>
            <w:top w:val="none" w:sz="0" w:space="0" w:color="auto"/>
            <w:left w:val="none" w:sz="0" w:space="0" w:color="auto"/>
            <w:bottom w:val="none" w:sz="0" w:space="0" w:color="auto"/>
            <w:right w:val="none" w:sz="0" w:space="0" w:color="auto"/>
          </w:divBdr>
        </w:div>
      </w:divsChild>
    </w:div>
    <w:div w:id="1573002029">
      <w:bodyDiv w:val="1"/>
      <w:marLeft w:val="0"/>
      <w:marRight w:val="0"/>
      <w:marTop w:val="0"/>
      <w:marBottom w:val="0"/>
      <w:divBdr>
        <w:top w:val="none" w:sz="0" w:space="0" w:color="auto"/>
        <w:left w:val="none" w:sz="0" w:space="0" w:color="auto"/>
        <w:bottom w:val="none" w:sz="0" w:space="0" w:color="auto"/>
        <w:right w:val="none" w:sz="0" w:space="0" w:color="auto"/>
      </w:divBdr>
    </w:div>
    <w:div w:id="1581909522">
      <w:bodyDiv w:val="1"/>
      <w:marLeft w:val="0"/>
      <w:marRight w:val="0"/>
      <w:marTop w:val="0"/>
      <w:marBottom w:val="0"/>
      <w:divBdr>
        <w:top w:val="none" w:sz="0" w:space="0" w:color="auto"/>
        <w:left w:val="none" w:sz="0" w:space="0" w:color="auto"/>
        <w:bottom w:val="none" w:sz="0" w:space="0" w:color="auto"/>
        <w:right w:val="none" w:sz="0" w:space="0" w:color="auto"/>
      </w:divBdr>
    </w:div>
    <w:div w:id="1584296600">
      <w:bodyDiv w:val="1"/>
      <w:marLeft w:val="0"/>
      <w:marRight w:val="0"/>
      <w:marTop w:val="0"/>
      <w:marBottom w:val="0"/>
      <w:divBdr>
        <w:top w:val="none" w:sz="0" w:space="0" w:color="auto"/>
        <w:left w:val="none" w:sz="0" w:space="0" w:color="auto"/>
        <w:bottom w:val="none" w:sz="0" w:space="0" w:color="auto"/>
        <w:right w:val="none" w:sz="0" w:space="0" w:color="auto"/>
      </w:divBdr>
    </w:div>
    <w:div w:id="1588421898">
      <w:bodyDiv w:val="1"/>
      <w:marLeft w:val="0"/>
      <w:marRight w:val="0"/>
      <w:marTop w:val="0"/>
      <w:marBottom w:val="0"/>
      <w:divBdr>
        <w:top w:val="none" w:sz="0" w:space="0" w:color="auto"/>
        <w:left w:val="none" w:sz="0" w:space="0" w:color="auto"/>
        <w:bottom w:val="none" w:sz="0" w:space="0" w:color="auto"/>
        <w:right w:val="none" w:sz="0" w:space="0" w:color="auto"/>
      </w:divBdr>
      <w:divsChild>
        <w:div w:id="599291893">
          <w:marLeft w:val="0"/>
          <w:marRight w:val="0"/>
          <w:marTop w:val="0"/>
          <w:marBottom w:val="0"/>
          <w:divBdr>
            <w:top w:val="none" w:sz="0" w:space="0" w:color="auto"/>
            <w:left w:val="none" w:sz="0" w:space="0" w:color="auto"/>
            <w:bottom w:val="none" w:sz="0" w:space="0" w:color="auto"/>
            <w:right w:val="none" w:sz="0" w:space="0" w:color="auto"/>
          </w:divBdr>
        </w:div>
        <w:div w:id="707293568">
          <w:marLeft w:val="0"/>
          <w:marRight w:val="0"/>
          <w:marTop w:val="0"/>
          <w:marBottom w:val="0"/>
          <w:divBdr>
            <w:top w:val="none" w:sz="0" w:space="0" w:color="auto"/>
            <w:left w:val="none" w:sz="0" w:space="0" w:color="auto"/>
            <w:bottom w:val="none" w:sz="0" w:space="0" w:color="auto"/>
            <w:right w:val="none" w:sz="0" w:space="0" w:color="auto"/>
          </w:divBdr>
        </w:div>
      </w:divsChild>
    </w:div>
    <w:div w:id="1605650902">
      <w:bodyDiv w:val="1"/>
      <w:marLeft w:val="0"/>
      <w:marRight w:val="0"/>
      <w:marTop w:val="0"/>
      <w:marBottom w:val="0"/>
      <w:divBdr>
        <w:top w:val="none" w:sz="0" w:space="0" w:color="auto"/>
        <w:left w:val="none" w:sz="0" w:space="0" w:color="auto"/>
        <w:bottom w:val="none" w:sz="0" w:space="0" w:color="auto"/>
        <w:right w:val="none" w:sz="0" w:space="0" w:color="auto"/>
      </w:divBdr>
    </w:div>
    <w:div w:id="1606768612">
      <w:bodyDiv w:val="1"/>
      <w:marLeft w:val="0"/>
      <w:marRight w:val="0"/>
      <w:marTop w:val="0"/>
      <w:marBottom w:val="0"/>
      <w:divBdr>
        <w:top w:val="none" w:sz="0" w:space="0" w:color="auto"/>
        <w:left w:val="none" w:sz="0" w:space="0" w:color="auto"/>
        <w:bottom w:val="none" w:sz="0" w:space="0" w:color="auto"/>
        <w:right w:val="none" w:sz="0" w:space="0" w:color="auto"/>
      </w:divBdr>
    </w:div>
    <w:div w:id="1612977012">
      <w:bodyDiv w:val="1"/>
      <w:marLeft w:val="0"/>
      <w:marRight w:val="0"/>
      <w:marTop w:val="0"/>
      <w:marBottom w:val="0"/>
      <w:divBdr>
        <w:top w:val="none" w:sz="0" w:space="0" w:color="auto"/>
        <w:left w:val="none" w:sz="0" w:space="0" w:color="auto"/>
        <w:bottom w:val="none" w:sz="0" w:space="0" w:color="auto"/>
        <w:right w:val="none" w:sz="0" w:space="0" w:color="auto"/>
      </w:divBdr>
    </w:div>
    <w:div w:id="1618246342">
      <w:bodyDiv w:val="1"/>
      <w:marLeft w:val="0"/>
      <w:marRight w:val="0"/>
      <w:marTop w:val="0"/>
      <w:marBottom w:val="0"/>
      <w:divBdr>
        <w:top w:val="none" w:sz="0" w:space="0" w:color="auto"/>
        <w:left w:val="none" w:sz="0" w:space="0" w:color="auto"/>
        <w:bottom w:val="none" w:sz="0" w:space="0" w:color="auto"/>
        <w:right w:val="none" w:sz="0" w:space="0" w:color="auto"/>
      </w:divBdr>
    </w:div>
    <w:div w:id="1656185865">
      <w:bodyDiv w:val="1"/>
      <w:marLeft w:val="0"/>
      <w:marRight w:val="0"/>
      <w:marTop w:val="0"/>
      <w:marBottom w:val="0"/>
      <w:divBdr>
        <w:top w:val="none" w:sz="0" w:space="0" w:color="auto"/>
        <w:left w:val="none" w:sz="0" w:space="0" w:color="auto"/>
        <w:bottom w:val="none" w:sz="0" w:space="0" w:color="auto"/>
        <w:right w:val="none" w:sz="0" w:space="0" w:color="auto"/>
      </w:divBdr>
    </w:div>
    <w:div w:id="1678389415">
      <w:bodyDiv w:val="1"/>
      <w:marLeft w:val="0"/>
      <w:marRight w:val="0"/>
      <w:marTop w:val="0"/>
      <w:marBottom w:val="0"/>
      <w:divBdr>
        <w:top w:val="none" w:sz="0" w:space="0" w:color="auto"/>
        <w:left w:val="none" w:sz="0" w:space="0" w:color="auto"/>
        <w:bottom w:val="none" w:sz="0" w:space="0" w:color="auto"/>
        <w:right w:val="none" w:sz="0" w:space="0" w:color="auto"/>
      </w:divBdr>
    </w:div>
    <w:div w:id="1684358085">
      <w:bodyDiv w:val="1"/>
      <w:marLeft w:val="0"/>
      <w:marRight w:val="0"/>
      <w:marTop w:val="0"/>
      <w:marBottom w:val="0"/>
      <w:divBdr>
        <w:top w:val="none" w:sz="0" w:space="0" w:color="auto"/>
        <w:left w:val="none" w:sz="0" w:space="0" w:color="auto"/>
        <w:bottom w:val="none" w:sz="0" w:space="0" w:color="auto"/>
        <w:right w:val="none" w:sz="0" w:space="0" w:color="auto"/>
      </w:divBdr>
    </w:div>
    <w:div w:id="1686057293">
      <w:bodyDiv w:val="1"/>
      <w:marLeft w:val="0"/>
      <w:marRight w:val="0"/>
      <w:marTop w:val="0"/>
      <w:marBottom w:val="0"/>
      <w:divBdr>
        <w:top w:val="none" w:sz="0" w:space="0" w:color="auto"/>
        <w:left w:val="none" w:sz="0" w:space="0" w:color="auto"/>
        <w:bottom w:val="none" w:sz="0" w:space="0" w:color="auto"/>
        <w:right w:val="none" w:sz="0" w:space="0" w:color="auto"/>
      </w:divBdr>
    </w:div>
    <w:div w:id="1693654426">
      <w:bodyDiv w:val="1"/>
      <w:marLeft w:val="0"/>
      <w:marRight w:val="0"/>
      <w:marTop w:val="0"/>
      <w:marBottom w:val="0"/>
      <w:divBdr>
        <w:top w:val="none" w:sz="0" w:space="0" w:color="auto"/>
        <w:left w:val="none" w:sz="0" w:space="0" w:color="auto"/>
        <w:bottom w:val="none" w:sz="0" w:space="0" w:color="auto"/>
        <w:right w:val="none" w:sz="0" w:space="0" w:color="auto"/>
      </w:divBdr>
    </w:div>
    <w:div w:id="1694914513">
      <w:bodyDiv w:val="1"/>
      <w:marLeft w:val="0"/>
      <w:marRight w:val="0"/>
      <w:marTop w:val="0"/>
      <w:marBottom w:val="0"/>
      <w:divBdr>
        <w:top w:val="none" w:sz="0" w:space="0" w:color="auto"/>
        <w:left w:val="none" w:sz="0" w:space="0" w:color="auto"/>
        <w:bottom w:val="none" w:sz="0" w:space="0" w:color="auto"/>
        <w:right w:val="none" w:sz="0" w:space="0" w:color="auto"/>
      </w:divBdr>
    </w:div>
    <w:div w:id="1738164858">
      <w:bodyDiv w:val="1"/>
      <w:marLeft w:val="0"/>
      <w:marRight w:val="0"/>
      <w:marTop w:val="0"/>
      <w:marBottom w:val="0"/>
      <w:divBdr>
        <w:top w:val="none" w:sz="0" w:space="0" w:color="auto"/>
        <w:left w:val="none" w:sz="0" w:space="0" w:color="auto"/>
        <w:bottom w:val="none" w:sz="0" w:space="0" w:color="auto"/>
        <w:right w:val="none" w:sz="0" w:space="0" w:color="auto"/>
      </w:divBdr>
    </w:div>
    <w:div w:id="1746299287">
      <w:bodyDiv w:val="1"/>
      <w:marLeft w:val="0"/>
      <w:marRight w:val="0"/>
      <w:marTop w:val="0"/>
      <w:marBottom w:val="0"/>
      <w:divBdr>
        <w:top w:val="none" w:sz="0" w:space="0" w:color="auto"/>
        <w:left w:val="none" w:sz="0" w:space="0" w:color="auto"/>
        <w:bottom w:val="none" w:sz="0" w:space="0" w:color="auto"/>
        <w:right w:val="none" w:sz="0" w:space="0" w:color="auto"/>
      </w:divBdr>
    </w:div>
    <w:div w:id="1766804972">
      <w:bodyDiv w:val="1"/>
      <w:marLeft w:val="0"/>
      <w:marRight w:val="0"/>
      <w:marTop w:val="0"/>
      <w:marBottom w:val="0"/>
      <w:divBdr>
        <w:top w:val="none" w:sz="0" w:space="0" w:color="auto"/>
        <w:left w:val="none" w:sz="0" w:space="0" w:color="auto"/>
        <w:bottom w:val="none" w:sz="0" w:space="0" w:color="auto"/>
        <w:right w:val="none" w:sz="0" w:space="0" w:color="auto"/>
      </w:divBdr>
    </w:div>
    <w:div w:id="1776167196">
      <w:bodyDiv w:val="1"/>
      <w:marLeft w:val="0"/>
      <w:marRight w:val="0"/>
      <w:marTop w:val="0"/>
      <w:marBottom w:val="0"/>
      <w:divBdr>
        <w:top w:val="none" w:sz="0" w:space="0" w:color="auto"/>
        <w:left w:val="none" w:sz="0" w:space="0" w:color="auto"/>
        <w:bottom w:val="none" w:sz="0" w:space="0" w:color="auto"/>
        <w:right w:val="none" w:sz="0" w:space="0" w:color="auto"/>
      </w:divBdr>
      <w:divsChild>
        <w:div w:id="1732313422">
          <w:marLeft w:val="0"/>
          <w:marRight w:val="0"/>
          <w:marTop w:val="0"/>
          <w:marBottom w:val="0"/>
          <w:divBdr>
            <w:top w:val="none" w:sz="0" w:space="0" w:color="auto"/>
            <w:left w:val="none" w:sz="0" w:space="0" w:color="auto"/>
            <w:bottom w:val="none" w:sz="0" w:space="0" w:color="auto"/>
            <w:right w:val="none" w:sz="0" w:space="0" w:color="auto"/>
          </w:divBdr>
        </w:div>
        <w:div w:id="102573775">
          <w:marLeft w:val="0"/>
          <w:marRight w:val="0"/>
          <w:marTop w:val="0"/>
          <w:marBottom w:val="0"/>
          <w:divBdr>
            <w:top w:val="none" w:sz="0" w:space="0" w:color="auto"/>
            <w:left w:val="none" w:sz="0" w:space="0" w:color="auto"/>
            <w:bottom w:val="none" w:sz="0" w:space="0" w:color="auto"/>
            <w:right w:val="none" w:sz="0" w:space="0" w:color="auto"/>
          </w:divBdr>
        </w:div>
      </w:divsChild>
    </w:div>
    <w:div w:id="1784228997">
      <w:bodyDiv w:val="1"/>
      <w:marLeft w:val="0"/>
      <w:marRight w:val="0"/>
      <w:marTop w:val="0"/>
      <w:marBottom w:val="0"/>
      <w:divBdr>
        <w:top w:val="none" w:sz="0" w:space="0" w:color="auto"/>
        <w:left w:val="none" w:sz="0" w:space="0" w:color="auto"/>
        <w:bottom w:val="none" w:sz="0" w:space="0" w:color="auto"/>
        <w:right w:val="none" w:sz="0" w:space="0" w:color="auto"/>
      </w:divBdr>
    </w:div>
    <w:div w:id="1788431509">
      <w:bodyDiv w:val="1"/>
      <w:marLeft w:val="0"/>
      <w:marRight w:val="0"/>
      <w:marTop w:val="0"/>
      <w:marBottom w:val="0"/>
      <w:divBdr>
        <w:top w:val="none" w:sz="0" w:space="0" w:color="auto"/>
        <w:left w:val="none" w:sz="0" w:space="0" w:color="auto"/>
        <w:bottom w:val="none" w:sz="0" w:space="0" w:color="auto"/>
        <w:right w:val="none" w:sz="0" w:space="0" w:color="auto"/>
      </w:divBdr>
    </w:div>
    <w:div w:id="1794322521">
      <w:bodyDiv w:val="1"/>
      <w:marLeft w:val="0"/>
      <w:marRight w:val="0"/>
      <w:marTop w:val="0"/>
      <w:marBottom w:val="0"/>
      <w:divBdr>
        <w:top w:val="none" w:sz="0" w:space="0" w:color="auto"/>
        <w:left w:val="none" w:sz="0" w:space="0" w:color="auto"/>
        <w:bottom w:val="none" w:sz="0" w:space="0" w:color="auto"/>
        <w:right w:val="none" w:sz="0" w:space="0" w:color="auto"/>
      </w:divBdr>
    </w:div>
    <w:div w:id="1803956545">
      <w:bodyDiv w:val="1"/>
      <w:marLeft w:val="0"/>
      <w:marRight w:val="0"/>
      <w:marTop w:val="0"/>
      <w:marBottom w:val="0"/>
      <w:divBdr>
        <w:top w:val="none" w:sz="0" w:space="0" w:color="auto"/>
        <w:left w:val="none" w:sz="0" w:space="0" w:color="auto"/>
        <w:bottom w:val="none" w:sz="0" w:space="0" w:color="auto"/>
        <w:right w:val="none" w:sz="0" w:space="0" w:color="auto"/>
      </w:divBdr>
    </w:div>
    <w:div w:id="1810318030">
      <w:bodyDiv w:val="1"/>
      <w:marLeft w:val="0"/>
      <w:marRight w:val="0"/>
      <w:marTop w:val="0"/>
      <w:marBottom w:val="0"/>
      <w:divBdr>
        <w:top w:val="none" w:sz="0" w:space="0" w:color="auto"/>
        <w:left w:val="none" w:sz="0" w:space="0" w:color="auto"/>
        <w:bottom w:val="none" w:sz="0" w:space="0" w:color="auto"/>
        <w:right w:val="none" w:sz="0" w:space="0" w:color="auto"/>
      </w:divBdr>
      <w:divsChild>
        <w:div w:id="764111729">
          <w:marLeft w:val="0"/>
          <w:marRight w:val="0"/>
          <w:marTop w:val="0"/>
          <w:marBottom w:val="0"/>
          <w:divBdr>
            <w:top w:val="none" w:sz="0" w:space="0" w:color="auto"/>
            <w:left w:val="none" w:sz="0" w:space="0" w:color="auto"/>
            <w:bottom w:val="none" w:sz="0" w:space="0" w:color="auto"/>
            <w:right w:val="none" w:sz="0" w:space="0" w:color="auto"/>
          </w:divBdr>
        </w:div>
        <w:div w:id="1970622299">
          <w:marLeft w:val="0"/>
          <w:marRight w:val="0"/>
          <w:marTop w:val="0"/>
          <w:marBottom w:val="0"/>
          <w:divBdr>
            <w:top w:val="none" w:sz="0" w:space="0" w:color="auto"/>
            <w:left w:val="none" w:sz="0" w:space="0" w:color="auto"/>
            <w:bottom w:val="none" w:sz="0" w:space="0" w:color="auto"/>
            <w:right w:val="none" w:sz="0" w:space="0" w:color="auto"/>
          </w:divBdr>
        </w:div>
      </w:divsChild>
    </w:div>
    <w:div w:id="1814520758">
      <w:bodyDiv w:val="1"/>
      <w:marLeft w:val="0"/>
      <w:marRight w:val="0"/>
      <w:marTop w:val="0"/>
      <w:marBottom w:val="0"/>
      <w:divBdr>
        <w:top w:val="none" w:sz="0" w:space="0" w:color="auto"/>
        <w:left w:val="none" w:sz="0" w:space="0" w:color="auto"/>
        <w:bottom w:val="none" w:sz="0" w:space="0" w:color="auto"/>
        <w:right w:val="none" w:sz="0" w:space="0" w:color="auto"/>
      </w:divBdr>
    </w:div>
    <w:div w:id="1838032559">
      <w:bodyDiv w:val="1"/>
      <w:marLeft w:val="0"/>
      <w:marRight w:val="0"/>
      <w:marTop w:val="0"/>
      <w:marBottom w:val="0"/>
      <w:divBdr>
        <w:top w:val="none" w:sz="0" w:space="0" w:color="auto"/>
        <w:left w:val="none" w:sz="0" w:space="0" w:color="auto"/>
        <w:bottom w:val="none" w:sz="0" w:space="0" w:color="auto"/>
        <w:right w:val="none" w:sz="0" w:space="0" w:color="auto"/>
      </w:divBdr>
    </w:div>
    <w:div w:id="1839808880">
      <w:bodyDiv w:val="1"/>
      <w:marLeft w:val="0"/>
      <w:marRight w:val="0"/>
      <w:marTop w:val="0"/>
      <w:marBottom w:val="0"/>
      <w:divBdr>
        <w:top w:val="none" w:sz="0" w:space="0" w:color="auto"/>
        <w:left w:val="none" w:sz="0" w:space="0" w:color="auto"/>
        <w:bottom w:val="none" w:sz="0" w:space="0" w:color="auto"/>
        <w:right w:val="none" w:sz="0" w:space="0" w:color="auto"/>
      </w:divBdr>
    </w:div>
    <w:div w:id="1842499080">
      <w:bodyDiv w:val="1"/>
      <w:marLeft w:val="0"/>
      <w:marRight w:val="0"/>
      <w:marTop w:val="0"/>
      <w:marBottom w:val="0"/>
      <w:divBdr>
        <w:top w:val="none" w:sz="0" w:space="0" w:color="auto"/>
        <w:left w:val="none" w:sz="0" w:space="0" w:color="auto"/>
        <w:bottom w:val="none" w:sz="0" w:space="0" w:color="auto"/>
        <w:right w:val="none" w:sz="0" w:space="0" w:color="auto"/>
      </w:divBdr>
    </w:div>
    <w:div w:id="1844516126">
      <w:bodyDiv w:val="1"/>
      <w:marLeft w:val="0"/>
      <w:marRight w:val="0"/>
      <w:marTop w:val="0"/>
      <w:marBottom w:val="0"/>
      <w:divBdr>
        <w:top w:val="none" w:sz="0" w:space="0" w:color="auto"/>
        <w:left w:val="none" w:sz="0" w:space="0" w:color="auto"/>
        <w:bottom w:val="none" w:sz="0" w:space="0" w:color="auto"/>
        <w:right w:val="none" w:sz="0" w:space="0" w:color="auto"/>
      </w:divBdr>
    </w:div>
    <w:div w:id="1858078050">
      <w:bodyDiv w:val="1"/>
      <w:marLeft w:val="0"/>
      <w:marRight w:val="0"/>
      <w:marTop w:val="0"/>
      <w:marBottom w:val="0"/>
      <w:divBdr>
        <w:top w:val="none" w:sz="0" w:space="0" w:color="auto"/>
        <w:left w:val="none" w:sz="0" w:space="0" w:color="auto"/>
        <w:bottom w:val="none" w:sz="0" w:space="0" w:color="auto"/>
        <w:right w:val="none" w:sz="0" w:space="0" w:color="auto"/>
      </w:divBdr>
      <w:divsChild>
        <w:div w:id="168524618">
          <w:marLeft w:val="0"/>
          <w:marRight w:val="0"/>
          <w:marTop w:val="0"/>
          <w:marBottom w:val="0"/>
          <w:divBdr>
            <w:top w:val="none" w:sz="0" w:space="0" w:color="auto"/>
            <w:left w:val="none" w:sz="0" w:space="0" w:color="auto"/>
            <w:bottom w:val="none" w:sz="0" w:space="0" w:color="auto"/>
            <w:right w:val="none" w:sz="0" w:space="0" w:color="auto"/>
          </w:divBdr>
        </w:div>
      </w:divsChild>
    </w:div>
    <w:div w:id="1903829684">
      <w:bodyDiv w:val="1"/>
      <w:marLeft w:val="0"/>
      <w:marRight w:val="0"/>
      <w:marTop w:val="0"/>
      <w:marBottom w:val="0"/>
      <w:divBdr>
        <w:top w:val="none" w:sz="0" w:space="0" w:color="auto"/>
        <w:left w:val="none" w:sz="0" w:space="0" w:color="auto"/>
        <w:bottom w:val="none" w:sz="0" w:space="0" w:color="auto"/>
        <w:right w:val="none" w:sz="0" w:space="0" w:color="auto"/>
      </w:divBdr>
    </w:div>
    <w:div w:id="1906648570">
      <w:bodyDiv w:val="1"/>
      <w:marLeft w:val="0"/>
      <w:marRight w:val="0"/>
      <w:marTop w:val="0"/>
      <w:marBottom w:val="0"/>
      <w:divBdr>
        <w:top w:val="none" w:sz="0" w:space="0" w:color="auto"/>
        <w:left w:val="none" w:sz="0" w:space="0" w:color="auto"/>
        <w:bottom w:val="none" w:sz="0" w:space="0" w:color="auto"/>
        <w:right w:val="none" w:sz="0" w:space="0" w:color="auto"/>
      </w:divBdr>
    </w:div>
    <w:div w:id="1908416303">
      <w:bodyDiv w:val="1"/>
      <w:marLeft w:val="0"/>
      <w:marRight w:val="0"/>
      <w:marTop w:val="0"/>
      <w:marBottom w:val="0"/>
      <w:divBdr>
        <w:top w:val="none" w:sz="0" w:space="0" w:color="auto"/>
        <w:left w:val="none" w:sz="0" w:space="0" w:color="auto"/>
        <w:bottom w:val="none" w:sz="0" w:space="0" w:color="auto"/>
        <w:right w:val="none" w:sz="0" w:space="0" w:color="auto"/>
      </w:divBdr>
    </w:div>
    <w:div w:id="1916280351">
      <w:bodyDiv w:val="1"/>
      <w:marLeft w:val="0"/>
      <w:marRight w:val="0"/>
      <w:marTop w:val="0"/>
      <w:marBottom w:val="0"/>
      <w:divBdr>
        <w:top w:val="none" w:sz="0" w:space="0" w:color="auto"/>
        <w:left w:val="none" w:sz="0" w:space="0" w:color="auto"/>
        <w:bottom w:val="none" w:sz="0" w:space="0" w:color="auto"/>
        <w:right w:val="none" w:sz="0" w:space="0" w:color="auto"/>
      </w:divBdr>
    </w:div>
    <w:div w:id="1924143920">
      <w:bodyDiv w:val="1"/>
      <w:marLeft w:val="0"/>
      <w:marRight w:val="0"/>
      <w:marTop w:val="0"/>
      <w:marBottom w:val="0"/>
      <w:divBdr>
        <w:top w:val="none" w:sz="0" w:space="0" w:color="auto"/>
        <w:left w:val="none" w:sz="0" w:space="0" w:color="auto"/>
        <w:bottom w:val="none" w:sz="0" w:space="0" w:color="auto"/>
        <w:right w:val="none" w:sz="0" w:space="0" w:color="auto"/>
      </w:divBdr>
    </w:div>
    <w:div w:id="1932079947">
      <w:bodyDiv w:val="1"/>
      <w:marLeft w:val="0"/>
      <w:marRight w:val="0"/>
      <w:marTop w:val="0"/>
      <w:marBottom w:val="0"/>
      <w:divBdr>
        <w:top w:val="none" w:sz="0" w:space="0" w:color="auto"/>
        <w:left w:val="none" w:sz="0" w:space="0" w:color="auto"/>
        <w:bottom w:val="none" w:sz="0" w:space="0" w:color="auto"/>
        <w:right w:val="none" w:sz="0" w:space="0" w:color="auto"/>
      </w:divBdr>
    </w:div>
    <w:div w:id="1932740037">
      <w:bodyDiv w:val="1"/>
      <w:marLeft w:val="0"/>
      <w:marRight w:val="0"/>
      <w:marTop w:val="0"/>
      <w:marBottom w:val="0"/>
      <w:divBdr>
        <w:top w:val="none" w:sz="0" w:space="0" w:color="auto"/>
        <w:left w:val="none" w:sz="0" w:space="0" w:color="auto"/>
        <w:bottom w:val="none" w:sz="0" w:space="0" w:color="auto"/>
        <w:right w:val="none" w:sz="0" w:space="0" w:color="auto"/>
      </w:divBdr>
    </w:div>
    <w:div w:id="1945727215">
      <w:bodyDiv w:val="1"/>
      <w:marLeft w:val="0"/>
      <w:marRight w:val="0"/>
      <w:marTop w:val="0"/>
      <w:marBottom w:val="0"/>
      <w:divBdr>
        <w:top w:val="none" w:sz="0" w:space="0" w:color="auto"/>
        <w:left w:val="none" w:sz="0" w:space="0" w:color="auto"/>
        <w:bottom w:val="none" w:sz="0" w:space="0" w:color="auto"/>
        <w:right w:val="none" w:sz="0" w:space="0" w:color="auto"/>
      </w:divBdr>
    </w:div>
    <w:div w:id="1947276338">
      <w:bodyDiv w:val="1"/>
      <w:marLeft w:val="0"/>
      <w:marRight w:val="0"/>
      <w:marTop w:val="0"/>
      <w:marBottom w:val="0"/>
      <w:divBdr>
        <w:top w:val="none" w:sz="0" w:space="0" w:color="auto"/>
        <w:left w:val="none" w:sz="0" w:space="0" w:color="auto"/>
        <w:bottom w:val="none" w:sz="0" w:space="0" w:color="auto"/>
        <w:right w:val="none" w:sz="0" w:space="0" w:color="auto"/>
      </w:divBdr>
    </w:div>
    <w:div w:id="1960258643">
      <w:bodyDiv w:val="1"/>
      <w:marLeft w:val="0"/>
      <w:marRight w:val="0"/>
      <w:marTop w:val="0"/>
      <w:marBottom w:val="0"/>
      <w:divBdr>
        <w:top w:val="none" w:sz="0" w:space="0" w:color="auto"/>
        <w:left w:val="none" w:sz="0" w:space="0" w:color="auto"/>
        <w:bottom w:val="none" w:sz="0" w:space="0" w:color="auto"/>
        <w:right w:val="none" w:sz="0" w:space="0" w:color="auto"/>
      </w:divBdr>
      <w:divsChild>
        <w:div w:id="749544727">
          <w:marLeft w:val="0"/>
          <w:marRight w:val="0"/>
          <w:marTop w:val="0"/>
          <w:marBottom w:val="0"/>
          <w:divBdr>
            <w:top w:val="none" w:sz="0" w:space="0" w:color="auto"/>
            <w:left w:val="none" w:sz="0" w:space="0" w:color="auto"/>
            <w:bottom w:val="none" w:sz="0" w:space="0" w:color="auto"/>
            <w:right w:val="none" w:sz="0" w:space="0" w:color="auto"/>
          </w:divBdr>
        </w:div>
      </w:divsChild>
    </w:div>
    <w:div w:id="1971207351">
      <w:bodyDiv w:val="1"/>
      <w:marLeft w:val="0"/>
      <w:marRight w:val="0"/>
      <w:marTop w:val="0"/>
      <w:marBottom w:val="0"/>
      <w:divBdr>
        <w:top w:val="none" w:sz="0" w:space="0" w:color="auto"/>
        <w:left w:val="none" w:sz="0" w:space="0" w:color="auto"/>
        <w:bottom w:val="none" w:sz="0" w:space="0" w:color="auto"/>
        <w:right w:val="none" w:sz="0" w:space="0" w:color="auto"/>
      </w:divBdr>
    </w:div>
    <w:div w:id="1975789675">
      <w:bodyDiv w:val="1"/>
      <w:marLeft w:val="0"/>
      <w:marRight w:val="0"/>
      <w:marTop w:val="0"/>
      <w:marBottom w:val="0"/>
      <w:divBdr>
        <w:top w:val="none" w:sz="0" w:space="0" w:color="auto"/>
        <w:left w:val="none" w:sz="0" w:space="0" w:color="auto"/>
        <w:bottom w:val="none" w:sz="0" w:space="0" w:color="auto"/>
        <w:right w:val="none" w:sz="0" w:space="0" w:color="auto"/>
      </w:divBdr>
    </w:div>
    <w:div w:id="1982730402">
      <w:bodyDiv w:val="1"/>
      <w:marLeft w:val="0"/>
      <w:marRight w:val="0"/>
      <w:marTop w:val="0"/>
      <w:marBottom w:val="0"/>
      <w:divBdr>
        <w:top w:val="none" w:sz="0" w:space="0" w:color="auto"/>
        <w:left w:val="none" w:sz="0" w:space="0" w:color="auto"/>
        <w:bottom w:val="none" w:sz="0" w:space="0" w:color="auto"/>
        <w:right w:val="none" w:sz="0" w:space="0" w:color="auto"/>
      </w:divBdr>
    </w:div>
    <w:div w:id="1986811364">
      <w:bodyDiv w:val="1"/>
      <w:marLeft w:val="0"/>
      <w:marRight w:val="0"/>
      <w:marTop w:val="0"/>
      <w:marBottom w:val="0"/>
      <w:divBdr>
        <w:top w:val="none" w:sz="0" w:space="0" w:color="auto"/>
        <w:left w:val="none" w:sz="0" w:space="0" w:color="auto"/>
        <w:bottom w:val="none" w:sz="0" w:space="0" w:color="auto"/>
        <w:right w:val="none" w:sz="0" w:space="0" w:color="auto"/>
      </w:divBdr>
    </w:div>
    <w:div w:id="1997879802">
      <w:bodyDiv w:val="1"/>
      <w:marLeft w:val="0"/>
      <w:marRight w:val="0"/>
      <w:marTop w:val="0"/>
      <w:marBottom w:val="0"/>
      <w:divBdr>
        <w:top w:val="none" w:sz="0" w:space="0" w:color="auto"/>
        <w:left w:val="none" w:sz="0" w:space="0" w:color="auto"/>
        <w:bottom w:val="none" w:sz="0" w:space="0" w:color="auto"/>
        <w:right w:val="none" w:sz="0" w:space="0" w:color="auto"/>
      </w:divBdr>
    </w:div>
    <w:div w:id="2000690682">
      <w:bodyDiv w:val="1"/>
      <w:marLeft w:val="0"/>
      <w:marRight w:val="0"/>
      <w:marTop w:val="0"/>
      <w:marBottom w:val="0"/>
      <w:divBdr>
        <w:top w:val="none" w:sz="0" w:space="0" w:color="auto"/>
        <w:left w:val="none" w:sz="0" w:space="0" w:color="auto"/>
        <w:bottom w:val="none" w:sz="0" w:space="0" w:color="auto"/>
        <w:right w:val="none" w:sz="0" w:space="0" w:color="auto"/>
      </w:divBdr>
    </w:div>
    <w:div w:id="2026861763">
      <w:bodyDiv w:val="1"/>
      <w:marLeft w:val="0"/>
      <w:marRight w:val="0"/>
      <w:marTop w:val="0"/>
      <w:marBottom w:val="0"/>
      <w:divBdr>
        <w:top w:val="none" w:sz="0" w:space="0" w:color="auto"/>
        <w:left w:val="none" w:sz="0" w:space="0" w:color="auto"/>
        <w:bottom w:val="none" w:sz="0" w:space="0" w:color="auto"/>
        <w:right w:val="none" w:sz="0" w:space="0" w:color="auto"/>
      </w:divBdr>
    </w:div>
    <w:div w:id="2053309319">
      <w:bodyDiv w:val="1"/>
      <w:marLeft w:val="0"/>
      <w:marRight w:val="0"/>
      <w:marTop w:val="0"/>
      <w:marBottom w:val="0"/>
      <w:divBdr>
        <w:top w:val="none" w:sz="0" w:space="0" w:color="auto"/>
        <w:left w:val="none" w:sz="0" w:space="0" w:color="auto"/>
        <w:bottom w:val="none" w:sz="0" w:space="0" w:color="auto"/>
        <w:right w:val="none" w:sz="0" w:space="0" w:color="auto"/>
      </w:divBdr>
    </w:div>
    <w:div w:id="2053798929">
      <w:bodyDiv w:val="1"/>
      <w:marLeft w:val="0"/>
      <w:marRight w:val="0"/>
      <w:marTop w:val="0"/>
      <w:marBottom w:val="0"/>
      <w:divBdr>
        <w:top w:val="none" w:sz="0" w:space="0" w:color="auto"/>
        <w:left w:val="none" w:sz="0" w:space="0" w:color="auto"/>
        <w:bottom w:val="none" w:sz="0" w:space="0" w:color="auto"/>
        <w:right w:val="none" w:sz="0" w:space="0" w:color="auto"/>
      </w:divBdr>
    </w:div>
    <w:div w:id="2054495065">
      <w:bodyDiv w:val="1"/>
      <w:marLeft w:val="0"/>
      <w:marRight w:val="0"/>
      <w:marTop w:val="0"/>
      <w:marBottom w:val="0"/>
      <w:divBdr>
        <w:top w:val="none" w:sz="0" w:space="0" w:color="auto"/>
        <w:left w:val="none" w:sz="0" w:space="0" w:color="auto"/>
        <w:bottom w:val="none" w:sz="0" w:space="0" w:color="auto"/>
        <w:right w:val="none" w:sz="0" w:space="0" w:color="auto"/>
      </w:divBdr>
    </w:div>
    <w:div w:id="2067486309">
      <w:bodyDiv w:val="1"/>
      <w:marLeft w:val="0"/>
      <w:marRight w:val="0"/>
      <w:marTop w:val="0"/>
      <w:marBottom w:val="0"/>
      <w:divBdr>
        <w:top w:val="none" w:sz="0" w:space="0" w:color="auto"/>
        <w:left w:val="none" w:sz="0" w:space="0" w:color="auto"/>
        <w:bottom w:val="none" w:sz="0" w:space="0" w:color="auto"/>
        <w:right w:val="none" w:sz="0" w:space="0" w:color="auto"/>
      </w:divBdr>
    </w:div>
    <w:div w:id="2069524221">
      <w:bodyDiv w:val="1"/>
      <w:marLeft w:val="0"/>
      <w:marRight w:val="0"/>
      <w:marTop w:val="0"/>
      <w:marBottom w:val="0"/>
      <w:divBdr>
        <w:top w:val="none" w:sz="0" w:space="0" w:color="auto"/>
        <w:left w:val="none" w:sz="0" w:space="0" w:color="auto"/>
        <w:bottom w:val="none" w:sz="0" w:space="0" w:color="auto"/>
        <w:right w:val="none" w:sz="0" w:space="0" w:color="auto"/>
      </w:divBdr>
    </w:div>
    <w:div w:id="2070763255">
      <w:bodyDiv w:val="1"/>
      <w:marLeft w:val="0"/>
      <w:marRight w:val="0"/>
      <w:marTop w:val="0"/>
      <w:marBottom w:val="0"/>
      <w:divBdr>
        <w:top w:val="none" w:sz="0" w:space="0" w:color="auto"/>
        <w:left w:val="none" w:sz="0" w:space="0" w:color="auto"/>
        <w:bottom w:val="none" w:sz="0" w:space="0" w:color="auto"/>
        <w:right w:val="none" w:sz="0" w:space="0" w:color="auto"/>
      </w:divBdr>
    </w:div>
    <w:div w:id="2090957311">
      <w:bodyDiv w:val="1"/>
      <w:marLeft w:val="0"/>
      <w:marRight w:val="0"/>
      <w:marTop w:val="0"/>
      <w:marBottom w:val="0"/>
      <w:divBdr>
        <w:top w:val="none" w:sz="0" w:space="0" w:color="auto"/>
        <w:left w:val="none" w:sz="0" w:space="0" w:color="auto"/>
        <w:bottom w:val="none" w:sz="0" w:space="0" w:color="auto"/>
        <w:right w:val="none" w:sz="0" w:space="0" w:color="auto"/>
      </w:divBdr>
    </w:div>
    <w:div w:id="2095391918">
      <w:bodyDiv w:val="1"/>
      <w:marLeft w:val="0"/>
      <w:marRight w:val="0"/>
      <w:marTop w:val="0"/>
      <w:marBottom w:val="0"/>
      <w:divBdr>
        <w:top w:val="none" w:sz="0" w:space="0" w:color="auto"/>
        <w:left w:val="none" w:sz="0" w:space="0" w:color="auto"/>
        <w:bottom w:val="none" w:sz="0" w:space="0" w:color="auto"/>
        <w:right w:val="none" w:sz="0" w:space="0" w:color="auto"/>
      </w:divBdr>
    </w:div>
    <w:div w:id="2114353483">
      <w:bodyDiv w:val="1"/>
      <w:marLeft w:val="0"/>
      <w:marRight w:val="0"/>
      <w:marTop w:val="0"/>
      <w:marBottom w:val="0"/>
      <w:divBdr>
        <w:top w:val="none" w:sz="0" w:space="0" w:color="auto"/>
        <w:left w:val="none" w:sz="0" w:space="0" w:color="auto"/>
        <w:bottom w:val="none" w:sz="0" w:space="0" w:color="auto"/>
        <w:right w:val="none" w:sz="0" w:space="0" w:color="auto"/>
      </w:divBdr>
    </w:div>
    <w:div w:id="2123721933">
      <w:bodyDiv w:val="1"/>
      <w:marLeft w:val="0"/>
      <w:marRight w:val="0"/>
      <w:marTop w:val="0"/>
      <w:marBottom w:val="0"/>
      <w:divBdr>
        <w:top w:val="none" w:sz="0" w:space="0" w:color="auto"/>
        <w:left w:val="none" w:sz="0" w:space="0" w:color="auto"/>
        <w:bottom w:val="none" w:sz="0" w:space="0" w:color="auto"/>
        <w:right w:val="none" w:sz="0" w:space="0" w:color="auto"/>
      </w:divBdr>
    </w:div>
    <w:div w:id="2128962121">
      <w:bodyDiv w:val="1"/>
      <w:marLeft w:val="0"/>
      <w:marRight w:val="0"/>
      <w:marTop w:val="0"/>
      <w:marBottom w:val="0"/>
      <w:divBdr>
        <w:top w:val="none" w:sz="0" w:space="0" w:color="auto"/>
        <w:left w:val="none" w:sz="0" w:space="0" w:color="auto"/>
        <w:bottom w:val="none" w:sz="0" w:space="0" w:color="auto"/>
        <w:right w:val="none" w:sz="0" w:space="0" w:color="auto"/>
      </w:divBdr>
      <w:divsChild>
        <w:div w:id="2108501422">
          <w:marLeft w:val="0"/>
          <w:marRight w:val="0"/>
          <w:marTop w:val="0"/>
          <w:marBottom w:val="0"/>
          <w:divBdr>
            <w:top w:val="none" w:sz="0" w:space="0" w:color="auto"/>
            <w:left w:val="none" w:sz="0" w:space="0" w:color="auto"/>
            <w:bottom w:val="none" w:sz="0" w:space="0" w:color="auto"/>
            <w:right w:val="none" w:sz="0" w:space="0" w:color="auto"/>
          </w:divBdr>
        </w:div>
      </w:divsChild>
    </w:div>
    <w:div w:id="214361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uri=CELEX%3A32019L0633&amp;qid=176457159642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ur-lex.europa.eu/legal-content/RO/TXT/?uri=CELEX:32019L0633&amp;qid=176457159642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eur-lex.europa.eu/legal-content/EN/TXT/?uri=CELEX%3A32019L0633&amp;qid=1764571596422" TargetMode="External"/><Relationship Id="rId4" Type="http://schemas.openxmlformats.org/officeDocument/2006/relationships/webSettings" Target="webSettings.xml"/><Relationship Id="rId9" Type="http://schemas.openxmlformats.org/officeDocument/2006/relationships/hyperlink" Target="https://eur-lex.europa.eu/legal-content/RO/TXT/?uri=CELEX:32019L0633&amp;qid=1764571596422"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16430</Words>
  <Characters>95297</Characters>
  <Application>Microsoft Office Word</Application>
  <DocSecurity>0</DocSecurity>
  <Lines>794</Lines>
  <Paragraphs>223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MAIA</dc:creator>
  <cp:keywords/>
  <dc:description/>
  <cp:lastModifiedBy>анжела кирияк</cp:lastModifiedBy>
  <cp:revision>2</cp:revision>
  <dcterms:created xsi:type="dcterms:W3CDTF">2026-09-30T13:03:00Z</dcterms:created>
  <dcterms:modified xsi:type="dcterms:W3CDTF">2026-09-30T13:03:00Z</dcterms:modified>
</cp:coreProperties>
</file>