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55C" w:rsidRPr="003657A9" w:rsidRDefault="00E13DB7">
      <w:pPr>
        <w:spacing w:after="40"/>
        <w:jc w:val="center"/>
        <w:rPr>
          <w:rFonts w:cs="Times New Roman"/>
          <w:lang w:val="ro-MO"/>
        </w:rPr>
      </w:pPr>
      <w:r w:rsidRPr="003657A9">
        <w:rPr>
          <w:rFonts w:cs="Times New Roman"/>
          <w:b/>
          <w:lang w:val="ro-MO"/>
        </w:rPr>
        <w:t>UAT COMUNA PRODĂNEȘTI</w:t>
      </w:r>
    </w:p>
    <w:p w:rsidR="003E655C" w:rsidRPr="003657A9" w:rsidRDefault="003E655C">
      <w:pPr>
        <w:spacing w:after="40"/>
        <w:jc w:val="center"/>
        <w:rPr>
          <w:rFonts w:cs="Times New Roman"/>
          <w:lang w:val="ro-MO"/>
        </w:rPr>
      </w:pPr>
    </w:p>
    <w:p w:rsidR="003E655C" w:rsidRPr="003657A9" w:rsidRDefault="00E13DB7" w:rsidP="001B52F2">
      <w:pPr>
        <w:spacing w:after="0" w:line="240" w:lineRule="auto"/>
        <w:jc w:val="center"/>
        <w:rPr>
          <w:rFonts w:cs="Times New Roman"/>
          <w:lang w:val="ro-MO"/>
        </w:rPr>
      </w:pPr>
      <w:r w:rsidRPr="003657A9">
        <w:rPr>
          <w:rFonts w:cs="Times New Roman"/>
          <w:b/>
          <w:lang w:val="ro-MO"/>
        </w:rPr>
        <w:t>TABEL DE SINTEZĂ</w:t>
      </w:r>
    </w:p>
    <w:p w:rsidR="001B52F2" w:rsidRPr="003657A9" w:rsidRDefault="00E13DB7" w:rsidP="001B52F2">
      <w:pPr>
        <w:spacing w:after="0" w:line="240" w:lineRule="auto"/>
        <w:jc w:val="center"/>
        <w:rPr>
          <w:rFonts w:cs="Times New Roman"/>
          <w:b/>
          <w:lang w:val="ro-MO"/>
        </w:rPr>
      </w:pPr>
      <w:r w:rsidRPr="003657A9">
        <w:rPr>
          <w:rFonts w:cs="Times New Roman"/>
          <w:b/>
          <w:lang w:val="ro-MO"/>
        </w:rPr>
        <w:t xml:space="preserve">a întrebărilor, problemelor, opiniilor și propunerilor </w:t>
      </w:r>
    </w:p>
    <w:p w:rsidR="001B52F2" w:rsidRPr="003657A9" w:rsidRDefault="00E13DB7" w:rsidP="001B52F2">
      <w:pPr>
        <w:spacing w:after="0" w:line="240" w:lineRule="auto"/>
        <w:jc w:val="center"/>
        <w:rPr>
          <w:rFonts w:cs="Times New Roman"/>
          <w:b/>
          <w:lang w:val="ro-MO"/>
        </w:rPr>
      </w:pPr>
      <w:r w:rsidRPr="003657A9">
        <w:rPr>
          <w:rFonts w:cs="Times New Roman"/>
          <w:b/>
          <w:lang w:val="ro-MO"/>
        </w:rPr>
        <w:t>formulate de locuitorii comunei Prodănești</w:t>
      </w:r>
      <w:r w:rsidR="001B52F2" w:rsidRPr="003657A9">
        <w:rPr>
          <w:rFonts w:cs="Times New Roman"/>
          <w:b/>
          <w:lang w:val="ro-MO"/>
        </w:rPr>
        <w:t xml:space="preserve"> </w:t>
      </w:r>
      <w:r w:rsidRPr="003657A9">
        <w:rPr>
          <w:rFonts w:cs="Times New Roman"/>
          <w:b/>
          <w:lang w:val="ro-MO"/>
        </w:rPr>
        <w:t>în cadrul sondajului și</w:t>
      </w:r>
      <w:r w:rsidR="001B52F2" w:rsidRPr="003657A9">
        <w:rPr>
          <w:rFonts w:cs="Times New Roman"/>
          <w:b/>
          <w:lang w:val="ro-MO"/>
        </w:rPr>
        <w:t xml:space="preserve"> </w:t>
      </w:r>
    </w:p>
    <w:p w:rsidR="003E655C" w:rsidRPr="003657A9" w:rsidRDefault="00E13DB7" w:rsidP="001B52F2">
      <w:pPr>
        <w:spacing w:after="0" w:line="240" w:lineRule="auto"/>
        <w:jc w:val="center"/>
        <w:rPr>
          <w:rFonts w:cs="Times New Roman"/>
          <w:lang w:val="ro-MO"/>
        </w:rPr>
      </w:pPr>
      <w:r w:rsidRPr="003657A9">
        <w:rPr>
          <w:rFonts w:cs="Times New Roman"/>
          <w:b/>
          <w:lang w:val="ro-MO"/>
        </w:rPr>
        <w:t xml:space="preserve">al consultării publice privind proiectul de decizie de </w:t>
      </w:r>
      <w:r w:rsidRPr="003657A9">
        <w:rPr>
          <w:rFonts w:cs="Times New Roman"/>
          <w:b/>
          <w:lang w:val="ro-MO"/>
        </w:rPr>
        <w:t>amalgamare voluntară</w:t>
      </w:r>
    </w:p>
    <w:p w:rsidR="001B52F2" w:rsidRPr="00E15F84" w:rsidRDefault="001B52F2">
      <w:pPr>
        <w:spacing w:after="40"/>
        <w:jc w:val="center"/>
        <w:rPr>
          <w:rFonts w:cs="Times New Roman"/>
          <w:b/>
          <w:lang w:val="ro-MO"/>
        </w:rPr>
      </w:pPr>
    </w:p>
    <w:p w:rsidR="003E655C" w:rsidRPr="00E15F84" w:rsidRDefault="00E15F84">
      <w:pPr>
        <w:spacing w:after="40"/>
        <w:jc w:val="center"/>
        <w:rPr>
          <w:rFonts w:cs="Times New Roman"/>
          <w:b/>
          <w:lang w:val="ro-MO"/>
        </w:rPr>
      </w:pPr>
      <w:r w:rsidRPr="00E15F84">
        <w:rPr>
          <w:rFonts w:cs="Times New Roman"/>
          <w:b/>
          <w:lang w:val="ro-MO"/>
        </w:rPr>
        <w:t>Comuna</w:t>
      </w:r>
      <w:r w:rsidR="00E13DB7" w:rsidRPr="00E15F84">
        <w:rPr>
          <w:rFonts w:cs="Times New Roman"/>
          <w:b/>
          <w:lang w:val="ro-MO"/>
        </w:rPr>
        <w:t xml:space="preserve"> Prodănești </w:t>
      </w:r>
    </w:p>
    <w:p w:rsidR="003E655C" w:rsidRPr="003657A9" w:rsidRDefault="003E655C">
      <w:pPr>
        <w:rPr>
          <w:rFonts w:cs="Times New Roman"/>
          <w:lang w:val="ro-MO"/>
        </w:rPr>
      </w:pPr>
    </w:p>
    <w:p w:rsidR="003E655C" w:rsidRPr="003657A9" w:rsidRDefault="00E13DB7" w:rsidP="001B52F2">
      <w:pPr>
        <w:spacing w:after="100"/>
        <w:ind w:firstLine="426"/>
        <w:jc w:val="both"/>
        <w:rPr>
          <w:rFonts w:cs="Times New Roman"/>
          <w:lang w:val="ro-MO"/>
        </w:rPr>
      </w:pPr>
      <w:r w:rsidRPr="003657A9">
        <w:rPr>
          <w:rFonts w:cs="Times New Roman"/>
          <w:lang w:val="ro-MO"/>
        </w:rPr>
        <w:t>Prezentul tabel se referă exclusiv la UAT comuna Prodănești. Documentul sintetizează rezultatele chestionării locuitorilor, discuțiile purtate în perioada d</w:t>
      </w:r>
      <w:r w:rsidRPr="003657A9">
        <w:rPr>
          <w:rFonts w:cs="Times New Roman"/>
          <w:lang w:val="ro-MO"/>
        </w:rPr>
        <w:t>e informare, întrebările și propunerile formulate la consultarea publică din 12 iulie 2026, precum și informațiile consemnate în procesele-verbale ale Grupului de Lucru Comun.</w:t>
      </w:r>
    </w:p>
    <w:p w:rsidR="003E655C" w:rsidRPr="003657A9" w:rsidRDefault="00E13DB7" w:rsidP="001B52F2">
      <w:pPr>
        <w:spacing w:after="100"/>
        <w:ind w:firstLine="426"/>
        <w:jc w:val="both"/>
        <w:rPr>
          <w:rFonts w:cs="Times New Roman"/>
          <w:lang w:val="ro-MO"/>
        </w:rPr>
      </w:pPr>
      <w:r w:rsidRPr="003657A9">
        <w:rPr>
          <w:rFonts w:cs="Times New Roman"/>
          <w:lang w:val="ro-MO"/>
        </w:rPr>
        <w:t>Scopul documentului este de a prezenta clar ce au semnalat cetățenii, ce explica</w:t>
      </w:r>
      <w:r w:rsidRPr="003657A9">
        <w:rPr>
          <w:rFonts w:cs="Times New Roman"/>
          <w:lang w:val="ro-MO"/>
        </w:rPr>
        <w:t>ț</w:t>
      </w:r>
      <w:r w:rsidRPr="003657A9">
        <w:rPr>
          <w:rFonts w:cs="Times New Roman"/>
          <w:lang w:val="ro-MO"/>
        </w:rPr>
        <w:t xml:space="preserve">ii au fost oferite și cum pot fi valorificate propunerile în Viziunea viitoarei UAT amalgamate, în proiectul de decizie și în portofoliul de investiții. </w:t>
      </w:r>
      <w:r w:rsidRPr="003657A9">
        <w:rPr>
          <w:rFonts w:cs="Times New Roman"/>
          <w:lang w:val="ro-MO"/>
        </w:rPr>
        <w:t>În documentele analizate a existat o neconcordanță privind completitudinea datelor pentru Prodănești. Anexa nr. 1 la Procesul-verbal nr. 2 al Grupului de Lucru Comun prezintă distribuția completă a celor 710 răspunsuri: gaz</w:t>
      </w:r>
      <w:r w:rsidRPr="003657A9">
        <w:rPr>
          <w:rFonts w:cs="Times New Roman"/>
          <w:lang w:val="ro-MO"/>
        </w:rPr>
        <w:t>ificare - 379, drumuri - 225, apă - 60, deșeuri - 8 și alte probleme - 38. Aceste date se însumează la totalul raportat și au fost utilizate în prezentul tabel.</w:t>
      </w:r>
    </w:p>
    <w:p w:rsidR="003E655C" w:rsidRPr="003657A9" w:rsidRDefault="00E13DB7" w:rsidP="001B52F2">
      <w:pPr>
        <w:pStyle w:val="Heading1"/>
        <w:jc w:val="center"/>
        <w:rPr>
          <w:rFonts w:ascii="Times New Roman" w:hAnsi="Times New Roman" w:cs="Times New Roman"/>
          <w:sz w:val="22"/>
          <w:szCs w:val="22"/>
          <w:lang w:val="ro-MO"/>
        </w:rPr>
      </w:pPr>
      <w:r w:rsidRPr="003657A9">
        <w:rPr>
          <w:rFonts w:ascii="Times New Roman" w:hAnsi="Times New Roman" w:cs="Times New Roman"/>
          <w:sz w:val="22"/>
          <w:szCs w:val="22"/>
          <w:lang w:val="ro-MO"/>
        </w:rPr>
        <w:t>Rezultatele chestionării în UAT comuna Prodănești</w:t>
      </w:r>
    </w:p>
    <w:tbl>
      <w:tblPr>
        <w:tblW w:w="10323" w:type="dxa"/>
        <w:jc w:val="center"/>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6"/>
        <w:gridCol w:w="1134"/>
        <w:gridCol w:w="1134"/>
        <w:gridCol w:w="5329"/>
      </w:tblGrid>
      <w:tr w:rsidR="001B52F2" w:rsidRPr="003657A9" w:rsidTr="0022557A">
        <w:trPr>
          <w:cantSplit/>
          <w:tblHeader/>
          <w:jc w:val="center"/>
        </w:trPr>
        <w:tc>
          <w:tcPr>
            <w:tcW w:w="2726" w:type="dxa"/>
            <w:shd w:val="clear" w:color="auto" w:fill="auto"/>
            <w:tcMar>
              <w:top w:w="80" w:type="dxa"/>
              <w:left w:w="90" w:type="dxa"/>
              <w:bottom w:w="80" w:type="dxa"/>
              <w:right w:w="90" w:type="dxa"/>
            </w:tcMar>
            <w:vAlign w:val="center"/>
          </w:tcPr>
          <w:p w:rsidR="003E655C" w:rsidRPr="0022557A" w:rsidRDefault="00E13DB7">
            <w:pPr>
              <w:spacing w:after="0" w:line="240" w:lineRule="auto"/>
              <w:jc w:val="center"/>
              <w:rPr>
                <w:rFonts w:cs="Times New Roman"/>
                <w:sz w:val="20"/>
                <w:lang w:val="ro-MO"/>
              </w:rPr>
            </w:pPr>
            <w:bookmarkStart w:id="0" w:name="_GoBack" w:colFirst="0" w:colLast="3"/>
            <w:r w:rsidRPr="0022557A">
              <w:rPr>
                <w:rFonts w:cs="Times New Roman"/>
                <w:b/>
                <w:sz w:val="20"/>
                <w:lang w:val="ro-MO"/>
              </w:rPr>
              <w:t>Problema indicată</w:t>
            </w:r>
          </w:p>
        </w:tc>
        <w:tc>
          <w:tcPr>
            <w:tcW w:w="1134" w:type="dxa"/>
            <w:shd w:val="clear" w:color="auto" w:fill="auto"/>
            <w:tcMar>
              <w:top w:w="80" w:type="dxa"/>
              <w:left w:w="90" w:type="dxa"/>
              <w:bottom w:w="80" w:type="dxa"/>
              <w:right w:w="90" w:type="dxa"/>
            </w:tcMar>
            <w:vAlign w:val="center"/>
          </w:tcPr>
          <w:p w:rsidR="003E655C" w:rsidRPr="0022557A" w:rsidRDefault="00E13DB7">
            <w:pPr>
              <w:spacing w:after="0" w:line="240" w:lineRule="auto"/>
              <w:jc w:val="center"/>
              <w:rPr>
                <w:rFonts w:cs="Times New Roman"/>
                <w:sz w:val="20"/>
                <w:lang w:val="ro-MO"/>
              </w:rPr>
            </w:pPr>
            <w:r w:rsidRPr="0022557A">
              <w:rPr>
                <w:rFonts w:cs="Times New Roman"/>
                <w:b/>
                <w:sz w:val="20"/>
                <w:lang w:val="ro-MO"/>
              </w:rPr>
              <w:t>Număr de răspunsuri</w:t>
            </w:r>
          </w:p>
        </w:tc>
        <w:tc>
          <w:tcPr>
            <w:tcW w:w="1134" w:type="dxa"/>
            <w:shd w:val="clear" w:color="auto" w:fill="auto"/>
            <w:tcMar>
              <w:top w:w="80" w:type="dxa"/>
              <w:left w:w="90" w:type="dxa"/>
              <w:bottom w:w="80" w:type="dxa"/>
              <w:right w:w="90" w:type="dxa"/>
            </w:tcMar>
            <w:vAlign w:val="center"/>
          </w:tcPr>
          <w:p w:rsidR="003E655C" w:rsidRPr="0022557A" w:rsidRDefault="00E13DB7">
            <w:pPr>
              <w:spacing w:after="0" w:line="240" w:lineRule="auto"/>
              <w:jc w:val="center"/>
              <w:rPr>
                <w:rFonts w:cs="Times New Roman"/>
                <w:sz w:val="20"/>
                <w:lang w:val="ro-MO"/>
              </w:rPr>
            </w:pPr>
            <w:r w:rsidRPr="0022557A">
              <w:rPr>
                <w:rFonts w:cs="Times New Roman"/>
                <w:b/>
                <w:sz w:val="20"/>
                <w:lang w:val="ro-MO"/>
              </w:rPr>
              <w:t>Pondere</w:t>
            </w:r>
            <w:r w:rsidRPr="0022557A">
              <w:rPr>
                <w:rFonts w:cs="Times New Roman"/>
                <w:b/>
                <w:sz w:val="20"/>
                <w:lang w:val="ro-MO"/>
              </w:rPr>
              <w:t xml:space="preserve"> din total</w:t>
            </w:r>
          </w:p>
        </w:tc>
        <w:tc>
          <w:tcPr>
            <w:tcW w:w="5329" w:type="dxa"/>
            <w:shd w:val="clear" w:color="auto" w:fill="auto"/>
            <w:tcMar>
              <w:top w:w="80" w:type="dxa"/>
              <w:left w:w="90" w:type="dxa"/>
              <w:bottom w:w="80" w:type="dxa"/>
              <w:right w:w="90" w:type="dxa"/>
            </w:tcMar>
            <w:vAlign w:val="center"/>
          </w:tcPr>
          <w:p w:rsidR="003E655C" w:rsidRPr="0022557A" w:rsidRDefault="00E13DB7">
            <w:pPr>
              <w:spacing w:after="0" w:line="240" w:lineRule="auto"/>
              <w:jc w:val="center"/>
              <w:rPr>
                <w:rFonts w:cs="Times New Roman"/>
                <w:sz w:val="20"/>
                <w:lang w:val="ro-MO"/>
              </w:rPr>
            </w:pPr>
            <w:r w:rsidRPr="0022557A">
              <w:rPr>
                <w:rFonts w:cs="Times New Roman"/>
                <w:b/>
                <w:sz w:val="20"/>
                <w:lang w:val="ro-MO"/>
              </w:rPr>
              <w:t>Constatare</w:t>
            </w:r>
          </w:p>
        </w:tc>
      </w:tr>
      <w:bookmarkEnd w:id="0"/>
      <w:tr w:rsidR="001B52F2" w:rsidRPr="003657A9" w:rsidTr="0022557A">
        <w:trPr>
          <w:cantSplit/>
          <w:jc w:val="center"/>
        </w:trPr>
        <w:tc>
          <w:tcPr>
            <w:tcW w:w="2726"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Construcția și extinderea sistemului de gazificare</w:t>
            </w:r>
          </w:p>
        </w:tc>
        <w:tc>
          <w:tcPr>
            <w:tcW w:w="1134"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379</w:t>
            </w:r>
          </w:p>
        </w:tc>
        <w:tc>
          <w:tcPr>
            <w:tcW w:w="1134"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53,4%</w:t>
            </w:r>
          </w:p>
        </w:tc>
        <w:tc>
          <w:tcPr>
            <w:tcW w:w="5329"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Prioritatea indicată cel mai frecvent de respondenți.</w:t>
            </w:r>
          </w:p>
        </w:tc>
      </w:tr>
      <w:tr w:rsidR="001B52F2" w:rsidRPr="003657A9" w:rsidTr="0022557A">
        <w:trPr>
          <w:cantSplit/>
          <w:trHeight w:val="571"/>
          <w:jc w:val="center"/>
        </w:trPr>
        <w:tc>
          <w:tcPr>
            <w:tcW w:w="2726"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Reparația și întreținerea drumurilor locale</w:t>
            </w:r>
          </w:p>
        </w:tc>
        <w:tc>
          <w:tcPr>
            <w:tcW w:w="1134"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225</w:t>
            </w:r>
          </w:p>
        </w:tc>
        <w:tc>
          <w:tcPr>
            <w:tcW w:w="1134"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31,7%</w:t>
            </w:r>
          </w:p>
        </w:tc>
        <w:tc>
          <w:tcPr>
            <w:tcW w:w="5329"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 xml:space="preserve">A doua prioritate, cu impact direct asupra accesului și </w:t>
            </w:r>
            <w:r w:rsidRPr="003657A9">
              <w:rPr>
                <w:rFonts w:cs="Times New Roman"/>
                <w:lang w:val="ro-MO"/>
              </w:rPr>
              <w:t>mobilității.</w:t>
            </w:r>
          </w:p>
        </w:tc>
      </w:tr>
      <w:tr w:rsidR="001B52F2" w:rsidRPr="003657A9" w:rsidTr="0022557A">
        <w:trPr>
          <w:cantSplit/>
          <w:jc w:val="center"/>
        </w:trPr>
        <w:tc>
          <w:tcPr>
            <w:tcW w:w="2726"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Îmbunătățirea aprovizionării cu apă prin rețeaua de apeduct</w:t>
            </w:r>
          </w:p>
        </w:tc>
        <w:tc>
          <w:tcPr>
            <w:tcW w:w="1134"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60</w:t>
            </w:r>
          </w:p>
        </w:tc>
        <w:tc>
          <w:tcPr>
            <w:tcW w:w="1134"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8,5%</w:t>
            </w:r>
          </w:p>
        </w:tc>
        <w:tc>
          <w:tcPr>
            <w:tcW w:w="5329"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Necesitate importantă pentru calitatea și continuitatea serviciului de apă.</w:t>
            </w:r>
          </w:p>
        </w:tc>
      </w:tr>
      <w:tr w:rsidR="001B52F2" w:rsidRPr="003657A9" w:rsidTr="0022557A">
        <w:trPr>
          <w:cantSplit/>
          <w:jc w:val="center"/>
        </w:trPr>
        <w:tc>
          <w:tcPr>
            <w:tcW w:w="2726"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Alte probleme indicate de cetățeni</w:t>
            </w:r>
          </w:p>
        </w:tc>
        <w:tc>
          <w:tcPr>
            <w:tcW w:w="1134"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38</w:t>
            </w:r>
          </w:p>
        </w:tc>
        <w:tc>
          <w:tcPr>
            <w:tcW w:w="1134"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5,4%</w:t>
            </w:r>
          </w:p>
        </w:tc>
        <w:tc>
          <w:tcPr>
            <w:tcW w:w="5329"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Au fost menționate activități pentru tineri, reparația</w:t>
            </w:r>
            <w:r w:rsidRPr="003657A9">
              <w:rPr>
                <w:rFonts w:cs="Times New Roman"/>
                <w:lang w:val="ro-MO"/>
              </w:rPr>
              <w:t xml:space="preserve"> edificiilor și servicii comerciale locale.</w:t>
            </w:r>
          </w:p>
        </w:tc>
      </w:tr>
      <w:tr w:rsidR="001B52F2" w:rsidRPr="003657A9" w:rsidTr="0022557A">
        <w:trPr>
          <w:cantSplit/>
          <w:jc w:val="center"/>
        </w:trPr>
        <w:tc>
          <w:tcPr>
            <w:tcW w:w="2726"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Extinderea serviciului de colectare a deșeurilor</w:t>
            </w:r>
          </w:p>
        </w:tc>
        <w:tc>
          <w:tcPr>
            <w:tcW w:w="1134"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8</w:t>
            </w:r>
          </w:p>
        </w:tc>
        <w:tc>
          <w:tcPr>
            <w:tcW w:w="1134"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1,1%</w:t>
            </w:r>
          </w:p>
        </w:tc>
        <w:tc>
          <w:tcPr>
            <w:tcW w:w="5329"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lang w:val="ro-MO"/>
              </w:rPr>
              <w:t>Pondere numerică mai mică, dar problemă relevantă pentru sănătate și mediu.</w:t>
            </w:r>
          </w:p>
        </w:tc>
      </w:tr>
      <w:tr w:rsidR="001B52F2" w:rsidRPr="003657A9" w:rsidTr="0022557A">
        <w:trPr>
          <w:cantSplit/>
          <w:jc w:val="center"/>
        </w:trPr>
        <w:tc>
          <w:tcPr>
            <w:tcW w:w="2726"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b/>
                <w:lang w:val="ro-MO"/>
              </w:rPr>
              <w:t>TOTAL</w:t>
            </w:r>
          </w:p>
        </w:tc>
        <w:tc>
          <w:tcPr>
            <w:tcW w:w="1134"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b/>
                <w:lang w:val="ro-MO"/>
              </w:rPr>
              <w:t>710</w:t>
            </w:r>
          </w:p>
        </w:tc>
        <w:tc>
          <w:tcPr>
            <w:tcW w:w="1134"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b/>
                <w:lang w:val="ro-MO"/>
              </w:rPr>
              <w:t>100%</w:t>
            </w:r>
          </w:p>
        </w:tc>
        <w:tc>
          <w:tcPr>
            <w:tcW w:w="5329" w:type="dxa"/>
            <w:shd w:val="clear" w:color="auto" w:fill="auto"/>
            <w:tcMar>
              <w:top w:w="80" w:type="dxa"/>
              <w:left w:w="90" w:type="dxa"/>
              <w:bottom w:w="80" w:type="dxa"/>
              <w:right w:w="90" w:type="dxa"/>
            </w:tcMar>
            <w:vAlign w:val="center"/>
          </w:tcPr>
          <w:p w:rsidR="003E655C" w:rsidRPr="003657A9" w:rsidRDefault="00E13DB7">
            <w:pPr>
              <w:spacing w:after="0" w:line="240" w:lineRule="auto"/>
              <w:rPr>
                <w:rFonts w:cs="Times New Roman"/>
                <w:lang w:val="ro-MO"/>
              </w:rPr>
            </w:pPr>
            <w:r w:rsidRPr="003657A9">
              <w:rPr>
                <w:rFonts w:cs="Times New Roman"/>
                <w:b/>
                <w:lang w:val="ro-MO"/>
              </w:rPr>
              <w:t>Totalul răspunsurilor raportate pentru comuna Prodănești.</w:t>
            </w:r>
          </w:p>
        </w:tc>
      </w:tr>
    </w:tbl>
    <w:p w:rsidR="003E655C" w:rsidRPr="003657A9" w:rsidRDefault="003E655C">
      <w:pPr>
        <w:rPr>
          <w:rFonts w:cs="Times New Roman"/>
          <w:lang w:val="ro-MO"/>
        </w:rPr>
        <w:sectPr w:rsidR="003E655C" w:rsidRPr="003657A9" w:rsidSect="00E15F84">
          <w:footerReference w:type="default" r:id="rId9"/>
          <w:pgSz w:w="12240" w:h="15840"/>
          <w:pgMar w:top="936" w:right="900" w:bottom="936" w:left="1080" w:header="720" w:footer="720" w:gutter="0"/>
          <w:cols w:space="720"/>
          <w:docGrid w:linePitch="360"/>
        </w:sectPr>
      </w:pPr>
    </w:p>
    <w:p w:rsidR="003E655C" w:rsidRPr="003657A9" w:rsidRDefault="00E13DB7" w:rsidP="001B52F2">
      <w:pPr>
        <w:pStyle w:val="Heading1"/>
        <w:jc w:val="center"/>
        <w:rPr>
          <w:rFonts w:ascii="Times New Roman" w:hAnsi="Times New Roman" w:cs="Times New Roman"/>
          <w:sz w:val="22"/>
          <w:szCs w:val="22"/>
          <w:lang w:val="ro-MO"/>
        </w:rPr>
      </w:pPr>
      <w:r w:rsidRPr="003657A9">
        <w:rPr>
          <w:rFonts w:ascii="Times New Roman" w:hAnsi="Times New Roman" w:cs="Times New Roman"/>
          <w:sz w:val="22"/>
          <w:szCs w:val="22"/>
          <w:lang w:val="ro-MO"/>
        </w:rPr>
        <w:lastRenderedPageBreak/>
        <w:t>Tabelul de sinteză al problemelor, întrebărilor și propunerilor</w:t>
      </w:r>
    </w:p>
    <w:p w:rsidR="003657A9" w:rsidRPr="003657A9" w:rsidRDefault="003657A9" w:rsidP="003657A9">
      <w:pPr>
        <w:rPr>
          <w:rFonts w:cs="Times New Roman"/>
          <w:lang w:val="ro-MO"/>
        </w:rPr>
      </w:pPr>
    </w:p>
    <w:tbl>
      <w:tblPr>
        <w:tblW w:w="13939" w:type="dxa"/>
        <w:jc w:val="center"/>
        <w:tblInd w:w="1586" w:type="dxa"/>
        <w:tblLayout w:type="fixed"/>
        <w:tblLook w:val="04A0" w:firstRow="1" w:lastRow="0" w:firstColumn="1" w:lastColumn="0" w:noHBand="0" w:noVBand="1"/>
      </w:tblPr>
      <w:tblGrid>
        <w:gridCol w:w="756"/>
        <w:gridCol w:w="2557"/>
        <w:gridCol w:w="6095"/>
        <w:gridCol w:w="4531"/>
      </w:tblGrid>
      <w:tr w:rsidR="00E15F84" w:rsidRPr="003657A9" w:rsidTr="00E15F84">
        <w:trPr>
          <w:tblHeader/>
          <w:jc w:val="center"/>
        </w:trPr>
        <w:tc>
          <w:tcPr>
            <w:tcW w:w="756" w:type="dxa"/>
            <w:tcBorders>
              <w:top w:val="single" w:sz="4" w:space="0" w:color="808080"/>
              <w:left w:val="single" w:sz="4" w:space="0" w:color="808080"/>
              <w:bottom w:val="single" w:sz="4" w:space="0" w:color="808080"/>
              <w:right w:val="single" w:sz="4" w:space="0" w:color="808080"/>
            </w:tcBorders>
            <w:shd w:val="clear" w:color="auto" w:fill="D9E2F3"/>
            <w:tcMar>
              <w:top w:w="65" w:type="dxa"/>
              <w:left w:w="80" w:type="dxa"/>
              <w:bottom w:w="65" w:type="dxa"/>
              <w:right w:w="80" w:type="dxa"/>
            </w:tcMar>
            <w:vAlign w:val="center"/>
          </w:tcPr>
          <w:p w:rsidR="003657A9" w:rsidRPr="003657A9" w:rsidRDefault="003657A9" w:rsidP="006603A1">
            <w:pPr>
              <w:spacing w:after="0"/>
              <w:jc w:val="center"/>
              <w:rPr>
                <w:rFonts w:cs="Times New Roman"/>
                <w:lang w:val="ro-MO"/>
              </w:rPr>
            </w:pPr>
            <w:r w:rsidRPr="003657A9">
              <w:rPr>
                <w:rFonts w:eastAsia="Arial" w:cs="Times New Roman"/>
                <w:b/>
                <w:lang w:val="ro-MO"/>
              </w:rPr>
              <w:t>Nr.</w:t>
            </w:r>
          </w:p>
        </w:tc>
        <w:tc>
          <w:tcPr>
            <w:tcW w:w="2557" w:type="dxa"/>
            <w:tcBorders>
              <w:top w:val="single" w:sz="4" w:space="0" w:color="808080"/>
              <w:left w:val="single" w:sz="4" w:space="0" w:color="808080"/>
              <w:bottom w:val="single" w:sz="4" w:space="0" w:color="808080"/>
              <w:right w:val="single" w:sz="4" w:space="0" w:color="808080"/>
            </w:tcBorders>
            <w:shd w:val="clear" w:color="auto" w:fill="D9E2F3"/>
            <w:tcMar>
              <w:top w:w="65" w:type="dxa"/>
              <w:left w:w="80" w:type="dxa"/>
              <w:bottom w:w="65" w:type="dxa"/>
              <w:right w:w="80" w:type="dxa"/>
            </w:tcMar>
            <w:vAlign w:val="center"/>
          </w:tcPr>
          <w:p w:rsidR="003657A9" w:rsidRPr="003657A9" w:rsidRDefault="003657A9" w:rsidP="006603A1">
            <w:pPr>
              <w:spacing w:after="0"/>
              <w:jc w:val="center"/>
              <w:rPr>
                <w:rFonts w:cs="Times New Roman"/>
                <w:lang w:val="ro-MO"/>
              </w:rPr>
            </w:pPr>
            <w:r w:rsidRPr="003657A9">
              <w:rPr>
                <w:rFonts w:eastAsia="Arial" w:cs="Times New Roman"/>
                <w:b/>
                <w:lang w:val="ro-MO"/>
              </w:rPr>
              <w:t>Întrebarea, problema sau propunerea formulată</w:t>
            </w:r>
          </w:p>
        </w:tc>
        <w:tc>
          <w:tcPr>
            <w:tcW w:w="6095" w:type="dxa"/>
            <w:tcBorders>
              <w:top w:val="single" w:sz="4" w:space="0" w:color="808080"/>
              <w:left w:val="single" w:sz="4" w:space="0" w:color="808080"/>
              <w:bottom w:val="single" w:sz="4" w:space="0" w:color="808080"/>
              <w:right w:val="single" w:sz="4" w:space="0" w:color="808080"/>
            </w:tcBorders>
            <w:shd w:val="clear" w:color="auto" w:fill="D9E2F3"/>
            <w:tcMar>
              <w:top w:w="65" w:type="dxa"/>
              <w:left w:w="80" w:type="dxa"/>
              <w:bottom w:w="65" w:type="dxa"/>
              <w:right w:w="80" w:type="dxa"/>
            </w:tcMar>
            <w:vAlign w:val="center"/>
          </w:tcPr>
          <w:p w:rsidR="003657A9" w:rsidRPr="003657A9" w:rsidRDefault="003657A9" w:rsidP="006603A1">
            <w:pPr>
              <w:spacing w:after="0"/>
              <w:jc w:val="center"/>
              <w:rPr>
                <w:rFonts w:cs="Times New Roman"/>
                <w:lang w:val="ro-MO"/>
              </w:rPr>
            </w:pPr>
            <w:r w:rsidRPr="003657A9">
              <w:rPr>
                <w:rFonts w:eastAsia="Arial" w:cs="Times New Roman"/>
                <w:b/>
                <w:lang w:val="ro-MO"/>
              </w:rPr>
              <w:t>Răspunsul / explicația și concluzia</w:t>
            </w:r>
          </w:p>
        </w:tc>
        <w:tc>
          <w:tcPr>
            <w:tcW w:w="4531" w:type="dxa"/>
            <w:tcBorders>
              <w:top w:val="single" w:sz="4" w:space="0" w:color="808080"/>
              <w:left w:val="single" w:sz="4" w:space="0" w:color="808080"/>
              <w:bottom w:val="single" w:sz="4" w:space="0" w:color="808080"/>
              <w:right w:val="single" w:sz="4" w:space="0" w:color="808080"/>
            </w:tcBorders>
            <w:shd w:val="clear" w:color="auto" w:fill="D9E2F3"/>
            <w:tcMar>
              <w:top w:w="65" w:type="dxa"/>
              <w:left w:w="80" w:type="dxa"/>
              <w:bottom w:w="65" w:type="dxa"/>
              <w:right w:w="80" w:type="dxa"/>
            </w:tcMar>
            <w:vAlign w:val="center"/>
          </w:tcPr>
          <w:p w:rsidR="003657A9" w:rsidRPr="003657A9" w:rsidRDefault="003657A9" w:rsidP="006603A1">
            <w:pPr>
              <w:spacing w:after="0"/>
              <w:jc w:val="center"/>
              <w:rPr>
                <w:rFonts w:cs="Times New Roman"/>
                <w:lang w:val="ro-MO"/>
              </w:rPr>
            </w:pPr>
            <w:r w:rsidRPr="003657A9">
              <w:rPr>
                <w:rFonts w:eastAsia="Arial" w:cs="Times New Roman"/>
                <w:b/>
                <w:lang w:val="ro-MO"/>
              </w:rPr>
              <w:t>Modul de examinare și includere</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1</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Gazificarea localității. În chestionare, 379 de persoane au indicat gazificarea drept una dintre cele mai importante probleme ale comunei.</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Gazificarea este problema menționată cel mai des de locuitorii din Prodănești. Realizarea lucrărilor depinde de posibilitățile tehnice, condițiile operatorului de gaze, numărul gospodăriilor interesate și sursele de finanțare disponibile.</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Propunerea se acceptă ca prioritate pentru comuna Prodănești. Este necesară evaluarea posibilităților tehnice și a costurilor, după care poate fi pregătit un proiect care să fie realizat pe etape.</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2</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Reparația și întreținerea drumurilor locale. Cetățenii au menționat starea proastă a unor drumuri și accesul dificil către gospodării, instituții și servicii.</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Reparația drumurilor este a doua problemă ca importanță, fiind indicată de 225 de persoane. Lucrările trebuie planificate pe porțiuni de drum, în funcție de starea lor, numărul de persoane care le folosesc și legătura cu instituțiile și celelalte localități.</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Propunerea se acceptă. Se recomandă întocmirea listei drumurilor care necesită reparații, stabilirea ordinii lucrărilor și pregătirea documentației tehnice și a devizelor.</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3</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Îmbunătățirea serviciului de alimentare cu apă. Locuitorii au solicitat apă mai sigură, presiune suficientă și furnizare fără întreruperi.</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Cele 60 de răspunsuri arată că trebuie verificată starea rețelei de apă, sursa de alimentare, pierderile din rețea, calitatea apei și capacitatea operatorului de a presta serviciul.</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Propunerea se acceptă și va fi inclusă în partea privind apa și serviciile comunale. Urmează să fie stabilite lucrările cele mai urgente și costurile lor reale.</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4</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Extinderea și îmbunătățirea serviciului de colectare a deșeurilor. Cetățenii au solicitat colectarea mai regulată și mai bine organizată a deșeurilor.</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Propunerea a fost menționată de 8 persoane, dar este importantă pentru curățenia localității, protecția mediului și sănătatea oamenilor. Trebuie clarificate gospodăriile deservite, programul de colectare, utilajele necesare și costurile serviciului.</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Propunerea se acceptă pentru analiză în cadrul organizării serviciilor comunale ale viitoarei UAT. Se recomandă stabilirea unor reguli clare, informarea cetățenilor și extinderea treptată a serviciului.</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lastRenderedPageBreak/>
              <w:t>5</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Activități pentru tineri, repararea clădirilor publice și dezvoltarea comerțului local, inclusiv deschiderea unui supermarket.</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Aceste propuneri au fost scrise de cetățeni separat de răspunsurile principale ale chestionarului. Activitățile pentru tineri și repararea clădirilor publice pot fi susținute prin proiecte ale autorității locale. Deschiderea unui supermarket depinde de o investiție privată, dar primăria poate informa investitorii și poate sprijini crearea condițiilor necesare.</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Propunerile se acceptă parțial. Ele vor fi incluse într-o listă de idei pentru dezvoltarea comunității și a economiei locale. Fiecare propunere va fi analizată separat, în funcție de responsabilitatea autorității și de posibilitățile de finanțare.</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6</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Unde va fi amplasată primăria viitoarei UAT și cum a fost ales centrul administrativ?</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La ședința din 15 iunie 2026, Grupul de Lucru Comun a propus prin consens ca centrul administrativ să fie în comuna Prodănești. Propunerea urmează să fie inclusă în proiectul de decizie și examinată de consiliile locale, conform procedurii legale.</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Întrebarea a fost clarificată. Informația va fi inclusă clar în proiectul de decizie, în Nota de fundamentare și în materialele de informare pentru cetățeni.</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7</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Este posibilă amalgamarea cu satul Ordășei, chiar dacă acesta se află în alt raion?</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Faptul că localitățile fac parte acum din raioane diferite nu împiedică automat amalgamarea. Procesul poate continua dacă toate localitățile respectă condițiile și etapele prevăzute de lege.</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Întrebarea a fost clarificată. Situația localităților din raioane diferite va fi explicată pe înțelesul oamenilor în Nota de fundamentare și în materialele de informare.</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8</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Cum vor fi organizate serviciile publice după amalgamare? Vor mai putea oamenii să primească servicii aproape de localitatea lor?</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Prodănești este propusă drept centru administrativ, dar aceasta nu înseamnă că toate serviciile vor fi mutate într-un singur loc. Unele servicii vor putea fi oferite în continuare în localități, prin puncte locale de acces, CUPS, audiențe ale specialiștilor și servicii online, în funcție de posibilități.</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Propunerea se acceptă. Viziunea va arăta clar ce servicii vor fi oferite la sediul central și ce servicii vor rămâne disponibile în celelalte localități.</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9</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Cum vor fi împărțite investițiile? Există riscul ca proiectele să fie realizate numai în centrul administrativ?</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Centrul administrativ va coordona activitatea noii UAT, dar investițiile trebuie stabilite după nevoile fiecărei localități, situația tehnică și reguli cunoscute de cetățeni. Faptul că primăria va avea sediul în Prodănești nu înseamnă că toate investițiile vor fi făcute doar aici.</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Propunerea se acceptă. Se recomandă întocmirea unei liste de proiecte pentru fiecare localitate, stabilirea unor criterii clare de alegere și informarea periodică a cetățenilor despre investiții și cheltuieli.</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10</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Primăria din centrul administrativ va trebui să întrețină din bugetul actual al Prodăneștiului toate celelalte localități?</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După formarea noii UAT va exista un singur buget comun, în care vor fi incluse veniturile și cheltuielile tuturor localităților. Celelalte sate nu vor fi finanțate din bugetul actual al Prodăneștiului. Bugetul comun va fi aprobat de viitorul consiliu local.</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Întrebarea a fost clarificată. Modul de formare și folosire a bugetului comun trebuie explicat în materialele publice și respectat în deciziile bugetare viitoare.</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lastRenderedPageBreak/>
              <w:t>11</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Vor trebui returnate stimulentele financiare primite pentru amalgamare?</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Stimulentele sunt bani oferiți pentru anumite scopuri, nu împrumuturi. Ele nu trebuie returnate dacă sunt folosite legal și conform destinației. Totuși, fiecare cheltuială trebuie confirmată prin acte și raportată.</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Întrebarea a fost clarificată. Se recomandă publicarea informațiilor despre sumele primite, destinația lor și modul în care au fost folosiți banii.</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12</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Este amalgamarea un proces al unui partid politic? Cum se implică politicul în acest proces?</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Amalgamarea este prevăzută de lege și se realizează prin decizii ale autorităților locale, consultarea cetățenilor și respectarea etapelor legale. Oamenii pot avea opinii politice diferite, dar consultările trebuie să fie deschise tuturor și să nu favorizeze niciun partid.</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Întrebarea a fost clarificată. Informațiile publice vor fi prezentate într-un limbaj neutru, pe baza legii, a datelor locale și a schimbărilor administrative propuse.</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13</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Proiect pentru persoanele în vârstă și păstrarea serviciilor sociale pentru seniori și alte persoane vulnerabile.</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La consultarea din 12 iulie a fost menționată o propunere trimisă online pentru persoanele în vârstă. Serviciile sociale apropiate de oameni trebuie păstrate și mai bine coordonate. Pentru proiect trebuie stabilit clar cine sunt beneficiarii, ce activități vor fi organizate, cât vor costa și cine va putea contribui.</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Propunerea se acceptă pentru includere în partea socială a Viziunii. Se recomandă pregătirea unei fișe de proiect și identificarea programelor de finanțare sau a partenerilor potriviți.</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14</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Organizarea unui transport regulat către centrul administrativ și către serviciile publice.</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Un transport mai bun i-ar ajuta pe cetățeni să ajungă la primărie, instituții, piață și alte servicii. Înainte de a lua o decizie trebuie analizate traseele, numărul posibil de pasageri, programul necesar și interesul transportatorilor.</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Propunerea se acceptă pentru analiză. Se va examina posibilitatea extinderii unei rute existente sau introducerii unei curse potrivite programului de lucru cu cetățenii.</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15</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Construirea sistemului de canalizare și a stației de epurare înainte de reparația capitală a drumurilor.</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Propunerea urmărește să evite spargerea drumurilor după ce acestea au fost reparate. Canalizarea este o lucrare mare și costisitoare, care necesită studiu, proiect tehnic, avize și finanțare. Totuși, este corect ca lucrările la rețele să fie planificate înaintea reparațiilor capitale ale drumurilor.</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Propunerea se acceptă ca regulă de planificare. Canalizarea va rămâne în lista proiectelor pe termen mediu și lung, iar lucrările la rețele vor fi coordonate cu reparația drumurilor, acolo unde este posibil.</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16</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Pregătirea unui proiect pentru folosirea apei din râul Răut la irigarea terenurilor agricole.</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Ideea poate ajuta agricultorii, dar mai întâi trebuie verificat dacă există suficientă apă, care sunt condițiile de mediu și regulile de folosire a apei, cât ar costa lucrările și câți agricultori ar beneficia.</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Propunerea se acceptă pentru o analiză inițială. Ideea va fi înregistrată ca posibil proiect și transmisă pentru verificare tehnică, juridică și financiară.</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t>17</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Extinderea și modernizarea iluminatului stradal în sectoarele unde lumina este insuficientă.</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Iluminatul stradal contribuie la siguranța oamenilor și a circulației. Lucrările pot fi făcute pe etape, folosind corpuri de iluminat economice și luând în calcul și costurile de întreținere.</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Propunerea se acceptă pentru includere în lista proiectelor locale. Străzile și sectoarele vor fi stabilite în funcție de necesitate și de banii disponibili.</w:t>
            </w:r>
          </w:p>
        </w:tc>
      </w:tr>
      <w:tr w:rsidR="003657A9" w:rsidRPr="003657A9" w:rsidTr="00E15F84">
        <w:trPr>
          <w:cantSplit/>
          <w:jc w:val="center"/>
        </w:trPr>
        <w:tc>
          <w:tcPr>
            <w:tcW w:w="756"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jc w:val="center"/>
              <w:rPr>
                <w:rFonts w:cs="Times New Roman"/>
                <w:lang w:val="ro-MO"/>
              </w:rPr>
            </w:pPr>
            <w:r w:rsidRPr="003657A9">
              <w:rPr>
                <w:rFonts w:eastAsia="Arial" w:cs="Times New Roman"/>
                <w:b/>
                <w:lang w:val="ro-MO"/>
              </w:rPr>
              <w:lastRenderedPageBreak/>
              <w:t>18</w:t>
            </w:r>
          </w:p>
        </w:tc>
        <w:tc>
          <w:tcPr>
            <w:tcW w:w="2557"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Cetățenii au întrebat dacă problemele semnalate vor fi rezolvate cu adevărat, de unde vor veni banii și de ce se fac multe sondaje fără rezultate vizibile.</w:t>
            </w:r>
          </w:p>
        </w:tc>
        <w:tc>
          <w:tcPr>
            <w:tcW w:w="6095"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Întrebarea arată că o parte dintre cetățeni nu mai au încredere în consultări. Sondajele sunt utile numai dacă sunt urmate de proiecte realizabile, termene clare, persoane responsabile și informare regulată. Amalgamarea nu va rezolva imediat toate problemele, dar poate ajuta noua UAT să pregătească proiecte mai bune și să atragă mai multe fonduri.</w:t>
            </w:r>
          </w:p>
        </w:tc>
        <w:tc>
          <w:tcPr>
            <w:tcW w:w="4531" w:type="dxa"/>
            <w:tcBorders>
              <w:top w:val="single" w:sz="4" w:space="0" w:color="808080"/>
              <w:left w:val="single" w:sz="4" w:space="0" w:color="808080"/>
              <w:bottom w:val="single" w:sz="4" w:space="0" w:color="808080"/>
              <w:right w:val="single" w:sz="4" w:space="0" w:color="808080"/>
            </w:tcBorders>
            <w:tcMar>
              <w:top w:w="65" w:type="dxa"/>
              <w:left w:w="80" w:type="dxa"/>
              <w:bottom w:w="65" w:type="dxa"/>
              <w:right w:w="80" w:type="dxa"/>
            </w:tcMar>
          </w:tcPr>
          <w:p w:rsidR="003657A9" w:rsidRPr="003657A9" w:rsidRDefault="003657A9" w:rsidP="006603A1">
            <w:pPr>
              <w:spacing w:after="0" w:line="240" w:lineRule="auto"/>
              <w:rPr>
                <w:rFonts w:cs="Times New Roman"/>
                <w:lang w:val="ro-MO"/>
              </w:rPr>
            </w:pPr>
            <w:r w:rsidRPr="003657A9">
              <w:rPr>
                <w:rFonts w:eastAsia="Arial" w:cs="Times New Roman"/>
                <w:lang w:val="ro-MO"/>
              </w:rPr>
              <w:t>Observația se acceptă și va fi inclusă în modul de urmărire a rezultatelor. Se recomandă publicarea unei liste scurte de proiecte, a surselor posibile de finanțare și a informațiilor despre progresul realizat.</w:t>
            </w:r>
          </w:p>
        </w:tc>
      </w:tr>
    </w:tbl>
    <w:p w:rsidR="003657A9" w:rsidRPr="003657A9" w:rsidRDefault="003657A9" w:rsidP="003657A9">
      <w:pPr>
        <w:rPr>
          <w:rFonts w:cs="Times New Roman"/>
          <w:lang w:val="ro-MO"/>
        </w:rPr>
      </w:pPr>
    </w:p>
    <w:p w:rsidR="003657A9" w:rsidRPr="003657A9" w:rsidRDefault="003657A9" w:rsidP="003657A9">
      <w:pPr>
        <w:rPr>
          <w:rFonts w:cs="Times New Roman"/>
          <w:lang w:val="ro-MO"/>
        </w:rPr>
      </w:pPr>
    </w:p>
    <w:p w:rsidR="003E655C" w:rsidRPr="00E15F84" w:rsidRDefault="00E13DB7" w:rsidP="001B52F2">
      <w:pPr>
        <w:pStyle w:val="Heading1"/>
        <w:jc w:val="center"/>
        <w:rPr>
          <w:rFonts w:ascii="Times New Roman" w:hAnsi="Times New Roman" w:cs="Times New Roman"/>
          <w:sz w:val="28"/>
          <w:szCs w:val="22"/>
          <w:lang w:val="ro-MO"/>
        </w:rPr>
      </w:pPr>
      <w:r w:rsidRPr="00E15F84">
        <w:rPr>
          <w:rFonts w:ascii="Times New Roman" w:hAnsi="Times New Roman" w:cs="Times New Roman"/>
          <w:sz w:val="28"/>
          <w:szCs w:val="22"/>
          <w:lang w:val="ro-MO"/>
        </w:rPr>
        <w:t>Concluzie finală</w:t>
      </w:r>
    </w:p>
    <w:p w:rsidR="001B52F2" w:rsidRPr="00E15F84" w:rsidRDefault="001B52F2" w:rsidP="00A47618">
      <w:pPr>
        <w:pStyle w:val="pdq2pgselectionanchorcontainer"/>
        <w:spacing w:before="0" w:beforeAutospacing="0" w:after="0" w:afterAutospacing="0"/>
        <w:ind w:left="142" w:firstLine="425"/>
        <w:jc w:val="both"/>
        <w:rPr>
          <w:szCs w:val="22"/>
          <w:lang w:val="ro-MO"/>
        </w:rPr>
      </w:pPr>
      <w:r w:rsidRPr="00E15F84">
        <w:rPr>
          <w:szCs w:val="22"/>
          <w:lang w:val="ro-MO"/>
        </w:rPr>
        <w:t>Rezultatele pentru comuna Prodănești arată clar care sunt cele mai importante probleme pentru oameni. Cel mai des a fost menționată gazificarea, apoi reparația drumurilor și îmbunătățirea serviciului de apă. Aceste trei domenii ar trebui să fie puse pe primul loc în planurile de investiții ale comunei. Totuși, pentru fiecare lucrare trebuie făcute calcule tehnice, stabilite costurile reale și identificate sursele de finanțare.</w:t>
      </w:r>
    </w:p>
    <w:p w:rsidR="001B52F2" w:rsidRPr="00E15F84" w:rsidRDefault="001B52F2" w:rsidP="00A47618">
      <w:pPr>
        <w:pStyle w:val="NormalWeb"/>
        <w:spacing w:before="0" w:beforeAutospacing="0" w:after="0" w:afterAutospacing="0"/>
        <w:ind w:left="142" w:firstLine="425"/>
        <w:jc w:val="both"/>
        <w:rPr>
          <w:szCs w:val="22"/>
          <w:lang w:val="ro-MO"/>
        </w:rPr>
      </w:pPr>
      <w:r w:rsidRPr="00E15F84">
        <w:rPr>
          <w:szCs w:val="22"/>
          <w:lang w:val="ro-MO"/>
        </w:rPr>
        <w:t>Consultarea publică din 12 iulie a adus și alte întrebări importante. Oamenii au întrebat despre centrul administrativ, faptul că localitățile sunt din raioane diferite, modul în care va fi format bugetul comun, stimulentele financiare, împărțirea investițiilor, accesul la servicii și păstrarea caracterului apolitic al procesului. Toate aceste lucruri trebuie explicate clar și deschis, deoarece de ele depinde încrederea oamenilor în procesul de amalgamare.</w:t>
      </w:r>
    </w:p>
    <w:p w:rsidR="001B52F2" w:rsidRPr="00E15F84" w:rsidRDefault="001B52F2" w:rsidP="00A47618">
      <w:pPr>
        <w:pStyle w:val="NormalWeb"/>
        <w:spacing w:before="0" w:beforeAutospacing="0" w:after="0" w:afterAutospacing="0"/>
        <w:ind w:left="142" w:firstLine="425"/>
        <w:jc w:val="both"/>
        <w:rPr>
          <w:szCs w:val="22"/>
          <w:lang w:val="ro-MO"/>
        </w:rPr>
      </w:pPr>
      <w:r w:rsidRPr="00E15F84">
        <w:rPr>
          <w:szCs w:val="22"/>
          <w:lang w:val="ro-MO"/>
        </w:rPr>
        <w:t xml:space="preserve">Prodănești este propusă drept centru administrativ. Acest lucru înseamnă și responsabilitatea de a coordona corect și transparent serviciile și investițiile pentru toate localitățile din viitoarea UAT. În același timp, comuna Prodănești trebuie să aibă propriile proiecte bine formulate, cum ar fi </w:t>
      </w:r>
      <w:r w:rsidRPr="00E15F84">
        <w:rPr>
          <w:szCs w:val="22"/>
          <w:lang w:val="ro-MO"/>
        </w:rPr>
        <w:t xml:space="preserve">construcția rețelei de </w:t>
      </w:r>
      <w:r w:rsidRPr="00E15F84">
        <w:rPr>
          <w:szCs w:val="22"/>
          <w:lang w:val="ro-MO"/>
        </w:rPr>
        <w:t>gazificare, reparația drumurilor</w:t>
      </w:r>
      <w:r w:rsidRPr="00E15F84">
        <w:rPr>
          <w:szCs w:val="22"/>
          <w:lang w:val="ro-MO"/>
        </w:rPr>
        <w:t xml:space="preserve"> secundare</w:t>
      </w:r>
      <w:r w:rsidRPr="00E15F84">
        <w:rPr>
          <w:szCs w:val="22"/>
          <w:lang w:val="ro-MO"/>
        </w:rPr>
        <w:t>, îmbunătățirea serviciului de apă, salubrizarea, iluminatul stradal, serviciile sociale și activitățile pentru tineri.</w:t>
      </w:r>
    </w:p>
    <w:p w:rsidR="001B52F2" w:rsidRPr="00E15F84" w:rsidRDefault="001B52F2" w:rsidP="00A47618">
      <w:pPr>
        <w:pStyle w:val="NormalWeb"/>
        <w:spacing w:before="0" w:beforeAutospacing="0" w:after="0" w:afterAutospacing="0"/>
        <w:ind w:left="142" w:firstLine="425"/>
        <w:jc w:val="both"/>
        <w:rPr>
          <w:szCs w:val="22"/>
          <w:lang w:val="ro-MO"/>
        </w:rPr>
      </w:pPr>
      <w:r w:rsidRPr="00E15F84">
        <w:rPr>
          <w:szCs w:val="22"/>
          <w:lang w:val="ro-MO"/>
        </w:rPr>
        <w:t>Acest tabel urmează să fie examinat de Grupul de Lucru Comun. Propunerile acceptate sau acceptate parțial</w:t>
      </w:r>
      <w:r w:rsidR="00A47618">
        <w:rPr>
          <w:szCs w:val="22"/>
          <w:lang w:val="ro-MO"/>
        </w:rPr>
        <w:t>,</w:t>
      </w:r>
      <w:r w:rsidRPr="00E15F84">
        <w:rPr>
          <w:szCs w:val="22"/>
          <w:lang w:val="ro-MO"/>
        </w:rPr>
        <w:t xml:space="preserve"> </w:t>
      </w:r>
      <w:r w:rsidRPr="00E15F84">
        <w:rPr>
          <w:szCs w:val="22"/>
          <w:lang w:val="ro-MO"/>
        </w:rPr>
        <w:t xml:space="preserve">sunt </w:t>
      </w:r>
      <w:r w:rsidRPr="00E15F84">
        <w:rPr>
          <w:szCs w:val="22"/>
          <w:lang w:val="ro-MO"/>
        </w:rPr>
        <w:t>incluse în Vi</w:t>
      </w:r>
      <w:r w:rsidRPr="00E15F84">
        <w:rPr>
          <w:szCs w:val="22"/>
          <w:lang w:val="ro-MO"/>
        </w:rPr>
        <w:t>ziunea viitoarei UAT amalgamate</w:t>
      </w:r>
      <w:r w:rsidRPr="00E15F84">
        <w:rPr>
          <w:szCs w:val="22"/>
          <w:lang w:val="ro-MO"/>
        </w:rPr>
        <w:t xml:space="preserve"> </w:t>
      </w:r>
      <w:r w:rsidRPr="00E15F84">
        <w:rPr>
          <w:szCs w:val="22"/>
          <w:lang w:val="ro-MO"/>
        </w:rPr>
        <w:t xml:space="preserve">(urmare a noilor propuneri, Viziunea va fi actualizată), </w:t>
      </w:r>
      <w:r w:rsidRPr="00E15F84">
        <w:rPr>
          <w:szCs w:val="22"/>
          <w:lang w:val="ro-MO"/>
        </w:rPr>
        <w:t>în proiectul de decizie, în Nota de fundamentare și în lista proiectelor de investiții. Pentru fiecare propunere trebuie să fie clar ce au spus cetățenii, ce decizie a fost luată și ce urmează să fie făcut.</w:t>
      </w:r>
    </w:p>
    <w:p w:rsidR="003E655C" w:rsidRPr="003657A9" w:rsidRDefault="003E655C" w:rsidP="00A47618">
      <w:pPr>
        <w:spacing w:after="0" w:line="240" w:lineRule="auto"/>
        <w:ind w:left="142" w:firstLine="425"/>
        <w:jc w:val="both"/>
        <w:rPr>
          <w:rFonts w:cs="Times New Roman"/>
          <w:lang w:val="ro-MO"/>
        </w:rPr>
      </w:pPr>
    </w:p>
    <w:sectPr w:rsidR="003E655C" w:rsidRPr="003657A9" w:rsidSect="003657A9">
      <w:footerReference w:type="default" r:id="rId10"/>
      <w:pgSz w:w="15840" w:h="12240" w:orient="landscape"/>
      <w:pgMar w:top="792" w:right="1239" w:bottom="792" w:left="79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DB7" w:rsidRDefault="00E13DB7">
      <w:pPr>
        <w:spacing w:after="0" w:line="240" w:lineRule="auto"/>
      </w:pPr>
      <w:r>
        <w:separator/>
      </w:r>
    </w:p>
  </w:endnote>
  <w:endnote w:type="continuationSeparator" w:id="0">
    <w:p w:rsidR="00E13DB7" w:rsidRDefault="00E13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55C" w:rsidRDefault="00E13DB7">
    <w:pPr>
      <w:pStyle w:val="Footer"/>
      <w:jc w:val="center"/>
    </w:pPr>
    <w:r>
      <w:rPr>
        <w:sz w:val="18"/>
      </w:rPr>
      <w:t xml:space="preserve">Pagina </w:t>
    </w:r>
    <w:r>
      <w:rPr>
        <w:sz w:val="18"/>
      </w:rPr>
      <w:fldChar w:fldCharType="begin"/>
    </w:r>
    <w:r>
      <w:rPr>
        <w:sz w:val="18"/>
      </w:rPr>
      <w:instrText>PAGE</w:instrText>
    </w:r>
    <w:r w:rsidR="001B52F2">
      <w:rPr>
        <w:sz w:val="18"/>
      </w:rPr>
      <w:fldChar w:fldCharType="separate"/>
    </w:r>
    <w:r w:rsidR="0022557A">
      <w:rPr>
        <w:noProof/>
        <w:sz w:val="18"/>
      </w:rPr>
      <w:t>1</w:t>
    </w:r>
    <w:r>
      <w:rPr>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55C" w:rsidRDefault="00E13DB7">
    <w:pPr>
      <w:pStyle w:val="Footer"/>
      <w:jc w:val="center"/>
    </w:pPr>
    <w:r>
      <w:rPr>
        <w:sz w:val="18"/>
      </w:rPr>
      <w:t xml:space="preserve">Pagina </w:t>
    </w:r>
    <w:r>
      <w:rPr>
        <w:sz w:val="18"/>
      </w:rPr>
      <w:fldChar w:fldCharType="begin"/>
    </w:r>
    <w:r>
      <w:rPr>
        <w:sz w:val="18"/>
      </w:rPr>
      <w:instrText>PAGE</w:instrText>
    </w:r>
    <w:r w:rsidR="001B52F2">
      <w:rPr>
        <w:sz w:val="18"/>
      </w:rPr>
      <w:fldChar w:fldCharType="separate"/>
    </w:r>
    <w:r w:rsidR="0022557A">
      <w:rPr>
        <w:noProof/>
        <w:sz w:val="18"/>
      </w:rPr>
      <w:t>2</w:t>
    </w:r>
    <w:r>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DB7" w:rsidRDefault="00E13DB7">
      <w:pPr>
        <w:spacing w:after="0" w:line="240" w:lineRule="auto"/>
      </w:pPr>
      <w:r>
        <w:separator/>
      </w:r>
    </w:p>
  </w:footnote>
  <w:footnote w:type="continuationSeparator" w:id="0">
    <w:p w:rsidR="00E13DB7" w:rsidRDefault="00E13D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B52F2"/>
    <w:rsid w:val="0022557A"/>
    <w:rsid w:val="0029639D"/>
    <w:rsid w:val="00326F90"/>
    <w:rsid w:val="003657A9"/>
    <w:rsid w:val="003E655C"/>
    <w:rsid w:val="00A47618"/>
    <w:rsid w:val="00AA1D8D"/>
    <w:rsid w:val="00B47730"/>
    <w:rsid w:val="00CB0664"/>
    <w:rsid w:val="00E13DB7"/>
    <w:rsid w:val="00E15F8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line="240" w:lineRule="auto"/>
      <w:contextualSpacing/>
    </w:pPr>
    <w:rPr>
      <w:rFonts w:asciiTheme="majorHAnsi" w:eastAsiaTheme="majorEastAsia" w:hAnsiTheme="majorHAnsi" w:cstheme="majorBidi"/>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1B52F2"/>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1B52F2"/>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line="240" w:lineRule="auto"/>
      <w:contextualSpacing/>
    </w:pPr>
    <w:rPr>
      <w:rFonts w:asciiTheme="majorHAnsi" w:eastAsiaTheme="majorEastAsia" w:hAnsiTheme="majorHAnsi" w:cstheme="majorBidi"/>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1B52F2"/>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1B52F2"/>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294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9A23F-43A6-4AF9-A6D2-71ED9AD9E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2106</Words>
  <Characters>12006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14084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VR</cp:lastModifiedBy>
  <cp:revision>5</cp:revision>
  <dcterms:created xsi:type="dcterms:W3CDTF">2013-12-23T23:15:00Z</dcterms:created>
  <dcterms:modified xsi:type="dcterms:W3CDTF">2026-07-13T13:59:00Z</dcterms:modified>
  <cp:category/>
</cp:coreProperties>
</file>