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F27E" w14:textId="1BB51048" w:rsidR="00BF7278" w:rsidRPr="00430E84" w:rsidRDefault="00BF7278" w:rsidP="004721CC">
      <w:pPr>
        <w:spacing w:after="200" w:line="276" w:lineRule="auto"/>
        <w:ind w:right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C5BB3">
        <w:rPr>
          <w:rFonts w:ascii="Times New Roman" w:eastAsia="Calibri" w:hAnsi="Times New Roman" w:cs="Times New Roman"/>
          <w:i/>
          <w:sz w:val="28"/>
          <w:szCs w:val="28"/>
        </w:rPr>
        <w:t>Proiect</w:t>
      </w:r>
    </w:p>
    <w:p w14:paraId="77498B89" w14:textId="77777777" w:rsidR="00BF7278" w:rsidRPr="00CC5BB3" w:rsidRDefault="00BF7278" w:rsidP="00BF72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7AF6B6" w14:textId="77777777" w:rsidR="00BF7278" w:rsidRPr="00CC5BB3" w:rsidRDefault="00BF7278" w:rsidP="00BF72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BB3">
        <w:rPr>
          <w:rFonts w:ascii="Times New Roman" w:eastAsia="Calibri" w:hAnsi="Times New Roman" w:cs="Times New Roman"/>
          <w:b/>
          <w:sz w:val="28"/>
          <w:szCs w:val="28"/>
        </w:rPr>
        <w:t>GUVERNUL REPUBLICII MOLDOVA</w:t>
      </w:r>
    </w:p>
    <w:p w14:paraId="17578C58" w14:textId="77777777" w:rsidR="00BF7278" w:rsidRPr="00CC5BB3" w:rsidRDefault="00BF7278" w:rsidP="00BF72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AFD8D9" w14:textId="77777777" w:rsidR="00BF7278" w:rsidRPr="00CC5BB3" w:rsidRDefault="00BF7278" w:rsidP="00BF72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C5BB3">
        <w:rPr>
          <w:rFonts w:ascii="Times New Roman" w:eastAsia="Calibri" w:hAnsi="Times New Roman" w:cs="Times New Roman"/>
          <w:b/>
          <w:sz w:val="28"/>
          <w:szCs w:val="28"/>
        </w:rPr>
        <w:t xml:space="preserve">        H O T Ă R Â R E nr. </w:t>
      </w:r>
      <w:r w:rsidRPr="00CC5BB3">
        <w:rPr>
          <w:rFonts w:ascii="Times New Roman" w:eastAsia="Calibri" w:hAnsi="Times New Roman" w:cs="Times New Roman"/>
          <w:b/>
          <w:sz w:val="28"/>
          <w:szCs w:val="28"/>
          <w:u w:val="single"/>
        </w:rPr>
        <w:t>___</w:t>
      </w:r>
    </w:p>
    <w:p w14:paraId="391EBE3F" w14:textId="77777777" w:rsidR="00BF7278" w:rsidRPr="00CC5BB3" w:rsidRDefault="00BF7278" w:rsidP="00BF72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754050" w14:textId="77777777" w:rsidR="00BF7278" w:rsidRPr="00CC5BB3" w:rsidRDefault="00BF7278" w:rsidP="00BF72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BB3">
        <w:rPr>
          <w:rFonts w:ascii="Times New Roman" w:eastAsia="Calibri" w:hAnsi="Times New Roman" w:cs="Times New Roman"/>
          <w:b/>
          <w:sz w:val="28"/>
          <w:szCs w:val="28"/>
        </w:rPr>
        <w:t>din</w:t>
      </w:r>
      <w:r w:rsidRPr="00CC5BB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_____________________________ </w:t>
      </w:r>
      <w:r w:rsidRPr="00CC5BB3">
        <w:rPr>
          <w:rFonts w:ascii="Times New Roman" w:eastAsia="Calibri" w:hAnsi="Times New Roman" w:cs="Times New Roman"/>
          <w:b/>
          <w:sz w:val="28"/>
          <w:szCs w:val="28"/>
        </w:rPr>
        <w:t>2026</w:t>
      </w:r>
    </w:p>
    <w:p w14:paraId="0C313D91" w14:textId="77777777" w:rsidR="00BF7278" w:rsidRPr="00CC5BB3" w:rsidRDefault="00BF7278" w:rsidP="00BF72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BB3">
        <w:rPr>
          <w:rFonts w:ascii="Times New Roman" w:eastAsia="Calibri" w:hAnsi="Times New Roman" w:cs="Times New Roman"/>
          <w:b/>
          <w:sz w:val="28"/>
          <w:szCs w:val="28"/>
        </w:rPr>
        <w:t>Chișinău</w:t>
      </w:r>
    </w:p>
    <w:p w14:paraId="5813AAEE" w14:textId="77777777" w:rsidR="00BF7278" w:rsidRDefault="00BF7278" w:rsidP="00BF72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1AB91ED" w14:textId="77777777" w:rsidR="00311CB4" w:rsidRDefault="00311CB4" w:rsidP="00311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Cu privire la modificarea unor hotărâri ale Guvernului</w:t>
      </w:r>
    </w:p>
    <w:p w14:paraId="059162B4" w14:textId="7EB87ACA" w:rsidR="00BF7278" w:rsidRPr="00311CB4" w:rsidRDefault="00311CB4" w:rsidP="00311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(privind activitatea micilor producători și ajustarea unor norme referitoare la controalele oficiale)</w:t>
      </w:r>
    </w:p>
    <w:p w14:paraId="774F2CFE" w14:textId="77777777" w:rsidR="004F3937" w:rsidRDefault="004F3937" w:rsidP="00BF72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o-RO"/>
        </w:rPr>
      </w:pPr>
    </w:p>
    <w:p w14:paraId="2980E121" w14:textId="50496A8E" w:rsidR="00D46BE7" w:rsidRDefault="00D46BE7" w:rsidP="00311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2C7D5CE5" w14:textId="7D73D4E1" w:rsidR="00BF7278" w:rsidRPr="00D46BE7" w:rsidRDefault="00D46BE7" w:rsidP="002068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3D01C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GUVERNUL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BF7278" w:rsidRPr="003D01C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HOTĂRĂŞTE:</w:t>
      </w:r>
    </w:p>
    <w:p w14:paraId="60617FF3" w14:textId="77777777" w:rsidR="00BF7278" w:rsidRPr="00CC5BB3" w:rsidRDefault="00BF7278" w:rsidP="00BF727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3935A3D5" w14:textId="48C47195" w:rsidR="00BF7278" w:rsidRPr="00E334E5" w:rsidRDefault="00BF7278" w:rsidP="008921B6">
      <w:pPr>
        <w:pStyle w:val="ListParagraph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</w:pP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Hotărârea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Guvernului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nr. 6 /2025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privind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aprobarea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Cerinţelor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simplificate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pentru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activitatea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micilor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producători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din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domeniul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alimentar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şi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completarea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Hotărârii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Guvernului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nr.</w:t>
      </w:r>
      <w:r w:rsidR="004E6489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643/2003 cu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privire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la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aprobarea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Normelor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metodologice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şi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criteriilor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de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clasificare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a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structurilor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de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primire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turistică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cu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funcţiuni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de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cazare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şi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de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servire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a </w:t>
      </w:r>
      <w:proofErr w:type="spellStart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mesei</w:t>
      </w:r>
      <w:proofErr w:type="spellEnd"/>
      <w:r w:rsidRPr="000C197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r w:rsidRPr="003349AF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(</w:t>
      </w:r>
      <w:proofErr w:type="spellStart"/>
      <w:r w:rsidRPr="003349AF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Monitorul</w:t>
      </w:r>
      <w:proofErr w:type="spellEnd"/>
      <w:r w:rsidRPr="003349AF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proofErr w:type="spellStart"/>
      <w:r w:rsidRPr="003349AF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Oficial</w:t>
      </w:r>
      <w:proofErr w:type="spellEnd"/>
      <w:r w:rsidRPr="003349AF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al </w:t>
      </w:r>
      <w:proofErr w:type="spellStart"/>
      <w:r w:rsidRPr="003349AF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Republicii</w:t>
      </w:r>
      <w:proofErr w:type="spellEnd"/>
      <w:r w:rsidRPr="003349AF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Moldova, 2025, nr. 89-95 art. 84),</w:t>
      </w:r>
      <w:r w:rsidRPr="000C197F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</w:t>
      </w:r>
      <w:bookmarkStart w:id="0" w:name="_Hlk220315446"/>
      <w:r w:rsidRPr="000C197F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se modifică după cum urmează: </w:t>
      </w:r>
      <w:bookmarkEnd w:id="0"/>
    </w:p>
    <w:p w14:paraId="485178A5" w14:textId="7AF162EB" w:rsidR="00A12545" w:rsidRDefault="00BF7278" w:rsidP="00C625C7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</w:pPr>
      <w:proofErr w:type="spellStart"/>
      <w:r w:rsidRPr="00C625C7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Anexa</w:t>
      </w:r>
      <w:proofErr w:type="spellEnd"/>
      <w:r w:rsidRPr="00C625C7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nr. 1</w:t>
      </w:r>
      <w:r w:rsidR="00A12545" w:rsidRPr="00C625C7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:</w:t>
      </w:r>
    </w:p>
    <w:p w14:paraId="72029882" w14:textId="77777777" w:rsidR="0095671E" w:rsidRPr="00C34567" w:rsidRDefault="0095671E" w:rsidP="0095671E">
      <w:pPr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1.1.1. </w:t>
      </w:r>
      <w:r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Se </w:t>
      </w:r>
      <w:proofErr w:type="spellStart"/>
      <w:r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completează</w:t>
      </w:r>
      <w:proofErr w:type="spellEnd"/>
      <w:r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cu pct. 3</w:t>
      </w:r>
      <w:r w:rsidRPr="00C3456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GB"/>
        </w:rPr>
        <w:t xml:space="preserve">1 </w:t>
      </w:r>
      <w:r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cu </w:t>
      </w:r>
      <w:proofErr w:type="spellStart"/>
      <w:r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următorul</w:t>
      </w:r>
      <w:proofErr w:type="spellEnd"/>
      <w:r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cuprins</w:t>
      </w:r>
      <w:proofErr w:type="spellEnd"/>
      <w:r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:</w:t>
      </w:r>
    </w:p>
    <w:p w14:paraId="2B4984CB" w14:textId="3623A855" w:rsidR="002F5034" w:rsidRPr="00C31EF5" w:rsidRDefault="0095671E" w:rsidP="00C31E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3</w:t>
      </w:r>
      <w:r w:rsidRPr="00C3456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GB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. </w:t>
      </w:r>
      <w:proofErr w:type="spellStart"/>
      <w:r w:rsidRPr="00F131E2">
        <w:rPr>
          <w:rFonts w:ascii="Times New Roman" w:hAnsi="Times New Roman" w:cs="Times New Roman"/>
          <w:sz w:val="28"/>
          <w:szCs w:val="28"/>
          <w:lang w:val="en-GB"/>
        </w:rPr>
        <w:t>Fără</w:t>
      </w:r>
      <w:proofErr w:type="spellEnd"/>
      <w:r w:rsidRPr="00F131E2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F131E2">
        <w:rPr>
          <w:rFonts w:ascii="Times New Roman" w:hAnsi="Times New Roman" w:cs="Times New Roman"/>
          <w:sz w:val="28"/>
          <w:szCs w:val="28"/>
          <w:lang w:val="en-GB"/>
        </w:rPr>
        <w:t>aduce</w:t>
      </w:r>
      <w:proofErr w:type="spellEnd"/>
      <w:r w:rsidRPr="00F13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131E2">
        <w:rPr>
          <w:rFonts w:ascii="Times New Roman" w:hAnsi="Times New Roman" w:cs="Times New Roman"/>
          <w:sz w:val="28"/>
          <w:szCs w:val="28"/>
          <w:lang w:val="en-GB"/>
        </w:rPr>
        <w:t>atingere</w:t>
      </w:r>
      <w:proofErr w:type="spellEnd"/>
      <w:r w:rsidRPr="00F13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131E2">
        <w:rPr>
          <w:rFonts w:ascii="Times New Roman" w:hAnsi="Times New Roman" w:cs="Times New Roman"/>
          <w:sz w:val="28"/>
          <w:szCs w:val="28"/>
          <w:lang w:val="en-GB"/>
        </w:rPr>
        <w:t>prevederilor</w:t>
      </w:r>
      <w:proofErr w:type="spellEnd"/>
      <w:r w:rsidRPr="00F13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131E2">
        <w:rPr>
          <w:rFonts w:ascii="Times New Roman" w:hAnsi="Times New Roman" w:cs="Times New Roman"/>
          <w:sz w:val="28"/>
          <w:szCs w:val="28"/>
          <w:lang w:val="en-GB"/>
        </w:rPr>
        <w:t>punctului</w:t>
      </w:r>
      <w:proofErr w:type="spellEnd"/>
      <w:r w:rsidRPr="00F131E2">
        <w:rPr>
          <w:rFonts w:ascii="Times New Roman" w:hAnsi="Times New Roman" w:cs="Times New Roman"/>
          <w:sz w:val="28"/>
          <w:szCs w:val="28"/>
          <w:lang w:val="en-GB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producătorii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mici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produselor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alimentare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origine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animală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cazul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care,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activitatea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pe care 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desfășoară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depășesc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cantitățile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stabilite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86515F">
        <w:rPr>
          <w:rFonts w:ascii="Times New Roman" w:hAnsi="Times New Roman" w:cs="Times New Roman"/>
          <w:sz w:val="28"/>
          <w:szCs w:val="28"/>
          <w:lang w:val="en-GB"/>
        </w:rPr>
        <w:t>Anexa</w:t>
      </w:r>
      <w:proofErr w:type="spellEnd"/>
      <w:r w:rsidRPr="0086515F">
        <w:rPr>
          <w:rFonts w:ascii="Times New Roman" w:hAnsi="Times New Roman" w:cs="Times New Roman"/>
          <w:sz w:val="28"/>
          <w:szCs w:val="28"/>
          <w:lang w:val="en-GB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aceștia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sunt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obligați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își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autorizeze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unitățile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condițiile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art. 18 din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 nr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. 221/2007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activitatea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sanitară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veterinară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.</w:t>
      </w:r>
      <w:r w:rsidRPr="000C5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proofErr w:type="gramEnd"/>
    </w:p>
    <w:p w14:paraId="5D886648" w14:textId="3D5998F2" w:rsidR="00C625C7" w:rsidRPr="004F79C8" w:rsidRDefault="00C625C7" w:rsidP="00C31EF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C31EF5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1.1.</w:t>
      </w:r>
      <w:r w:rsidR="00C31EF5" w:rsidRPr="00C31EF5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2</w:t>
      </w:r>
      <w:r w:rsidRPr="00C31EF5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.</w:t>
      </w:r>
      <w:r w:rsidRPr="002F503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-US" w:eastAsia="ro-RO"/>
        </w:rPr>
        <w:t xml:space="preserve"> </w:t>
      </w:r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La </w:t>
      </w:r>
      <w:proofErr w:type="spellStart"/>
      <w:r w:rsidR="00503D3A" w:rsidRPr="00912272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punctul</w:t>
      </w:r>
      <w:proofErr w:type="spellEnd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15 </w:t>
      </w:r>
      <w:proofErr w:type="spellStart"/>
      <w:proofErr w:type="gramStart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cuvintele</w:t>
      </w:r>
      <w:proofErr w:type="spellEnd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 xml:space="preserve"> </w:t>
      </w:r>
      <w:r w:rsidR="008207A1" w:rsidRPr="008207A1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>,,</w:t>
      </w:r>
      <w:proofErr w:type="spellStart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>produselor</w:t>
      </w:r>
      <w:proofErr w:type="spellEnd"/>
      <w:proofErr w:type="gramEnd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 xml:space="preserve"> de </w:t>
      </w:r>
      <w:proofErr w:type="spellStart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>origine</w:t>
      </w:r>
      <w:proofErr w:type="spellEnd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 xml:space="preserve"> animal</w:t>
      </w:r>
      <w:r w:rsidRPr="004F79C8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ă</w:t>
      </w:r>
      <w:r w:rsidR="008207A1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>’’</w:t>
      </w:r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 xml:space="preserve"> se </w:t>
      </w:r>
      <w:proofErr w:type="spellStart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>substituie</w:t>
      </w:r>
      <w:proofErr w:type="spellEnd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 xml:space="preserve"> cu </w:t>
      </w:r>
      <w:proofErr w:type="spellStart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>cuvântul</w:t>
      </w:r>
      <w:proofErr w:type="spellEnd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 xml:space="preserve"> </w:t>
      </w:r>
      <w:r w:rsidR="008207A1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>,,</w:t>
      </w:r>
      <w:proofErr w:type="spellStart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>alimentelor</w:t>
      </w:r>
      <w:proofErr w:type="spellEnd"/>
      <w:r w:rsidRPr="004F79C8">
        <w:rPr>
          <w:rFonts w:ascii="Times New Roman" w:eastAsia="Times New Roman" w:hAnsi="Times New Roman" w:cs="Times New Roman"/>
          <w:bCs/>
          <w:sz w:val="28"/>
          <w:szCs w:val="28"/>
          <w:lang w:val="en-GB" w:eastAsia="ro-RO"/>
        </w:rPr>
        <w:t>’’.</w:t>
      </w:r>
    </w:p>
    <w:p w14:paraId="64633811" w14:textId="25AD3201" w:rsidR="00C625C7" w:rsidRPr="00C625C7" w:rsidRDefault="00C625C7" w:rsidP="00C625C7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2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9605DC" w:rsidRPr="00C31EF5">
        <w:rPr>
          <w:rFonts w:ascii="Times New Roman" w:hAnsi="Times New Roman" w:cs="Times New Roman"/>
          <w:bCs/>
          <w:sz w:val="28"/>
          <w:szCs w:val="28"/>
        </w:rPr>
        <w:t>1.1.</w:t>
      </w:r>
      <w:r w:rsidR="00C31EF5" w:rsidRPr="00C31EF5">
        <w:rPr>
          <w:rFonts w:ascii="Times New Roman" w:hAnsi="Times New Roman" w:cs="Times New Roman"/>
          <w:bCs/>
          <w:sz w:val="28"/>
          <w:szCs w:val="28"/>
        </w:rPr>
        <w:t>3</w:t>
      </w:r>
      <w:r w:rsidR="009605DC" w:rsidRPr="00C31EF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62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Se completează </w:t>
      </w:r>
      <w:r w:rsidRPr="00C625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o-RO"/>
        </w:rPr>
        <w:t xml:space="preserve">cu </w:t>
      </w:r>
      <w:proofErr w:type="spellStart"/>
      <w:r w:rsidRPr="00C625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o-RO"/>
        </w:rPr>
        <w:t>punctul</w:t>
      </w:r>
      <w:proofErr w:type="spellEnd"/>
      <w:r w:rsidRPr="00C625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o-RO"/>
        </w:rPr>
        <w:t xml:space="preserve"> 16</w:t>
      </w:r>
      <w:r w:rsidRPr="00C625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en-US" w:eastAsia="ro-RO"/>
        </w:rPr>
        <w:t>1</w:t>
      </w:r>
      <w:r w:rsidRPr="00C62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cu următorul cuprins</w:t>
      </w:r>
      <w:r w:rsidRPr="00C625C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:</w:t>
      </w:r>
    </w:p>
    <w:p w14:paraId="22421875" w14:textId="47A56C51" w:rsidR="00BF7278" w:rsidRPr="00CC5BB3" w:rsidRDefault="00BF7278" w:rsidP="00C625C7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BB3">
        <w:rPr>
          <w:rFonts w:ascii="Times New Roman" w:hAnsi="Times New Roman" w:cs="Times New Roman"/>
          <w:bCs/>
          <w:sz w:val="28"/>
          <w:szCs w:val="28"/>
        </w:rPr>
        <w:t>„16</w:t>
      </w:r>
      <w:r w:rsidRPr="00CC5BB3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CC5BB3">
        <w:rPr>
          <w:rFonts w:ascii="Times New Roman" w:hAnsi="Times New Roman" w:cs="Times New Roman"/>
          <w:bCs/>
          <w:sz w:val="28"/>
          <w:szCs w:val="28"/>
        </w:rPr>
        <w:t>. Producătorii mici pot desfășura activități de comercializare directă a produselor alimentare obținute în cadrul propriei exploatații</w:t>
      </w:r>
      <w:r w:rsidR="00C625C7" w:rsidRPr="00C62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C625C7" w:rsidRPr="00C625C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625C7" w:rsidRPr="006E5A54">
        <w:rPr>
          <w:rFonts w:ascii="Times New Roman" w:hAnsi="Times New Roman" w:cs="Times New Roman"/>
          <w:bCs/>
          <w:sz w:val="28"/>
          <w:szCs w:val="28"/>
        </w:rPr>
        <w:t>pe o distanță estimată în raza de până la 150 km de la locul de producere</w:t>
      </w:r>
      <w:r w:rsidRPr="00CC5BB3">
        <w:rPr>
          <w:rFonts w:ascii="Times New Roman" w:hAnsi="Times New Roman" w:cs="Times New Roman"/>
          <w:bCs/>
          <w:sz w:val="28"/>
          <w:szCs w:val="28"/>
        </w:rPr>
        <w:t xml:space="preserve">, inclusiv prin vânzare directă către consumatorul final, în piețe agroalimentare, târguri, festivaluri, expoziții, evenimente locale sau prin livrare directă, cu respectarea cerințelor de </w:t>
      </w:r>
      <w:r w:rsidRPr="00CC5BB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igienă, siguranță alimentară și trasabilitate, </w:t>
      </w:r>
      <w:r w:rsidR="009605DC">
        <w:rPr>
          <w:rFonts w:ascii="Times New Roman" w:hAnsi="Times New Roman" w:cs="Times New Roman"/>
          <w:bCs/>
          <w:sz w:val="28"/>
          <w:szCs w:val="28"/>
        </w:rPr>
        <w:t>stabilite de legislația din domeniul alimentar</w:t>
      </w:r>
      <w:r w:rsidRPr="00CC5BB3">
        <w:rPr>
          <w:rFonts w:ascii="Times New Roman" w:hAnsi="Times New Roman" w:cs="Times New Roman"/>
          <w:bCs/>
          <w:sz w:val="28"/>
          <w:szCs w:val="28"/>
        </w:rPr>
        <w:t>.”</w:t>
      </w:r>
    </w:p>
    <w:p w14:paraId="4ACA9F24" w14:textId="63F14956" w:rsidR="00E334E5" w:rsidRPr="00C34567" w:rsidRDefault="00BF7278" w:rsidP="002B3A0C">
      <w:pPr>
        <w:pStyle w:val="ListParagraph"/>
        <w:numPr>
          <w:ilvl w:val="2"/>
          <w:numId w:val="8"/>
        </w:numPr>
        <w:spacing w:line="276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567">
        <w:rPr>
          <w:rFonts w:ascii="Times New Roman" w:hAnsi="Times New Roman" w:cs="Times New Roman"/>
          <w:bCs/>
          <w:sz w:val="28"/>
          <w:szCs w:val="28"/>
        </w:rPr>
        <w:t>La punctul 59 după cuvântul ”contractul” se completează cu cuvintele</w:t>
      </w:r>
      <w:r w:rsidR="008207A1">
        <w:rPr>
          <w:rFonts w:ascii="Times New Roman" w:hAnsi="Times New Roman" w:cs="Times New Roman"/>
          <w:bCs/>
          <w:sz w:val="28"/>
          <w:szCs w:val="28"/>
        </w:rPr>
        <w:t xml:space="preserve"> ,,</w:t>
      </w:r>
      <w:r w:rsidRPr="00C34567">
        <w:rPr>
          <w:rFonts w:ascii="Times New Roman" w:hAnsi="Times New Roman" w:cs="Times New Roman"/>
          <w:bCs/>
          <w:sz w:val="28"/>
          <w:szCs w:val="28"/>
        </w:rPr>
        <w:t>sau factura”.</w:t>
      </w:r>
    </w:p>
    <w:p w14:paraId="1985826A" w14:textId="4EA636DE" w:rsidR="00C34567" w:rsidRDefault="00C11747" w:rsidP="002B3A0C">
      <w:pPr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C34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C34567" w:rsidRPr="00C34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C34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Anexa nr. 2</w:t>
      </w:r>
      <w:r w:rsidR="00A64487" w:rsidRPr="00C3456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: </w:t>
      </w:r>
    </w:p>
    <w:p w14:paraId="7E59FA1E" w14:textId="57B5FE6E" w:rsidR="0023631C" w:rsidRPr="003603F7" w:rsidRDefault="0023631C" w:rsidP="002B3A0C">
      <w:pPr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7D3">
        <w:rPr>
          <w:rFonts w:ascii="Times New Roman" w:hAnsi="Times New Roman" w:cs="Times New Roman"/>
          <w:sz w:val="28"/>
          <w:szCs w:val="28"/>
          <w:lang w:val="en-GB"/>
        </w:rPr>
        <w:t>1.2.</w:t>
      </w:r>
      <w:r w:rsidR="00F747D3" w:rsidRPr="00F747D3">
        <w:rPr>
          <w:rFonts w:ascii="Times New Roman" w:hAnsi="Times New Roman" w:cs="Times New Roman"/>
          <w:sz w:val="28"/>
          <w:szCs w:val="28"/>
          <w:lang w:val="en-GB"/>
        </w:rPr>
        <w:t>1</w:t>
      </w:r>
      <w:r w:rsidRPr="00F747D3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completează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cu pct. </w:t>
      </w:r>
      <w:r w:rsidRPr="0023631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3631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3603F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="003603F7">
        <w:rPr>
          <w:rFonts w:ascii="Times New Roman" w:hAnsi="Times New Roman" w:cs="Times New Roman"/>
          <w:color w:val="000000" w:themeColor="text1"/>
          <w:sz w:val="28"/>
          <w:szCs w:val="28"/>
        </w:rPr>
        <w:t>cu următorul cuprins</w:t>
      </w:r>
      <w:r w:rsidR="003603F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:</w:t>
      </w:r>
    </w:p>
    <w:p w14:paraId="3AAF6904" w14:textId="36EB5CF4" w:rsidR="00A64487" w:rsidRPr="003603F7" w:rsidRDefault="00A64487" w:rsidP="00C1174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>„12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Pe lângă efectuarea testelor microbiologice pentru indicatorul </w:t>
      </w:r>
      <w:r w:rsidRPr="00ED21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Listeria monoc</w:t>
      </w:r>
      <w:r w:rsidR="000F63EA" w:rsidRPr="00ED21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</w:t>
      </w:r>
      <w:r w:rsidRPr="00ED21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togenes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produsele din carne, operatorii din domeniul alimentar, trebuie să preleveze probe din zonele de prelucrare și de pe echipamentele utilizate, în vederea detectării prezenței </w:t>
      </w:r>
      <w:r w:rsidRPr="00ED21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Listeria monoc</w:t>
      </w:r>
      <w:r w:rsidR="000F63EA" w:rsidRPr="00ED21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</w:t>
      </w:r>
      <w:r w:rsidRPr="00ED21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togenes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>, cu o frecvență de cel puțin două probe pe an.”</w:t>
      </w:r>
    </w:p>
    <w:p w14:paraId="6DC464E4" w14:textId="27D16795" w:rsidR="003603F7" w:rsidRPr="00ED211E" w:rsidRDefault="003603F7" w:rsidP="00791AC7">
      <w:pPr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747D3">
        <w:rPr>
          <w:rFonts w:ascii="Times New Roman" w:hAnsi="Times New Roman" w:cs="Times New Roman"/>
          <w:sz w:val="28"/>
          <w:szCs w:val="28"/>
        </w:rPr>
        <w:t>1.2.</w:t>
      </w:r>
      <w:r w:rsidR="00F747D3" w:rsidRPr="00F747D3">
        <w:rPr>
          <w:rFonts w:ascii="Times New Roman" w:hAnsi="Times New Roman" w:cs="Times New Roman"/>
          <w:sz w:val="28"/>
          <w:szCs w:val="28"/>
        </w:rPr>
        <w:t>2</w:t>
      </w:r>
      <w:r w:rsidRPr="00F747D3">
        <w:rPr>
          <w:rFonts w:ascii="Times New Roman" w:hAnsi="Times New Roman" w:cs="Times New Roman"/>
          <w:sz w:val="28"/>
          <w:szCs w:val="28"/>
        </w:rPr>
        <w:t xml:space="preserve">. 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</w:t>
      </w:r>
      <w:r w:rsidR="00A7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tabelul de la 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>punctul 14</w:t>
      </w:r>
      <w:r w:rsidR="00213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543C0">
        <w:rPr>
          <w:rFonts w:ascii="Times New Roman" w:hAnsi="Times New Roman" w:cs="Times New Roman"/>
          <w:color w:val="000000" w:themeColor="text1"/>
          <w:sz w:val="28"/>
          <w:szCs w:val="28"/>
        </w:rPr>
        <w:t>rândul</w:t>
      </w:r>
      <w:r w:rsidR="00213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7A1">
        <w:rPr>
          <w:rFonts w:ascii="Times New Roman" w:hAnsi="Times New Roman" w:cs="Times New Roman"/>
          <w:color w:val="000000" w:themeColor="text1"/>
          <w:sz w:val="28"/>
          <w:szCs w:val="28"/>
        </w:rPr>
        <w:t>,,</w:t>
      </w:r>
      <w:r w:rsidR="00A76F4E">
        <w:rPr>
          <w:rFonts w:ascii="Times New Roman" w:hAnsi="Times New Roman" w:cs="Times New Roman"/>
          <w:color w:val="000000" w:themeColor="text1"/>
          <w:sz w:val="28"/>
          <w:szCs w:val="28"/>
        </w:rPr>
        <w:t>Frecvența de prelevare a probelor la producerea cărnii de bovine, porcine, ovine, caprine (criterii de igienă a procesului)</w:t>
      </w:r>
      <w:r w:rsidR="00D543C0">
        <w:rPr>
          <w:rFonts w:ascii="Times New Roman" w:hAnsi="Times New Roman" w:cs="Times New Roman"/>
          <w:color w:val="000000" w:themeColor="text1"/>
          <w:sz w:val="28"/>
          <w:szCs w:val="28"/>
        </w:rPr>
        <w:t>’’</w:t>
      </w:r>
      <w:r w:rsidR="00A7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la rândul </w:t>
      </w:r>
      <w:r w:rsidR="002132FC">
        <w:rPr>
          <w:rFonts w:ascii="Times New Roman" w:hAnsi="Times New Roman" w:cs="Times New Roman"/>
          <w:color w:val="000000" w:themeColor="text1"/>
          <w:sz w:val="28"/>
          <w:szCs w:val="28"/>
        </w:rPr>
        <w:t>al treilea</w:t>
      </w:r>
      <w:r w:rsidR="00A76F4E">
        <w:rPr>
          <w:rFonts w:ascii="Times New Roman" w:hAnsi="Times New Roman" w:cs="Times New Roman"/>
          <w:color w:val="000000" w:themeColor="text1"/>
          <w:sz w:val="28"/>
          <w:szCs w:val="28"/>
        </w:rPr>
        <w:t>, în coloan</w:t>
      </w:r>
      <w:r w:rsidR="002132FC">
        <w:rPr>
          <w:rFonts w:ascii="Times New Roman" w:hAnsi="Times New Roman" w:cs="Times New Roman"/>
          <w:color w:val="000000" w:themeColor="text1"/>
          <w:sz w:val="28"/>
          <w:szCs w:val="28"/>
        </w:rPr>
        <w:t>ele</w:t>
      </w:r>
      <w:r w:rsidR="00A7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doua și a treia, </w:t>
      </w:r>
      <w:r w:rsidR="002132FC">
        <w:rPr>
          <w:rFonts w:ascii="Times New Roman" w:hAnsi="Times New Roman" w:cs="Times New Roman"/>
          <w:color w:val="000000" w:themeColor="text1"/>
          <w:sz w:val="28"/>
          <w:szCs w:val="28"/>
        </w:rPr>
        <w:t>cuvintele</w:t>
      </w:r>
      <w:r w:rsidR="0082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,,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probă formată de pe cinci carcase” se substituie cu textul </w:t>
      </w:r>
      <w:r w:rsidR="008207A1">
        <w:rPr>
          <w:rFonts w:ascii="Times New Roman" w:hAnsi="Times New Roman" w:cs="Times New Roman"/>
          <w:color w:val="000000" w:themeColor="text1"/>
          <w:sz w:val="28"/>
          <w:szCs w:val="28"/>
        </w:rPr>
        <w:t>,,</w:t>
      </w:r>
      <w:r w:rsidRPr="003603F7">
        <w:rPr>
          <w:rFonts w:ascii="Times New Roman" w:hAnsi="Times New Roman" w:cs="Times New Roman"/>
          <w:color w:val="000000" w:themeColor="text1"/>
          <w:sz w:val="28"/>
          <w:szCs w:val="28"/>
        </w:rPr>
        <w:t>probele vor fi prelevate din 5 carcase, iar în cazul în care, în ziua sacrificării, au fost sacrificate mai puțin de 5 carcase, se vor preleva probe din numărul de carcase efectiv sacrificate”</w:t>
      </w:r>
      <w:r w:rsidR="008D5C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703859" w14:textId="7A80DED6" w:rsidR="00A76F4E" w:rsidRDefault="00A76F4E" w:rsidP="002B3A0C">
      <w:pPr>
        <w:spacing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7D3">
        <w:rPr>
          <w:rFonts w:ascii="Times New Roman" w:hAnsi="Times New Roman" w:cs="Times New Roman"/>
          <w:sz w:val="28"/>
          <w:szCs w:val="28"/>
        </w:rPr>
        <w:t>1.2.</w:t>
      </w:r>
      <w:r w:rsidR="00F747D3" w:rsidRPr="00F747D3">
        <w:rPr>
          <w:rFonts w:ascii="Times New Roman" w:hAnsi="Times New Roman" w:cs="Times New Roman"/>
          <w:sz w:val="28"/>
          <w:szCs w:val="28"/>
        </w:rPr>
        <w:t>3</w:t>
      </w:r>
      <w:r w:rsidRPr="00F747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La punctul 30</w:t>
      </w:r>
      <w:r w:rsidRPr="00A7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textul</w:t>
      </w:r>
      <w:r w:rsidR="0082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,,</w:t>
      </w:r>
      <w:r w:rsidRPr="00A76F4E">
        <w:rPr>
          <w:rFonts w:ascii="Times New Roman" w:hAnsi="Times New Roman" w:cs="Times New Roman"/>
          <w:color w:val="000000" w:themeColor="text1"/>
          <w:sz w:val="28"/>
          <w:szCs w:val="28"/>
        </w:rPr>
        <w:t>în baza certificatului de înregistrare oficială pentru siguranța alimentelor eliberate, în conformitate cu prevederile capitolului V</w:t>
      </w:r>
      <w:r w:rsidRPr="00A76F4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A76F4E">
        <w:rPr>
          <w:rFonts w:ascii="Times New Roman" w:hAnsi="Times New Roman" w:cs="Times New Roman"/>
          <w:color w:val="000000" w:themeColor="text1"/>
          <w:sz w:val="28"/>
          <w:szCs w:val="28"/>
        </w:rPr>
        <w:t> din Legea nr. 306/2018 privind siguranța alimentelor.” se substituie cu textul</w:t>
      </w:r>
      <w:r w:rsidR="0082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,,</w:t>
      </w:r>
      <w:r w:rsidRPr="00A7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doar dacă au fost autorizate sanitar-veterinar conform </w:t>
      </w:r>
      <w:r w:rsidR="00083F36">
        <w:rPr>
          <w:rFonts w:ascii="Times New Roman" w:hAnsi="Times New Roman" w:cs="Times New Roman"/>
          <w:color w:val="000000" w:themeColor="text1"/>
          <w:sz w:val="28"/>
          <w:szCs w:val="28"/>
        </w:rPr>
        <w:t>art.</w:t>
      </w:r>
      <w:r w:rsidRPr="00A7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din Legea nr. 221/2007 privind activitatea sanitară veterinară.”</w:t>
      </w:r>
    </w:p>
    <w:p w14:paraId="26CCA280" w14:textId="2CA675AE" w:rsidR="0075342A" w:rsidRPr="0075342A" w:rsidRDefault="0075342A" w:rsidP="002B3A0C">
      <w:pPr>
        <w:spacing w:line="276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7D3">
        <w:rPr>
          <w:rFonts w:ascii="Times New Roman" w:hAnsi="Times New Roman" w:cs="Times New Roman"/>
          <w:sz w:val="28"/>
          <w:szCs w:val="28"/>
        </w:rPr>
        <w:t>1.2.</w:t>
      </w:r>
      <w:r w:rsidR="00F747D3" w:rsidRPr="00F747D3">
        <w:rPr>
          <w:rFonts w:ascii="Times New Roman" w:hAnsi="Times New Roman" w:cs="Times New Roman"/>
          <w:sz w:val="28"/>
          <w:szCs w:val="28"/>
        </w:rPr>
        <w:t>4</w:t>
      </w:r>
      <w:r w:rsidRPr="00F747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completează cu punctul </w:t>
      </w:r>
      <w:r w:rsidRPr="0075342A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75342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753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următorul cuprins</w:t>
      </w:r>
      <w:r w:rsidRPr="0075342A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:</w:t>
      </w:r>
    </w:p>
    <w:p w14:paraId="3DF08BA6" w14:textId="18DCF24D" w:rsidR="00A64487" w:rsidRPr="00C50095" w:rsidRDefault="00A64487" w:rsidP="00C1174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095">
        <w:rPr>
          <w:rFonts w:ascii="Times New Roman" w:hAnsi="Times New Roman" w:cs="Times New Roman"/>
          <w:color w:val="000000" w:themeColor="text1"/>
          <w:sz w:val="28"/>
          <w:szCs w:val="28"/>
        </w:rPr>
        <w:t>„90</w:t>
      </w:r>
      <w:r w:rsidRPr="00C500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C50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Micii producători de ouă destinate consumului uman nu sunt obligați să aplice pe ambalaj informația privind mărimea ouălor, cu condiția ca greutatea minimă a acestora să fie indicată în grame pe partea exterioară a ambalajului, însoțită de mențiunea echivalentă cu «Ouă de calibre diferite».”</w:t>
      </w:r>
    </w:p>
    <w:p w14:paraId="1657D129" w14:textId="10F0492F" w:rsidR="00BF7278" w:rsidRDefault="00150531" w:rsidP="002B3A0C">
      <w:pPr>
        <w:spacing w:line="276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7D3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815080">
        <w:rPr>
          <w:rFonts w:ascii="Times New Roman" w:hAnsi="Times New Roman" w:cs="Times New Roman"/>
          <w:bCs/>
          <w:sz w:val="28"/>
          <w:szCs w:val="28"/>
        </w:rPr>
        <w:t>Î</w:t>
      </w:r>
      <w:r w:rsidR="005A265A">
        <w:rPr>
          <w:rFonts w:ascii="Times New Roman" w:hAnsi="Times New Roman" w:cs="Times New Roman"/>
          <w:bCs/>
          <w:sz w:val="28"/>
          <w:szCs w:val="28"/>
        </w:rPr>
        <w:t>n an</w:t>
      </w:r>
      <w:r w:rsidR="00BF7278" w:rsidRPr="00150531">
        <w:rPr>
          <w:rFonts w:ascii="Times New Roman" w:hAnsi="Times New Roman" w:cs="Times New Roman"/>
          <w:bCs/>
          <w:sz w:val="28"/>
          <w:szCs w:val="28"/>
        </w:rPr>
        <w:t xml:space="preserve">exa nr.3 </w:t>
      </w:r>
      <w:r w:rsidR="005A265A">
        <w:rPr>
          <w:rFonts w:ascii="Times New Roman" w:hAnsi="Times New Roman" w:cs="Times New Roman"/>
          <w:bCs/>
          <w:sz w:val="28"/>
          <w:szCs w:val="28"/>
        </w:rPr>
        <w:t>l</w:t>
      </w:r>
      <w:r w:rsidR="00BF7278" w:rsidRPr="00150531">
        <w:rPr>
          <w:rFonts w:ascii="Times New Roman" w:hAnsi="Times New Roman" w:cs="Times New Roman"/>
          <w:bCs/>
          <w:sz w:val="28"/>
          <w:szCs w:val="28"/>
        </w:rPr>
        <w:t>a tabelul 1, la rândul 13 și 14, coloana a doua</w:t>
      </w:r>
      <w:r w:rsidR="00A6549E" w:rsidRPr="00150531">
        <w:rPr>
          <w:rFonts w:ascii="Times New Roman" w:hAnsi="Times New Roman" w:cs="Times New Roman"/>
          <w:bCs/>
          <w:sz w:val="28"/>
          <w:szCs w:val="28"/>
        </w:rPr>
        <w:t>,</w:t>
      </w:r>
      <w:r w:rsidR="00BF7278" w:rsidRPr="00150531">
        <w:rPr>
          <w:rFonts w:ascii="Times New Roman" w:hAnsi="Times New Roman" w:cs="Times New Roman"/>
          <w:bCs/>
          <w:sz w:val="28"/>
          <w:szCs w:val="28"/>
        </w:rPr>
        <w:t xml:space="preserve"> cifra </w:t>
      </w:r>
      <w:r w:rsidR="008207A1">
        <w:rPr>
          <w:rFonts w:ascii="Times New Roman" w:hAnsi="Times New Roman" w:cs="Times New Roman"/>
          <w:bCs/>
          <w:sz w:val="28"/>
          <w:szCs w:val="28"/>
        </w:rPr>
        <w:t>,,</w:t>
      </w:r>
      <w:r w:rsidR="00BF7278" w:rsidRPr="00150531">
        <w:rPr>
          <w:rFonts w:ascii="Times New Roman" w:hAnsi="Times New Roman" w:cs="Times New Roman"/>
          <w:bCs/>
          <w:sz w:val="28"/>
          <w:szCs w:val="28"/>
        </w:rPr>
        <w:t xml:space="preserve">1000” se substituie cu cifra </w:t>
      </w:r>
      <w:r w:rsidR="008207A1">
        <w:rPr>
          <w:rFonts w:ascii="Times New Roman" w:hAnsi="Times New Roman" w:cs="Times New Roman"/>
          <w:bCs/>
          <w:sz w:val="28"/>
          <w:szCs w:val="28"/>
        </w:rPr>
        <w:t>,,</w:t>
      </w:r>
      <w:r w:rsidR="00BF7278" w:rsidRPr="00150531">
        <w:rPr>
          <w:rFonts w:ascii="Times New Roman" w:hAnsi="Times New Roman" w:cs="Times New Roman"/>
          <w:bCs/>
          <w:sz w:val="28"/>
          <w:szCs w:val="28"/>
        </w:rPr>
        <w:t>10 000”</w:t>
      </w:r>
      <w:r w:rsidR="00DD6156">
        <w:rPr>
          <w:rFonts w:ascii="Times New Roman" w:hAnsi="Times New Roman" w:cs="Times New Roman"/>
          <w:bCs/>
          <w:sz w:val="28"/>
          <w:szCs w:val="28"/>
        </w:rPr>
        <w:t xml:space="preserve"> și va avea următorul cuprins</w:t>
      </w:r>
      <w:r w:rsidR="00DD6156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5338"/>
        <w:gridCol w:w="3017"/>
      </w:tblGrid>
      <w:tr w:rsidR="00DD6156" w14:paraId="35AE5707" w14:textId="77777777" w:rsidTr="00DD6156">
        <w:tc>
          <w:tcPr>
            <w:tcW w:w="389" w:type="pct"/>
          </w:tcPr>
          <w:p w14:paraId="55ED93F0" w14:textId="3120668E" w:rsidR="00DD6156" w:rsidRDefault="00DD6156" w:rsidP="00DD61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946" w:type="pct"/>
          </w:tcPr>
          <w:p w14:paraId="165153AE" w14:textId="48A1AD51" w:rsidR="00DD6156" w:rsidRDefault="00DD6156" w:rsidP="002B3A0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Semințe oleaginoase</w:t>
            </w:r>
          </w:p>
        </w:tc>
        <w:tc>
          <w:tcPr>
            <w:tcW w:w="1665" w:type="pct"/>
          </w:tcPr>
          <w:p w14:paraId="4903E67E" w14:textId="7CDD13EA" w:rsidR="00DD6156" w:rsidRDefault="00DD6156" w:rsidP="002B3A0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până la 10 000 kg</w:t>
            </w:r>
          </w:p>
        </w:tc>
      </w:tr>
      <w:tr w:rsidR="00DD6156" w14:paraId="6FD329EC" w14:textId="77777777" w:rsidTr="00DD6156">
        <w:tc>
          <w:tcPr>
            <w:tcW w:w="389" w:type="pct"/>
          </w:tcPr>
          <w:p w14:paraId="7C4D668E" w14:textId="2E36D8B9" w:rsidR="00DD6156" w:rsidRDefault="00DD6156" w:rsidP="00DD61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946" w:type="pct"/>
          </w:tcPr>
          <w:p w14:paraId="40644C93" w14:textId="41F37F49" w:rsidR="00DD6156" w:rsidRDefault="00DD6156" w:rsidP="002B3A0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Cereale</w:t>
            </w:r>
          </w:p>
        </w:tc>
        <w:tc>
          <w:tcPr>
            <w:tcW w:w="1665" w:type="pct"/>
          </w:tcPr>
          <w:p w14:paraId="62DA67F6" w14:textId="59C9C35E" w:rsidR="00DD6156" w:rsidRDefault="00DD6156" w:rsidP="002B3A0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până la 10 000 kg</w:t>
            </w:r>
          </w:p>
        </w:tc>
      </w:tr>
    </w:tbl>
    <w:p w14:paraId="4F4CE3C8" w14:textId="77777777" w:rsidR="00DD6156" w:rsidRPr="00DD6156" w:rsidRDefault="00DD6156" w:rsidP="002B3A0C">
      <w:pPr>
        <w:spacing w:line="276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B0BC6E" w14:textId="702093A9" w:rsidR="00BF7278" w:rsidRPr="00911660" w:rsidRDefault="00911660" w:rsidP="002B3A0C">
      <w:pPr>
        <w:pStyle w:val="ListParagraph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lastRenderedPageBreak/>
        <w:t>Punctul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2 din </w:t>
      </w:r>
      <w:r w:rsidR="00BF7278" w:rsidRPr="005212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Hot</w:t>
      </w:r>
      <w:r w:rsidR="00BF7278" w:rsidRPr="005212A8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ărârea Guvernului nr. 662/2024 pentru stabilirea unor norme detaliate referitoare la  cerințele minime privind posturile de control și posturile de control la frontieră  (Monitorul Oficial al Republicii Moldova, 2024, </w:t>
      </w:r>
      <w:r w:rsidR="00BF7278" w:rsidRPr="005212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 nr. 434-436, art. 817)</w:t>
      </w:r>
      <w:r w:rsidRPr="00911660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BF7278" w:rsidRPr="00911660">
        <w:rPr>
          <w:rFonts w:ascii="Times New Roman" w:eastAsia="Calibri" w:hAnsi="Times New Roman" w:cs="Times New Roman"/>
          <w:sz w:val="28"/>
          <w:szCs w:val="28"/>
          <w:lang w:val="ro-MD"/>
        </w:rPr>
        <w:t>va avea</w:t>
      </w:r>
      <w:r w:rsidR="00BF7278" w:rsidRPr="009116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="00BF7278" w:rsidRPr="009116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următorul</w:t>
      </w:r>
      <w:proofErr w:type="spellEnd"/>
      <w:r w:rsidR="00BF7278" w:rsidRPr="009116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="00BF7278" w:rsidRPr="009116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cuprins</w:t>
      </w:r>
      <w:proofErr w:type="spellEnd"/>
      <w:r w:rsidR="00BF7278" w:rsidRPr="009116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:</w:t>
      </w:r>
    </w:p>
    <w:p w14:paraId="545CEB63" w14:textId="53C46BF2" w:rsidR="00455FD4" w:rsidRPr="00150531" w:rsidRDefault="00BF7278" w:rsidP="00D80881">
      <w:pPr>
        <w:shd w:val="clear" w:color="auto" w:fill="FDFCFA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</w:pPr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„</w:t>
      </w:r>
      <w:r w:rsidRPr="00CC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2.</w:t>
      </w:r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 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Prezenta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hotărâre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intră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în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vigoare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la data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intrării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în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vigoare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a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Legii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nr. 82/2024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privind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controalele oficiale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în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domeniul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agro</w:t>
      </w:r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alimentar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.”</w:t>
      </w:r>
    </w:p>
    <w:p w14:paraId="0FB371C0" w14:textId="3DE88578" w:rsidR="00BF7278" w:rsidRPr="00E92D38" w:rsidRDefault="00E92D38" w:rsidP="00F747D3">
      <w:pPr>
        <w:pStyle w:val="ListParagraph"/>
        <w:numPr>
          <w:ilvl w:val="0"/>
          <w:numId w:val="8"/>
        </w:numPr>
        <w:shd w:val="clear" w:color="auto" w:fill="FDFCFA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Punctul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3 din </w:t>
      </w:r>
      <w:proofErr w:type="spellStart"/>
      <w:r w:rsidR="00BF7278" w:rsidRPr="008F35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Hotărârea</w:t>
      </w:r>
      <w:proofErr w:type="spellEnd"/>
      <w:r w:rsidR="00BF7278" w:rsidRPr="008F35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="00BF7278" w:rsidRPr="008F35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Guvernului</w:t>
      </w:r>
      <w:proofErr w:type="spellEnd"/>
      <w:r w:rsidR="00BF7278" w:rsidRPr="008F35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nr. 762/2024 </w:t>
      </w:r>
      <w:r w:rsidR="00BF7278" w:rsidRPr="008F35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cu privire la stabilirea frecvenței uniforme a controalelor oficiale asupra animalelor și a bunurilor care intră în Republica </w:t>
      </w:r>
      <w:r w:rsidR="00BF7278" w:rsidRPr="003349A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Moldova (Monitorul Oficial al Republicii Moldova, 2024, nr. 529-532, art. 957 ,)</w:t>
      </w:r>
      <w:r w:rsidR="00BF7278" w:rsidRPr="008F356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va</w:t>
      </w:r>
      <w:proofErr w:type="spellEnd"/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avea</w:t>
      </w:r>
      <w:proofErr w:type="spellEnd"/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următorul</w:t>
      </w:r>
      <w:proofErr w:type="spellEnd"/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cuprins</w:t>
      </w:r>
      <w:proofErr w:type="spellEnd"/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:</w:t>
      </w:r>
    </w:p>
    <w:p w14:paraId="3F2B7E07" w14:textId="68AD2C7E" w:rsidR="00455FD4" w:rsidRPr="00150531" w:rsidRDefault="00BF7278" w:rsidP="00D80881">
      <w:pPr>
        <w:shd w:val="clear" w:color="auto" w:fill="FDFCFA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CC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„3. </w:t>
      </w:r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Prezenta hotărâre intră în vigoare la data intrării în vigoare a Legii nr. 82/2024 privind </w:t>
      </w:r>
      <w:bookmarkStart w:id="1" w:name="_Hlk220576028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controalele oficiale </w:t>
      </w:r>
      <w:bookmarkEnd w:id="1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domeniul agroalimentar.”</w:t>
      </w:r>
    </w:p>
    <w:p w14:paraId="65ABD771" w14:textId="2E240109" w:rsidR="00BF7278" w:rsidRPr="009C098C" w:rsidRDefault="00E92D38" w:rsidP="00F747D3">
      <w:pPr>
        <w:pStyle w:val="ListParagraph"/>
        <w:numPr>
          <w:ilvl w:val="0"/>
          <w:numId w:val="8"/>
        </w:numPr>
        <w:shd w:val="clear" w:color="auto" w:fill="FDFCFA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Punctul 2 din </w:t>
      </w:r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Hotărârea Guvernului nr.</w:t>
      </w:r>
      <w:r w:rsidR="00AC4A8E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113/2025 cu privire la modificarea </w:t>
      </w:r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Hotărârii Guvernului nr. 938/2018 pentru aprobarea Regulamentului privind modul de trecere a frontierei de stat a mărfurilor supuse controlului de către Agenția Națională pentru Siguranța Alimentelor </w:t>
      </w:r>
      <w:r w:rsidR="00BF7278" w:rsidRPr="00E92D38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(Monitorul Oficial al Republicii Moldova, 2025, nr. 139-142, art. 144)</w:t>
      </w:r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BF7278" w:rsidRPr="009C098C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va avea următorul cuprins:</w:t>
      </w:r>
    </w:p>
    <w:p w14:paraId="38918517" w14:textId="39A475D5" w:rsidR="00455FD4" w:rsidRPr="00150531" w:rsidRDefault="00BF7278" w:rsidP="002B3A0C">
      <w:pPr>
        <w:shd w:val="clear" w:color="auto" w:fill="FDFCFA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</w:pPr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„</w:t>
      </w:r>
      <w:r w:rsidRPr="00CC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2.</w:t>
      </w:r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 </w:t>
      </w:r>
      <w:proofErr w:type="spellStart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Subpct</w:t>
      </w:r>
      <w:proofErr w:type="spellEnd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. 1.8 </w:t>
      </w:r>
      <w:proofErr w:type="spellStart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ce</w:t>
      </w:r>
      <w:proofErr w:type="spellEnd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ține</w:t>
      </w:r>
      <w:proofErr w:type="spellEnd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de </w:t>
      </w:r>
      <w:proofErr w:type="spellStart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completarea</w:t>
      </w:r>
      <w:proofErr w:type="spellEnd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cu </w:t>
      </w:r>
      <w:proofErr w:type="spellStart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</w:t>
      </w:r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nexele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nr. 2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și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nr. 3</w:t>
      </w:r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a </w:t>
      </w:r>
      <w:proofErr w:type="spellStart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Hotărârii</w:t>
      </w:r>
      <w:proofErr w:type="spellEnd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Guvernului</w:t>
      </w:r>
      <w:proofErr w:type="spellEnd"/>
      <w:r w:rsidR="009C09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nr. 938/2018</w:t>
      </w:r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intră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în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vigoare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la data 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intrării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în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vigoare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a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Legii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nr. 82/2024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privind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controalele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oficiale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în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domeniul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agroalimentar</w:t>
      </w:r>
      <w:proofErr w:type="spellEnd"/>
      <w:r w:rsidRPr="00CC5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.”</w:t>
      </w:r>
    </w:p>
    <w:p w14:paraId="6CBA5FF9" w14:textId="0E805D67" w:rsidR="00A12545" w:rsidRPr="00A12545" w:rsidRDefault="006F1682" w:rsidP="00F747D3">
      <w:pPr>
        <w:pStyle w:val="ListParagraph"/>
        <w:numPr>
          <w:ilvl w:val="0"/>
          <w:numId w:val="8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A1254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Regulamentul sanitar privind aditivii alimentari</w:t>
      </w:r>
      <w:r w:rsidRPr="00A1254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aprobat prin </w:t>
      </w:r>
      <w:r w:rsidR="00BF7278" w:rsidRPr="00A1254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Hotărârea Guvernului nr.</w:t>
      </w:r>
      <w:r w:rsidR="0095560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o-RO"/>
        </w:rPr>
        <w:t xml:space="preserve"> </w:t>
      </w:r>
      <w:r w:rsidR="00BF7278" w:rsidRPr="00A1254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229/2013 </w:t>
      </w:r>
      <w:r w:rsidR="00BF7278" w:rsidRPr="00A1254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(</w:t>
      </w:r>
      <w:r w:rsidR="00BF7278" w:rsidRPr="00A12545">
        <w:rPr>
          <w:rFonts w:ascii="Times New Roman" w:eastAsia="Times New Roman" w:hAnsi="Times New Roman" w:cs="Times New Roman"/>
          <w:sz w:val="28"/>
          <w:szCs w:val="28"/>
          <w:lang w:eastAsia="ro-RO"/>
        </w:rPr>
        <w:t>Monitorul Oficial</w:t>
      </w:r>
      <w:r w:rsidR="00D124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al Republicii Moldova</w:t>
      </w:r>
      <w:r w:rsidR="00BF7278" w:rsidRPr="00A12545">
        <w:rPr>
          <w:rFonts w:ascii="Times New Roman" w:eastAsia="Times New Roman" w:hAnsi="Times New Roman" w:cs="Times New Roman"/>
          <w:sz w:val="28"/>
          <w:szCs w:val="28"/>
          <w:lang w:eastAsia="ro-RO"/>
        </w:rPr>
        <w:t>, 2013, nr.69-74 art.283),</w:t>
      </w:r>
      <w:r w:rsidR="00BF7278" w:rsidRPr="00A12545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</w:t>
      </w:r>
      <w:r w:rsidR="00BF7278" w:rsidRPr="00A1254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cu modificările ulterioare, </w:t>
      </w:r>
      <w:r w:rsidR="00A12545" w:rsidRPr="00A1254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 </w:t>
      </w:r>
      <w:r w:rsidR="00A12545" w:rsidRPr="00A1254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completează cu punctul 40</w:t>
      </w:r>
      <w:r w:rsidR="00A12545" w:rsidRPr="00A125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o-RO"/>
        </w:rPr>
        <w:t>1</w:t>
      </w:r>
      <w:r w:rsidR="00A12545" w:rsidRPr="00A1254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cu următorul cuprins:</w:t>
      </w:r>
    </w:p>
    <w:p w14:paraId="6F27D66F" w14:textId="5EDB7DA3" w:rsidR="00455FD4" w:rsidRPr="0028637D" w:rsidRDefault="008207A1" w:rsidP="00F747D3">
      <w:pPr>
        <w:pStyle w:val="ListParagraph"/>
        <w:numPr>
          <w:ilvl w:val="1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,,</w:t>
      </w:r>
      <w:r w:rsidR="00BF7278" w:rsidRPr="00A1254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40</w:t>
      </w:r>
      <w:r w:rsidR="00BF7278" w:rsidRPr="00A125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o-RO"/>
        </w:rPr>
        <w:t>1</w:t>
      </w:r>
      <w:r w:rsidR="00BF7278" w:rsidRPr="00A1254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Ministerul Agriculturii și Industriei Alimentare aprobă recomandări de monitorizare a prezenței aditivilor în produsele alimentare, în vederea colectării de date informaționale pentru evaluarea riscurilor prezentate de acestea în alimente.”</w:t>
      </w:r>
    </w:p>
    <w:p w14:paraId="1D68E6C7" w14:textId="113DA69E" w:rsidR="003D4367" w:rsidRPr="003D4367" w:rsidRDefault="00334928" w:rsidP="00F747D3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</w:pPr>
      <w:bookmarkStart w:id="2" w:name="_Hlk223943754"/>
      <w:r w:rsidRPr="00EF3229">
        <w:rPr>
          <w:rFonts w:ascii="Times New Roman" w:hAnsi="Times New Roman"/>
          <w:sz w:val="28"/>
          <w:szCs w:val="28"/>
        </w:rPr>
        <w:t>Prezenta Hotărâre intră în vigoare</w:t>
      </w:r>
      <w:r w:rsidRPr="00EF3229">
        <w:rPr>
          <w:rFonts w:ascii="Times New Roman" w:hAnsi="Times New Roman"/>
          <w:b/>
          <w:sz w:val="28"/>
          <w:szCs w:val="28"/>
        </w:rPr>
        <w:t xml:space="preserve"> </w:t>
      </w:r>
      <w:r w:rsidR="0073474F" w:rsidRPr="00AC5C71">
        <w:rPr>
          <w:rFonts w:ascii="Times New Roman" w:hAnsi="Times New Roman"/>
          <w:sz w:val="28"/>
          <w:szCs w:val="28"/>
        </w:rPr>
        <w:t>peste o lună de</w:t>
      </w:r>
      <w:r w:rsidR="0073474F">
        <w:rPr>
          <w:rFonts w:ascii="Times New Roman" w:hAnsi="Times New Roman"/>
          <w:b/>
          <w:sz w:val="28"/>
          <w:szCs w:val="28"/>
        </w:rPr>
        <w:t xml:space="preserve"> </w:t>
      </w:r>
      <w:r w:rsidRPr="00EF3229">
        <w:rPr>
          <w:rFonts w:ascii="Times New Roman" w:eastAsia="Times New Roman" w:hAnsi="Times New Roman"/>
          <w:color w:val="000000"/>
          <w:sz w:val="28"/>
          <w:szCs w:val="28"/>
        </w:rPr>
        <w:t>la data publicării în Monitorul Oficial al Republicii Moldova</w:t>
      </w:r>
    </w:p>
    <w:bookmarkEnd w:id="2"/>
    <w:p w14:paraId="53D8D08B" w14:textId="476716EA" w:rsidR="00BF7278" w:rsidRDefault="00BF7278" w:rsidP="00BF7278">
      <w:pPr>
        <w:spacing w:line="276" w:lineRule="auto"/>
        <w:ind w:left="284" w:firstLine="7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E6D98F" w14:textId="77777777" w:rsidR="00AB6579" w:rsidRPr="00CC5BB3" w:rsidRDefault="00AB6579" w:rsidP="00BF7278">
      <w:pPr>
        <w:spacing w:line="276" w:lineRule="auto"/>
        <w:ind w:left="284" w:firstLine="7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EEAB39" w14:textId="23387181" w:rsidR="008207A1" w:rsidRDefault="00BF7278" w:rsidP="00AB657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C5BB3">
        <w:rPr>
          <w:rFonts w:ascii="Times New Roman" w:hAnsi="Times New Roman" w:cs="Times New Roman"/>
          <w:b/>
          <w:bCs/>
          <w:sz w:val="28"/>
          <w:szCs w:val="28"/>
          <w:lang w:val="ro-MD"/>
        </w:rPr>
        <w:t>PRIM-MINISTRU</w:t>
      </w:r>
      <w:r w:rsidRPr="00CC5BB3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CC5BB3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Pr="00CC5BB3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  <w:t xml:space="preserve">    </w:t>
      </w:r>
      <w:r w:rsidR="00637C6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      </w:t>
      </w:r>
      <w:r w:rsidRPr="00CC5BB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ALEXANDRU MUNTEANU</w:t>
      </w:r>
    </w:p>
    <w:p w14:paraId="33D4328F" w14:textId="77777777" w:rsidR="00AB6579" w:rsidRDefault="00AB6579" w:rsidP="00BF72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33FC1795" w14:textId="77777777" w:rsidR="00AB6579" w:rsidRDefault="00AB6579" w:rsidP="00BF72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47C6D5CC" w14:textId="77777777" w:rsidR="00AB6579" w:rsidRDefault="00AB6579" w:rsidP="00BF72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25835327" w14:textId="6921910F" w:rsidR="00BF7278" w:rsidRPr="00CC5BB3" w:rsidRDefault="00BF7278" w:rsidP="00BF72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C5BB3">
        <w:rPr>
          <w:rFonts w:ascii="Times New Roman" w:hAnsi="Times New Roman" w:cs="Times New Roman"/>
          <w:b/>
          <w:bCs/>
          <w:sz w:val="28"/>
          <w:szCs w:val="28"/>
          <w:lang w:val="ro-MD"/>
        </w:rPr>
        <w:lastRenderedPageBreak/>
        <w:t xml:space="preserve">Contrasemnează:                                   </w:t>
      </w:r>
    </w:p>
    <w:p w14:paraId="3A19CE25" w14:textId="77777777" w:rsidR="00BF7278" w:rsidRPr="00CC5BB3" w:rsidRDefault="00BF7278" w:rsidP="00BF72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05F26F4D" w14:textId="77777777" w:rsidR="00BF7278" w:rsidRPr="00CC5BB3" w:rsidRDefault="00BF7278" w:rsidP="00BF72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C5BB3">
        <w:rPr>
          <w:rFonts w:ascii="Times New Roman" w:hAnsi="Times New Roman" w:cs="Times New Roman"/>
          <w:b/>
          <w:bCs/>
          <w:sz w:val="28"/>
          <w:szCs w:val="28"/>
          <w:lang w:val="ro-MD"/>
        </w:rPr>
        <w:t>Ministrul Agriculturii</w:t>
      </w:r>
    </w:p>
    <w:p w14:paraId="5B20C069" w14:textId="301B25D2" w:rsidR="00BF7278" w:rsidRPr="001B43EC" w:rsidRDefault="00BF7278" w:rsidP="001B43E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C5BB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și Industriei Alimentare                       </w:t>
      </w:r>
      <w:r w:rsidR="00637C6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            </w:t>
      </w:r>
      <w:r w:rsidRPr="00CC5BB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Ludmila CATLABUGA</w:t>
      </w:r>
    </w:p>
    <w:sectPr w:rsidR="00BF7278" w:rsidRPr="001B43EC" w:rsidSect="00EC1A5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35EB"/>
    <w:multiLevelType w:val="multilevel"/>
    <w:tmpl w:val="EFEAACA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1FF0022E"/>
    <w:multiLevelType w:val="multilevel"/>
    <w:tmpl w:val="C0A29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29CF21AE"/>
    <w:multiLevelType w:val="multilevel"/>
    <w:tmpl w:val="7D1E5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3D7BA4"/>
    <w:multiLevelType w:val="multilevel"/>
    <w:tmpl w:val="16DEBE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3F6C5EBF"/>
    <w:multiLevelType w:val="multilevel"/>
    <w:tmpl w:val="CF0A3AA2"/>
    <w:lvl w:ilvl="0">
      <w:start w:val="1"/>
      <w:numFmt w:val="decimal"/>
      <w:lvlText w:val="%1."/>
      <w:lvlJc w:val="left"/>
      <w:pPr>
        <w:ind w:left="1242" w:hanging="6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686711D5"/>
    <w:multiLevelType w:val="multilevel"/>
    <w:tmpl w:val="7D1E5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4497380"/>
    <w:multiLevelType w:val="multilevel"/>
    <w:tmpl w:val="F86611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75557D9E"/>
    <w:multiLevelType w:val="multilevel"/>
    <w:tmpl w:val="EFD2157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24"/>
    <w:rsid w:val="00027C86"/>
    <w:rsid w:val="00036DA2"/>
    <w:rsid w:val="00041D66"/>
    <w:rsid w:val="000645AC"/>
    <w:rsid w:val="0008385C"/>
    <w:rsid w:val="00083F36"/>
    <w:rsid w:val="000C583B"/>
    <w:rsid w:val="000F63EA"/>
    <w:rsid w:val="001008A0"/>
    <w:rsid w:val="0011295D"/>
    <w:rsid w:val="00150531"/>
    <w:rsid w:val="00153739"/>
    <w:rsid w:val="00182547"/>
    <w:rsid w:val="001B43EC"/>
    <w:rsid w:val="001C6C79"/>
    <w:rsid w:val="001F10EF"/>
    <w:rsid w:val="00206803"/>
    <w:rsid w:val="002132FC"/>
    <w:rsid w:val="002251E3"/>
    <w:rsid w:val="00233A71"/>
    <w:rsid w:val="0023631C"/>
    <w:rsid w:val="0028637D"/>
    <w:rsid w:val="002B3A0C"/>
    <w:rsid w:val="002C495B"/>
    <w:rsid w:val="002F4675"/>
    <w:rsid w:val="002F5034"/>
    <w:rsid w:val="00311CB4"/>
    <w:rsid w:val="00323596"/>
    <w:rsid w:val="00334928"/>
    <w:rsid w:val="003603F7"/>
    <w:rsid w:val="003855FF"/>
    <w:rsid w:val="00393ACD"/>
    <w:rsid w:val="003D4367"/>
    <w:rsid w:val="003F5CED"/>
    <w:rsid w:val="003F7C29"/>
    <w:rsid w:val="00430E84"/>
    <w:rsid w:val="0044109C"/>
    <w:rsid w:val="00455FD4"/>
    <w:rsid w:val="004721CC"/>
    <w:rsid w:val="004B50B5"/>
    <w:rsid w:val="004E6489"/>
    <w:rsid w:val="004F3937"/>
    <w:rsid w:val="004F79C8"/>
    <w:rsid w:val="00503495"/>
    <w:rsid w:val="00503D3A"/>
    <w:rsid w:val="005212A8"/>
    <w:rsid w:val="005739F0"/>
    <w:rsid w:val="00573EE3"/>
    <w:rsid w:val="00576AA1"/>
    <w:rsid w:val="005A265A"/>
    <w:rsid w:val="00630A65"/>
    <w:rsid w:val="006355C0"/>
    <w:rsid w:val="00637C65"/>
    <w:rsid w:val="006D713F"/>
    <w:rsid w:val="006F1682"/>
    <w:rsid w:val="0073474F"/>
    <w:rsid w:val="00747DFE"/>
    <w:rsid w:val="0075342A"/>
    <w:rsid w:val="00774C86"/>
    <w:rsid w:val="00791AC7"/>
    <w:rsid w:val="007F1F30"/>
    <w:rsid w:val="00810024"/>
    <w:rsid w:val="00815080"/>
    <w:rsid w:val="008207A1"/>
    <w:rsid w:val="0086515F"/>
    <w:rsid w:val="008921B6"/>
    <w:rsid w:val="008B6FBA"/>
    <w:rsid w:val="008D217F"/>
    <w:rsid w:val="008D5CA4"/>
    <w:rsid w:val="00911660"/>
    <w:rsid w:val="00912272"/>
    <w:rsid w:val="00955608"/>
    <w:rsid w:val="0095671E"/>
    <w:rsid w:val="009605DC"/>
    <w:rsid w:val="00962DB9"/>
    <w:rsid w:val="00984DB4"/>
    <w:rsid w:val="009C098C"/>
    <w:rsid w:val="00A12545"/>
    <w:rsid w:val="00A23BCD"/>
    <w:rsid w:val="00A64487"/>
    <w:rsid w:val="00A6549E"/>
    <w:rsid w:val="00A65D2F"/>
    <w:rsid w:val="00A750EA"/>
    <w:rsid w:val="00A76F4E"/>
    <w:rsid w:val="00AB6579"/>
    <w:rsid w:val="00AC4A8E"/>
    <w:rsid w:val="00AC5C71"/>
    <w:rsid w:val="00B12666"/>
    <w:rsid w:val="00B2271C"/>
    <w:rsid w:val="00BD2359"/>
    <w:rsid w:val="00BF7278"/>
    <w:rsid w:val="00C11747"/>
    <w:rsid w:val="00C31EF5"/>
    <w:rsid w:val="00C34567"/>
    <w:rsid w:val="00C37C8D"/>
    <w:rsid w:val="00C50095"/>
    <w:rsid w:val="00C625C7"/>
    <w:rsid w:val="00CE013D"/>
    <w:rsid w:val="00D038E9"/>
    <w:rsid w:val="00D124CA"/>
    <w:rsid w:val="00D14BD8"/>
    <w:rsid w:val="00D34907"/>
    <w:rsid w:val="00D46BE7"/>
    <w:rsid w:val="00D543C0"/>
    <w:rsid w:val="00D80881"/>
    <w:rsid w:val="00DB765F"/>
    <w:rsid w:val="00DD6156"/>
    <w:rsid w:val="00DE51C8"/>
    <w:rsid w:val="00DF0B21"/>
    <w:rsid w:val="00DF5453"/>
    <w:rsid w:val="00E239BE"/>
    <w:rsid w:val="00E23C1A"/>
    <w:rsid w:val="00E2526E"/>
    <w:rsid w:val="00E334E5"/>
    <w:rsid w:val="00E92D38"/>
    <w:rsid w:val="00EB2824"/>
    <w:rsid w:val="00EB37C6"/>
    <w:rsid w:val="00EC1A54"/>
    <w:rsid w:val="00ED211E"/>
    <w:rsid w:val="00ED7DED"/>
    <w:rsid w:val="00EF490D"/>
    <w:rsid w:val="00EF4E2E"/>
    <w:rsid w:val="00F06BC6"/>
    <w:rsid w:val="00F131E2"/>
    <w:rsid w:val="00F14D5B"/>
    <w:rsid w:val="00F236F7"/>
    <w:rsid w:val="00F747D3"/>
    <w:rsid w:val="00FA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D78F"/>
  <w15:chartTrackingRefBased/>
  <w15:docId w15:val="{2C168235-EEBE-431D-A831-5E3108B4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27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C1A54"/>
  </w:style>
  <w:style w:type="table" w:styleId="TableGrid">
    <w:name w:val="Table Grid"/>
    <w:basedOn w:val="TableNormal"/>
    <w:uiPriority w:val="39"/>
    <w:rsid w:val="00DD6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F8E1-F7A8-4AD5-803D-7398A9B0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891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MAIA</dc:creator>
  <cp:keywords/>
  <dc:description/>
  <cp:lastModifiedBy>User MAIA</cp:lastModifiedBy>
  <cp:revision>64</cp:revision>
  <dcterms:created xsi:type="dcterms:W3CDTF">2026-03-02T12:56:00Z</dcterms:created>
  <dcterms:modified xsi:type="dcterms:W3CDTF">2026-04-06T12:55:00Z</dcterms:modified>
</cp:coreProperties>
</file>