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F296" w14:textId="61D2A279" w:rsidR="00000000" w:rsidRDefault="005E5254" w:rsidP="005E5254">
      <w:pPr>
        <w:spacing w:after="0" w:line="264"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NOTA DE FUNDAMENTARE</w:t>
      </w:r>
    </w:p>
    <w:p w14:paraId="68AFE7DA" w14:textId="2B865207" w:rsidR="005E5254" w:rsidRDefault="005E5254" w:rsidP="005E5254">
      <w:pPr>
        <w:spacing w:after="0" w:line="264"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la proiectul legii pentru modificarea și completarea Legii insolvabilității nr.149 din </w:t>
      </w:r>
      <w:r w:rsidR="00014377">
        <w:rPr>
          <w:rFonts w:ascii="Times New Roman" w:hAnsi="Times New Roman" w:cs="Times New Roman"/>
          <w:b/>
          <w:bCs/>
          <w:sz w:val="24"/>
          <w:szCs w:val="24"/>
        </w:rPr>
        <w:t>29.06.2012</w:t>
      </w:r>
    </w:p>
    <w:p w14:paraId="5B05AA16" w14:textId="035AFC24" w:rsidR="00014377" w:rsidRDefault="00014377" w:rsidP="00014377">
      <w:pPr>
        <w:spacing w:after="0" w:line="264" w:lineRule="auto"/>
        <w:contextualSpacing/>
        <w:rPr>
          <w:rFonts w:ascii="Times New Roman" w:hAnsi="Times New Roman" w:cs="Times New Roman"/>
          <w:b/>
          <w:bCs/>
          <w:sz w:val="24"/>
          <w:szCs w:val="24"/>
        </w:rPr>
      </w:pPr>
    </w:p>
    <w:tbl>
      <w:tblPr>
        <w:tblW w:w="5008" w:type="pct"/>
        <w:tblInd w:w="-8" w:type="dxa"/>
        <w:shd w:val="clear" w:color="auto" w:fill="FFFFFF"/>
        <w:tblCellMar>
          <w:left w:w="0" w:type="dxa"/>
          <w:right w:w="0" w:type="dxa"/>
        </w:tblCellMar>
        <w:tblLook w:val="04A0" w:firstRow="1" w:lastRow="0" w:firstColumn="1" w:lastColumn="0" w:noHBand="0" w:noVBand="1"/>
      </w:tblPr>
      <w:tblGrid>
        <w:gridCol w:w="9687"/>
      </w:tblGrid>
      <w:tr w:rsidR="00493123" w:rsidRPr="00493123" w14:paraId="0A173EDF" w14:textId="77777777" w:rsidTr="00B844AA">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41A8F6F7" w14:textId="77777777" w:rsidR="00493123" w:rsidRPr="00493123" w:rsidRDefault="00493123" w:rsidP="00493123">
            <w:pPr>
              <w:spacing w:after="0" w:line="264" w:lineRule="auto"/>
              <w:contextualSpacing/>
              <w:rPr>
                <w:rFonts w:ascii="Times New Roman" w:hAnsi="Times New Roman" w:cs="Times New Roman"/>
                <w:b/>
                <w:bCs/>
                <w:sz w:val="24"/>
                <w:szCs w:val="24"/>
              </w:rPr>
            </w:pPr>
            <w:r w:rsidRPr="00493123">
              <w:rPr>
                <w:rFonts w:ascii="Times New Roman" w:hAnsi="Times New Roman" w:cs="Times New Roman"/>
                <w:b/>
                <w:bCs/>
                <w:sz w:val="24"/>
                <w:szCs w:val="24"/>
              </w:rPr>
              <w:t xml:space="preserve">1. Denumirea sau numele autorului </w:t>
            </w:r>
            <w:proofErr w:type="spellStart"/>
            <w:r w:rsidRPr="00493123">
              <w:rPr>
                <w:rFonts w:ascii="Times New Roman" w:hAnsi="Times New Roman" w:cs="Times New Roman"/>
                <w:b/>
                <w:bCs/>
                <w:sz w:val="24"/>
                <w:szCs w:val="24"/>
              </w:rPr>
              <w:t>şi</w:t>
            </w:r>
            <w:proofErr w:type="spellEnd"/>
            <w:r w:rsidRPr="00493123">
              <w:rPr>
                <w:rFonts w:ascii="Times New Roman" w:hAnsi="Times New Roman" w:cs="Times New Roman"/>
                <w:b/>
                <w:bCs/>
                <w:sz w:val="24"/>
                <w:szCs w:val="24"/>
              </w:rPr>
              <w:t xml:space="preserve">, după caz, a/al </w:t>
            </w:r>
            <w:proofErr w:type="spellStart"/>
            <w:r w:rsidRPr="00493123">
              <w:rPr>
                <w:rFonts w:ascii="Times New Roman" w:hAnsi="Times New Roman" w:cs="Times New Roman"/>
                <w:b/>
                <w:bCs/>
                <w:sz w:val="24"/>
                <w:szCs w:val="24"/>
              </w:rPr>
              <w:t>participanţilor</w:t>
            </w:r>
            <w:proofErr w:type="spellEnd"/>
            <w:r w:rsidRPr="00493123">
              <w:rPr>
                <w:rFonts w:ascii="Times New Roman" w:hAnsi="Times New Roman" w:cs="Times New Roman"/>
                <w:b/>
                <w:bCs/>
                <w:sz w:val="24"/>
                <w:szCs w:val="24"/>
              </w:rPr>
              <w:t xml:space="preserve"> la elaborarea proiectului actului normativ</w:t>
            </w:r>
          </w:p>
        </w:tc>
      </w:tr>
      <w:tr w:rsidR="00493123" w:rsidRPr="00493123" w14:paraId="29154FB3" w14:textId="77777777" w:rsidTr="00B844AA">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8D39C05" w14:textId="725B03F6" w:rsidR="00493123" w:rsidRPr="00493123" w:rsidRDefault="0092589C" w:rsidP="00731175">
            <w:pPr>
              <w:spacing w:after="0" w:line="264" w:lineRule="auto"/>
              <w:contextualSpacing/>
              <w:jc w:val="both"/>
              <w:rPr>
                <w:rFonts w:ascii="Times New Roman" w:hAnsi="Times New Roman" w:cs="Times New Roman"/>
                <w:sz w:val="24"/>
                <w:szCs w:val="24"/>
                <w:lang w:val="ro-MD"/>
              </w:rPr>
            </w:pPr>
            <w:r w:rsidRPr="0092589C">
              <w:rPr>
                <w:rFonts w:ascii="Times New Roman" w:hAnsi="Times New Roman" w:cs="Times New Roman"/>
                <w:sz w:val="24"/>
                <w:szCs w:val="24"/>
                <w:lang w:val="ro-MD"/>
              </w:rPr>
              <w:t>Proiectul a fost elaborat de către Ministerul Dezvoltării Economice și Digitalizării.</w:t>
            </w:r>
            <w:r w:rsidR="006F1083">
              <w:rPr>
                <w:rFonts w:ascii="Times New Roman" w:hAnsi="Times New Roman" w:cs="Times New Roman"/>
                <w:sz w:val="24"/>
                <w:szCs w:val="24"/>
                <w:lang w:val="ro-MD"/>
              </w:rPr>
              <w:t xml:space="preserve"> Prin ordinul nr.12 din 23.01.2026 a fost creat Grupul de lucru pentru transpunerea acquis-ului Uniunii Europene în domeniul insolvabilității. Totodată, proiectul a fost elaborat cu suportul experților din cadrul Băncii Mondiale.</w:t>
            </w:r>
          </w:p>
        </w:tc>
      </w:tr>
      <w:tr w:rsidR="00493123" w:rsidRPr="00493123" w14:paraId="4528B321" w14:textId="77777777" w:rsidTr="00B844AA">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319F3E60" w14:textId="77777777" w:rsidR="00493123" w:rsidRPr="00493123" w:rsidRDefault="00493123" w:rsidP="00493123">
            <w:pPr>
              <w:spacing w:after="0" w:line="264" w:lineRule="auto"/>
              <w:contextualSpacing/>
              <w:rPr>
                <w:rFonts w:ascii="Times New Roman" w:hAnsi="Times New Roman" w:cs="Times New Roman"/>
                <w:b/>
                <w:bCs/>
                <w:sz w:val="24"/>
                <w:szCs w:val="24"/>
              </w:rPr>
            </w:pPr>
            <w:r w:rsidRPr="00493123">
              <w:rPr>
                <w:rFonts w:ascii="Times New Roman" w:hAnsi="Times New Roman" w:cs="Times New Roman"/>
                <w:b/>
                <w:bCs/>
                <w:sz w:val="24"/>
                <w:szCs w:val="24"/>
              </w:rPr>
              <w:t xml:space="preserve">2. </w:t>
            </w:r>
            <w:proofErr w:type="spellStart"/>
            <w:r w:rsidRPr="00493123">
              <w:rPr>
                <w:rFonts w:ascii="Times New Roman" w:hAnsi="Times New Roman" w:cs="Times New Roman"/>
                <w:b/>
                <w:bCs/>
                <w:sz w:val="24"/>
                <w:szCs w:val="24"/>
              </w:rPr>
              <w:t>Condiţiile</w:t>
            </w:r>
            <w:proofErr w:type="spellEnd"/>
            <w:r w:rsidRPr="00493123">
              <w:rPr>
                <w:rFonts w:ascii="Times New Roman" w:hAnsi="Times New Roman" w:cs="Times New Roman"/>
                <w:b/>
                <w:bCs/>
                <w:sz w:val="24"/>
                <w:szCs w:val="24"/>
              </w:rPr>
              <w:t xml:space="preserve"> ce au impus elaborarea proiectului actului normativ</w:t>
            </w:r>
          </w:p>
        </w:tc>
      </w:tr>
      <w:tr w:rsidR="00493123" w:rsidRPr="00493123" w14:paraId="7AE9804C" w14:textId="77777777" w:rsidTr="00B844AA">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ED18BD1" w14:textId="77777777" w:rsidR="00493123" w:rsidRDefault="00493123" w:rsidP="00493123">
            <w:pPr>
              <w:spacing w:after="0" w:line="264" w:lineRule="auto"/>
              <w:contextualSpacing/>
              <w:rPr>
                <w:rFonts w:ascii="Times New Roman" w:hAnsi="Times New Roman" w:cs="Times New Roman"/>
                <w:b/>
                <w:bCs/>
                <w:sz w:val="24"/>
                <w:szCs w:val="24"/>
              </w:rPr>
            </w:pPr>
            <w:r w:rsidRPr="00493123">
              <w:rPr>
                <w:rFonts w:ascii="Times New Roman" w:hAnsi="Times New Roman" w:cs="Times New Roman"/>
                <w:b/>
                <w:bCs/>
                <w:sz w:val="24"/>
                <w:szCs w:val="24"/>
              </w:rPr>
              <w:t>2.1. Temeiul legal sau, după caz, sursa proiectului actului normativ</w:t>
            </w:r>
          </w:p>
          <w:p w14:paraId="23D658D0" w14:textId="77777777" w:rsidR="00D0125C" w:rsidRDefault="00D0125C" w:rsidP="00731175">
            <w:pPr>
              <w:spacing w:after="0" w:line="264" w:lineRule="auto"/>
              <w:contextualSpacing/>
              <w:jc w:val="both"/>
              <w:rPr>
                <w:rFonts w:ascii="Times New Roman" w:hAnsi="Times New Roman" w:cs="Times New Roman"/>
                <w:sz w:val="24"/>
                <w:szCs w:val="24"/>
                <w:lang w:val="ro-MD"/>
              </w:rPr>
            </w:pPr>
          </w:p>
          <w:p w14:paraId="6C1BB8F8" w14:textId="47D348DA" w:rsidR="00902129" w:rsidRDefault="00902129" w:rsidP="00731175">
            <w:pPr>
              <w:spacing w:after="0" w:line="264" w:lineRule="auto"/>
              <w:contextualSpacing/>
              <w:jc w:val="both"/>
              <w:rPr>
                <w:rFonts w:ascii="Times New Roman" w:hAnsi="Times New Roman" w:cs="Times New Roman"/>
                <w:sz w:val="24"/>
                <w:szCs w:val="24"/>
              </w:rPr>
            </w:pPr>
            <w:r w:rsidRPr="0092589C">
              <w:rPr>
                <w:rFonts w:ascii="Times New Roman" w:hAnsi="Times New Roman" w:cs="Times New Roman"/>
                <w:sz w:val="24"/>
                <w:szCs w:val="24"/>
                <w:lang w:val="ro-MD"/>
              </w:rPr>
              <w:t>Ministerul Dezvoltării Economice și Digitalizării</w:t>
            </w:r>
            <w:r>
              <w:rPr>
                <w:rFonts w:ascii="Times New Roman" w:hAnsi="Times New Roman" w:cs="Times New Roman"/>
                <w:sz w:val="24"/>
                <w:szCs w:val="24"/>
                <w:lang w:val="ro-MD"/>
              </w:rPr>
              <w:t xml:space="preserve"> a inițiat procesul de transpunere la nivel de cadru normativ național a </w:t>
            </w:r>
            <w:r w:rsidRPr="00731175">
              <w:rPr>
                <w:rFonts w:ascii="Times New Roman" w:hAnsi="Times New Roman" w:cs="Times New Roman"/>
                <w:sz w:val="24"/>
                <w:szCs w:val="24"/>
              </w:rPr>
              <w:t>Directivei (UE) 2019/1023 a Parlamentului European și a Consiliului din 20 iunie 2019 privind cadrele de restructurare preventivă, remiterea de datorie și decăderile, precum și măsurile de sporire a eficienței procedurilor de restructurare și de insolvență</w:t>
            </w:r>
            <w:r w:rsidR="001D6A79">
              <w:rPr>
                <w:rFonts w:ascii="Times New Roman" w:hAnsi="Times New Roman" w:cs="Times New Roman"/>
                <w:sz w:val="24"/>
                <w:szCs w:val="24"/>
              </w:rPr>
              <w:t>.</w:t>
            </w:r>
          </w:p>
          <w:p w14:paraId="372A8029" w14:textId="77777777" w:rsidR="00731175" w:rsidRDefault="00731175" w:rsidP="00731175">
            <w:pPr>
              <w:spacing w:after="0" w:line="264" w:lineRule="auto"/>
              <w:contextualSpacing/>
              <w:jc w:val="both"/>
              <w:rPr>
                <w:rFonts w:ascii="Times New Roman" w:hAnsi="Times New Roman" w:cs="Times New Roman"/>
                <w:sz w:val="24"/>
                <w:szCs w:val="24"/>
              </w:rPr>
            </w:pPr>
          </w:p>
          <w:p w14:paraId="353EAAA7" w14:textId="77777777" w:rsidR="00731175" w:rsidRDefault="00EE71C5" w:rsidP="00731175">
            <w:pPr>
              <w:spacing w:after="0" w:line="264"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Transpunerea acestei Directive </w:t>
            </w:r>
            <w:r w:rsidR="00902129">
              <w:rPr>
                <w:rFonts w:ascii="Times New Roman" w:hAnsi="Times New Roman" w:cs="Times New Roman"/>
                <w:sz w:val="24"/>
                <w:szCs w:val="24"/>
              </w:rPr>
              <w:t>se impune prin acțiunea nr. 76, Capitolul 24 (J</w:t>
            </w:r>
            <w:r w:rsidR="00902129" w:rsidRPr="0032494C">
              <w:rPr>
                <w:rFonts w:ascii="Times New Roman" w:hAnsi="Times New Roman" w:cs="Times New Roman"/>
                <w:sz w:val="24"/>
                <w:szCs w:val="24"/>
              </w:rPr>
              <w:t xml:space="preserve">ustiție, </w:t>
            </w:r>
            <w:r w:rsidR="00902129">
              <w:rPr>
                <w:rFonts w:ascii="Times New Roman" w:hAnsi="Times New Roman" w:cs="Times New Roman"/>
                <w:sz w:val="24"/>
                <w:szCs w:val="24"/>
              </w:rPr>
              <w:t>L</w:t>
            </w:r>
            <w:r w:rsidR="00902129" w:rsidRPr="0032494C">
              <w:rPr>
                <w:rFonts w:ascii="Times New Roman" w:hAnsi="Times New Roman" w:cs="Times New Roman"/>
                <w:sz w:val="24"/>
                <w:szCs w:val="24"/>
              </w:rPr>
              <w:t xml:space="preserve">ibertate și </w:t>
            </w:r>
            <w:r w:rsidR="00902129">
              <w:rPr>
                <w:rFonts w:ascii="Times New Roman" w:hAnsi="Times New Roman" w:cs="Times New Roman"/>
                <w:sz w:val="24"/>
                <w:szCs w:val="24"/>
              </w:rPr>
              <w:t>S</w:t>
            </w:r>
            <w:r w:rsidR="00902129" w:rsidRPr="0032494C">
              <w:rPr>
                <w:rFonts w:ascii="Times New Roman" w:hAnsi="Times New Roman" w:cs="Times New Roman"/>
                <w:sz w:val="24"/>
                <w:szCs w:val="24"/>
              </w:rPr>
              <w:t>ecuritate</w:t>
            </w:r>
            <w:r w:rsidR="00902129">
              <w:rPr>
                <w:rFonts w:ascii="Times New Roman" w:hAnsi="Times New Roman" w:cs="Times New Roman"/>
                <w:sz w:val="24"/>
                <w:szCs w:val="24"/>
              </w:rPr>
              <w:t>), Clusterul 1 (Valori Fundament</w:t>
            </w:r>
            <w:r w:rsidR="00B844AA">
              <w:rPr>
                <w:rFonts w:ascii="Times New Roman" w:hAnsi="Times New Roman" w:cs="Times New Roman"/>
                <w:sz w:val="24"/>
                <w:szCs w:val="24"/>
              </w:rPr>
              <w:t>ale</w:t>
            </w:r>
            <w:r w:rsidR="00902129">
              <w:rPr>
                <w:rFonts w:ascii="Times New Roman" w:hAnsi="Times New Roman" w:cs="Times New Roman"/>
                <w:sz w:val="24"/>
                <w:szCs w:val="24"/>
              </w:rPr>
              <w:t xml:space="preserve">) </w:t>
            </w:r>
            <w:r>
              <w:rPr>
                <w:rFonts w:ascii="Times New Roman" w:hAnsi="Times New Roman" w:cs="Times New Roman"/>
                <w:sz w:val="24"/>
                <w:szCs w:val="24"/>
              </w:rPr>
              <w:t xml:space="preserve">din </w:t>
            </w:r>
            <w:r w:rsidRPr="00EE71C5">
              <w:rPr>
                <w:rFonts w:ascii="Times New Roman" w:hAnsi="Times New Roman" w:cs="Times New Roman"/>
                <w:sz w:val="24"/>
                <w:szCs w:val="24"/>
              </w:rPr>
              <w:t xml:space="preserve">Programul </w:t>
            </w:r>
            <w:r w:rsidR="00C62A0A" w:rsidRPr="00EE71C5">
              <w:rPr>
                <w:rFonts w:ascii="Times New Roman" w:hAnsi="Times New Roman" w:cs="Times New Roman"/>
                <w:sz w:val="24"/>
                <w:szCs w:val="24"/>
              </w:rPr>
              <w:t>național</w:t>
            </w:r>
            <w:r w:rsidRPr="00EE71C5">
              <w:rPr>
                <w:rFonts w:ascii="Times New Roman" w:hAnsi="Times New Roman" w:cs="Times New Roman"/>
                <w:sz w:val="24"/>
                <w:szCs w:val="24"/>
              </w:rPr>
              <w:t xml:space="preserve"> de aderare a Republicii Moldova la Uniunea Europeană pentru anii 2025-2029</w:t>
            </w:r>
            <w:r>
              <w:rPr>
                <w:rFonts w:ascii="Times New Roman" w:hAnsi="Times New Roman" w:cs="Times New Roman"/>
                <w:sz w:val="24"/>
                <w:szCs w:val="24"/>
              </w:rPr>
              <w:t xml:space="preserve"> (aprobat prin Hotărârea Guvernului nr.306 din 28.05.2025)</w:t>
            </w:r>
            <w:r w:rsidR="00902129">
              <w:rPr>
                <w:rFonts w:ascii="Times New Roman" w:hAnsi="Times New Roman" w:cs="Times New Roman"/>
                <w:sz w:val="24"/>
                <w:szCs w:val="24"/>
              </w:rPr>
              <w:t>.</w:t>
            </w:r>
          </w:p>
          <w:p w14:paraId="456CD30D" w14:textId="519DFEA4" w:rsidR="00B844AA" w:rsidRPr="00731175" w:rsidRDefault="00B844AA" w:rsidP="00731175">
            <w:pPr>
              <w:spacing w:after="0" w:line="264" w:lineRule="auto"/>
              <w:contextualSpacing/>
              <w:jc w:val="both"/>
              <w:rPr>
                <w:rFonts w:ascii="Times New Roman" w:hAnsi="Times New Roman" w:cs="Times New Roman"/>
                <w:sz w:val="24"/>
                <w:szCs w:val="24"/>
              </w:rPr>
            </w:pPr>
          </w:p>
        </w:tc>
      </w:tr>
      <w:tr w:rsidR="00493123" w:rsidRPr="00493123" w14:paraId="74A3EA59" w14:textId="77777777" w:rsidTr="00B844AA">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F819FA3" w14:textId="5AD61032" w:rsidR="00C33D20" w:rsidRDefault="00493123" w:rsidP="00493123">
            <w:pPr>
              <w:spacing w:after="0" w:line="264" w:lineRule="auto"/>
              <w:contextualSpacing/>
              <w:rPr>
                <w:rFonts w:ascii="Times New Roman" w:hAnsi="Times New Roman" w:cs="Times New Roman"/>
                <w:b/>
                <w:bCs/>
                <w:sz w:val="24"/>
                <w:szCs w:val="24"/>
              </w:rPr>
            </w:pPr>
            <w:r w:rsidRPr="00493123">
              <w:rPr>
                <w:rFonts w:ascii="Times New Roman" w:hAnsi="Times New Roman" w:cs="Times New Roman"/>
                <w:b/>
                <w:bCs/>
                <w:sz w:val="24"/>
                <w:szCs w:val="24"/>
              </w:rPr>
              <w:t xml:space="preserve">2.2. Descrierea </w:t>
            </w:r>
            <w:proofErr w:type="spellStart"/>
            <w:r w:rsidRPr="00493123">
              <w:rPr>
                <w:rFonts w:ascii="Times New Roman" w:hAnsi="Times New Roman" w:cs="Times New Roman"/>
                <w:b/>
                <w:bCs/>
                <w:sz w:val="24"/>
                <w:szCs w:val="24"/>
              </w:rPr>
              <w:t>situaţiei</w:t>
            </w:r>
            <w:proofErr w:type="spellEnd"/>
            <w:r w:rsidRPr="00493123">
              <w:rPr>
                <w:rFonts w:ascii="Times New Roman" w:hAnsi="Times New Roman" w:cs="Times New Roman"/>
                <w:b/>
                <w:bCs/>
                <w:sz w:val="24"/>
                <w:szCs w:val="24"/>
              </w:rPr>
              <w:t xml:space="preserve"> actuale </w:t>
            </w:r>
            <w:proofErr w:type="spellStart"/>
            <w:r w:rsidRPr="00493123">
              <w:rPr>
                <w:rFonts w:ascii="Times New Roman" w:hAnsi="Times New Roman" w:cs="Times New Roman"/>
                <w:b/>
                <w:bCs/>
                <w:sz w:val="24"/>
                <w:szCs w:val="24"/>
              </w:rPr>
              <w:t>şi</w:t>
            </w:r>
            <w:proofErr w:type="spellEnd"/>
            <w:r w:rsidRPr="00493123">
              <w:rPr>
                <w:rFonts w:ascii="Times New Roman" w:hAnsi="Times New Roman" w:cs="Times New Roman"/>
                <w:b/>
                <w:bCs/>
                <w:sz w:val="24"/>
                <w:szCs w:val="24"/>
              </w:rPr>
              <w:t xml:space="preserve"> a problemelor care impun </w:t>
            </w:r>
            <w:proofErr w:type="spellStart"/>
            <w:r w:rsidRPr="00493123">
              <w:rPr>
                <w:rFonts w:ascii="Times New Roman" w:hAnsi="Times New Roman" w:cs="Times New Roman"/>
                <w:b/>
                <w:bCs/>
                <w:sz w:val="24"/>
                <w:szCs w:val="24"/>
              </w:rPr>
              <w:t>intervenţia</w:t>
            </w:r>
            <w:proofErr w:type="spellEnd"/>
            <w:r w:rsidRPr="00493123">
              <w:rPr>
                <w:rFonts w:ascii="Times New Roman" w:hAnsi="Times New Roman" w:cs="Times New Roman"/>
                <w:b/>
                <w:bCs/>
                <w:sz w:val="24"/>
                <w:szCs w:val="24"/>
              </w:rPr>
              <w:t xml:space="preserve">, inclusiv a cadrului normativ aplicabil </w:t>
            </w:r>
            <w:proofErr w:type="spellStart"/>
            <w:r w:rsidRPr="00493123">
              <w:rPr>
                <w:rFonts w:ascii="Times New Roman" w:hAnsi="Times New Roman" w:cs="Times New Roman"/>
                <w:b/>
                <w:bCs/>
                <w:sz w:val="24"/>
                <w:szCs w:val="24"/>
              </w:rPr>
              <w:t>şi</w:t>
            </w:r>
            <w:proofErr w:type="spellEnd"/>
            <w:r w:rsidRPr="00493123">
              <w:rPr>
                <w:rFonts w:ascii="Times New Roman" w:hAnsi="Times New Roman" w:cs="Times New Roman"/>
                <w:b/>
                <w:bCs/>
                <w:sz w:val="24"/>
                <w:szCs w:val="24"/>
              </w:rPr>
              <w:t xml:space="preserve"> a </w:t>
            </w:r>
            <w:proofErr w:type="spellStart"/>
            <w:r w:rsidRPr="00493123">
              <w:rPr>
                <w:rFonts w:ascii="Times New Roman" w:hAnsi="Times New Roman" w:cs="Times New Roman"/>
                <w:b/>
                <w:bCs/>
                <w:sz w:val="24"/>
                <w:szCs w:val="24"/>
              </w:rPr>
              <w:t>deficienţelor</w:t>
            </w:r>
            <w:proofErr w:type="spellEnd"/>
            <w:r w:rsidRPr="00493123">
              <w:rPr>
                <w:rFonts w:ascii="Times New Roman" w:hAnsi="Times New Roman" w:cs="Times New Roman"/>
                <w:b/>
                <w:bCs/>
                <w:sz w:val="24"/>
                <w:szCs w:val="24"/>
              </w:rPr>
              <w:t>/lacunelor normative</w:t>
            </w:r>
          </w:p>
          <w:p w14:paraId="073BCDBB" w14:textId="77777777" w:rsidR="00D0125C" w:rsidRDefault="00D0125C" w:rsidP="00D0125C">
            <w:pPr>
              <w:spacing w:after="0" w:line="264" w:lineRule="auto"/>
              <w:contextualSpacing/>
              <w:jc w:val="both"/>
              <w:rPr>
                <w:rFonts w:ascii="Times New Roman" w:hAnsi="Times New Roman" w:cs="Times New Roman"/>
                <w:sz w:val="24"/>
                <w:szCs w:val="24"/>
              </w:rPr>
            </w:pPr>
          </w:p>
          <w:p w14:paraId="5D1FA7A5" w14:textId="77777777" w:rsidR="009E1604" w:rsidRDefault="00D0125C" w:rsidP="00D0125C">
            <w:pPr>
              <w:spacing w:after="0" w:line="264" w:lineRule="auto"/>
              <w:contextualSpacing/>
              <w:jc w:val="both"/>
              <w:rPr>
                <w:rFonts w:ascii="Times New Roman" w:hAnsi="Times New Roman" w:cs="Times New Roman"/>
                <w:sz w:val="24"/>
                <w:szCs w:val="24"/>
              </w:rPr>
            </w:pPr>
            <w:r w:rsidRPr="00D0125C">
              <w:rPr>
                <w:rFonts w:ascii="Times New Roman" w:hAnsi="Times New Roman" w:cs="Times New Roman"/>
                <w:sz w:val="24"/>
                <w:szCs w:val="24"/>
              </w:rPr>
              <w:t>În contextul evoluțiilor economice recente și al creșterii riscurilor de dificultate financiară pentru întreprinderi, cadrul normativ național în materia insolvabilității necesită ajustări pentru a răspunde mai bine situațiilor în care debitorii ajung într-un blocaj de lichiditate sau într-o deteriorare temporară a fluxurilor de numerar, fără ca aceasta să însemne, în mod necesar, lipsa viabilității economice.</w:t>
            </w:r>
          </w:p>
          <w:p w14:paraId="22CAD92E" w14:textId="77777777" w:rsidR="009E1604" w:rsidRDefault="009E1604" w:rsidP="00D0125C">
            <w:pPr>
              <w:spacing w:after="0" w:line="264" w:lineRule="auto"/>
              <w:contextualSpacing/>
              <w:jc w:val="both"/>
              <w:rPr>
                <w:rFonts w:ascii="Times New Roman" w:hAnsi="Times New Roman" w:cs="Times New Roman"/>
                <w:sz w:val="24"/>
                <w:szCs w:val="24"/>
              </w:rPr>
            </w:pPr>
          </w:p>
          <w:p w14:paraId="1A733645" w14:textId="226F4C32" w:rsidR="00D0125C" w:rsidRPr="00D0125C" w:rsidRDefault="00D0125C" w:rsidP="00D0125C">
            <w:pPr>
              <w:spacing w:after="0" w:line="264" w:lineRule="auto"/>
              <w:contextualSpacing/>
              <w:jc w:val="both"/>
              <w:rPr>
                <w:rFonts w:ascii="Times New Roman" w:hAnsi="Times New Roman" w:cs="Times New Roman"/>
                <w:sz w:val="24"/>
                <w:szCs w:val="24"/>
              </w:rPr>
            </w:pPr>
            <w:r w:rsidRPr="00D0125C">
              <w:rPr>
                <w:rFonts w:ascii="Times New Roman" w:hAnsi="Times New Roman" w:cs="Times New Roman"/>
                <w:sz w:val="24"/>
                <w:szCs w:val="24"/>
              </w:rPr>
              <w:t>Considerentele Directivei (UE) 2019/1023 pornesc de la ideea că, în lipsa unor instrumente eficiente de intervenție timpurie, întreprinderi care ar putea fi salvate ajung să intre prea târziu în proceduri colective, când valoarea economică s-a diminuat deja semnificativ, iar opțiunile de redresare sunt limitate. În asemenea circumstanțe, se produc efecte negative nu doar pentru debitor, ci și pentru creditori, angajați și economie în ansamblu: sunt afectate locurile de muncă, se reduc încasările bugetare, se perturbă lanțurile comerciale, iar recuperarea creanțelor are, de regulă, un randament mai scăzut decât ar fi fost posibil într-o restructurare realizată în faza incipientă a dificultății.</w:t>
            </w:r>
          </w:p>
          <w:p w14:paraId="10942A54" w14:textId="77777777" w:rsidR="00766F00" w:rsidRDefault="00766F00" w:rsidP="00D0125C">
            <w:pPr>
              <w:spacing w:after="0" w:line="264" w:lineRule="auto"/>
              <w:contextualSpacing/>
              <w:jc w:val="both"/>
              <w:rPr>
                <w:rFonts w:ascii="Times New Roman" w:hAnsi="Times New Roman" w:cs="Times New Roman"/>
                <w:sz w:val="24"/>
                <w:szCs w:val="24"/>
              </w:rPr>
            </w:pPr>
          </w:p>
          <w:p w14:paraId="649BE8A0" w14:textId="7CA1C8F9" w:rsidR="00AD4A4B" w:rsidRDefault="00D0125C" w:rsidP="00D0125C">
            <w:pPr>
              <w:spacing w:after="0" w:line="264" w:lineRule="auto"/>
              <w:contextualSpacing/>
              <w:jc w:val="both"/>
              <w:rPr>
                <w:rFonts w:ascii="Times New Roman" w:hAnsi="Times New Roman" w:cs="Times New Roman"/>
                <w:sz w:val="24"/>
                <w:szCs w:val="24"/>
              </w:rPr>
            </w:pPr>
            <w:r w:rsidRPr="00D0125C">
              <w:rPr>
                <w:rFonts w:ascii="Times New Roman" w:hAnsi="Times New Roman" w:cs="Times New Roman"/>
                <w:sz w:val="24"/>
                <w:szCs w:val="24"/>
              </w:rPr>
              <w:t xml:space="preserve">În Republica Moldova, Legea insolvabilității nr.149/2012 oferă un cadru general pentru restructurare și faliment, însă practica demonstrează că utilizarea mecanismelor de redresare este deseori tardivă și insuficient orientată spre prevenirea </w:t>
            </w:r>
            <w:r w:rsidR="000A47EA">
              <w:rPr>
                <w:rFonts w:ascii="Times New Roman" w:hAnsi="Times New Roman" w:cs="Times New Roman"/>
                <w:sz w:val="24"/>
                <w:szCs w:val="24"/>
              </w:rPr>
              <w:t>insolvabilității</w:t>
            </w:r>
            <w:r w:rsidRPr="00D0125C">
              <w:rPr>
                <w:rFonts w:ascii="Times New Roman" w:hAnsi="Times New Roman" w:cs="Times New Roman"/>
                <w:sz w:val="24"/>
                <w:szCs w:val="24"/>
              </w:rPr>
              <w:t xml:space="preserve"> în sensul Directivei (UE) 2019/1023. Directiva pune accent pe necesitatea ca debitorii viabili să aibă acces la instrumente care le permit să acționeze înainte ca insolvabilitatea să devină inevitabilă, inclusiv prin identificarea timpurie a semnalelor de </w:t>
            </w:r>
            <w:r w:rsidRPr="00D0125C">
              <w:rPr>
                <w:rFonts w:ascii="Times New Roman" w:hAnsi="Times New Roman" w:cs="Times New Roman"/>
                <w:sz w:val="24"/>
                <w:szCs w:val="24"/>
              </w:rPr>
              <w:lastRenderedPageBreak/>
              <w:t>risc, prin facilitarea negocierii unui plan într-un interval de timp protejat și prin asigurarea continuității activității în perioada de pregătire și implementare a restructurării.</w:t>
            </w:r>
          </w:p>
          <w:p w14:paraId="2327BB47" w14:textId="77777777" w:rsidR="00AD4A4B" w:rsidRDefault="00AD4A4B" w:rsidP="00D0125C">
            <w:pPr>
              <w:spacing w:after="0" w:line="264" w:lineRule="auto"/>
              <w:contextualSpacing/>
              <w:jc w:val="both"/>
              <w:rPr>
                <w:rFonts w:ascii="Times New Roman" w:hAnsi="Times New Roman" w:cs="Times New Roman"/>
                <w:sz w:val="24"/>
                <w:szCs w:val="24"/>
              </w:rPr>
            </w:pPr>
          </w:p>
          <w:p w14:paraId="50F5B56E" w14:textId="08EAF76F" w:rsidR="00D0125C" w:rsidRPr="00D0125C" w:rsidRDefault="00D0125C" w:rsidP="00D0125C">
            <w:pPr>
              <w:spacing w:after="0" w:line="264" w:lineRule="auto"/>
              <w:contextualSpacing/>
              <w:jc w:val="both"/>
              <w:rPr>
                <w:rFonts w:ascii="Times New Roman" w:hAnsi="Times New Roman" w:cs="Times New Roman"/>
                <w:sz w:val="24"/>
                <w:szCs w:val="24"/>
              </w:rPr>
            </w:pPr>
            <w:r w:rsidRPr="00D0125C">
              <w:rPr>
                <w:rFonts w:ascii="Times New Roman" w:hAnsi="Times New Roman" w:cs="Times New Roman"/>
                <w:sz w:val="24"/>
                <w:szCs w:val="24"/>
              </w:rPr>
              <w:t xml:space="preserve">În absența unor astfel de mecanisme clare și previzibile, există riscul ca presiunile individuale exercitate de diverși creditori, incertitudinea privind menținerea contractelor indispensabile sau lipsa resurselor financiare necesare pentru redresare să determine degradarea rapidă a întreprinderii, transformând o dificultate reversibilă într-o </w:t>
            </w:r>
            <w:r w:rsidR="000A47EA">
              <w:rPr>
                <w:rFonts w:ascii="Times New Roman" w:hAnsi="Times New Roman" w:cs="Times New Roman"/>
                <w:sz w:val="24"/>
                <w:szCs w:val="24"/>
              </w:rPr>
              <w:t>insolvabilitate</w:t>
            </w:r>
            <w:r w:rsidRPr="00D0125C">
              <w:rPr>
                <w:rFonts w:ascii="Times New Roman" w:hAnsi="Times New Roman" w:cs="Times New Roman"/>
                <w:sz w:val="24"/>
                <w:szCs w:val="24"/>
              </w:rPr>
              <w:t xml:space="preserve"> ireversibilă. Directiva pornește de la premisa că această tranziție către faliment nu este doar o consecință economică, ci și un rezultat al unui cadru juridic care nu oferă suficientă stabilitate și încredere părților implicate pentru a alege soluții de restructurare în locul soluțiilor distructive de tip lichidare.</w:t>
            </w:r>
          </w:p>
          <w:p w14:paraId="71645040" w14:textId="77777777" w:rsidR="00835906" w:rsidRDefault="00835906" w:rsidP="00D0125C">
            <w:pPr>
              <w:spacing w:after="0" w:line="264" w:lineRule="auto"/>
              <w:contextualSpacing/>
              <w:jc w:val="both"/>
              <w:rPr>
                <w:rFonts w:ascii="Times New Roman" w:hAnsi="Times New Roman" w:cs="Times New Roman"/>
                <w:sz w:val="24"/>
                <w:szCs w:val="24"/>
              </w:rPr>
            </w:pPr>
          </w:p>
          <w:p w14:paraId="7D3E17EC" w14:textId="224A39F6" w:rsidR="00D0125C" w:rsidRPr="00D0125C" w:rsidRDefault="00485753" w:rsidP="00D0125C">
            <w:pPr>
              <w:spacing w:after="0" w:line="264" w:lineRule="auto"/>
              <w:contextualSpacing/>
              <w:jc w:val="both"/>
              <w:rPr>
                <w:rFonts w:ascii="Times New Roman" w:hAnsi="Times New Roman" w:cs="Times New Roman"/>
                <w:sz w:val="24"/>
                <w:szCs w:val="24"/>
              </w:rPr>
            </w:pPr>
            <w:r>
              <w:rPr>
                <w:rFonts w:ascii="Times New Roman" w:hAnsi="Times New Roman" w:cs="Times New Roman"/>
                <w:sz w:val="24"/>
                <w:szCs w:val="24"/>
              </w:rPr>
              <w:t>Astfel, u</w:t>
            </w:r>
            <w:r w:rsidR="00D0125C" w:rsidRPr="00D0125C">
              <w:rPr>
                <w:rFonts w:ascii="Times New Roman" w:hAnsi="Times New Roman" w:cs="Times New Roman"/>
                <w:sz w:val="24"/>
                <w:szCs w:val="24"/>
              </w:rPr>
              <w:t xml:space="preserve">n element central al Directivei este orientarea spre viabilitatea economică a întreprinderii: acolo unde există perspective reale de continuare a activității și de creare a valorii, legislația trebuie să faciliteze menținerea întreprinderii în funcțiune și </w:t>
            </w:r>
            <w:r w:rsidR="003F3A0D">
              <w:rPr>
                <w:rFonts w:ascii="Times New Roman" w:hAnsi="Times New Roman" w:cs="Times New Roman"/>
                <w:sz w:val="24"/>
                <w:szCs w:val="24"/>
              </w:rPr>
              <w:t>restructurarea</w:t>
            </w:r>
            <w:r w:rsidR="00D0125C" w:rsidRPr="00D0125C">
              <w:rPr>
                <w:rFonts w:ascii="Times New Roman" w:hAnsi="Times New Roman" w:cs="Times New Roman"/>
                <w:sz w:val="24"/>
                <w:szCs w:val="24"/>
              </w:rPr>
              <w:t xml:space="preserve"> obligațiilor într-un mod echilibrat, în loc să permită degradarea valorii prin executări fragmentate sau prin încetarea relațiilor contractuale esențiale. Această abordare urmărește protejarea valorii întreprinderii ca „întreprindere în activitate”, care de regulă este mai mare decât valoarea obținută prin valorificarea separată a activelor. În practică, pentru ca un plan să fie negociat și implementat, este necesară reducerea incertitudinii juridice și a riscurilor neprevizibile pentru părți: creditorii trebuie să aibă un cadru clar pentru a-și exercita drepturile și pentru a evalua avantajele planului, debitorul trebuie să poată continua operațiunile curente fără întreruperi arbitrare, iar finanțatorii trebuie să aibă o protecție rezonabilă atunci când sprijină o restructurare cu șanse de reușită. În lipsa acestor garanții, restructurarea devine mai degrabă o opțiune teoretică, iar actorii economici preferă soluții defensive, cu efect de accelerare a crizei.</w:t>
            </w:r>
          </w:p>
          <w:p w14:paraId="104B6473" w14:textId="77777777" w:rsidR="00835906" w:rsidRDefault="00835906" w:rsidP="00D0125C">
            <w:pPr>
              <w:spacing w:after="0" w:line="264" w:lineRule="auto"/>
              <w:contextualSpacing/>
              <w:jc w:val="both"/>
              <w:rPr>
                <w:rFonts w:ascii="Times New Roman" w:hAnsi="Times New Roman" w:cs="Times New Roman"/>
                <w:sz w:val="24"/>
                <w:szCs w:val="24"/>
              </w:rPr>
            </w:pPr>
          </w:p>
          <w:p w14:paraId="5228A634" w14:textId="6C2B7650" w:rsidR="00D0125C" w:rsidRPr="00D0125C" w:rsidRDefault="00AF5C2B" w:rsidP="00D0125C">
            <w:pPr>
              <w:spacing w:after="0" w:line="264"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În acest context, </w:t>
            </w:r>
            <w:r w:rsidR="00D0125C" w:rsidRPr="00D0125C">
              <w:rPr>
                <w:rFonts w:ascii="Times New Roman" w:hAnsi="Times New Roman" w:cs="Times New Roman"/>
                <w:sz w:val="24"/>
                <w:szCs w:val="24"/>
              </w:rPr>
              <w:t xml:space="preserve">Directiva (UE) 2019/1023 tratează necesitatea „unei a doua șanse” pentru antreprenori pornind de la constatarea că eșecul unei afaceri nu trebuie să conducă automat la excluderea de lungă durată din viața economică. O povară excesivă și prelungită a datoriilor, lipsa unor reguli clare privind degrevarea de obligații după o perioadă maximă și lipsa unei perspective de reintegrare economică pot descuraja inițiativa antreprenorială, pot stimula </w:t>
            </w:r>
            <w:proofErr w:type="spellStart"/>
            <w:r w:rsidR="00D0125C" w:rsidRPr="00D0125C">
              <w:rPr>
                <w:rFonts w:ascii="Times New Roman" w:hAnsi="Times New Roman" w:cs="Times New Roman"/>
                <w:sz w:val="24"/>
                <w:szCs w:val="24"/>
              </w:rPr>
              <w:t>informalitatea</w:t>
            </w:r>
            <w:proofErr w:type="spellEnd"/>
            <w:r w:rsidR="00D0125C" w:rsidRPr="00D0125C">
              <w:rPr>
                <w:rFonts w:ascii="Times New Roman" w:hAnsi="Times New Roman" w:cs="Times New Roman"/>
                <w:sz w:val="24"/>
                <w:szCs w:val="24"/>
              </w:rPr>
              <w:t xml:space="preserve"> și pot menține persoane active în economie într-o stare de blocaj financiar, fără beneficii reale nici pentru creditori, nici pentru societate. </w:t>
            </w:r>
            <w:r w:rsidR="00111591">
              <w:rPr>
                <w:rFonts w:ascii="Times New Roman" w:hAnsi="Times New Roman" w:cs="Times New Roman"/>
                <w:sz w:val="24"/>
                <w:szCs w:val="24"/>
              </w:rPr>
              <w:t>Astfel</w:t>
            </w:r>
            <w:r w:rsidR="00D0125C" w:rsidRPr="00D0125C">
              <w:rPr>
                <w:rFonts w:ascii="Times New Roman" w:hAnsi="Times New Roman" w:cs="Times New Roman"/>
                <w:sz w:val="24"/>
                <w:szCs w:val="24"/>
              </w:rPr>
              <w:t xml:space="preserve">, remiterea datoriilor într-un termen rezonabil, cu condiții și garanții împotriva abuzurilor, contribuie la relansarea activității economice și la creșterea gradului de conformare, în loc să perpetueze insolvabilitatea </w:t>
            </w:r>
            <w:r w:rsidR="008A429B" w:rsidRPr="008A429B">
              <w:rPr>
                <w:rFonts w:ascii="Times New Roman" w:hAnsi="Times New Roman" w:cs="Times New Roman"/>
                <w:i/>
                <w:iCs/>
                <w:sz w:val="24"/>
                <w:szCs w:val="24"/>
              </w:rPr>
              <w:t>d</w:t>
            </w:r>
            <w:r w:rsidR="00D0125C" w:rsidRPr="00D0125C">
              <w:rPr>
                <w:rFonts w:ascii="Times New Roman" w:hAnsi="Times New Roman" w:cs="Times New Roman"/>
                <w:i/>
                <w:iCs/>
                <w:sz w:val="24"/>
                <w:szCs w:val="24"/>
              </w:rPr>
              <w:t>e facto</w:t>
            </w:r>
            <w:r w:rsidR="00D0125C" w:rsidRPr="00D0125C">
              <w:rPr>
                <w:rFonts w:ascii="Times New Roman" w:hAnsi="Times New Roman" w:cs="Times New Roman"/>
                <w:sz w:val="24"/>
                <w:szCs w:val="24"/>
              </w:rPr>
              <w:t xml:space="preserve"> și stagnarea.</w:t>
            </w:r>
          </w:p>
          <w:p w14:paraId="77E2F5DC" w14:textId="77777777" w:rsidR="00835906" w:rsidRDefault="00835906" w:rsidP="00D0125C">
            <w:pPr>
              <w:spacing w:after="0" w:line="264" w:lineRule="auto"/>
              <w:contextualSpacing/>
              <w:jc w:val="both"/>
              <w:rPr>
                <w:rFonts w:ascii="Times New Roman" w:hAnsi="Times New Roman" w:cs="Times New Roman"/>
                <w:sz w:val="24"/>
                <w:szCs w:val="24"/>
              </w:rPr>
            </w:pPr>
          </w:p>
          <w:p w14:paraId="2BF7644C" w14:textId="373ABBF8" w:rsidR="00C0527B" w:rsidRDefault="00D0125C" w:rsidP="00D0125C">
            <w:pPr>
              <w:spacing w:after="0" w:line="264" w:lineRule="auto"/>
              <w:contextualSpacing/>
              <w:jc w:val="both"/>
              <w:rPr>
                <w:rFonts w:ascii="Times New Roman" w:hAnsi="Times New Roman" w:cs="Times New Roman"/>
                <w:sz w:val="24"/>
                <w:szCs w:val="24"/>
              </w:rPr>
            </w:pPr>
            <w:r w:rsidRPr="00D0125C">
              <w:rPr>
                <w:rFonts w:ascii="Times New Roman" w:hAnsi="Times New Roman" w:cs="Times New Roman"/>
                <w:sz w:val="24"/>
                <w:szCs w:val="24"/>
              </w:rPr>
              <w:t xml:space="preserve">Prin urmare, necesitatea modificării Legii insolvabilității nr.149/2012 derivă din obiectivul de a alinia cadrul național la logica Directivei (UE) 2019/1023, axată pe prevenirea intrării inutile în </w:t>
            </w:r>
            <w:r w:rsidR="0073128F">
              <w:rPr>
                <w:rFonts w:ascii="Times New Roman" w:hAnsi="Times New Roman" w:cs="Times New Roman"/>
                <w:sz w:val="24"/>
                <w:szCs w:val="24"/>
              </w:rPr>
              <w:t>insolvabilitate</w:t>
            </w:r>
            <w:r w:rsidRPr="00D0125C">
              <w:rPr>
                <w:rFonts w:ascii="Times New Roman" w:hAnsi="Times New Roman" w:cs="Times New Roman"/>
                <w:sz w:val="24"/>
                <w:szCs w:val="24"/>
              </w:rPr>
              <w:t xml:space="preserve"> a debitorilor viabili, pe maximizarea șanselor de redresare prin instrumente juridice predictibile și eficiente și pe instituirea unei a doua șanse prin reguli clare privind degrevarea de obligații într-un termen maxim.</w:t>
            </w:r>
          </w:p>
          <w:p w14:paraId="4F9ED662" w14:textId="77777777" w:rsidR="00C0527B" w:rsidRDefault="00C0527B" w:rsidP="00D0125C">
            <w:pPr>
              <w:spacing w:after="0" w:line="264" w:lineRule="auto"/>
              <w:contextualSpacing/>
              <w:jc w:val="both"/>
              <w:rPr>
                <w:rFonts w:ascii="Times New Roman" w:hAnsi="Times New Roman" w:cs="Times New Roman"/>
                <w:sz w:val="24"/>
                <w:szCs w:val="24"/>
              </w:rPr>
            </w:pPr>
          </w:p>
          <w:p w14:paraId="6138423A" w14:textId="718A2308" w:rsidR="00D0125C" w:rsidRPr="00D0125C" w:rsidRDefault="00C0527B" w:rsidP="00D0125C">
            <w:pPr>
              <w:spacing w:after="0" w:line="264" w:lineRule="auto"/>
              <w:contextualSpacing/>
              <w:jc w:val="both"/>
              <w:rPr>
                <w:rFonts w:ascii="Times New Roman" w:hAnsi="Times New Roman" w:cs="Times New Roman"/>
                <w:sz w:val="24"/>
                <w:szCs w:val="24"/>
              </w:rPr>
            </w:pPr>
            <w:r>
              <w:rPr>
                <w:rFonts w:ascii="Times New Roman" w:hAnsi="Times New Roman" w:cs="Times New Roman"/>
                <w:sz w:val="24"/>
                <w:szCs w:val="24"/>
              </w:rPr>
              <w:t>T</w:t>
            </w:r>
            <w:r w:rsidR="00D0125C" w:rsidRPr="00D0125C">
              <w:rPr>
                <w:rFonts w:ascii="Times New Roman" w:hAnsi="Times New Roman" w:cs="Times New Roman"/>
                <w:sz w:val="24"/>
                <w:szCs w:val="24"/>
              </w:rPr>
              <w:t xml:space="preserve">ranspunerea Directivei presupune </w:t>
            </w:r>
            <w:r w:rsidR="00EF2718">
              <w:rPr>
                <w:rFonts w:ascii="Times New Roman" w:hAnsi="Times New Roman" w:cs="Times New Roman"/>
                <w:sz w:val="24"/>
                <w:szCs w:val="24"/>
              </w:rPr>
              <w:t>includerea unor prevederi legale</w:t>
            </w:r>
            <w:r w:rsidR="00D0125C" w:rsidRPr="00D0125C">
              <w:rPr>
                <w:rFonts w:ascii="Times New Roman" w:hAnsi="Times New Roman" w:cs="Times New Roman"/>
                <w:sz w:val="24"/>
                <w:szCs w:val="24"/>
              </w:rPr>
              <w:t xml:space="preserve"> conexe care permit funcționarea practică a acestui cadru: mecanisme de orientare și avertizare timpurie, reguli adecvate pentru negocierea și implementarea planurilor într-un interval protejat, asigurarea continuității activității </w:t>
            </w:r>
            <w:r w:rsidR="00D0125C" w:rsidRPr="00D0125C">
              <w:rPr>
                <w:rFonts w:ascii="Times New Roman" w:hAnsi="Times New Roman" w:cs="Times New Roman"/>
                <w:sz w:val="24"/>
                <w:szCs w:val="24"/>
              </w:rPr>
              <w:lastRenderedPageBreak/>
              <w:t>prin menținerea relațiilor contractuale esențiale, stimularea finanțărilor necesare restructurării, precum și consolidarea eficienței procedurilor și a capacității instituționale (inclusiv prin colectarea datelor relevante). Toate aceste elemente, privite în ansamblu, urmăresc un obiectiv comun promovat de Directivă: reducerea pierderilor economice și sociale asociate lichidărilor evitabile și crearea unui cadru modern care să permită salvarea valorii economice acolo unde aceasta poate fi păstrată în mod realist, cu respectarea echilibrului dintre interesele debitorilor, ale creditorilor și ale celorlalte părți afectate.</w:t>
            </w:r>
          </w:p>
          <w:p w14:paraId="6AEBD6FF" w14:textId="5B192A89" w:rsidR="00D0125C" w:rsidRPr="00493123" w:rsidRDefault="00D0125C" w:rsidP="00493123">
            <w:pPr>
              <w:spacing w:after="0" w:line="264" w:lineRule="auto"/>
              <w:contextualSpacing/>
              <w:rPr>
                <w:rFonts w:ascii="Times New Roman" w:hAnsi="Times New Roman" w:cs="Times New Roman"/>
                <w:b/>
                <w:bCs/>
                <w:sz w:val="24"/>
                <w:szCs w:val="24"/>
              </w:rPr>
            </w:pPr>
          </w:p>
        </w:tc>
      </w:tr>
      <w:tr w:rsidR="00493123" w:rsidRPr="00493123" w14:paraId="51AEA5A9" w14:textId="77777777" w:rsidTr="00B844AA">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366B692D" w14:textId="77777777" w:rsidR="00493123" w:rsidRPr="00493123" w:rsidRDefault="00493123" w:rsidP="00493123">
            <w:pPr>
              <w:spacing w:after="0" w:line="264" w:lineRule="auto"/>
              <w:contextualSpacing/>
              <w:rPr>
                <w:rFonts w:ascii="Times New Roman" w:hAnsi="Times New Roman" w:cs="Times New Roman"/>
                <w:b/>
                <w:bCs/>
                <w:sz w:val="24"/>
                <w:szCs w:val="24"/>
              </w:rPr>
            </w:pPr>
            <w:r w:rsidRPr="00493123">
              <w:rPr>
                <w:rFonts w:ascii="Times New Roman" w:hAnsi="Times New Roman" w:cs="Times New Roman"/>
                <w:b/>
                <w:bCs/>
                <w:sz w:val="24"/>
                <w:szCs w:val="24"/>
              </w:rPr>
              <w:lastRenderedPageBreak/>
              <w:t xml:space="preserve">3. Obiectivele urmărite </w:t>
            </w:r>
            <w:proofErr w:type="spellStart"/>
            <w:r w:rsidRPr="00493123">
              <w:rPr>
                <w:rFonts w:ascii="Times New Roman" w:hAnsi="Times New Roman" w:cs="Times New Roman"/>
                <w:b/>
                <w:bCs/>
                <w:sz w:val="24"/>
                <w:szCs w:val="24"/>
              </w:rPr>
              <w:t>şi</w:t>
            </w:r>
            <w:proofErr w:type="spellEnd"/>
            <w:r w:rsidRPr="00493123">
              <w:rPr>
                <w:rFonts w:ascii="Times New Roman" w:hAnsi="Times New Roman" w:cs="Times New Roman"/>
                <w:b/>
                <w:bCs/>
                <w:sz w:val="24"/>
                <w:szCs w:val="24"/>
              </w:rPr>
              <w:t xml:space="preserve"> </w:t>
            </w:r>
            <w:proofErr w:type="spellStart"/>
            <w:r w:rsidRPr="00493123">
              <w:rPr>
                <w:rFonts w:ascii="Times New Roman" w:hAnsi="Times New Roman" w:cs="Times New Roman"/>
                <w:b/>
                <w:bCs/>
                <w:sz w:val="24"/>
                <w:szCs w:val="24"/>
              </w:rPr>
              <w:t>soluţiile</w:t>
            </w:r>
            <w:proofErr w:type="spellEnd"/>
            <w:r w:rsidRPr="00493123">
              <w:rPr>
                <w:rFonts w:ascii="Times New Roman" w:hAnsi="Times New Roman" w:cs="Times New Roman"/>
                <w:b/>
                <w:bCs/>
                <w:sz w:val="24"/>
                <w:szCs w:val="24"/>
              </w:rPr>
              <w:t xml:space="preserve"> propuse</w:t>
            </w:r>
          </w:p>
        </w:tc>
      </w:tr>
      <w:tr w:rsidR="00B740F6" w:rsidRPr="00493123" w14:paraId="3750314D" w14:textId="77777777" w:rsidTr="00B740F6">
        <w:tc>
          <w:tcPr>
            <w:tcW w:w="500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3350A2D2" w14:textId="77777777" w:rsidR="003241A3" w:rsidRDefault="000B380B" w:rsidP="000B380B">
            <w:pPr>
              <w:spacing w:after="0" w:line="264" w:lineRule="auto"/>
              <w:contextualSpacing/>
              <w:jc w:val="both"/>
              <w:rPr>
                <w:rFonts w:ascii="Times New Roman" w:hAnsi="Times New Roman" w:cs="Times New Roman"/>
                <w:sz w:val="24"/>
                <w:szCs w:val="24"/>
              </w:rPr>
            </w:pPr>
            <w:r w:rsidRPr="00544FBF">
              <w:rPr>
                <w:rFonts w:ascii="Times New Roman" w:hAnsi="Times New Roman" w:cs="Times New Roman"/>
                <w:sz w:val="24"/>
                <w:szCs w:val="24"/>
              </w:rPr>
              <w:t xml:space="preserve">Odată cu transpunerea și implementarea Directivei (UE) 2019/1023, se urmărește consolidarea la nivel național a unui cadru juridic orientat mai </w:t>
            </w:r>
            <w:r w:rsidR="00B70143" w:rsidRPr="00544FBF">
              <w:rPr>
                <w:rFonts w:ascii="Times New Roman" w:hAnsi="Times New Roman" w:cs="Times New Roman"/>
                <w:sz w:val="24"/>
                <w:szCs w:val="24"/>
              </w:rPr>
              <w:t>mult</w:t>
            </w:r>
            <w:r w:rsidRPr="00544FBF">
              <w:rPr>
                <w:rFonts w:ascii="Times New Roman" w:hAnsi="Times New Roman" w:cs="Times New Roman"/>
                <w:sz w:val="24"/>
                <w:szCs w:val="24"/>
              </w:rPr>
              <w:t xml:space="preserve"> spre prevenirea insolvenței și salvarea întreprinderilor viabile din punct de vedere economic, înainte ca dificultatea financiară să degenereze în </w:t>
            </w:r>
            <w:r w:rsidR="001E5ABA" w:rsidRPr="00544FBF">
              <w:rPr>
                <w:rFonts w:ascii="Times New Roman" w:hAnsi="Times New Roman" w:cs="Times New Roman"/>
                <w:sz w:val="24"/>
                <w:szCs w:val="24"/>
              </w:rPr>
              <w:t>insolvabilitate</w:t>
            </w:r>
            <w:r w:rsidRPr="00544FBF">
              <w:rPr>
                <w:rFonts w:ascii="Times New Roman" w:hAnsi="Times New Roman" w:cs="Times New Roman"/>
                <w:sz w:val="24"/>
                <w:szCs w:val="24"/>
              </w:rPr>
              <w:t>. Schimbarea urmărită constă în trecerea de la o abordare predominant reactivă, axată pe gestionarea stării de insolvabilitate deja produse, la un model care favorizează intervenția timpurie, restructurarea efectivă a obligațiilor și menținerea activității economice acolo unde există perspective reale de redresare. Totodată, se urmărește crearea unui cadru mai previzibil și mai funcțional pentru debitori și creditori, inclusiv prin facilitarea negocierii planurilor de restructurare, protejarea continuității activității debitorului și stimularea finanțărilor necesare redresării. În paralel, proiectul are drept scop promovarea principiului „celei de-a doua șanse”, astfel încât debitorii de bună-credință să poată reveni într-un termen rezonabil în circuitul economic. Per ansamblu, evoluția urmărită este dezvoltarea unui sistem de insolvabilitate mai eficient, mai echilibrat și mai bine aliniat standardelor europene, capabil să reducă pierderile economice și sociale generate de lichidările evitabile</w:t>
            </w:r>
            <w:r w:rsidRPr="000B380B">
              <w:rPr>
                <w:rFonts w:ascii="Times New Roman" w:hAnsi="Times New Roman" w:cs="Times New Roman"/>
                <w:sz w:val="24"/>
                <w:szCs w:val="24"/>
              </w:rPr>
              <w:t>.</w:t>
            </w:r>
          </w:p>
          <w:p w14:paraId="49E0274A" w14:textId="4FBA2600" w:rsidR="00B70143" w:rsidRPr="000B380B" w:rsidRDefault="00B70143" w:rsidP="000B380B">
            <w:pPr>
              <w:spacing w:after="0" w:line="264" w:lineRule="auto"/>
              <w:contextualSpacing/>
              <w:jc w:val="both"/>
              <w:rPr>
                <w:rFonts w:ascii="Times New Roman" w:hAnsi="Times New Roman" w:cs="Times New Roman"/>
                <w:sz w:val="24"/>
                <w:szCs w:val="24"/>
              </w:rPr>
            </w:pPr>
          </w:p>
        </w:tc>
      </w:tr>
      <w:tr w:rsidR="00493123" w:rsidRPr="00493123" w14:paraId="4E25A5E4" w14:textId="77777777" w:rsidTr="00B844AA">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34C50E5" w14:textId="77777777" w:rsidR="00493123" w:rsidRDefault="00493123" w:rsidP="00493123">
            <w:pPr>
              <w:spacing w:after="0" w:line="264" w:lineRule="auto"/>
              <w:contextualSpacing/>
              <w:rPr>
                <w:rFonts w:ascii="Times New Roman" w:hAnsi="Times New Roman" w:cs="Times New Roman"/>
                <w:b/>
                <w:bCs/>
                <w:sz w:val="24"/>
                <w:szCs w:val="24"/>
              </w:rPr>
            </w:pPr>
            <w:r w:rsidRPr="00493123">
              <w:rPr>
                <w:rFonts w:ascii="Times New Roman" w:hAnsi="Times New Roman" w:cs="Times New Roman"/>
                <w:b/>
                <w:bCs/>
                <w:sz w:val="24"/>
                <w:szCs w:val="24"/>
              </w:rPr>
              <w:t xml:space="preserve">3.1. Principalele prevederi ale proiectului </w:t>
            </w:r>
            <w:proofErr w:type="spellStart"/>
            <w:r w:rsidRPr="00493123">
              <w:rPr>
                <w:rFonts w:ascii="Times New Roman" w:hAnsi="Times New Roman" w:cs="Times New Roman"/>
                <w:b/>
                <w:bCs/>
                <w:sz w:val="24"/>
                <w:szCs w:val="24"/>
              </w:rPr>
              <w:t>şi</w:t>
            </w:r>
            <w:proofErr w:type="spellEnd"/>
            <w:r w:rsidRPr="00493123">
              <w:rPr>
                <w:rFonts w:ascii="Times New Roman" w:hAnsi="Times New Roman" w:cs="Times New Roman"/>
                <w:b/>
                <w:bCs/>
                <w:sz w:val="24"/>
                <w:szCs w:val="24"/>
              </w:rPr>
              <w:t xml:space="preserve"> </w:t>
            </w:r>
            <w:proofErr w:type="spellStart"/>
            <w:r w:rsidRPr="00493123">
              <w:rPr>
                <w:rFonts w:ascii="Times New Roman" w:hAnsi="Times New Roman" w:cs="Times New Roman"/>
                <w:b/>
                <w:bCs/>
                <w:sz w:val="24"/>
                <w:szCs w:val="24"/>
              </w:rPr>
              <w:t>evidenţierea</w:t>
            </w:r>
            <w:proofErr w:type="spellEnd"/>
            <w:r w:rsidRPr="00493123">
              <w:rPr>
                <w:rFonts w:ascii="Times New Roman" w:hAnsi="Times New Roman" w:cs="Times New Roman"/>
                <w:b/>
                <w:bCs/>
                <w:sz w:val="24"/>
                <w:szCs w:val="24"/>
              </w:rPr>
              <w:t xml:space="preserve"> elementelor noi</w:t>
            </w:r>
          </w:p>
          <w:p w14:paraId="742268C5" w14:textId="77777777" w:rsidR="00C33D20" w:rsidRDefault="00C33D20" w:rsidP="003A698B">
            <w:pPr>
              <w:spacing w:after="0" w:line="264" w:lineRule="auto"/>
              <w:contextualSpacing/>
              <w:jc w:val="both"/>
              <w:rPr>
                <w:rFonts w:ascii="Times New Roman" w:hAnsi="Times New Roman" w:cs="Times New Roman"/>
                <w:b/>
                <w:bCs/>
                <w:sz w:val="24"/>
                <w:szCs w:val="24"/>
              </w:rPr>
            </w:pPr>
          </w:p>
          <w:p w14:paraId="46A3244A" w14:textId="46A5E659" w:rsidR="00155EB4" w:rsidRDefault="00155EB4" w:rsidP="00155EB4">
            <w:pPr>
              <w:spacing w:after="0" w:line="264" w:lineRule="auto"/>
              <w:contextualSpacing/>
              <w:jc w:val="both"/>
              <w:rPr>
                <w:rFonts w:ascii="Times New Roman" w:hAnsi="Times New Roman" w:cs="Times New Roman"/>
                <w:sz w:val="24"/>
                <w:szCs w:val="24"/>
              </w:rPr>
            </w:pPr>
            <w:r w:rsidRPr="00155EB4">
              <w:rPr>
                <w:rFonts w:ascii="Times New Roman" w:hAnsi="Times New Roman" w:cs="Times New Roman"/>
                <w:sz w:val="24"/>
                <w:szCs w:val="24"/>
              </w:rPr>
              <w:t xml:space="preserve">Proiectul de lege propune modificarea și completarea Legii insolvabilității nr. 149/2012, în vederea transpunerii Directivei (UE) 2019/1023, prin consolidarea instrumentelor de prevenire a </w:t>
            </w:r>
            <w:r w:rsidR="00F964C6">
              <w:rPr>
                <w:rFonts w:ascii="Times New Roman" w:hAnsi="Times New Roman" w:cs="Times New Roman"/>
                <w:sz w:val="24"/>
                <w:szCs w:val="24"/>
              </w:rPr>
              <w:t>insolvabilității</w:t>
            </w:r>
            <w:r w:rsidRPr="00155EB4">
              <w:rPr>
                <w:rFonts w:ascii="Times New Roman" w:hAnsi="Times New Roman" w:cs="Times New Roman"/>
                <w:sz w:val="24"/>
                <w:szCs w:val="24"/>
              </w:rPr>
              <w:t>, a mecanismelor de restructurare (în special a restructurării accelerate), precum și prin introducerea unor garanții menite să mențină viabilitatea economică a debitorilor și să asigure o a doua șansă debitorilor de bună-credință. În acest sens, proiectul intervine atât asupra conceptelor de bază și a conduitei debitorului în dificultate financiară, cât și asupra protecției continuității activității (contracte esențiale), a finanțărilor aferente restructurării și a arhitecturii procedurii accelerate de restructurare.</w:t>
            </w:r>
          </w:p>
          <w:p w14:paraId="4832A51F" w14:textId="77777777" w:rsidR="00A14E63" w:rsidRPr="00155EB4" w:rsidRDefault="00A14E63" w:rsidP="00155EB4">
            <w:pPr>
              <w:spacing w:after="0" w:line="264" w:lineRule="auto"/>
              <w:contextualSpacing/>
              <w:jc w:val="both"/>
              <w:rPr>
                <w:rFonts w:ascii="Times New Roman" w:hAnsi="Times New Roman" w:cs="Times New Roman"/>
                <w:sz w:val="24"/>
                <w:szCs w:val="24"/>
              </w:rPr>
            </w:pPr>
          </w:p>
          <w:p w14:paraId="7BB3FC40" w14:textId="75326790" w:rsidR="00155EB4" w:rsidRDefault="00155EB4" w:rsidP="00155EB4">
            <w:pPr>
              <w:spacing w:after="0" w:line="264" w:lineRule="auto"/>
              <w:contextualSpacing/>
              <w:jc w:val="both"/>
              <w:rPr>
                <w:rFonts w:ascii="Times New Roman" w:hAnsi="Times New Roman" w:cs="Times New Roman"/>
                <w:sz w:val="24"/>
                <w:szCs w:val="24"/>
              </w:rPr>
            </w:pPr>
            <w:r w:rsidRPr="00155EB4">
              <w:rPr>
                <w:rFonts w:ascii="Times New Roman" w:hAnsi="Times New Roman" w:cs="Times New Roman"/>
                <w:sz w:val="24"/>
                <w:szCs w:val="24"/>
              </w:rPr>
              <w:t>În primul rând, proiectul completează setul de definiții din art. 2 al Legii nr. 149/2012, introducând noțiuni indispensabile funcționării cadrului de restructurare preventivă/accelerată: este definită „avertizarea timpurie”, iar pentru a sprijini implementarea planurilor sunt definite categoriile de finanțare relevante pentru restructurare, precum „finanțări intermediare” și „finanțări noi”. Aceste completări sunt esențiale deoarece Directiva 2019/1023 se bazează pe intervenția timpurie, pe accesul la finanțare în restructurare și pe claritate conceptuală, astfel încât actorii (debitori, creditori, instanțe, finanțatori) să aplice uniform mecanismele prevăzute de lege.</w:t>
            </w:r>
          </w:p>
          <w:p w14:paraId="29BC08CF" w14:textId="77777777" w:rsidR="007010F0" w:rsidRPr="00155EB4" w:rsidRDefault="007010F0" w:rsidP="00155EB4">
            <w:pPr>
              <w:spacing w:after="0" w:line="264" w:lineRule="auto"/>
              <w:contextualSpacing/>
              <w:jc w:val="both"/>
              <w:rPr>
                <w:rFonts w:ascii="Times New Roman" w:hAnsi="Times New Roman" w:cs="Times New Roman"/>
                <w:sz w:val="24"/>
                <w:szCs w:val="24"/>
              </w:rPr>
            </w:pPr>
          </w:p>
          <w:p w14:paraId="42E12D7E" w14:textId="4604B158" w:rsidR="00155EB4" w:rsidRDefault="00155EB4" w:rsidP="00155EB4">
            <w:pPr>
              <w:spacing w:after="0" w:line="264" w:lineRule="auto"/>
              <w:contextualSpacing/>
              <w:jc w:val="both"/>
              <w:rPr>
                <w:rFonts w:ascii="Times New Roman" w:hAnsi="Times New Roman" w:cs="Times New Roman"/>
                <w:sz w:val="24"/>
                <w:szCs w:val="24"/>
              </w:rPr>
            </w:pPr>
            <w:r w:rsidRPr="00155EB4">
              <w:rPr>
                <w:rFonts w:ascii="Times New Roman" w:hAnsi="Times New Roman" w:cs="Times New Roman"/>
                <w:sz w:val="24"/>
                <w:szCs w:val="24"/>
              </w:rPr>
              <w:lastRenderedPageBreak/>
              <w:t xml:space="preserve">În al doilea rând, proiectul instituie un mecanism instituțional minim de sprijin pentru prevenirea </w:t>
            </w:r>
            <w:r w:rsidR="008A642A">
              <w:rPr>
                <w:rFonts w:ascii="Times New Roman" w:hAnsi="Times New Roman" w:cs="Times New Roman"/>
                <w:sz w:val="24"/>
                <w:szCs w:val="24"/>
              </w:rPr>
              <w:t>insolvabilității</w:t>
            </w:r>
            <w:r w:rsidRPr="00155EB4">
              <w:rPr>
                <w:rFonts w:ascii="Times New Roman" w:hAnsi="Times New Roman" w:cs="Times New Roman"/>
                <w:sz w:val="24"/>
                <w:szCs w:val="24"/>
              </w:rPr>
              <w:t xml:space="preserve"> prin introducerea </w:t>
            </w:r>
            <w:r w:rsidR="00B91CEB">
              <w:rPr>
                <w:rFonts w:ascii="Times New Roman" w:hAnsi="Times New Roman" w:cs="Times New Roman"/>
                <w:sz w:val="24"/>
                <w:szCs w:val="24"/>
              </w:rPr>
              <w:t>unui articol</w:t>
            </w:r>
            <w:r w:rsidRPr="00155EB4">
              <w:rPr>
                <w:rFonts w:ascii="Times New Roman" w:hAnsi="Times New Roman" w:cs="Times New Roman"/>
                <w:sz w:val="24"/>
                <w:szCs w:val="24"/>
              </w:rPr>
              <w:t xml:space="preserve"> care </w:t>
            </w:r>
            <w:r w:rsidR="00B91CEB">
              <w:rPr>
                <w:rFonts w:ascii="Times New Roman" w:hAnsi="Times New Roman" w:cs="Times New Roman"/>
                <w:sz w:val="24"/>
                <w:szCs w:val="24"/>
              </w:rPr>
              <w:t>instituie</w:t>
            </w:r>
            <w:r w:rsidRPr="00155EB4">
              <w:rPr>
                <w:rFonts w:ascii="Times New Roman" w:hAnsi="Times New Roman" w:cs="Times New Roman"/>
                <w:sz w:val="24"/>
                <w:szCs w:val="24"/>
              </w:rPr>
              <w:t xml:space="preserve"> </w:t>
            </w:r>
            <w:r w:rsidR="00B844AA" w:rsidRPr="00155EB4">
              <w:rPr>
                <w:rFonts w:ascii="Times New Roman" w:hAnsi="Times New Roman" w:cs="Times New Roman"/>
                <w:sz w:val="24"/>
                <w:szCs w:val="24"/>
              </w:rPr>
              <w:t xml:space="preserve">obligația </w:t>
            </w:r>
            <w:r w:rsidR="00805C84" w:rsidRPr="00805C84">
              <w:rPr>
                <w:rFonts w:ascii="Times New Roman" w:hAnsi="Times New Roman" w:cs="Times New Roman"/>
                <w:sz w:val="24"/>
                <w:szCs w:val="24"/>
                <w:lang w:val="fr-FR"/>
              </w:rPr>
              <w:t>[</w:t>
            </w:r>
            <w:r w:rsidR="00EA359E">
              <w:rPr>
                <w:rFonts w:ascii="Times New Roman" w:hAnsi="Times New Roman" w:cs="Times New Roman"/>
                <w:sz w:val="24"/>
                <w:szCs w:val="24"/>
              </w:rPr>
              <w:t>Ministerului Dezvoltării Economice și Digitalizării</w:t>
            </w:r>
            <w:r w:rsidR="00805C84">
              <w:rPr>
                <w:rFonts w:ascii="Times New Roman" w:hAnsi="Times New Roman" w:cs="Times New Roman"/>
                <w:sz w:val="24"/>
                <w:szCs w:val="24"/>
              </w:rPr>
              <w:t>]</w:t>
            </w:r>
            <w:r w:rsidRPr="00155EB4">
              <w:rPr>
                <w:rFonts w:ascii="Times New Roman" w:hAnsi="Times New Roman" w:cs="Times New Roman"/>
                <w:sz w:val="24"/>
                <w:szCs w:val="24"/>
              </w:rPr>
              <w:t xml:space="preserve"> de a asigura instrumente practice de avertizare timpurie (inclusiv informare/ghidare publică și linie de suport). Prin acest articol se urmărește ca debitorii, în special IMM-urile, să aibă acces la îndrumare pentru a identifica din timp semnalele de risc și pentru a recurge la soluții de restructurare înainte ca </w:t>
            </w:r>
            <w:r w:rsidR="00C01FE7">
              <w:rPr>
                <w:rFonts w:ascii="Times New Roman" w:hAnsi="Times New Roman" w:cs="Times New Roman"/>
                <w:sz w:val="24"/>
                <w:szCs w:val="24"/>
              </w:rPr>
              <w:t>insolvabilitatea</w:t>
            </w:r>
            <w:r w:rsidRPr="00155EB4">
              <w:rPr>
                <w:rFonts w:ascii="Times New Roman" w:hAnsi="Times New Roman" w:cs="Times New Roman"/>
                <w:sz w:val="24"/>
                <w:szCs w:val="24"/>
              </w:rPr>
              <w:t xml:space="preserve"> să devină inevitabilă.</w:t>
            </w:r>
          </w:p>
          <w:p w14:paraId="49CAE61E" w14:textId="77777777" w:rsidR="00202164" w:rsidRPr="00155EB4" w:rsidRDefault="00202164" w:rsidP="00155EB4">
            <w:pPr>
              <w:spacing w:after="0" w:line="264" w:lineRule="auto"/>
              <w:contextualSpacing/>
              <w:jc w:val="both"/>
              <w:rPr>
                <w:rFonts w:ascii="Times New Roman" w:hAnsi="Times New Roman" w:cs="Times New Roman"/>
                <w:sz w:val="24"/>
                <w:szCs w:val="24"/>
              </w:rPr>
            </w:pPr>
          </w:p>
          <w:p w14:paraId="539B198F" w14:textId="7814DBFD" w:rsidR="00155EB4" w:rsidRDefault="00155EB4" w:rsidP="00155EB4">
            <w:pPr>
              <w:spacing w:after="0" w:line="264" w:lineRule="auto"/>
              <w:contextualSpacing/>
              <w:jc w:val="both"/>
              <w:rPr>
                <w:rFonts w:ascii="Times New Roman" w:hAnsi="Times New Roman" w:cs="Times New Roman"/>
                <w:sz w:val="24"/>
                <w:szCs w:val="24"/>
              </w:rPr>
            </w:pPr>
            <w:r w:rsidRPr="00155EB4">
              <w:rPr>
                <w:rFonts w:ascii="Times New Roman" w:hAnsi="Times New Roman" w:cs="Times New Roman"/>
                <w:sz w:val="24"/>
                <w:szCs w:val="24"/>
              </w:rPr>
              <w:t>Proiectul întărește și obligațiile de conduită ale conducerii debitorului în faza pre-</w:t>
            </w:r>
            <w:r w:rsidR="001B06BE">
              <w:rPr>
                <w:rFonts w:ascii="Times New Roman" w:hAnsi="Times New Roman" w:cs="Times New Roman"/>
                <w:sz w:val="24"/>
                <w:szCs w:val="24"/>
              </w:rPr>
              <w:t>insolvabilitate</w:t>
            </w:r>
            <w:r w:rsidRPr="00155EB4">
              <w:rPr>
                <w:rFonts w:ascii="Times New Roman" w:hAnsi="Times New Roman" w:cs="Times New Roman"/>
                <w:sz w:val="24"/>
                <w:szCs w:val="24"/>
              </w:rPr>
              <w:t xml:space="preserve">, prin completarea art. 14 cu un nou alin. (5), orientat spre obligația de a lua măsuri rezonabile pentru evitarea </w:t>
            </w:r>
            <w:r w:rsidR="00901731">
              <w:rPr>
                <w:rFonts w:ascii="Times New Roman" w:hAnsi="Times New Roman" w:cs="Times New Roman"/>
                <w:sz w:val="24"/>
                <w:szCs w:val="24"/>
              </w:rPr>
              <w:t>insolvabilității</w:t>
            </w:r>
            <w:r w:rsidR="00901731" w:rsidRPr="00155EB4">
              <w:rPr>
                <w:rFonts w:ascii="Times New Roman" w:hAnsi="Times New Roman" w:cs="Times New Roman"/>
                <w:sz w:val="24"/>
                <w:szCs w:val="24"/>
              </w:rPr>
              <w:t xml:space="preserve"> </w:t>
            </w:r>
            <w:r w:rsidRPr="00155EB4">
              <w:rPr>
                <w:rFonts w:ascii="Times New Roman" w:hAnsi="Times New Roman" w:cs="Times New Roman"/>
                <w:sz w:val="24"/>
                <w:szCs w:val="24"/>
              </w:rPr>
              <w:t>și de a ține cont de interesele creditorilor și ale altor părți interesate atunci când debitorul se află în dificultate financiară. Această completare urmărește ancorarea în lege a standardului de responsabilitate managerială specific perioadei în care întreprinderea încă poate fi salvată, dar este expusă riscului de deteriorare accelerată a situației financiare.</w:t>
            </w:r>
          </w:p>
          <w:p w14:paraId="4B1A4361" w14:textId="77777777" w:rsidR="00E240D9" w:rsidRPr="00155EB4" w:rsidRDefault="00E240D9" w:rsidP="00155EB4">
            <w:pPr>
              <w:spacing w:after="0" w:line="264" w:lineRule="auto"/>
              <w:contextualSpacing/>
              <w:jc w:val="both"/>
              <w:rPr>
                <w:rFonts w:ascii="Times New Roman" w:hAnsi="Times New Roman" w:cs="Times New Roman"/>
                <w:sz w:val="24"/>
                <w:szCs w:val="24"/>
              </w:rPr>
            </w:pPr>
          </w:p>
          <w:p w14:paraId="0030542D" w14:textId="0CEC48F4" w:rsidR="00155EB4" w:rsidRDefault="00155EB4" w:rsidP="00155EB4">
            <w:pPr>
              <w:spacing w:after="0" w:line="264" w:lineRule="auto"/>
              <w:contextualSpacing/>
              <w:jc w:val="both"/>
              <w:rPr>
                <w:rFonts w:ascii="Times New Roman" w:hAnsi="Times New Roman" w:cs="Times New Roman"/>
                <w:sz w:val="24"/>
                <w:szCs w:val="24"/>
              </w:rPr>
            </w:pPr>
            <w:r w:rsidRPr="00155EB4">
              <w:rPr>
                <w:rFonts w:ascii="Times New Roman" w:hAnsi="Times New Roman" w:cs="Times New Roman"/>
                <w:sz w:val="24"/>
                <w:szCs w:val="24"/>
              </w:rPr>
              <w:t xml:space="preserve">Un element important pentru menținerea activității curente este protecția contractelor indispensabile funcționării întreprinderii. În acest sens, proiectul modifică art. 23 alin. (4), consolidând regula potrivit căreia pe durata perioadei </w:t>
            </w:r>
            <w:r w:rsidR="00AE0290">
              <w:rPr>
                <w:rFonts w:ascii="Times New Roman" w:hAnsi="Times New Roman" w:cs="Times New Roman"/>
                <w:sz w:val="24"/>
                <w:szCs w:val="24"/>
              </w:rPr>
              <w:t>de observație</w:t>
            </w:r>
            <w:r w:rsidRPr="00155EB4">
              <w:rPr>
                <w:rFonts w:ascii="Times New Roman" w:hAnsi="Times New Roman" w:cs="Times New Roman"/>
                <w:sz w:val="24"/>
                <w:szCs w:val="24"/>
              </w:rPr>
              <w:t xml:space="preserve"> nu se admite, în detrimentul debitorului, suspendarea/rezoluțiunea/încetarea sau modificarea contractelor esențiale doar pentru faptul că debitorul se află în </w:t>
            </w:r>
            <w:r w:rsidR="00641180">
              <w:rPr>
                <w:rFonts w:ascii="Times New Roman" w:hAnsi="Times New Roman" w:cs="Times New Roman"/>
                <w:sz w:val="24"/>
                <w:szCs w:val="24"/>
              </w:rPr>
              <w:t>perioada de observație sau în restructurare accelerată.</w:t>
            </w:r>
            <w:r w:rsidRPr="00155EB4">
              <w:rPr>
                <w:rFonts w:ascii="Times New Roman" w:hAnsi="Times New Roman" w:cs="Times New Roman"/>
                <w:sz w:val="24"/>
                <w:szCs w:val="24"/>
              </w:rPr>
              <w:t xml:space="preserve"> În practică, această intervenție reduce riscul ca furnizorii critici să întrerupă livrările și, implicit, reduce degradarea valorii întreprinderii</w:t>
            </w:r>
            <w:r w:rsidR="005354B0">
              <w:rPr>
                <w:rFonts w:ascii="Times New Roman" w:hAnsi="Times New Roman" w:cs="Times New Roman"/>
                <w:sz w:val="24"/>
                <w:szCs w:val="24"/>
              </w:rPr>
              <w:t>, inclusiv</w:t>
            </w:r>
            <w:r w:rsidRPr="00155EB4">
              <w:rPr>
                <w:rFonts w:ascii="Times New Roman" w:hAnsi="Times New Roman" w:cs="Times New Roman"/>
                <w:sz w:val="24"/>
                <w:szCs w:val="24"/>
              </w:rPr>
              <w:t xml:space="preserve"> în perioada de negociere și implementare a planului.</w:t>
            </w:r>
            <w:r w:rsidR="00B527DF">
              <w:rPr>
                <w:rFonts w:ascii="Times New Roman" w:hAnsi="Times New Roman" w:cs="Times New Roman"/>
                <w:sz w:val="24"/>
                <w:szCs w:val="24"/>
              </w:rPr>
              <w:t xml:space="preserve"> Totodată, </w:t>
            </w:r>
            <w:r w:rsidR="00D36DB0">
              <w:rPr>
                <w:rFonts w:ascii="Times New Roman" w:hAnsi="Times New Roman" w:cs="Times New Roman"/>
                <w:sz w:val="24"/>
                <w:szCs w:val="24"/>
              </w:rPr>
              <w:t>se introduce alineatul 4</w:t>
            </w:r>
            <w:r w:rsidR="00D36DB0" w:rsidRPr="00D36DB0">
              <w:rPr>
                <w:rFonts w:ascii="Times New Roman" w:hAnsi="Times New Roman" w:cs="Times New Roman"/>
                <w:sz w:val="24"/>
                <w:szCs w:val="24"/>
                <w:vertAlign w:val="superscript"/>
              </w:rPr>
              <w:t>1</w:t>
            </w:r>
            <w:r w:rsidR="00D36DB0" w:rsidRPr="00D36DB0">
              <w:rPr>
                <w:rFonts w:ascii="Times New Roman" w:hAnsi="Times New Roman" w:cs="Times New Roman"/>
                <w:sz w:val="24"/>
                <w:szCs w:val="24"/>
              </w:rPr>
              <w:t xml:space="preserve"> pentru a transpune art. 7 alin. (5) din Directiva (UE) 2019/1023</w:t>
            </w:r>
            <w:r w:rsidR="00D36DB0">
              <w:rPr>
                <w:rFonts w:ascii="Times New Roman" w:hAnsi="Times New Roman" w:cs="Times New Roman"/>
                <w:sz w:val="24"/>
                <w:szCs w:val="24"/>
              </w:rPr>
              <w:t>. Acesta</w:t>
            </w:r>
            <w:r w:rsidR="00D36DB0" w:rsidRPr="00D36DB0">
              <w:rPr>
                <w:rFonts w:ascii="Times New Roman" w:hAnsi="Times New Roman" w:cs="Times New Roman"/>
                <w:sz w:val="24"/>
                <w:szCs w:val="24"/>
              </w:rPr>
              <w:t xml:space="preserve"> urmărește să asigure continuitatea activității debitorului pe durata procedurii de restructurare accelerată și/sau a perioadei de observație. În lipsa acestei reguli, creditorii contractuali ar putea invoca clauze de tip „</w:t>
            </w:r>
            <w:r w:rsidR="00D36DB0" w:rsidRPr="00EB6214">
              <w:rPr>
                <w:rFonts w:ascii="Times New Roman" w:hAnsi="Times New Roman" w:cs="Times New Roman"/>
                <w:i/>
                <w:iCs/>
                <w:sz w:val="24"/>
                <w:szCs w:val="24"/>
              </w:rPr>
              <w:t>ipso facto</w:t>
            </w:r>
            <w:r w:rsidR="00D36DB0" w:rsidRPr="00D36DB0">
              <w:rPr>
                <w:rFonts w:ascii="Times New Roman" w:hAnsi="Times New Roman" w:cs="Times New Roman"/>
                <w:sz w:val="24"/>
                <w:szCs w:val="24"/>
              </w:rPr>
              <w:t xml:space="preserve">” pentru a rezilia sau modifica contracte doar ca urmare a inițierii procedurii, ceea ce ar compromite imediat șansele reale de </w:t>
            </w:r>
            <w:r w:rsidR="00583D77">
              <w:rPr>
                <w:rFonts w:ascii="Times New Roman" w:hAnsi="Times New Roman" w:cs="Times New Roman"/>
                <w:sz w:val="24"/>
                <w:szCs w:val="24"/>
              </w:rPr>
              <w:t xml:space="preserve">redresare financiară sau, după caz, de </w:t>
            </w:r>
            <w:r w:rsidR="00D36DB0" w:rsidRPr="00D36DB0">
              <w:rPr>
                <w:rFonts w:ascii="Times New Roman" w:hAnsi="Times New Roman" w:cs="Times New Roman"/>
                <w:sz w:val="24"/>
                <w:szCs w:val="24"/>
              </w:rPr>
              <w:t xml:space="preserve">negociere și implementare a planului. Prin declararea nulității unor asemenea clauze, se protejează valoarea întreprinderii viabile și se creează un cadru predictibil </w:t>
            </w:r>
            <w:r w:rsidR="00EC738E">
              <w:rPr>
                <w:rFonts w:ascii="Times New Roman" w:hAnsi="Times New Roman" w:cs="Times New Roman"/>
                <w:sz w:val="24"/>
                <w:szCs w:val="24"/>
              </w:rPr>
              <w:t>redresarea financiară</w:t>
            </w:r>
            <w:r w:rsidR="00D36DB0" w:rsidRPr="00D36DB0">
              <w:rPr>
                <w:rFonts w:ascii="Times New Roman" w:hAnsi="Times New Roman" w:cs="Times New Roman"/>
                <w:sz w:val="24"/>
                <w:szCs w:val="24"/>
              </w:rPr>
              <w:t xml:space="preserve">, fără a afecta dreptul creditorului de a reacționa la alte încălcări contractuale relevante decât simpla inițiere a </w:t>
            </w:r>
            <w:r w:rsidR="004C5BDD">
              <w:rPr>
                <w:rFonts w:ascii="Times New Roman" w:hAnsi="Times New Roman" w:cs="Times New Roman"/>
                <w:sz w:val="24"/>
                <w:szCs w:val="24"/>
              </w:rPr>
              <w:t xml:space="preserve">perioadei de observație sau a </w:t>
            </w:r>
            <w:r w:rsidR="00D36DB0" w:rsidRPr="00D36DB0">
              <w:rPr>
                <w:rFonts w:ascii="Times New Roman" w:hAnsi="Times New Roman" w:cs="Times New Roman"/>
                <w:sz w:val="24"/>
                <w:szCs w:val="24"/>
              </w:rPr>
              <w:t>procedurii</w:t>
            </w:r>
            <w:r w:rsidR="004C5BDD">
              <w:rPr>
                <w:rFonts w:ascii="Times New Roman" w:hAnsi="Times New Roman" w:cs="Times New Roman"/>
                <w:sz w:val="24"/>
                <w:szCs w:val="24"/>
              </w:rPr>
              <w:t xml:space="preserve"> accelerate de restructurare</w:t>
            </w:r>
            <w:r w:rsidR="00D36DB0" w:rsidRPr="00D36DB0">
              <w:rPr>
                <w:rFonts w:ascii="Times New Roman" w:hAnsi="Times New Roman" w:cs="Times New Roman"/>
                <w:sz w:val="24"/>
                <w:szCs w:val="24"/>
              </w:rPr>
              <w:t>.</w:t>
            </w:r>
          </w:p>
          <w:p w14:paraId="2674DC15" w14:textId="77777777" w:rsidR="005354B0" w:rsidRPr="00155EB4" w:rsidRDefault="005354B0" w:rsidP="00155EB4">
            <w:pPr>
              <w:spacing w:after="0" w:line="264" w:lineRule="auto"/>
              <w:contextualSpacing/>
              <w:jc w:val="both"/>
              <w:rPr>
                <w:rFonts w:ascii="Times New Roman" w:hAnsi="Times New Roman" w:cs="Times New Roman"/>
                <w:sz w:val="24"/>
                <w:szCs w:val="24"/>
              </w:rPr>
            </w:pPr>
          </w:p>
          <w:p w14:paraId="5919F1ED" w14:textId="071AF50A" w:rsidR="00155EB4" w:rsidRPr="001A676A" w:rsidRDefault="00155EB4" w:rsidP="00155EB4">
            <w:pPr>
              <w:spacing w:after="0" w:line="264" w:lineRule="auto"/>
              <w:contextualSpacing/>
              <w:jc w:val="both"/>
              <w:rPr>
                <w:rFonts w:ascii="Times New Roman" w:hAnsi="Times New Roman" w:cs="Times New Roman"/>
                <w:sz w:val="24"/>
                <w:szCs w:val="24"/>
              </w:rPr>
            </w:pPr>
            <w:r w:rsidRPr="00155EB4">
              <w:rPr>
                <w:rFonts w:ascii="Times New Roman" w:hAnsi="Times New Roman" w:cs="Times New Roman"/>
                <w:sz w:val="24"/>
                <w:szCs w:val="24"/>
              </w:rPr>
              <w:t xml:space="preserve">În materie de protecție a tranzacțiilor și finanțărilor legate de restructurare, proiectul completează art. 104 cu </w:t>
            </w:r>
            <w:r w:rsidR="00B917A5">
              <w:rPr>
                <w:rFonts w:ascii="Times New Roman" w:hAnsi="Times New Roman" w:cs="Times New Roman"/>
                <w:sz w:val="24"/>
                <w:szCs w:val="24"/>
              </w:rPr>
              <w:t>prevederi</w:t>
            </w:r>
            <w:r w:rsidRPr="00155EB4">
              <w:rPr>
                <w:rFonts w:ascii="Times New Roman" w:hAnsi="Times New Roman" w:cs="Times New Roman"/>
                <w:sz w:val="24"/>
                <w:szCs w:val="24"/>
              </w:rPr>
              <w:t xml:space="preserve"> prin care se instituie un regim </w:t>
            </w:r>
            <w:r w:rsidR="00D871A0">
              <w:rPr>
                <w:rFonts w:ascii="Times New Roman" w:hAnsi="Times New Roman" w:cs="Times New Roman"/>
                <w:sz w:val="24"/>
                <w:szCs w:val="24"/>
              </w:rPr>
              <w:t xml:space="preserve">corespunzător </w:t>
            </w:r>
            <w:r w:rsidRPr="00155EB4">
              <w:rPr>
                <w:rFonts w:ascii="Times New Roman" w:hAnsi="Times New Roman" w:cs="Times New Roman"/>
                <w:sz w:val="24"/>
                <w:szCs w:val="24"/>
              </w:rPr>
              <w:t xml:space="preserve">de </w:t>
            </w:r>
            <w:r w:rsidR="00D871A0">
              <w:rPr>
                <w:rFonts w:ascii="Times New Roman" w:hAnsi="Times New Roman" w:cs="Times New Roman"/>
                <w:sz w:val="24"/>
                <w:szCs w:val="24"/>
              </w:rPr>
              <w:t>protecție</w:t>
            </w:r>
            <w:r w:rsidRPr="00155EB4">
              <w:rPr>
                <w:rFonts w:ascii="Times New Roman" w:hAnsi="Times New Roman" w:cs="Times New Roman"/>
                <w:sz w:val="24"/>
                <w:szCs w:val="24"/>
              </w:rPr>
              <w:t>: actele rezonabile și necesare pentru negocierea sau implementarea planului nu urmează a fi anula</w:t>
            </w:r>
            <w:r w:rsidR="00B00576">
              <w:rPr>
                <w:rFonts w:ascii="Times New Roman" w:hAnsi="Times New Roman" w:cs="Times New Roman"/>
                <w:sz w:val="24"/>
                <w:szCs w:val="24"/>
              </w:rPr>
              <w:t>te</w:t>
            </w:r>
            <w:r w:rsidRPr="00155EB4">
              <w:rPr>
                <w:rFonts w:ascii="Times New Roman" w:hAnsi="Times New Roman" w:cs="Times New Roman"/>
                <w:sz w:val="24"/>
                <w:szCs w:val="24"/>
              </w:rPr>
              <w:t>, iar finanțările intermediare și finanțările noi beneficiază de o protecție sporită (inclusiv în raport cu anularea și răspunderea finanțatorilor). Logica acestei intervenții este de a face restructurarea „finanțabilă” și credibilă, reducând riscul juridic pentru finanțatori și pentru debitor în etapa critică a redresării</w:t>
            </w:r>
            <w:r w:rsidR="00484EC1">
              <w:rPr>
                <w:rFonts w:ascii="Times New Roman" w:hAnsi="Times New Roman" w:cs="Times New Roman"/>
                <w:sz w:val="24"/>
                <w:szCs w:val="24"/>
              </w:rPr>
              <w:t>, ci dimpotrivă crescând atractivitatea acestor finanțări pentru finanțatori</w:t>
            </w:r>
            <w:r w:rsidRPr="00155EB4">
              <w:rPr>
                <w:rFonts w:ascii="Times New Roman" w:hAnsi="Times New Roman" w:cs="Times New Roman"/>
                <w:sz w:val="24"/>
                <w:szCs w:val="24"/>
              </w:rPr>
              <w:t>.</w:t>
            </w:r>
          </w:p>
          <w:p w14:paraId="232C89F6" w14:textId="77777777" w:rsidR="007E6169" w:rsidRPr="00155EB4" w:rsidRDefault="007E6169" w:rsidP="00155EB4">
            <w:pPr>
              <w:spacing w:after="0" w:line="264" w:lineRule="auto"/>
              <w:contextualSpacing/>
              <w:jc w:val="both"/>
              <w:rPr>
                <w:rFonts w:ascii="Times New Roman" w:hAnsi="Times New Roman" w:cs="Times New Roman"/>
                <w:sz w:val="24"/>
                <w:szCs w:val="24"/>
              </w:rPr>
            </w:pPr>
          </w:p>
          <w:p w14:paraId="5362F80D" w14:textId="7D4574B5" w:rsidR="00155EB4" w:rsidRDefault="00155EB4" w:rsidP="00155EB4">
            <w:pPr>
              <w:spacing w:after="0" w:line="264" w:lineRule="auto"/>
              <w:contextualSpacing/>
              <w:jc w:val="both"/>
              <w:rPr>
                <w:rFonts w:ascii="Times New Roman" w:hAnsi="Times New Roman" w:cs="Times New Roman"/>
                <w:sz w:val="24"/>
                <w:szCs w:val="24"/>
              </w:rPr>
            </w:pPr>
            <w:r w:rsidRPr="00385C51">
              <w:rPr>
                <w:rFonts w:ascii="Times New Roman" w:hAnsi="Times New Roman" w:cs="Times New Roman"/>
                <w:sz w:val="24"/>
                <w:szCs w:val="24"/>
              </w:rPr>
              <w:t xml:space="preserve">În ceea ce privește </w:t>
            </w:r>
            <w:r w:rsidR="00D75C32">
              <w:rPr>
                <w:rFonts w:ascii="Times New Roman" w:hAnsi="Times New Roman" w:cs="Times New Roman"/>
                <w:sz w:val="24"/>
                <w:szCs w:val="24"/>
              </w:rPr>
              <w:t xml:space="preserve">mecanismul </w:t>
            </w:r>
            <w:r w:rsidRPr="00385C51">
              <w:rPr>
                <w:rFonts w:ascii="Times New Roman" w:hAnsi="Times New Roman" w:cs="Times New Roman"/>
                <w:sz w:val="24"/>
                <w:szCs w:val="24"/>
              </w:rPr>
              <w:t xml:space="preserve">„a doua șansă”, proiectul completează art. 136 cu </w:t>
            </w:r>
            <w:r w:rsidR="006E19ED" w:rsidRPr="00385C51">
              <w:rPr>
                <w:rFonts w:ascii="Times New Roman" w:hAnsi="Times New Roman" w:cs="Times New Roman"/>
                <w:sz w:val="24"/>
                <w:szCs w:val="24"/>
              </w:rPr>
              <w:t>prevederi referitoare la</w:t>
            </w:r>
            <w:r w:rsidRPr="00385C51">
              <w:rPr>
                <w:rFonts w:ascii="Times New Roman" w:hAnsi="Times New Roman" w:cs="Times New Roman"/>
                <w:sz w:val="24"/>
                <w:szCs w:val="24"/>
              </w:rPr>
              <w:t xml:space="preserve"> </w:t>
            </w:r>
            <w:r w:rsidR="00D20480">
              <w:rPr>
                <w:rFonts w:ascii="Times New Roman" w:hAnsi="Times New Roman" w:cs="Times New Roman"/>
                <w:sz w:val="24"/>
                <w:szCs w:val="24"/>
              </w:rPr>
              <w:t>procedura</w:t>
            </w:r>
            <w:r w:rsidRPr="00385C51">
              <w:rPr>
                <w:rFonts w:ascii="Times New Roman" w:hAnsi="Times New Roman" w:cs="Times New Roman"/>
                <w:sz w:val="24"/>
                <w:szCs w:val="24"/>
              </w:rPr>
              <w:t xml:space="preserve"> de degrevare de obligații </w:t>
            </w:r>
            <w:r w:rsidR="00D20480">
              <w:rPr>
                <w:rFonts w:ascii="Times New Roman" w:hAnsi="Times New Roman" w:cs="Times New Roman"/>
                <w:sz w:val="24"/>
                <w:szCs w:val="24"/>
              </w:rPr>
              <w:t xml:space="preserve">a întreprinzătorilor individuali </w:t>
            </w:r>
            <w:r w:rsidRPr="00385C51">
              <w:rPr>
                <w:rFonts w:ascii="Times New Roman" w:hAnsi="Times New Roman" w:cs="Times New Roman"/>
                <w:sz w:val="24"/>
                <w:szCs w:val="24"/>
              </w:rPr>
              <w:t>după expirarea unui termen maxi</w:t>
            </w:r>
            <w:r w:rsidR="006E19ED" w:rsidRPr="00385C51">
              <w:rPr>
                <w:rFonts w:ascii="Times New Roman" w:hAnsi="Times New Roman" w:cs="Times New Roman"/>
                <w:sz w:val="24"/>
                <w:szCs w:val="24"/>
              </w:rPr>
              <w:t>m de</w:t>
            </w:r>
            <w:r w:rsidRPr="00385C51">
              <w:rPr>
                <w:rFonts w:ascii="Times New Roman" w:hAnsi="Times New Roman" w:cs="Times New Roman"/>
                <w:sz w:val="24"/>
                <w:szCs w:val="24"/>
              </w:rPr>
              <w:t xml:space="preserve"> 3 ani</w:t>
            </w:r>
            <w:r w:rsidR="00385C51" w:rsidRPr="00385C51">
              <w:rPr>
                <w:rFonts w:ascii="Times New Roman" w:hAnsi="Times New Roman" w:cs="Times New Roman"/>
                <w:sz w:val="24"/>
                <w:szCs w:val="24"/>
              </w:rPr>
              <w:t>.</w:t>
            </w:r>
            <w:r w:rsidR="00D20480">
              <w:rPr>
                <w:rFonts w:ascii="Times New Roman" w:hAnsi="Times New Roman" w:cs="Times New Roman"/>
                <w:sz w:val="24"/>
                <w:szCs w:val="24"/>
              </w:rPr>
              <w:t xml:space="preserve"> Dacă la momentul degrevării nu au fost încă valorificate toate bunurile debitorului (i.e. procedura nu a fost încă încheiată), procedura continuă până la valorificarea tuturor bunurilor debitorului care sunt obiect al procedurii</w:t>
            </w:r>
            <w:r w:rsidR="00D530AE">
              <w:rPr>
                <w:rFonts w:ascii="Times New Roman" w:hAnsi="Times New Roman" w:cs="Times New Roman"/>
                <w:sz w:val="24"/>
                <w:szCs w:val="24"/>
              </w:rPr>
              <w:t xml:space="preserve">, iar mijloacele bănești obținute sunt îndreptate </w:t>
            </w:r>
            <w:r w:rsidR="00D530AE">
              <w:rPr>
                <w:rFonts w:ascii="Times New Roman" w:hAnsi="Times New Roman" w:cs="Times New Roman"/>
                <w:sz w:val="24"/>
                <w:szCs w:val="24"/>
              </w:rPr>
              <w:lastRenderedPageBreak/>
              <w:t>întru stingerea obligațiilor de care debitorul a fost degrevat</w:t>
            </w:r>
            <w:r w:rsidR="00D20480">
              <w:rPr>
                <w:rFonts w:ascii="Times New Roman" w:hAnsi="Times New Roman" w:cs="Times New Roman"/>
                <w:sz w:val="24"/>
                <w:szCs w:val="24"/>
              </w:rPr>
              <w:t xml:space="preserve">. Totuși, din momentul </w:t>
            </w:r>
            <w:r w:rsidR="00D530AE">
              <w:rPr>
                <w:rFonts w:ascii="Times New Roman" w:hAnsi="Times New Roman" w:cs="Times New Roman"/>
                <w:sz w:val="24"/>
                <w:szCs w:val="24"/>
              </w:rPr>
              <w:t xml:space="preserve">degrevării, debitorul este în drept să obțină noi bunuri și venituri care nu vor fi obiect al procedurii, adică nu vor putea fi valorificate în cadrul acestei proceduri și nici nu vor putea fi obiect al urmăririi în raport cu obligațiile apărute până la momentul degrevării. </w:t>
            </w:r>
            <w:r w:rsidRPr="00385C51">
              <w:rPr>
                <w:rFonts w:ascii="Times New Roman" w:hAnsi="Times New Roman" w:cs="Times New Roman"/>
                <w:sz w:val="24"/>
                <w:szCs w:val="24"/>
              </w:rPr>
              <w:t>Această soluție urmărește alinierea cu Directiva 2019/1023 în partea referitoare la remiterea datoriilor și reintegrarea economică a debitorilor de bună-credință, evitând perpetuarea pe termen nedefinit a unei poveri a datoriilor</w:t>
            </w:r>
            <w:r w:rsidRPr="00155EB4">
              <w:rPr>
                <w:rFonts w:ascii="Times New Roman" w:hAnsi="Times New Roman" w:cs="Times New Roman"/>
                <w:sz w:val="24"/>
                <w:szCs w:val="24"/>
              </w:rPr>
              <w:t>.</w:t>
            </w:r>
          </w:p>
          <w:p w14:paraId="0C9E5A79" w14:textId="77777777" w:rsidR="006A65D8" w:rsidRDefault="006A65D8" w:rsidP="00155EB4">
            <w:pPr>
              <w:spacing w:after="0" w:line="264" w:lineRule="auto"/>
              <w:contextualSpacing/>
              <w:jc w:val="both"/>
              <w:rPr>
                <w:rFonts w:ascii="Times New Roman" w:hAnsi="Times New Roman" w:cs="Times New Roman"/>
                <w:sz w:val="24"/>
                <w:szCs w:val="24"/>
              </w:rPr>
            </w:pPr>
          </w:p>
          <w:p w14:paraId="3539558B" w14:textId="7915925C" w:rsidR="00253AD1" w:rsidRDefault="00AF5D74" w:rsidP="00155EB4">
            <w:pPr>
              <w:spacing w:after="0" w:line="264" w:lineRule="auto"/>
              <w:contextualSpacing/>
              <w:jc w:val="both"/>
              <w:rPr>
                <w:rFonts w:ascii="Times New Roman" w:hAnsi="Times New Roman" w:cs="Times New Roman"/>
                <w:sz w:val="24"/>
                <w:szCs w:val="24"/>
              </w:rPr>
            </w:pPr>
            <w:r w:rsidRPr="00155EB4">
              <w:rPr>
                <w:rFonts w:ascii="Times New Roman" w:hAnsi="Times New Roman" w:cs="Times New Roman"/>
                <w:sz w:val="24"/>
                <w:szCs w:val="24"/>
              </w:rPr>
              <w:t xml:space="preserve">Proiectul prevede abrogarea art. 219 și propune o </w:t>
            </w:r>
            <w:r>
              <w:rPr>
                <w:rFonts w:ascii="Times New Roman" w:hAnsi="Times New Roman" w:cs="Times New Roman"/>
                <w:sz w:val="24"/>
                <w:szCs w:val="24"/>
              </w:rPr>
              <w:t>redacție</w:t>
            </w:r>
            <w:r w:rsidRPr="00155EB4">
              <w:rPr>
                <w:rFonts w:ascii="Times New Roman" w:hAnsi="Times New Roman" w:cs="Times New Roman"/>
                <w:sz w:val="24"/>
                <w:szCs w:val="24"/>
              </w:rPr>
              <w:t xml:space="preserve"> substanțial nouă a art. 220, care </w:t>
            </w:r>
            <w:r w:rsidR="00B844AA">
              <w:rPr>
                <w:rFonts w:ascii="Times New Roman" w:hAnsi="Times New Roman" w:cs="Times New Roman"/>
                <w:sz w:val="24"/>
                <w:szCs w:val="24"/>
              </w:rPr>
              <w:t>revede</w:t>
            </w:r>
            <w:r w:rsidRPr="00155EB4">
              <w:rPr>
                <w:rFonts w:ascii="Times New Roman" w:hAnsi="Times New Roman" w:cs="Times New Roman"/>
                <w:sz w:val="24"/>
                <w:szCs w:val="24"/>
              </w:rPr>
              <w:t xml:space="preserve"> </w:t>
            </w:r>
            <w:r w:rsidR="00253AD1">
              <w:rPr>
                <w:rFonts w:ascii="Times New Roman" w:hAnsi="Times New Roman" w:cs="Times New Roman"/>
                <w:sz w:val="24"/>
                <w:szCs w:val="24"/>
              </w:rPr>
              <w:t xml:space="preserve">etapele, </w:t>
            </w:r>
            <w:r w:rsidRPr="00155EB4">
              <w:rPr>
                <w:rFonts w:ascii="Times New Roman" w:hAnsi="Times New Roman" w:cs="Times New Roman"/>
                <w:sz w:val="24"/>
                <w:szCs w:val="24"/>
              </w:rPr>
              <w:t>condițiile de inițiere și efectele procedurii</w:t>
            </w:r>
            <w:r w:rsidR="00253AD1">
              <w:rPr>
                <w:rFonts w:ascii="Times New Roman" w:hAnsi="Times New Roman" w:cs="Times New Roman"/>
                <w:sz w:val="24"/>
                <w:szCs w:val="24"/>
              </w:rPr>
              <w:t xml:space="preserve"> accelerate de restructurare</w:t>
            </w:r>
            <w:r w:rsidRPr="00155EB4">
              <w:rPr>
                <w:rFonts w:ascii="Times New Roman" w:hAnsi="Times New Roman" w:cs="Times New Roman"/>
                <w:sz w:val="24"/>
                <w:szCs w:val="24"/>
              </w:rPr>
              <w:t>:</w:t>
            </w:r>
          </w:p>
          <w:p w14:paraId="38D77D9A" w14:textId="2EADCA23" w:rsidR="00137524" w:rsidRDefault="00137524" w:rsidP="00253AD1">
            <w:pPr>
              <w:pStyle w:val="ListParagraph"/>
              <w:numPr>
                <w:ilvl w:val="0"/>
                <w:numId w:val="1"/>
              </w:numPr>
              <w:spacing w:after="0" w:line="264" w:lineRule="auto"/>
              <w:ind w:left="381"/>
              <w:jc w:val="both"/>
              <w:rPr>
                <w:rFonts w:ascii="Times New Roman" w:hAnsi="Times New Roman" w:cs="Times New Roman"/>
                <w:sz w:val="24"/>
                <w:szCs w:val="24"/>
              </w:rPr>
            </w:pPr>
            <w:r>
              <w:rPr>
                <w:rFonts w:ascii="Times New Roman" w:hAnsi="Times New Roman" w:cs="Times New Roman"/>
                <w:sz w:val="24"/>
                <w:szCs w:val="24"/>
              </w:rPr>
              <w:t>se exclude perioada prealabilă de negociere în afara procedurii accelerate de restructurare;</w:t>
            </w:r>
          </w:p>
          <w:p w14:paraId="4D842512" w14:textId="77777777" w:rsidR="00137524" w:rsidRDefault="00AF5D74" w:rsidP="00253AD1">
            <w:pPr>
              <w:pStyle w:val="ListParagraph"/>
              <w:numPr>
                <w:ilvl w:val="0"/>
                <w:numId w:val="1"/>
              </w:numPr>
              <w:spacing w:after="0" w:line="264" w:lineRule="auto"/>
              <w:ind w:left="381"/>
              <w:jc w:val="both"/>
              <w:rPr>
                <w:rFonts w:ascii="Times New Roman" w:hAnsi="Times New Roman" w:cs="Times New Roman"/>
                <w:sz w:val="24"/>
                <w:szCs w:val="24"/>
              </w:rPr>
            </w:pPr>
            <w:r w:rsidRPr="00253AD1">
              <w:rPr>
                <w:rFonts w:ascii="Times New Roman" w:hAnsi="Times New Roman" w:cs="Times New Roman"/>
                <w:sz w:val="24"/>
                <w:szCs w:val="24"/>
              </w:rPr>
              <w:t>se stabilesc cerințe mai clare pentru cererea debitorului</w:t>
            </w:r>
            <w:r w:rsidR="00137524">
              <w:rPr>
                <w:rFonts w:ascii="Times New Roman" w:hAnsi="Times New Roman" w:cs="Times New Roman"/>
                <w:sz w:val="24"/>
                <w:szCs w:val="24"/>
              </w:rPr>
              <w:t xml:space="preserve"> de intentare a procedurii accelerate de restructurare</w:t>
            </w:r>
          </w:p>
          <w:p w14:paraId="39D05C94" w14:textId="118E8C67" w:rsidR="00137524" w:rsidRDefault="00137524" w:rsidP="00253AD1">
            <w:pPr>
              <w:pStyle w:val="ListParagraph"/>
              <w:numPr>
                <w:ilvl w:val="0"/>
                <w:numId w:val="1"/>
              </w:numPr>
              <w:spacing w:after="0" w:line="264" w:lineRule="auto"/>
              <w:ind w:left="381"/>
              <w:jc w:val="both"/>
              <w:rPr>
                <w:rFonts w:ascii="Times New Roman" w:hAnsi="Times New Roman" w:cs="Times New Roman"/>
                <w:sz w:val="24"/>
                <w:szCs w:val="24"/>
              </w:rPr>
            </w:pPr>
            <w:r>
              <w:rPr>
                <w:rFonts w:ascii="Times New Roman" w:hAnsi="Times New Roman" w:cs="Times New Roman"/>
                <w:sz w:val="24"/>
                <w:szCs w:val="24"/>
              </w:rPr>
              <w:t xml:space="preserve">se instituie </w:t>
            </w:r>
            <w:r w:rsidRPr="00253AD1">
              <w:rPr>
                <w:rFonts w:ascii="Times New Roman" w:hAnsi="Times New Roman" w:cs="Times New Roman"/>
                <w:sz w:val="24"/>
                <w:szCs w:val="24"/>
              </w:rPr>
              <w:t xml:space="preserve">un mecanism de </w:t>
            </w:r>
            <w:r w:rsidRPr="00137524">
              <w:rPr>
                <w:rFonts w:ascii="Times New Roman" w:hAnsi="Times New Roman" w:cs="Times New Roman"/>
                <w:sz w:val="24"/>
                <w:szCs w:val="24"/>
              </w:rPr>
              <w:t>suspendare a executărilor silite</w:t>
            </w:r>
            <w:r w:rsidRPr="00253AD1">
              <w:rPr>
                <w:rFonts w:ascii="Times New Roman" w:hAnsi="Times New Roman" w:cs="Times New Roman"/>
                <w:sz w:val="24"/>
                <w:szCs w:val="24"/>
              </w:rPr>
              <w:t xml:space="preserve"> pe o perioadă determinată </w:t>
            </w:r>
            <w:r w:rsidR="00573754">
              <w:rPr>
                <w:rFonts w:ascii="Times New Roman" w:hAnsi="Times New Roman" w:cs="Times New Roman"/>
                <w:sz w:val="24"/>
                <w:szCs w:val="24"/>
              </w:rPr>
              <w:t xml:space="preserve">de 4 luni </w:t>
            </w:r>
            <w:r w:rsidRPr="00253AD1">
              <w:rPr>
                <w:rFonts w:ascii="Times New Roman" w:hAnsi="Times New Roman" w:cs="Times New Roman"/>
                <w:sz w:val="24"/>
                <w:szCs w:val="24"/>
              </w:rPr>
              <w:t xml:space="preserve">(cu reguli privind prelungirea </w:t>
            </w:r>
            <w:r w:rsidR="00573754">
              <w:rPr>
                <w:rFonts w:ascii="Times New Roman" w:hAnsi="Times New Roman" w:cs="Times New Roman"/>
                <w:sz w:val="24"/>
                <w:szCs w:val="24"/>
              </w:rPr>
              <w:t xml:space="preserve">până la 12 luni </w:t>
            </w:r>
            <w:r w:rsidRPr="00253AD1">
              <w:rPr>
                <w:rFonts w:ascii="Times New Roman" w:hAnsi="Times New Roman" w:cs="Times New Roman"/>
                <w:sz w:val="24"/>
                <w:szCs w:val="24"/>
              </w:rPr>
              <w:t xml:space="preserve">și ridicarea suspendării), </w:t>
            </w:r>
            <w:r>
              <w:rPr>
                <w:rFonts w:ascii="Times New Roman" w:hAnsi="Times New Roman" w:cs="Times New Roman"/>
                <w:sz w:val="24"/>
                <w:szCs w:val="24"/>
              </w:rPr>
              <w:t>cu consecința încetării procedurii accelerate de restructurare în eventualitatea neprelungirii/ridicării suspendării.</w:t>
            </w:r>
          </w:p>
          <w:p w14:paraId="6967EA23" w14:textId="198AB327" w:rsidR="00995AB4" w:rsidRPr="00253AD1" w:rsidRDefault="00AF5D74" w:rsidP="00253AD1">
            <w:pPr>
              <w:pStyle w:val="ListParagraph"/>
              <w:numPr>
                <w:ilvl w:val="0"/>
                <w:numId w:val="1"/>
              </w:numPr>
              <w:spacing w:after="0" w:line="264" w:lineRule="auto"/>
              <w:ind w:left="381"/>
              <w:jc w:val="both"/>
              <w:rPr>
                <w:rFonts w:ascii="Times New Roman" w:hAnsi="Times New Roman" w:cs="Times New Roman"/>
                <w:sz w:val="24"/>
                <w:szCs w:val="24"/>
              </w:rPr>
            </w:pPr>
            <w:r w:rsidRPr="00253AD1">
              <w:rPr>
                <w:rFonts w:ascii="Times New Roman" w:hAnsi="Times New Roman" w:cs="Times New Roman"/>
                <w:sz w:val="24"/>
                <w:szCs w:val="24"/>
              </w:rPr>
              <w:t>se instituie un calendar procedural accelerat</w:t>
            </w:r>
            <w:r w:rsidR="00573754">
              <w:rPr>
                <w:rFonts w:ascii="Times New Roman" w:hAnsi="Times New Roman" w:cs="Times New Roman"/>
                <w:sz w:val="24"/>
                <w:szCs w:val="24"/>
              </w:rPr>
              <w:t xml:space="preserve">, întreaga procedură de restructurare </w:t>
            </w:r>
            <w:r w:rsidR="00F54AE2">
              <w:rPr>
                <w:rFonts w:ascii="Times New Roman" w:hAnsi="Times New Roman" w:cs="Times New Roman"/>
                <w:sz w:val="24"/>
                <w:szCs w:val="24"/>
              </w:rPr>
              <w:t>fiind limitată la maxim 12 luni (perioada maximă de suspendare a executărilor silite)</w:t>
            </w:r>
          </w:p>
          <w:p w14:paraId="59FEE3E6" w14:textId="77777777" w:rsidR="00DB23F3" w:rsidRDefault="00DB23F3" w:rsidP="00155EB4">
            <w:pPr>
              <w:spacing w:after="0" w:line="264" w:lineRule="auto"/>
              <w:contextualSpacing/>
              <w:jc w:val="both"/>
              <w:rPr>
                <w:rFonts w:ascii="Times New Roman" w:hAnsi="Times New Roman" w:cs="Times New Roman"/>
                <w:sz w:val="24"/>
                <w:szCs w:val="24"/>
              </w:rPr>
            </w:pPr>
          </w:p>
          <w:p w14:paraId="187190C8" w14:textId="156B35DB" w:rsidR="00155EB4" w:rsidRDefault="00155EB4" w:rsidP="00155EB4">
            <w:pPr>
              <w:spacing w:after="0" w:line="264" w:lineRule="auto"/>
              <w:contextualSpacing/>
              <w:jc w:val="both"/>
              <w:rPr>
                <w:rFonts w:ascii="Times New Roman" w:hAnsi="Times New Roman" w:cs="Times New Roman"/>
                <w:sz w:val="24"/>
                <w:szCs w:val="24"/>
              </w:rPr>
            </w:pPr>
            <w:r w:rsidRPr="00155EB4">
              <w:rPr>
                <w:rFonts w:ascii="Times New Roman" w:hAnsi="Times New Roman" w:cs="Times New Roman"/>
                <w:sz w:val="24"/>
                <w:szCs w:val="24"/>
              </w:rPr>
              <w:t xml:space="preserve">În continuare, proiectul </w:t>
            </w:r>
            <w:proofErr w:type="spellStart"/>
            <w:r w:rsidR="00B844AA">
              <w:rPr>
                <w:rFonts w:ascii="Times New Roman" w:hAnsi="Times New Roman" w:cs="Times New Roman"/>
                <w:sz w:val="24"/>
                <w:szCs w:val="24"/>
              </w:rPr>
              <w:t>revizuie</w:t>
            </w:r>
            <w:proofErr w:type="spellEnd"/>
            <w:r w:rsidRPr="00155EB4">
              <w:rPr>
                <w:rFonts w:ascii="Times New Roman" w:hAnsi="Times New Roman" w:cs="Times New Roman"/>
                <w:sz w:val="24"/>
                <w:szCs w:val="24"/>
              </w:rPr>
              <w:t xml:space="preserve"> art. 222, stabilind mai detaliat cerințele privind conținutul planului în restructurarea accelerată, inclusiv obligația de a descrie măsurile propuse, efectele asupra categoriilor de creditori, estimările </w:t>
            </w:r>
            <w:proofErr w:type="spellStart"/>
            <w:r w:rsidRPr="00155EB4">
              <w:rPr>
                <w:rFonts w:ascii="Times New Roman" w:hAnsi="Times New Roman" w:cs="Times New Roman"/>
                <w:sz w:val="24"/>
                <w:szCs w:val="24"/>
              </w:rPr>
              <w:t>economico</w:t>
            </w:r>
            <w:proofErr w:type="spellEnd"/>
            <w:r w:rsidRPr="00155EB4">
              <w:rPr>
                <w:rFonts w:ascii="Times New Roman" w:hAnsi="Times New Roman" w:cs="Times New Roman"/>
                <w:sz w:val="24"/>
                <w:szCs w:val="24"/>
              </w:rPr>
              <w:t>-financiare, precum și componenta de finanțări noi atunci când planul se bazează pe acestea. Totodată, se introduce un instrument practic de sprijin pentru IMM-uri</w:t>
            </w:r>
            <w:r w:rsidR="00B844AA">
              <w:rPr>
                <w:rFonts w:ascii="Times New Roman" w:hAnsi="Times New Roman" w:cs="Times New Roman"/>
                <w:sz w:val="24"/>
                <w:szCs w:val="24"/>
              </w:rPr>
              <w:t xml:space="preserve">, </w:t>
            </w:r>
            <w:r w:rsidRPr="00155EB4">
              <w:rPr>
                <w:rFonts w:ascii="Times New Roman" w:hAnsi="Times New Roman" w:cs="Times New Roman"/>
                <w:sz w:val="24"/>
                <w:szCs w:val="24"/>
              </w:rPr>
              <w:t xml:space="preserve">prin rolul </w:t>
            </w:r>
            <w:r w:rsidR="006521E0">
              <w:rPr>
                <w:rFonts w:ascii="Times New Roman" w:hAnsi="Times New Roman" w:cs="Times New Roman"/>
                <w:sz w:val="24"/>
                <w:szCs w:val="24"/>
              </w:rPr>
              <w:t xml:space="preserve">[Ministerului Dezvoltării Economice și Digitalizării / </w:t>
            </w:r>
            <w:r w:rsidR="00C116DA" w:rsidRPr="006521E0">
              <w:rPr>
                <w:rFonts w:ascii="Times New Roman" w:hAnsi="Times New Roman" w:cs="Times New Roman"/>
                <w:sz w:val="24"/>
                <w:szCs w:val="24"/>
              </w:rPr>
              <w:t xml:space="preserve">Organizației </w:t>
            </w:r>
            <w:r w:rsidR="003D1E49" w:rsidRPr="006521E0">
              <w:rPr>
                <w:rFonts w:ascii="Times New Roman" w:hAnsi="Times New Roman" w:cs="Times New Roman"/>
                <w:sz w:val="24"/>
                <w:szCs w:val="24"/>
              </w:rPr>
              <w:t>pentru</w:t>
            </w:r>
            <w:r w:rsidR="00C116DA" w:rsidRPr="006521E0">
              <w:rPr>
                <w:rFonts w:ascii="Times New Roman" w:hAnsi="Times New Roman" w:cs="Times New Roman"/>
                <w:sz w:val="24"/>
                <w:szCs w:val="24"/>
              </w:rPr>
              <w:t xml:space="preserve"> Dezvoltarea </w:t>
            </w:r>
            <w:r w:rsidR="008A77B5" w:rsidRPr="006521E0">
              <w:rPr>
                <w:rFonts w:ascii="Times New Roman" w:hAnsi="Times New Roman" w:cs="Times New Roman"/>
                <w:sz w:val="24"/>
                <w:szCs w:val="24"/>
              </w:rPr>
              <w:t>Antreprenorialului</w:t>
            </w:r>
            <w:r w:rsidR="006521E0">
              <w:rPr>
                <w:rFonts w:ascii="Times New Roman" w:hAnsi="Times New Roman" w:cs="Times New Roman"/>
                <w:sz w:val="24"/>
                <w:szCs w:val="24"/>
              </w:rPr>
              <w:t>]</w:t>
            </w:r>
            <w:r w:rsidRPr="00155EB4">
              <w:rPr>
                <w:rFonts w:ascii="Times New Roman" w:hAnsi="Times New Roman" w:cs="Times New Roman"/>
                <w:sz w:val="24"/>
                <w:szCs w:val="24"/>
              </w:rPr>
              <w:t xml:space="preserve"> de a publica o listă de verificare pentru plan, și se prevede posibilitatea ca planul să fie propus chiar și în lipsa acordului asociaților/acționarilor, pentru a evita blocaje corporative atunci când obiectivul este salvarea unei întreprinderi viabile.</w:t>
            </w:r>
          </w:p>
          <w:p w14:paraId="627267E0" w14:textId="77777777" w:rsidR="000E2F91" w:rsidRPr="00155EB4" w:rsidRDefault="000E2F91" w:rsidP="00155EB4">
            <w:pPr>
              <w:spacing w:after="0" w:line="264" w:lineRule="auto"/>
              <w:contextualSpacing/>
              <w:jc w:val="both"/>
              <w:rPr>
                <w:rFonts w:ascii="Times New Roman" w:hAnsi="Times New Roman" w:cs="Times New Roman"/>
                <w:sz w:val="24"/>
                <w:szCs w:val="24"/>
              </w:rPr>
            </w:pPr>
          </w:p>
          <w:p w14:paraId="1262C95E" w14:textId="62EA582C" w:rsidR="00290F81" w:rsidRDefault="00155EB4" w:rsidP="003C1A26">
            <w:pPr>
              <w:spacing w:after="0" w:line="264" w:lineRule="auto"/>
              <w:contextualSpacing/>
              <w:jc w:val="both"/>
              <w:rPr>
                <w:rFonts w:ascii="Times New Roman" w:hAnsi="Times New Roman" w:cs="Times New Roman"/>
                <w:sz w:val="24"/>
                <w:szCs w:val="24"/>
              </w:rPr>
            </w:pPr>
            <w:r w:rsidRPr="00155EB4">
              <w:rPr>
                <w:rFonts w:ascii="Times New Roman" w:hAnsi="Times New Roman" w:cs="Times New Roman"/>
                <w:sz w:val="24"/>
                <w:szCs w:val="24"/>
              </w:rPr>
              <w:t>Proiectul</w:t>
            </w:r>
            <w:r w:rsidR="00B04556">
              <w:rPr>
                <w:rFonts w:ascii="Times New Roman" w:hAnsi="Times New Roman" w:cs="Times New Roman"/>
                <w:sz w:val="24"/>
                <w:szCs w:val="24"/>
              </w:rPr>
              <w:t xml:space="preserve"> instituie un mecanism nou de constituire a claselor de creditori</w:t>
            </w:r>
            <w:r w:rsidR="004A5600">
              <w:rPr>
                <w:rFonts w:ascii="Times New Roman" w:hAnsi="Times New Roman" w:cs="Times New Roman"/>
                <w:sz w:val="24"/>
                <w:szCs w:val="24"/>
              </w:rPr>
              <w:t xml:space="preserve">, reglementând la art. 223 </w:t>
            </w:r>
            <w:r w:rsidR="004A5600" w:rsidRPr="00155EB4">
              <w:rPr>
                <w:rFonts w:ascii="Times New Roman" w:hAnsi="Times New Roman" w:cs="Times New Roman"/>
                <w:sz w:val="24"/>
                <w:szCs w:val="24"/>
              </w:rPr>
              <w:t>criteriile de grupare</w:t>
            </w:r>
            <w:r w:rsidR="004A5600">
              <w:rPr>
                <w:rFonts w:ascii="Times New Roman" w:hAnsi="Times New Roman" w:cs="Times New Roman"/>
                <w:sz w:val="24"/>
                <w:szCs w:val="24"/>
              </w:rPr>
              <w:t xml:space="preserve"> în clase și regulile </w:t>
            </w:r>
            <w:r w:rsidR="004A5600" w:rsidRPr="00155EB4">
              <w:rPr>
                <w:rFonts w:ascii="Times New Roman" w:hAnsi="Times New Roman" w:cs="Times New Roman"/>
                <w:sz w:val="24"/>
                <w:szCs w:val="24"/>
              </w:rPr>
              <w:t>privind votarea planului și opozabilitatea lui</w:t>
            </w:r>
            <w:r w:rsidR="004A5600">
              <w:rPr>
                <w:rFonts w:ascii="Times New Roman" w:hAnsi="Times New Roman" w:cs="Times New Roman"/>
                <w:sz w:val="24"/>
                <w:szCs w:val="24"/>
              </w:rPr>
              <w:t>.</w:t>
            </w:r>
            <w:r w:rsidR="008D3375">
              <w:rPr>
                <w:rFonts w:ascii="Times New Roman" w:hAnsi="Times New Roman" w:cs="Times New Roman"/>
                <w:sz w:val="24"/>
                <w:szCs w:val="24"/>
              </w:rPr>
              <w:t xml:space="preserve"> Astfel, debitorii vor fi în drept să creeze în mod independent clasele de creditori, ținând cont de condițiile prevăzute de lege, inclusiv interdicția de a grupa creditori garantați și negarantați în aceeași clasă. Debitorul va fi în drept să grupeze într-o singură clasă creditori de același sau de diferite ranguri. Totodată, creditori de același rang vor putea fi grupați în clase diferite (e.g. clasa furnizorilor și clasa finanțatorilor). În cazul IMM-urilor, acestea vor fi în drept să includă toți creditorii (garantați și negarantați) într-o singură clasă.</w:t>
            </w:r>
          </w:p>
          <w:p w14:paraId="5345694C" w14:textId="3F3889F6" w:rsidR="008D3375" w:rsidRDefault="008D3375" w:rsidP="003C1A26">
            <w:pPr>
              <w:spacing w:after="0" w:line="264" w:lineRule="auto"/>
              <w:contextualSpacing/>
              <w:jc w:val="both"/>
              <w:rPr>
                <w:rFonts w:ascii="Times New Roman" w:hAnsi="Times New Roman" w:cs="Times New Roman"/>
                <w:sz w:val="24"/>
                <w:szCs w:val="24"/>
              </w:rPr>
            </w:pPr>
            <w:r>
              <w:rPr>
                <w:rFonts w:ascii="Times New Roman" w:hAnsi="Times New Roman" w:cs="Times New Roman"/>
                <w:sz w:val="24"/>
                <w:szCs w:val="24"/>
              </w:rPr>
              <w:t>La gruparea creditorilor</w:t>
            </w:r>
            <w:r w:rsidR="00F2739E">
              <w:rPr>
                <w:rFonts w:ascii="Times New Roman" w:hAnsi="Times New Roman" w:cs="Times New Roman"/>
                <w:sz w:val="24"/>
                <w:szCs w:val="24"/>
              </w:rPr>
              <w:t xml:space="preserve"> în clase</w:t>
            </w:r>
            <w:r>
              <w:rPr>
                <w:rFonts w:ascii="Times New Roman" w:hAnsi="Times New Roman" w:cs="Times New Roman"/>
                <w:sz w:val="24"/>
                <w:szCs w:val="24"/>
              </w:rPr>
              <w:t xml:space="preserve">, debitorul urmează să țină cont că toți creditorii dintr-o clasă </w:t>
            </w:r>
            <w:r w:rsidR="00F2739E">
              <w:rPr>
                <w:rFonts w:ascii="Times New Roman" w:hAnsi="Times New Roman" w:cs="Times New Roman"/>
                <w:sz w:val="24"/>
                <w:szCs w:val="24"/>
              </w:rPr>
              <w:t>au aceleași drepturi și urmează a fi supuși aceluiași tratament (conform art.</w:t>
            </w:r>
            <w:r w:rsidR="0085368E">
              <w:rPr>
                <w:rFonts w:ascii="Times New Roman" w:hAnsi="Times New Roman" w:cs="Times New Roman"/>
                <w:sz w:val="24"/>
                <w:szCs w:val="24"/>
              </w:rPr>
              <w:t>192 din Legea insolvabilității). Acest fapt presupune că la gruparea într-o singură clasă a credito</w:t>
            </w:r>
            <w:r w:rsidR="009A7863">
              <w:rPr>
                <w:rFonts w:ascii="Times New Roman" w:hAnsi="Times New Roman" w:cs="Times New Roman"/>
                <w:sz w:val="24"/>
                <w:szCs w:val="24"/>
              </w:rPr>
              <w:t>rilor de diferite ranguri, nu se permite acordarea mai multor drepturi sau preferințe creditorilor de rang mai înalt</w:t>
            </w:r>
            <w:r w:rsidR="00A339A9">
              <w:rPr>
                <w:rFonts w:ascii="Times New Roman" w:hAnsi="Times New Roman" w:cs="Times New Roman"/>
                <w:sz w:val="24"/>
                <w:szCs w:val="24"/>
              </w:rPr>
              <w:t>.</w:t>
            </w:r>
          </w:p>
          <w:p w14:paraId="4269B927" w14:textId="77777777" w:rsidR="00290F81" w:rsidRDefault="00290F81" w:rsidP="003C1A26">
            <w:pPr>
              <w:spacing w:after="0" w:line="264" w:lineRule="auto"/>
              <w:contextualSpacing/>
              <w:jc w:val="both"/>
              <w:rPr>
                <w:rFonts w:ascii="Times New Roman" w:hAnsi="Times New Roman" w:cs="Times New Roman"/>
                <w:sz w:val="24"/>
                <w:szCs w:val="24"/>
              </w:rPr>
            </w:pPr>
          </w:p>
          <w:p w14:paraId="1A121139" w14:textId="23385035" w:rsidR="001555DC" w:rsidRDefault="00C82F88" w:rsidP="003C1A26">
            <w:pPr>
              <w:spacing w:after="0" w:line="264"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În acest context, </w:t>
            </w:r>
            <w:r w:rsidR="00C04030">
              <w:rPr>
                <w:rFonts w:ascii="Times New Roman" w:hAnsi="Times New Roman" w:cs="Times New Roman"/>
                <w:sz w:val="24"/>
                <w:szCs w:val="24"/>
              </w:rPr>
              <w:t>printr-un articol nou (223</w:t>
            </w:r>
            <w:r w:rsidR="00C04030" w:rsidRPr="00C04030">
              <w:rPr>
                <w:rFonts w:ascii="Times New Roman" w:hAnsi="Times New Roman" w:cs="Times New Roman"/>
                <w:sz w:val="24"/>
                <w:szCs w:val="24"/>
                <w:vertAlign w:val="superscript"/>
              </w:rPr>
              <w:t>1</w:t>
            </w:r>
            <w:r w:rsidR="00C04030">
              <w:rPr>
                <w:rFonts w:ascii="Times New Roman" w:hAnsi="Times New Roman" w:cs="Times New Roman"/>
                <w:sz w:val="24"/>
                <w:szCs w:val="24"/>
              </w:rPr>
              <w:t xml:space="preserve">) </w:t>
            </w:r>
            <w:r>
              <w:rPr>
                <w:rFonts w:ascii="Times New Roman" w:hAnsi="Times New Roman" w:cs="Times New Roman"/>
                <w:sz w:val="24"/>
                <w:szCs w:val="24"/>
              </w:rPr>
              <w:t>sunt instituite reguli speciale care permit impunerea planului de restructurare în pofida disidenței</w:t>
            </w:r>
            <w:r w:rsidR="0026264A">
              <w:rPr>
                <w:rFonts w:ascii="Times New Roman" w:hAnsi="Times New Roman" w:cs="Times New Roman"/>
                <w:sz w:val="24"/>
                <w:szCs w:val="24"/>
              </w:rPr>
              <w:t xml:space="preserve"> creditorilor din mai multe clase</w:t>
            </w:r>
            <w:r w:rsidR="003C1A26">
              <w:rPr>
                <w:rFonts w:ascii="Times New Roman" w:hAnsi="Times New Roman" w:cs="Times New Roman"/>
                <w:sz w:val="24"/>
                <w:szCs w:val="24"/>
              </w:rPr>
              <w:t>, reflectându-se mecanismul prevăzut la art.11 din Directivă.</w:t>
            </w:r>
          </w:p>
          <w:p w14:paraId="2D8E458F" w14:textId="77777777" w:rsidR="00602AF3" w:rsidRDefault="003C1A26" w:rsidP="00233FBC">
            <w:pPr>
              <w:spacing w:after="0" w:line="264"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Acest mecanism prevede că un plan de restructurare accelerată se consideră acceptat chiar și în lipsa votului unanim (i.e. în lipsa acceptării acestuia de către toate clasele de creditori în condițiile art.223), în cazul în care</w:t>
            </w:r>
            <w:r w:rsidR="00602AF3">
              <w:rPr>
                <w:rFonts w:ascii="Times New Roman" w:hAnsi="Times New Roman" w:cs="Times New Roman"/>
                <w:sz w:val="24"/>
                <w:szCs w:val="24"/>
              </w:rPr>
              <w:t>:</w:t>
            </w:r>
          </w:p>
          <w:p w14:paraId="5C6D8851" w14:textId="711382C9" w:rsidR="00602AF3" w:rsidRPr="00602AF3" w:rsidRDefault="003C1A26" w:rsidP="00602AF3">
            <w:pPr>
              <w:pStyle w:val="ListParagraph"/>
              <w:numPr>
                <w:ilvl w:val="0"/>
                <w:numId w:val="3"/>
              </w:numPr>
              <w:spacing w:after="0" w:line="264" w:lineRule="auto"/>
              <w:ind w:left="522" w:hanging="522"/>
              <w:jc w:val="both"/>
              <w:rPr>
                <w:rFonts w:ascii="Times New Roman" w:hAnsi="Times New Roman" w:cs="Times New Roman"/>
                <w:sz w:val="24"/>
                <w:szCs w:val="24"/>
              </w:rPr>
            </w:pPr>
            <w:r w:rsidRPr="00602AF3">
              <w:rPr>
                <w:rFonts w:ascii="Times New Roman" w:hAnsi="Times New Roman" w:cs="Times New Roman"/>
                <w:sz w:val="24"/>
                <w:szCs w:val="24"/>
              </w:rPr>
              <w:t>debitorul asigură respectarea testului BIOC (</w:t>
            </w:r>
            <w:r w:rsidRPr="00602AF3">
              <w:rPr>
                <w:rFonts w:ascii="Times New Roman" w:hAnsi="Times New Roman" w:cs="Times New Roman"/>
                <w:i/>
                <w:iCs/>
                <w:sz w:val="24"/>
                <w:szCs w:val="24"/>
              </w:rPr>
              <w:t>Best-</w:t>
            </w:r>
            <w:proofErr w:type="spellStart"/>
            <w:r w:rsidRPr="00602AF3">
              <w:rPr>
                <w:rFonts w:ascii="Times New Roman" w:hAnsi="Times New Roman" w:cs="Times New Roman"/>
                <w:i/>
                <w:iCs/>
                <w:sz w:val="24"/>
                <w:szCs w:val="24"/>
              </w:rPr>
              <w:t>Interest</w:t>
            </w:r>
            <w:proofErr w:type="spellEnd"/>
            <w:r w:rsidRPr="00602AF3">
              <w:rPr>
                <w:rFonts w:ascii="Times New Roman" w:hAnsi="Times New Roman" w:cs="Times New Roman"/>
                <w:i/>
                <w:iCs/>
                <w:sz w:val="24"/>
                <w:szCs w:val="24"/>
              </w:rPr>
              <w:t>-Of-</w:t>
            </w:r>
            <w:proofErr w:type="spellStart"/>
            <w:r w:rsidRPr="00602AF3">
              <w:rPr>
                <w:rFonts w:ascii="Times New Roman" w:hAnsi="Times New Roman" w:cs="Times New Roman"/>
                <w:i/>
                <w:iCs/>
                <w:sz w:val="24"/>
                <w:szCs w:val="24"/>
              </w:rPr>
              <w:t>Creditors</w:t>
            </w:r>
            <w:proofErr w:type="spellEnd"/>
            <w:r w:rsidRPr="00602AF3">
              <w:rPr>
                <w:rFonts w:ascii="Times New Roman" w:hAnsi="Times New Roman" w:cs="Times New Roman"/>
                <w:i/>
                <w:iCs/>
                <w:sz w:val="24"/>
                <w:szCs w:val="24"/>
              </w:rPr>
              <w:t xml:space="preserve"> test</w:t>
            </w:r>
            <w:r w:rsidRPr="00602AF3">
              <w:rPr>
                <w:rFonts w:ascii="Times New Roman" w:hAnsi="Times New Roman" w:cs="Times New Roman"/>
                <w:sz w:val="24"/>
                <w:szCs w:val="24"/>
              </w:rPr>
              <w:t xml:space="preserve">, prevăzut la art.204 alin.(5) </w:t>
            </w:r>
            <w:proofErr w:type="spellStart"/>
            <w:r w:rsidRPr="00602AF3">
              <w:rPr>
                <w:rFonts w:ascii="Times New Roman" w:hAnsi="Times New Roman" w:cs="Times New Roman"/>
                <w:sz w:val="24"/>
                <w:szCs w:val="24"/>
              </w:rPr>
              <w:t>lit.a</w:t>
            </w:r>
            <w:proofErr w:type="spellEnd"/>
            <w:r w:rsidRPr="00602AF3">
              <w:rPr>
                <w:rFonts w:ascii="Times New Roman" w:hAnsi="Times New Roman" w:cs="Times New Roman"/>
                <w:sz w:val="24"/>
                <w:szCs w:val="24"/>
              </w:rPr>
              <w:t>) din Legea insolvabilității)</w:t>
            </w:r>
            <w:r w:rsidR="00602AF3" w:rsidRPr="00602AF3">
              <w:rPr>
                <w:rFonts w:ascii="Times New Roman" w:hAnsi="Times New Roman" w:cs="Times New Roman"/>
                <w:sz w:val="24"/>
                <w:szCs w:val="24"/>
              </w:rPr>
              <w:t>,</w:t>
            </w:r>
            <w:r w:rsidR="00233FBC" w:rsidRPr="00602AF3">
              <w:rPr>
                <w:rFonts w:ascii="Times New Roman" w:hAnsi="Times New Roman" w:cs="Times New Roman"/>
                <w:sz w:val="24"/>
                <w:szCs w:val="24"/>
              </w:rPr>
              <w:t xml:space="preserve"> și</w:t>
            </w:r>
          </w:p>
          <w:p w14:paraId="2FF07AAE" w14:textId="10E87196" w:rsidR="00233FBC" w:rsidRPr="00602AF3" w:rsidRDefault="00233FBC" w:rsidP="00602AF3">
            <w:pPr>
              <w:pStyle w:val="ListParagraph"/>
              <w:numPr>
                <w:ilvl w:val="0"/>
                <w:numId w:val="3"/>
              </w:numPr>
              <w:spacing w:after="0" w:line="264" w:lineRule="auto"/>
              <w:ind w:left="522" w:hanging="522"/>
              <w:jc w:val="both"/>
              <w:rPr>
                <w:rFonts w:ascii="Times New Roman" w:hAnsi="Times New Roman" w:cs="Times New Roman"/>
                <w:sz w:val="24"/>
                <w:szCs w:val="24"/>
              </w:rPr>
            </w:pPr>
            <w:r w:rsidRPr="00602AF3">
              <w:rPr>
                <w:rFonts w:ascii="Times New Roman" w:hAnsi="Times New Roman" w:cs="Times New Roman"/>
                <w:sz w:val="24"/>
                <w:szCs w:val="24"/>
              </w:rPr>
              <w:t xml:space="preserve">majoritatea claselor, sau chiar o singură clasă, a votat pentru aprobarea planului (în condițiile prevăzut la </w:t>
            </w:r>
            <w:proofErr w:type="spellStart"/>
            <w:r w:rsidRPr="00602AF3">
              <w:rPr>
                <w:rFonts w:ascii="Times New Roman" w:hAnsi="Times New Roman" w:cs="Times New Roman"/>
                <w:sz w:val="24"/>
                <w:szCs w:val="24"/>
              </w:rPr>
              <w:t>lit.b</w:t>
            </w:r>
            <w:proofErr w:type="spellEnd"/>
            <w:r w:rsidRPr="00602AF3">
              <w:rPr>
                <w:rFonts w:ascii="Times New Roman" w:hAnsi="Times New Roman" w:cs="Times New Roman"/>
                <w:sz w:val="24"/>
                <w:szCs w:val="24"/>
              </w:rPr>
              <w:t>) din acest nou articol).</w:t>
            </w:r>
          </w:p>
          <w:p w14:paraId="010C0A6F" w14:textId="77777777" w:rsidR="00C82F88" w:rsidRDefault="00C82F88" w:rsidP="00155EB4">
            <w:pPr>
              <w:spacing w:after="0" w:line="264" w:lineRule="auto"/>
              <w:contextualSpacing/>
              <w:jc w:val="both"/>
              <w:rPr>
                <w:rFonts w:ascii="Times New Roman" w:hAnsi="Times New Roman" w:cs="Times New Roman"/>
                <w:sz w:val="24"/>
                <w:szCs w:val="24"/>
              </w:rPr>
            </w:pPr>
          </w:p>
          <w:p w14:paraId="107BFFC6" w14:textId="50C570D8" w:rsidR="00B04556" w:rsidRDefault="004A5600" w:rsidP="00155EB4">
            <w:pPr>
              <w:spacing w:after="0" w:line="264" w:lineRule="auto"/>
              <w:contextualSpacing/>
              <w:jc w:val="both"/>
              <w:rPr>
                <w:rFonts w:ascii="Times New Roman" w:hAnsi="Times New Roman" w:cs="Times New Roman"/>
                <w:sz w:val="24"/>
                <w:szCs w:val="24"/>
              </w:rPr>
            </w:pPr>
            <w:r w:rsidRPr="00155EB4">
              <w:rPr>
                <w:rFonts w:ascii="Times New Roman" w:hAnsi="Times New Roman" w:cs="Times New Roman"/>
                <w:sz w:val="24"/>
                <w:szCs w:val="24"/>
              </w:rPr>
              <w:t>În aceeași logică, art. 224 este revizuit pentru a detalia condițiile de confirmare a planului de către instanță, inclusiv criterii legate de viabilitatea măsurilor propuse și de tratamentul echitabil al creditorilor afectați</w:t>
            </w:r>
            <w:r w:rsidR="00F32E65">
              <w:rPr>
                <w:rFonts w:ascii="Times New Roman" w:hAnsi="Times New Roman" w:cs="Times New Roman"/>
                <w:sz w:val="24"/>
                <w:szCs w:val="24"/>
              </w:rPr>
              <w:t xml:space="preserve"> (testul BIOC)</w:t>
            </w:r>
            <w:r w:rsidRPr="00155EB4">
              <w:rPr>
                <w:rFonts w:ascii="Times New Roman" w:hAnsi="Times New Roman" w:cs="Times New Roman"/>
                <w:sz w:val="24"/>
                <w:szCs w:val="24"/>
              </w:rPr>
              <w:t xml:space="preserve">, precum și regimul căilor de atac și competențele instanței de apel în raport cu hotărârea </w:t>
            </w:r>
            <w:r w:rsidR="00420045">
              <w:rPr>
                <w:rFonts w:ascii="Times New Roman" w:hAnsi="Times New Roman" w:cs="Times New Roman"/>
                <w:sz w:val="24"/>
                <w:szCs w:val="24"/>
              </w:rPr>
              <w:t>instanței de insolvabilitate</w:t>
            </w:r>
            <w:r w:rsidRPr="00155EB4">
              <w:rPr>
                <w:rFonts w:ascii="Times New Roman" w:hAnsi="Times New Roman" w:cs="Times New Roman"/>
                <w:sz w:val="24"/>
                <w:szCs w:val="24"/>
              </w:rPr>
              <w:t>.</w:t>
            </w:r>
          </w:p>
          <w:p w14:paraId="2BE2E0D4" w14:textId="77777777" w:rsidR="00DB23F3" w:rsidRPr="00155EB4" w:rsidRDefault="00DB23F3" w:rsidP="00155EB4">
            <w:pPr>
              <w:spacing w:after="0" w:line="264" w:lineRule="auto"/>
              <w:contextualSpacing/>
              <w:jc w:val="both"/>
              <w:rPr>
                <w:rFonts w:ascii="Times New Roman" w:hAnsi="Times New Roman" w:cs="Times New Roman"/>
                <w:sz w:val="24"/>
                <w:szCs w:val="24"/>
              </w:rPr>
            </w:pPr>
          </w:p>
          <w:p w14:paraId="4A20F8AB" w14:textId="558094E5" w:rsidR="00155EB4" w:rsidRDefault="00155EB4" w:rsidP="00155EB4">
            <w:pPr>
              <w:spacing w:after="0" w:line="264" w:lineRule="auto"/>
              <w:contextualSpacing/>
              <w:jc w:val="both"/>
              <w:rPr>
                <w:rFonts w:ascii="Times New Roman" w:hAnsi="Times New Roman" w:cs="Times New Roman"/>
                <w:sz w:val="24"/>
                <w:szCs w:val="24"/>
              </w:rPr>
            </w:pPr>
            <w:r w:rsidRPr="00155EB4">
              <w:rPr>
                <w:rFonts w:ascii="Times New Roman" w:hAnsi="Times New Roman" w:cs="Times New Roman"/>
                <w:sz w:val="24"/>
                <w:szCs w:val="24"/>
              </w:rPr>
              <w:t>În final, proiectul completează legea cu un articol nou</w:t>
            </w:r>
            <w:r w:rsidR="00710A8C">
              <w:rPr>
                <w:rFonts w:ascii="Times New Roman" w:hAnsi="Times New Roman" w:cs="Times New Roman"/>
                <w:sz w:val="24"/>
                <w:szCs w:val="24"/>
              </w:rPr>
              <w:t xml:space="preserve"> </w:t>
            </w:r>
            <w:r w:rsidRPr="00155EB4">
              <w:rPr>
                <w:rFonts w:ascii="Times New Roman" w:hAnsi="Times New Roman" w:cs="Times New Roman"/>
                <w:sz w:val="24"/>
                <w:szCs w:val="24"/>
              </w:rPr>
              <w:t>care instituie obligația de colectare și centralizare anuală a datelor privind procedurile de insolvabilitate și restructurare accelerată (număr de cereri, durate, rezultate etc.), în sarcina autorității competente (</w:t>
            </w:r>
            <w:r w:rsidRPr="00CB2283">
              <w:rPr>
                <w:rFonts w:ascii="Times New Roman" w:hAnsi="Times New Roman" w:cs="Times New Roman"/>
                <w:sz w:val="24"/>
                <w:szCs w:val="24"/>
              </w:rPr>
              <w:t>Ministerul Justiției</w:t>
            </w:r>
            <w:r w:rsidRPr="00155EB4">
              <w:rPr>
                <w:rFonts w:ascii="Times New Roman" w:hAnsi="Times New Roman" w:cs="Times New Roman"/>
                <w:sz w:val="24"/>
                <w:szCs w:val="24"/>
              </w:rPr>
              <w:t>, conform proiectului). Această componentă este relevantă pentru eficiența sistemului, întrucât permite evaluarea continuă a funcționării cadrului normativ și ajustarea politicilor publice pe baza unor indicatori.</w:t>
            </w:r>
          </w:p>
          <w:p w14:paraId="530019DD" w14:textId="77777777" w:rsidR="000E2F91" w:rsidRPr="00155EB4" w:rsidRDefault="000E2F91" w:rsidP="00155EB4">
            <w:pPr>
              <w:spacing w:after="0" w:line="264" w:lineRule="auto"/>
              <w:contextualSpacing/>
              <w:jc w:val="both"/>
              <w:rPr>
                <w:rFonts w:ascii="Times New Roman" w:hAnsi="Times New Roman" w:cs="Times New Roman"/>
                <w:sz w:val="24"/>
                <w:szCs w:val="24"/>
              </w:rPr>
            </w:pPr>
          </w:p>
          <w:p w14:paraId="6DF082BF" w14:textId="2384617D" w:rsidR="00155EB4" w:rsidRDefault="00155EB4" w:rsidP="00155EB4">
            <w:pPr>
              <w:spacing w:after="0" w:line="264" w:lineRule="auto"/>
              <w:contextualSpacing/>
              <w:jc w:val="both"/>
              <w:rPr>
                <w:rFonts w:ascii="Times New Roman" w:hAnsi="Times New Roman" w:cs="Times New Roman"/>
                <w:sz w:val="24"/>
                <w:szCs w:val="24"/>
              </w:rPr>
            </w:pPr>
            <w:r w:rsidRPr="00155EB4">
              <w:rPr>
                <w:rFonts w:ascii="Times New Roman" w:hAnsi="Times New Roman" w:cs="Times New Roman"/>
                <w:sz w:val="24"/>
                <w:szCs w:val="24"/>
              </w:rPr>
              <w:t xml:space="preserve">În ansamblu, proiectul trece de la un model predominant reactiv (intervenție în momentul crizei) către un model mai </w:t>
            </w:r>
            <w:proofErr w:type="spellStart"/>
            <w:r w:rsidRPr="00155EB4">
              <w:rPr>
                <w:rFonts w:ascii="Times New Roman" w:hAnsi="Times New Roman" w:cs="Times New Roman"/>
                <w:sz w:val="24"/>
                <w:szCs w:val="24"/>
              </w:rPr>
              <w:t>proactiv</w:t>
            </w:r>
            <w:proofErr w:type="spellEnd"/>
            <w:r w:rsidRPr="00155EB4">
              <w:rPr>
                <w:rFonts w:ascii="Times New Roman" w:hAnsi="Times New Roman" w:cs="Times New Roman"/>
                <w:sz w:val="24"/>
                <w:szCs w:val="24"/>
              </w:rPr>
              <w:t xml:space="preserve">, axat pe prevenirea </w:t>
            </w:r>
            <w:r w:rsidR="008645DD">
              <w:rPr>
                <w:rFonts w:ascii="Times New Roman" w:hAnsi="Times New Roman" w:cs="Times New Roman"/>
                <w:sz w:val="24"/>
                <w:szCs w:val="24"/>
              </w:rPr>
              <w:t>insolvabilității</w:t>
            </w:r>
            <w:r w:rsidRPr="00155EB4">
              <w:rPr>
                <w:rFonts w:ascii="Times New Roman" w:hAnsi="Times New Roman" w:cs="Times New Roman"/>
                <w:sz w:val="24"/>
                <w:szCs w:val="24"/>
              </w:rPr>
              <w:t>, menținerea viabilității economice a întreprinderii și oferirea unei a doua șanse, prin introducerea de instrumente procedurale și garanții juridice care fac restructurarea mai accesibilă, mai previzibilă și mai funcțională pentru debitori și creditori.</w:t>
            </w:r>
          </w:p>
          <w:p w14:paraId="2E23F976" w14:textId="771DAC54" w:rsidR="007D7D88" w:rsidRDefault="007D7D88" w:rsidP="00155EB4">
            <w:pPr>
              <w:spacing w:after="0" w:line="264" w:lineRule="auto"/>
              <w:contextualSpacing/>
              <w:jc w:val="both"/>
              <w:rPr>
                <w:rFonts w:ascii="Times New Roman" w:hAnsi="Times New Roman" w:cs="Times New Roman"/>
                <w:sz w:val="24"/>
                <w:szCs w:val="24"/>
              </w:rPr>
            </w:pPr>
          </w:p>
          <w:p w14:paraId="0C1AB1A5" w14:textId="67717CEC" w:rsidR="00E6441E" w:rsidRPr="00155EB4" w:rsidRDefault="00061959" w:rsidP="00155EB4">
            <w:pPr>
              <w:spacing w:after="0" w:line="264" w:lineRule="auto"/>
              <w:contextualSpacing/>
              <w:jc w:val="both"/>
              <w:rPr>
                <w:rFonts w:ascii="Times New Roman" w:hAnsi="Times New Roman" w:cs="Times New Roman"/>
                <w:sz w:val="24"/>
                <w:szCs w:val="24"/>
              </w:rPr>
            </w:pPr>
            <w:r w:rsidRPr="00061959">
              <w:rPr>
                <w:rFonts w:ascii="Times New Roman" w:hAnsi="Times New Roman" w:cs="Times New Roman"/>
                <w:sz w:val="24"/>
                <w:szCs w:val="24"/>
              </w:rPr>
              <w:t>În vederea asigurării unei aplicări conforme cu obiectivele armonizării cu legislația Uniunii Europene, la interpretarea și aplicarea normelor noi introduse prin lege</w:t>
            </w:r>
            <w:r>
              <w:rPr>
                <w:rFonts w:ascii="Times New Roman" w:hAnsi="Times New Roman" w:cs="Times New Roman"/>
                <w:sz w:val="24"/>
                <w:szCs w:val="24"/>
              </w:rPr>
              <w:t>a de modificare</w:t>
            </w:r>
            <w:r w:rsidRPr="00061959">
              <w:rPr>
                <w:rFonts w:ascii="Times New Roman" w:hAnsi="Times New Roman" w:cs="Times New Roman"/>
                <w:sz w:val="24"/>
                <w:szCs w:val="24"/>
              </w:rPr>
              <w:t xml:space="preserve"> se va ține cont de prevederile Directivei (UE) 2019/1023, inclusiv de considerentele (Preambulul) acesteia, care </w:t>
            </w:r>
            <w:r w:rsidR="006A13C5">
              <w:rPr>
                <w:rFonts w:ascii="Times New Roman" w:hAnsi="Times New Roman" w:cs="Times New Roman"/>
                <w:sz w:val="24"/>
                <w:szCs w:val="24"/>
              </w:rPr>
              <w:t>explică</w:t>
            </w:r>
            <w:r w:rsidRPr="00061959">
              <w:rPr>
                <w:rFonts w:ascii="Times New Roman" w:hAnsi="Times New Roman" w:cs="Times New Roman"/>
                <w:sz w:val="24"/>
                <w:szCs w:val="24"/>
              </w:rPr>
              <w:t xml:space="preserve"> intenția legiuitorului european și scopurile urmărite prin instituirea cadrului de restructurare preventivă și a mecanismelor aferente</w:t>
            </w:r>
            <w:r w:rsidR="005616FD">
              <w:rPr>
                <w:rFonts w:ascii="Times New Roman" w:hAnsi="Times New Roman" w:cs="Times New Roman"/>
                <w:sz w:val="24"/>
                <w:szCs w:val="24"/>
              </w:rPr>
              <w:t>.</w:t>
            </w:r>
          </w:p>
          <w:p w14:paraId="341614B8" w14:textId="2F37DE9D" w:rsidR="003A698B" w:rsidRPr="003A698B" w:rsidRDefault="003A698B" w:rsidP="003A698B">
            <w:pPr>
              <w:spacing w:after="0" w:line="264" w:lineRule="auto"/>
              <w:contextualSpacing/>
              <w:jc w:val="both"/>
              <w:rPr>
                <w:rFonts w:ascii="Times New Roman" w:hAnsi="Times New Roman" w:cs="Times New Roman"/>
                <w:sz w:val="24"/>
                <w:szCs w:val="24"/>
              </w:rPr>
            </w:pPr>
          </w:p>
        </w:tc>
      </w:tr>
      <w:tr w:rsidR="00493123" w:rsidRPr="00493123" w14:paraId="3AD2E905" w14:textId="77777777" w:rsidTr="00B844AA">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CC0F110" w14:textId="77777777" w:rsidR="00493123" w:rsidRDefault="00493123" w:rsidP="00493123">
            <w:pPr>
              <w:spacing w:after="0" w:line="264" w:lineRule="auto"/>
              <w:contextualSpacing/>
              <w:rPr>
                <w:rFonts w:ascii="Times New Roman" w:hAnsi="Times New Roman" w:cs="Times New Roman"/>
                <w:b/>
                <w:bCs/>
                <w:sz w:val="24"/>
                <w:szCs w:val="24"/>
              </w:rPr>
            </w:pPr>
            <w:r w:rsidRPr="00493123">
              <w:rPr>
                <w:rFonts w:ascii="Times New Roman" w:hAnsi="Times New Roman" w:cs="Times New Roman"/>
                <w:b/>
                <w:bCs/>
                <w:sz w:val="24"/>
                <w:szCs w:val="24"/>
              </w:rPr>
              <w:lastRenderedPageBreak/>
              <w:t xml:space="preserve">3.2. </w:t>
            </w:r>
            <w:proofErr w:type="spellStart"/>
            <w:r w:rsidRPr="00493123">
              <w:rPr>
                <w:rFonts w:ascii="Times New Roman" w:hAnsi="Times New Roman" w:cs="Times New Roman"/>
                <w:b/>
                <w:bCs/>
                <w:sz w:val="24"/>
                <w:szCs w:val="24"/>
              </w:rPr>
              <w:t>Opţiunile</w:t>
            </w:r>
            <w:proofErr w:type="spellEnd"/>
            <w:r w:rsidRPr="00493123">
              <w:rPr>
                <w:rFonts w:ascii="Times New Roman" w:hAnsi="Times New Roman" w:cs="Times New Roman"/>
                <w:b/>
                <w:bCs/>
                <w:sz w:val="24"/>
                <w:szCs w:val="24"/>
              </w:rPr>
              <w:t xml:space="preserve"> alternative analizate </w:t>
            </w:r>
            <w:proofErr w:type="spellStart"/>
            <w:r w:rsidRPr="00493123">
              <w:rPr>
                <w:rFonts w:ascii="Times New Roman" w:hAnsi="Times New Roman" w:cs="Times New Roman"/>
                <w:b/>
                <w:bCs/>
                <w:sz w:val="24"/>
                <w:szCs w:val="24"/>
              </w:rPr>
              <w:t>şi</w:t>
            </w:r>
            <w:proofErr w:type="spellEnd"/>
            <w:r w:rsidRPr="00493123">
              <w:rPr>
                <w:rFonts w:ascii="Times New Roman" w:hAnsi="Times New Roman" w:cs="Times New Roman"/>
                <w:b/>
                <w:bCs/>
                <w:sz w:val="24"/>
                <w:szCs w:val="24"/>
              </w:rPr>
              <w:t xml:space="preserve"> motivele pentru care acestea nu au fost luate în considerare</w:t>
            </w:r>
          </w:p>
          <w:p w14:paraId="7E6672F6" w14:textId="77777777" w:rsidR="00C33D20" w:rsidRDefault="00C33D20" w:rsidP="001D3583">
            <w:pPr>
              <w:spacing w:after="0" w:line="264" w:lineRule="auto"/>
              <w:contextualSpacing/>
              <w:jc w:val="both"/>
              <w:rPr>
                <w:rFonts w:ascii="Times New Roman" w:hAnsi="Times New Roman" w:cs="Times New Roman"/>
                <w:b/>
                <w:bCs/>
                <w:sz w:val="24"/>
                <w:szCs w:val="24"/>
              </w:rPr>
            </w:pPr>
          </w:p>
          <w:p w14:paraId="6397986C" w14:textId="77777777" w:rsidR="000D7FE1" w:rsidRDefault="00286E07" w:rsidP="001D3583">
            <w:pPr>
              <w:spacing w:after="0" w:line="264" w:lineRule="auto"/>
              <w:contextualSpacing/>
              <w:jc w:val="both"/>
              <w:rPr>
                <w:rFonts w:ascii="Times New Roman" w:hAnsi="Times New Roman" w:cs="Times New Roman"/>
                <w:sz w:val="24"/>
                <w:szCs w:val="24"/>
                <w:lang w:val="ro-MD"/>
              </w:rPr>
            </w:pPr>
            <w:r>
              <w:rPr>
                <w:rFonts w:ascii="Times New Roman" w:hAnsi="Times New Roman" w:cs="Times New Roman"/>
                <w:sz w:val="24"/>
                <w:szCs w:val="24"/>
              </w:rPr>
              <w:t>Opțiuni alternative nu au fost identificate, or</w:t>
            </w:r>
            <w:r w:rsidR="000D7FE1">
              <w:rPr>
                <w:rFonts w:ascii="Times New Roman" w:hAnsi="Times New Roman" w:cs="Times New Roman"/>
                <w:sz w:val="24"/>
                <w:szCs w:val="24"/>
              </w:rPr>
              <w:t xml:space="preserve"> intervenția se realizează în ordinea </w:t>
            </w:r>
            <w:r w:rsidR="000D7FE1" w:rsidRPr="000D7FE1">
              <w:rPr>
                <w:rFonts w:ascii="Times New Roman" w:hAnsi="Times New Roman" w:cs="Times New Roman"/>
                <w:sz w:val="24"/>
                <w:szCs w:val="24"/>
                <w:lang w:val="ro-MD"/>
              </w:rPr>
              <w:t>transpuner</w:t>
            </w:r>
            <w:r w:rsidR="000D7FE1">
              <w:rPr>
                <w:rFonts w:ascii="Times New Roman" w:hAnsi="Times New Roman" w:cs="Times New Roman"/>
                <w:sz w:val="24"/>
                <w:szCs w:val="24"/>
                <w:lang w:val="ro-MD"/>
              </w:rPr>
              <w:t>ii acquis-ului Uniunii Europene (</w:t>
            </w:r>
            <w:r w:rsidR="000D7FE1" w:rsidRPr="000D7FE1">
              <w:rPr>
                <w:rFonts w:ascii="Times New Roman" w:hAnsi="Times New Roman" w:cs="Times New Roman"/>
                <w:sz w:val="24"/>
                <w:szCs w:val="24"/>
              </w:rPr>
              <w:t>Directivei (UE) 2019/1023</w:t>
            </w:r>
            <w:r w:rsidR="000D7FE1">
              <w:rPr>
                <w:rFonts w:ascii="Times New Roman" w:hAnsi="Times New Roman" w:cs="Times New Roman"/>
                <w:sz w:val="24"/>
                <w:szCs w:val="24"/>
                <w:lang w:val="ro-MD"/>
              </w:rPr>
              <w:t>)</w:t>
            </w:r>
            <w:r w:rsidR="000D7FE1" w:rsidRPr="000D7FE1">
              <w:rPr>
                <w:rFonts w:ascii="Times New Roman" w:hAnsi="Times New Roman" w:cs="Times New Roman"/>
                <w:sz w:val="24"/>
                <w:szCs w:val="24"/>
                <w:lang w:val="ro-MD"/>
              </w:rPr>
              <w:t xml:space="preserve"> la nivel de cadru normativ național</w:t>
            </w:r>
            <w:r w:rsidR="000D7FE1">
              <w:rPr>
                <w:rFonts w:ascii="Times New Roman" w:hAnsi="Times New Roman" w:cs="Times New Roman"/>
                <w:sz w:val="24"/>
                <w:szCs w:val="24"/>
                <w:lang w:val="ro-MD"/>
              </w:rPr>
              <w:t>.</w:t>
            </w:r>
          </w:p>
          <w:p w14:paraId="4DD0924B" w14:textId="77777777" w:rsidR="000D7FE1" w:rsidRDefault="000D7FE1" w:rsidP="001D3583">
            <w:pPr>
              <w:spacing w:after="0" w:line="264" w:lineRule="auto"/>
              <w:contextualSpacing/>
              <w:jc w:val="both"/>
              <w:rPr>
                <w:rFonts w:ascii="Times New Roman" w:hAnsi="Times New Roman" w:cs="Times New Roman"/>
                <w:sz w:val="24"/>
                <w:szCs w:val="24"/>
                <w:lang w:val="ro-MD"/>
              </w:rPr>
            </w:pPr>
          </w:p>
          <w:p w14:paraId="63D41BFE" w14:textId="77777777" w:rsidR="00256E67" w:rsidRDefault="000D7FE1" w:rsidP="001D3583">
            <w:pPr>
              <w:spacing w:after="0" w:line="264" w:lineRule="auto"/>
              <w:contextualSpacing/>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Au fost analizate </w:t>
            </w:r>
            <w:r w:rsidR="005339A4">
              <w:rPr>
                <w:rFonts w:ascii="Times New Roman" w:hAnsi="Times New Roman" w:cs="Times New Roman"/>
                <w:sz w:val="24"/>
                <w:szCs w:val="24"/>
                <w:lang w:val="ro-MD"/>
              </w:rPr>
              <w:t>mai multe opțiuni de transpunere</w:t>
            </w:r>
            <w:r w:rsidR="00E94907">
              <w:rPr>
                <w:rFonts w:ascii="Times New Roman" w:hAnsi="Times New Roman" w:cs="Times New Roman"/>
                <w:sz w:val="24"/>
                <w:szCs w:val="24"/>
                <w:lang w:val="ro-MD"/>
              </w:rPr>
              <w:t xml:space="preserve">, inclusiv prin prisma recomandărilor </w:t>
            </w:r>
            <w:r w:rsidR="00025065">
              <w:rPr>
                <w:rFonts w:ascii="Times New Roman" w:hAnsi="Times New Roman" w:cs="Times New Roman"/>
                <w:sz w:val="24"/>
                <w:szCs w:val="24"/>
                <w:lang w:val="ro-MD"/>
              </w:rPr>
              <w:t xml:space="preserve">Băncii Mondiale incluse în documentul: </w:t>
            </w:r>
            <w:r w:rsidR="00025065" w:rsidRPr="00025065">
              <w:rPr>
                <w:rFonts w:ascii="Times New Roman" w:hAnsi="Times New Roman" w:cs="Times New Roman"/>
                <w:i/>
                <w:iCs/>
                <w:sz w:val="24"/>
                <w:szCs w:val="24"/>
                <w:lang w:val="ro-MD"/>
              </w:rPr>
              <w:t>Notă tehnică: Recomandări pentru Implementarea Directivei UE privind Restructurarea 2019/1023 în Republica Moldova</w:t>
            </w:r>
            <w:r w:rsidR="00025065">
              <w:rPr>
                <w:rFonts w:ascii="Times New Roman" w:hAnsi="Times New Roman" w:cs="Times New Roman"/>
                <w:sz w:val="24"/>
                <w:szCs w:val="24"/>
                <w:lang w:val="ro-MD"/>
              </w:rPr>
              <w:t xml:space="preserve">, din cadrul programului </w:t>
            </w:r>
            <w:r w:rsidR="00025065" w:rsidRPr="00025065">
              <w:rPr>
                <w:rFonts w:ascii="Times New Roman" w:hAnsi="Times New Roman" w:cs="Times New Roman"/>
                <w:i/>
                <w:iCs/>
                <w:sz w:val="24"/>
                <w:szCs w:val="24"/>
                <w:lang w:val="ro-MD"/>
              </w:rPr>
              <w:t>Moldova: Programul de Asistență Tehnică M-</w:t>
            </w:r>
            <w:proofErr w:type="spellStart"/>
            <w:r w:rsidR="00025065" w:rsidRPr="00025065">
              <w:rPr>
                <w:rFonts w:ascii="Times New Roman" w:hAnsi="Times New Roman" w:cs="Times New Roman"/>
                <w:i/>
                <w:iCs/>
                <w:sz w:val="24"/>
                <w:szCs w:val="24"/>
                <w:lang w:val="ro-MD"/>
              </w:rPr>
              <w:t>Grow</w:t>
            </w:r>
            <w:proofErr w:type="spellEnd"/>
            <w:r w:rsidR="00025065">
              <w:rPr>
                <w:rFonts w:ascii="Times New Roman" w:hAnsi="Times New Roman" w:cs="Times New Roman"/>
                <w:sz w:val="24"/>
                <w:szCs w:val="24"/>
                <w:lang w:val="ro-MD"/>
              </w:rPr>
              <w:t>.</w:t>
            </w:r>
          </w:p>
          <w:p w14:paraId="2BE0C6E5" w14:textId="77777777" w:rsidR="00256E67" w:rsidRDefault="00256E67" w:rsidP="001D3583">
            <w:pPr>
              <w:spacing w:after="0" w:line="264" w:lineRule="auto"/>
              <w:contextualSpacing/>
              <w:jc w:val="both"/>
              <w:rPr>
                <w:rFonts w:ascii="Times New Roman" w:hAnsi="Times New Roman" w:cs="Times New Roman"/>
                <w:sz w:val="24"/>
                <w:szCs w:val="24"/>
                <w:lang w:val="ro-MD"/>
              </w:rPr>
            </w:pPr>
          </w:p>
          <w:p w14:paraId="7F5BE94C" w14:textId="77777777" w:rsidR="00B70C59" w:rsidRDefault="005750E7" w:rsidP="001D3583">
            <w:pPr>
              <w:spacing w:after="0" w:line="264" w:lineRule="auto"/>
              <w:contextualSpacing/>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În final, s-a optat pentru opțiunea propusă în aceste recomandări, și anume alinierea instituției restructurării accelerate cu cerințele Directivei UE 2019/1023</w:t>
            </w:r>
            <w:r w:rsidR="00256E67">
              <w:rPr>
                <w:rFonts w:ascii="Times New Roman" w:hAnsi="Times New Roman" w:cs="Times New Roman"/>
                <w:sz w:val="24"/>
                <w:szCs w:val="24"/>
                <w:lang w:val="ro-MD"/>
              </w:rPr>
              <w:t xml:space="preserve"> și, după caz, alinierea anumitor mecanisme care pot fi deopotrivă aplicabile și pentru </w:t>
            </w:r>
            <w:r w:rsidR="00A915F4">
              <w:rPr>
                <w:rFonts w:ascii="Times New Roman" w:hAnsi="Times New Roman" w:cs="Times New Roman"/>
                <w:sz w:val="24"/>
                <w:szCs w:val="24"/>
                <w:lang w:val="ro-MD"/>
              </w:rPr>
              <w:t xml:space="preserve">procedura de </w:t>
            </w:r>
            <w:r w:rsidR="00256E67">
              <w:rPr>
                <w:rFonts w:ascii="Times New Roman" w:hAnsi="Times New Roman" w:cs="Times New Roman"/>
                <w:sz w:val="24"/>
                <w:szCs w:val="24"/>
                <w:lang w:val="ro-MD"/>
              </w:rPr>
              <w:t>restructurare clasică.</w:t>
            </w:r>
          </w:p>
          <w:p w14:paraId="155A0DDF" w14:textId="672E8973" w:rsidR="00B844AA" w:rsidRPr="002F1BAD" w:rsidRDefault="00B844AA" w:rsidP="001D3583">
            <w:pPr>
              <w:spacing w:after="0" w:line="264" w:lineRule="auto"/>
              <w:contextualSpacing/>
              <w:jc w:val="both"/>
              <w:rPr>
                <w:rFonts w:ascii="Times New Roman" w:hAnsi="Times New Roman" w:cs="Times New Roman"/>
                <w:sz w:val="24"/>
                <w:szCs w:val="24"/>
                <w:lang w:val="ro-MD"/>
              </w:rPr>
            </w:pPr>
          </w:p>
        </w:tc>
      </w:tr>
      <w:tr w:rsidR="00493123" w:rsidRPr="00493123" w14:paraId="704E6317" w14:textId="77777777" w:rsidTr="00B844AA">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306D687D" w14:textId="77777777" w:rsidR="00493123" w:rsidRPr="00493123" w:rsidRDefault="00493123" w:rsidP="00493123">
            <w:pPr>
              <w:spacing w:after="0" w:line="264" w:lineRule="auto"/>
              <w:contextualSpacing/>
              <w:rPr>
                <w:rFonts w:ascii="Times New Roman" w:hAnsi="Times New Roman" w:cs="Times New Roman"/>
                <w:b/>
                <w:bCs/>
                <w:sz w:val="24"/>
                <w:szCs w:val="24"/>
              </w:rPr>
            </w:pPr>
            <w:r w:rsidRPr="00493123">
              <w:rPr>
                <w:rFonts w:ascii="Times New Roman" w:hAnsi="Times New Roman" w:cs="Times New Roman"/>
                <w:b/>
                <w:bCs/>
                <w:sz w:val="24"/>
                <w:szCs w:val="24"/>
              </w:rPr>
              <w:lastRenderedPageBreak/>
              <w:t>4. Analiza impactului de reglementare</w:t>
            </w:r>
          </w:p>
        </w:tc>
      </w:tr>
      <w:tr w:rsidR="00493123" w:rsidRPr="00493123" w14:paraId="4A684798" w14:textId="77777777" w:rsidTr="00B844AA">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2FD16BF" w14:textId="77777777" w:rsidR="00493123" w:rsidRDefault="00493123" w:rsidP="00493123">
            <w:pPr>
              <w:spacing w:after="0" w:line="264" w:lineRule="auto"/>
              <w:contextualSpacing/>
              <w:rPr>
                <w:rFonts w:ascii="Times New Roman" w:hAnsi="Times New Roman" w:cs="Times New Roman"/>
                <w:b/>
                <w:bCs/>
                <w:sz w:val="24"/>
                <w:szCs w:val="24"/>
              </w:rPr>
            </w:pPr>
            <w:r w:rsidRPr="00493123">
              <w:rPr>
                <w:rFonts w:ascii="Times New Roman" w:hAnsi="Times New Roman" w:cs="Times New Roman"/>
                <w:b/>
                <w:bCs/>
                <w:sz w:val="24"/>
                <w:szCs w:val="24"/>
              </w:rPr>
              <w:t>4.1. Impactul asupra sectorului public</w:t>
            </w:r>
          </w:p>
          <w:p w14:paraId="2E866D02" w14:textId="77777777" w:rsidR="00C33D20" w:rsidRDefault="00C33D20" w:rsidP="00493123">
            <w:pPr>
              <w:spacing w:after="0" w:line="264" w:lineRule="auto"/>
              <w:contextualSpacing/>
              <w:rPr>
                <w:rFonts w:ascii="Times New Roman" w:hAnsi="Times New Roman" w:cs="Times New Roman"/>
                <w:b/>
                <w:bCs/>
                <w:sz w:val="24"/>
                <w:szCs w:val="24"/>
              </w:rPr>
            </w:pPr>
          </w:p>
          <w:p w14:paraId="798E1559" w14:textId="79FDDEE5" w:rsidR="00FE71DD" w:rsidRDefault="000032C2" w:rsidP="007F7928">
            <w:pPr>
              <w:spacing w:after="0" w:line="264" w:lineRule="auto"/>
              <w:contextualSpacing/>
              <w:jc w:val="both"/>
              <w:rPr>
                <w:rFonts w:ascii="Times New Roman" w:hAnsi="Times New Roman" w:cs="Times New Roman"/>
                <w:sz w:val="24"/>
                <w:szCs w:val="24"/>
              </w:rPr>
            </w:pPr>
            <w:r w:rsidRPr="000032C2">
              <w:rPr>
                <w:rFonts w:ascii="Times New Roman" w:hAnsi="Times New Roman" w:cs="Times New Roman"/>
                <w:sz w:val="24"/>
                <w:szCs w:val="24"/>
              </w:rPr>
              <w:t xml:space="preserve">Proiectul </w:t>
            </w:r>
            <w:r>
              <w:rPr>
                <w:rFonts w:ascii="Times New Roman" w:hAnsi="Times New Roman" w:cs="Times New Roman"/>
                <w:sz w:val="24"/>
                <w:szCs w:val="24"/>
              </w:rPr>
              <w:t xml:space="preserve">de lege implică instituirea </w:t>
            </w:r>
            <w:r w:rsidR="00E23D6F">
              <w:rPr>
                <w:rFonts w:ascii="Times New Roman" w:hAnsi="Times New Roman" w:cs="Times New Roman"/>
                <w:sz w:val="24"/>
                <w:szCs w:val="24"/>
              </w:rPr>
              <w:t>unui</w:t>
            </w:r>
            <w:r w:rsidR="00E23D6F" w:rsidRPr="00155EB4">
              <w:rPr>
                <w:rFonts w:ascii="Times New Roman" w:hAnsi="Times New Roman" w:cs="Times New Roman"/>
                <w:sz w:val="24"/>
                <w:szCs w:val="24"/>
              </w:rPr>
              <w:t xml:space="preserve"> mecanism instituțional de sprijin pentru prevenirea </w:t>
            </w:r>
            <w:r w:rsidR="00E23D6F" w:rsidRPr="00E23D6F">
              <w:rPr>
                <w:rFonts w:ascii="Times New Roman" w:hAnsi="Times New Roman" w:cs="Times New Roman"/>
                <w:sz w:val="24"/>
                <w:szCs w:val="24"/>
              </w:rPr>
              <w:t>insolvabilității</w:t>
            </w:r>
            <w:r w:rsidR="00E23D6F" w:rsidRPr="00155EB4">
              <w:rPr>
                <w:rFonts w:ascii="Times New Roman" w:hAnsi="Times New Roman" w:cs="Times New Roman"/>
                <w:sz w:val="24"/>
                <w:szCs w:val="24"/>
              </w:rPr>
              <w:t xml:space="preserve"> prin </w:t>
            </w:r>
            <w:r w:rsidR="00E23D6F">
              <w:rPr>
                <w:rFonts w:ascii="Times New Roman" w:hAnsi="Times New Roman" w:cs="Times New Roman"/>
                <w:sz w:val="24"/>
                <w:szCs w:val="24"/>
              </w:rPr>
              <w:t>instituirea</w:t>
            </w:r>
            <w:r w:rsidR="00E23D6F" w:rsidRPr="00155EB4">
              <w:rPr>
                <w:rFonts w:ascii="Times New Roman" w:hAnsi="Times New Roman" w:cs="Times New Roman"/>
                <w:sz w:val="24"/>
                <w:szCs w:val="24"/>
              </w:rPr>
              <w:t xml:space="preserve"> </w:t>
            </w:r>
            <w:r w:rsidR="007F7928">
              <w:rPr>
                <w:rFonts w:ascii="Times New Roman" w:hAnsi="Times New Roman" w:cs="Times New Roman"/>
                <w:sz w:val="24"/>
                <w:szCs w:val="24"/>
              </w:rPr>
              <w:t xml:space="preserve">obligației </w:t>
            </w:r>
            <w:r w:rsidR="00E23D6F" w:rsidRPr="00155EB4">
              <w:rPr>
                <w:rFonts w:ascii="Times New Roman" w:hAnsi="Times New Roman" w:cs="Times New Roman"/>
                <w:sz w:val="24"/>
                <w:szCs w:val="24"/>
              </w:rPr>
              <w:t>Serviciului Fiscal de Stat de a asigura instrumente practice de avertizare timpurie (inclusiv informare/ghidare publică și linie de suport</w:t>
            </w:r>
            <w:r w:rsidR="007F7928">
              <w:rPr>
                <w:rFonts w:ascii="Times New Roman" w:hAnsi="Times New Roman" w:cs="Times New Roman"/>
                <w:sz w:val="24"/>
                <w:szCs w:val="24"/>
              </w:rPr>
              <w:t>).</w:t>
            </w:r>
          </w:p>
          <w:p w14:paraId="1B5CFB38" w14:textId="591E48EB" w:rsidR="007F7928" w:rsidRDefault="007F7928" w:rsidP="007F7928">
            <w:pPr>
              <w:spacing w:after="0" w:line="264" w:lineRule="auto"/>
              <w:contextualSpacing/>
              <w:jc w:val="both"/>
              <w:rPr>
                <w:rFonts w:ascii="Times New Roman" w:hAnsi="Times New Roman" w:cs="Times New Roman"/>
                <w:sz w:val="24"/>
                <w:szCs w:val="24"/>
              </w:rPr>
            </w:pPr>
          </w:p>
          <w:p w14:paraId="79E03456" w14:textId="64393B58" w:rsidR="007F7928" w:rsidRDefault="00646896" w:rsidP="007F7928">
            <w:pPr>
              <w:spacing w:after="0" w:line="264"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Totodată, </w:t>
            </w:r>
            <w:r w:rsidRPr="00155EB4">
              <w:rPr>
                <w:rFonts w:ascii="Times New Roman" w:hAnsi="Times New Roman" w:cs="Times New Roman"/>
                <w:sz w:val="24"/>
                <w:szCs w:val="24"/>
              </w:rPr>
              <w:t>se introduce un instrument practic de sprijin pentru IMM-uri</w:t>
            </w:r>
            <w:r>
              <w:rPr>
                <w:rFonts w:ascii="Times New Roman" w:hAnsi="Times New Roman" w:cs="Times New Roman"/>
                <w:sz w:val="24"/>
                <w:szCs w:val="24"/>
              </w:rPr>
              <w:t xml:space="preserve">, </w:t>
            </w:r>
            <w:r w:rsidRPr="00155EB4">
              <w:rPr>
                <w:rFonts w:ascii="Times New Roman" w:hAnsi="Times New Roman" w:cs="Times New Roman"/>
                <w:sz w:val="24"/>
                <w:szCs w:val="24"/>
              </w:rPr>
              <w:t xml:space="preserve">prin </w:t>
            </w:r>
            <w:r>
              <w:rPr>
                <w:rFonts w:ascii="Times New Roman" w:hAnsi="Times New Roman" w:cs="Times New Roman"/>
                <w:sz w:val="24"/>
                <w:szCs w:val="24"/>
              </w:rPr>
              <w:t>obligația</w:t>
            </w:r>
            <w:r w:rsidRPr="00155EB4">
              <w:rPr>
                <w:rFonts w:ascii="Times New Roman" w:hAnsi="Times New Roman" w:cs="Times New Roman"/>
                <w:sz w:val="24"/>
                <w:szCs w:val="24"/>
              </w:rPr>
              <w:t xml:space="preserve"> </w:t>
            </w:r>
            <w:r w:rsidR="00B844AA">
              <w:rPr>
                <w:rFonts w:ascii="Times New Roman" w:hAnsi="Times New Roman" w:cs="Times New Roman"/>
                <w:sz w:val="24"/>
                <w:szCs w:val="24"/>
              </w:rPr>
              <w:t xml:space="preserve">[Ministerului Dezvoltării Economice și Digitalizării / </w:t>
            </w:r>
            <w:r w:rsidR="00B844AA" w:rsidRPr="006521E0">
              <w:rPr>
                <w:rFonts w:ascii="Times New Roman" w:hAnsi="Times New Roman" w:cs="Times New Roman"/>
                <w:sz w:val="24"/>
                <w:szCs w:val="24"/>
              </w:rPr>
              <w:t>Organizației pentru Dezvoltarea Antreprenorialului</w:t>
            </w:r>
            <w:r w:rsidR="00B844AA">
              <w:rPr>
                <w:rFonts w:ascii="Times New Roman" w:hAnsi="Times New Roman" w:cs="Times New Roman"/>
                <w:sz w:val="24"/>
                <w:szCs w:val="24"/>
              </w:rPr>
              <w:t>]</w:t>
            </w:r>
            <w:r w:rsidRPr="00155EB4">
              <w:rPr>
                <w:rFonts w:ascii="Times New Roman" w:hAnsi="Times New Roman" w:cs="Times New Roman"/>
                <w:sz w:val="24"/>
                <w:szCs w:val="24"/>
              </w:rPr>
              <w:t xml:space="preserve"> de a publica o listă de verificare pentru plan</w:t>
            </w:r>
            <w:r>
              <w:rPr>
                <w:rFonts w:ascii="Times New Roman" w:hAnsi="Times New Roman" w:cs="Times New Roman"/>
                <w:sz w:val="24"/>
                <w:szCs w:val="24"/>
              </w:rPr>
              <w:t>urile de restructurare accelerată.</w:t>
            </w:r>
          </w:p>
          <w:p w14:paraId="1AF4C83E" w14:textId="3BB2A15B" w:rsidR="00646896" w:rsidRDefault="00646896" w:rsidP="007F7928">
            <w:pPr>
              <w:spacing w:after="0" w:line="264" w:lineRule="auto"/>
              <w:contextualSpacing/>
              <w:jc w:val="both"/>
              <w:rPr>
                <w:rFonts w:ascii="Times New Roman" w:hAnsi="Times New Roman" w:cs="Times New Roman"/>
                <w:sz w:val="24"/>
                <w:szCs w:val="24"/>
              </w:rPr>
            </w:pPr>
          </w:p>
          <w:p w14:paraId="5E00A0A1" w14:textId="2BC899E6" w:rsidR="00E23D6F" w:rsidRDefault="00E3161E" w:rsidP="002F1BAD">
            <w:pPr>
              <w:spacing w:after="0" w:line="264" w:lineRule="auto"/>
              <w:contextualSpacing/>
              <w:jc w:val="both"/>
              <w:rPr>
                <w:rFonts w:ascii="Times New Roman" w:hAnsi="Times New Roman" w:cs="Times New Roman"/>
                <w:sz w:val="24"/>
                <w:szCs w:val="24"/>
              </w:rPr>
            </w:pPr>
            <w:r>
              <w:rPr>
                <w:rFonts w:ascii="Times New Roman" w:hAnsi="Times New Roman" w:cs="Times New Roman"/>
                <w:sz w:val="24"/>
                <w:szCs w:val="24"/>
              </w:rPr>
              <w:t>În plus, se i</w:t>
            </w:r>
            <w:r w:rsidRPr="00155EB4">
              <w:rPr>
                <w:rFonts w:ascii="Times New Roman" w:hAnsi="Times New Roman" w:cs="Times New Roman"/>
                <w:sz w:val="24"/>
                <w:szCs w:val="24"/>
              </w:rPr>
              <w:t>nstituie obligația Ministerul</w:t>
            </w:r>
            <w:r>
              <w:rPr>
                <w:rFonts w:ascii="Times New Roman" w:hAnsi="Times New Roman" w:cs="Times New Roman"/>
                <w:sz w:val="24"/>
                <w:szCs w:val="24"/>
              </w:rPr>
              <w:t>ui</w:t>
            </w:r>
            <w:r w:rsidRPr="00155EB4">
              <w:rPr>
                <w:rFonts w:ascii="Times New Roman" w:hAnsi="Times New Roman" w:cs="Times New Roman"/>
                <w:sz w:val="24"/>
                <w:szCs w:val="24"/>
              </w:rPr>
              <w:t xml:space="preserve"> Justiției</w:t>
            </w:r>
            <w:r>
              <w:rPr>
                <w:rFonts w:ascii="Times New Roman" w:hAnsi="Times New Roman" w:cs="Times New Roman"/>
                <w:sz w:val="24"/>
                <w:szCs w:val="24"/>
              </w:rPr>
              <w:t xml:space="preserve"> (</w:t>
            </w:r>
            <w:r w:rsidRPr="00155EB4">
              <w:rPr>
                <w:rFonts w:ascii="Times New Roman" w:hAnsi="Times New Roman" w:cs="Times New Roman"/>
                <w:sz w:val="24"/>
                <w:szCs w:val="24"/>
              </w:rPr>
              <w:t>conform proiectului</w:t>
            </w:r>
            <w:r>
              <w:rPr>
                <w:rFonts w:ascii="Times New Roman" w:hAnsi="Times New Roman" w:cs="Times New Roman"/>
                <w:sz w:val="24"/>
                <w:szCs w:val="24"/>
              </w:rPr>
              <w:t>)</w:t>
            </w:r>
            <w:r w:rsidRPr="00155EB4">
              <w:rPr>
                <w:rFonts w:ascii="Times New Roman" w:hAnsi="Times New Roman" w:cs="Times New Roman"/>
                <w:sz w:val="24"/>
                <w:szCs w:val="24"/>
              </w:rPr>
              <w:t xml:space="preserve"> de colectare și centralizare anuală a datelor privind procedurile de insolvabilitate și restructurare accelerată (număr de cereri, durate, rezultate etc.</w:t>
            </w:r>
            <w:r>
              <w:rPr>
                <w:rFonts w:ascii="Times New Roman" w:hAnsi="Times New Roman" w:cs="Times New Roman"/>
                <w:sz w:val="24"/>
                <w:szCs w:val="24"/>
              </w:rPr>
              <w:t>)</w:t>
            </w:r>
            <w:r w:rsidRPr="00155EB4">
              <w:rPr>
                <w:rFonts w:ascii="Times New Roman" w:hAnsi="Times New Roman" w:cs="Times New Roman"/>
                <w:sz w:val="24"/>
                <w:szCs w:val="24"/>
              </w:rPr>
              <w:t>.</w:t>
            </w:r>
          </w:p>
          <w:p w14:paraId="0A3C67D7" w14:textId="610E382E" w:rsidR="00FE71DD" w:rsidRPr="000032C2" w:rsidRDefault="00FE71DD" w:rsidP="00493123">
            <w:pPr>
              <w:spacing w:after="0" w:line="264" w:lineRule="auto"/>
              <w:contextualSpacing/>
              <w:rPr>
                <w:rFonts w:ascii="Times New Roman" w:hAnsi="Times New Roman" w:cs="Times New Roman"/>
                <w:sz w:val="24"/>
                <w:szCs w:val="24"/>
              </w:rPr>
            </w:pPr>
          </w:p>
        </w:tc>
      </w:tr>
      <w:tr w:rsidR="00493123" w:rsidRPr="00493123" w14:paraId="24D4CEBB" w14:textId="77777777" w:rsidTr="00B844AA">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4EC131D" w14:textId="77777777" w:rsidR="00493123" w:rsidRDefault="00493123" w:rsidP="00493123">
            <w:pPr>
              <w:spacing w:after="0" w:line="264" w:lineRule="auto"/>
              <w:contextualSpacing/>
              <w:rPr>
                <w:rFonts w:ascii="Times New Roman" w:hAnsi="Times New Roman" w:cs="Times New Roman"/>
                <w:b/>
                <w:bCs/>
                <w:sz w:val="24"/>
                <w:szCs w:val="24"/>
              </w:rPr>
            </w:pPr>
            <w:r w:rsidRPr="00493123">
              <w:rPr>
                <w:rFonts w:ascii="Times New Roman" w:hAnsi="Times New Roman" w:cs="Times New Roman"/>
                <w:b/>
                <w:bCs/>
                <w:sz w:val="24"/>
                <w:szCs w:val="24"/>
              </w:rPr>
              <w:t xml:space="preserve">4.2. Impactul financiar </w:t>
            </w:r>
            <w:proofErr w:type="spellStart"/>
            <w:r w:rsidRPr="00493123">
              <w:rPr>
                <w:rFonts w:ascii="Times New Roman" w:hAnsi="Times New Roman" w:cs="Times New Roman"/>
                <w:b/>
                <w:bCs/>
                <w:sz w:val="24"/>
                <w:szCs w:val="24"/>
              </w:rPr>
              <w:t>şi</w:t>
            </w:r>
            <w:proofErr w:type="spellEnd"/>
            <w:r w:rsidRPr="00493123">
              <w:rPr>
                <w:rFonts w:ascii="Times New Roman" w:hAnsi="Times New Roman" w:cs="Times New Roman"/>
                <w:b/>
                <w:bCs/>
                <w:sz w:val="24"/>
                <w:szCs w:val="24"/>
              </w:rPr>
              <w:t xml:space="preserve"> argumentarea costurilor estimative</w:t>
            </w:r>
          </w:p>
          <w:p w14:paraId="29BFAE7F" w14:textId="77777777" w:rsidR="00C33D20" w:rsidRDefault="00C33D20" w:rsidP="00493123">
            <w:pPr>
              <w:spacing w:after="0" w:line="264" w:lineRule="auto"/>
              <w:contextualSpacing/>
              <w:rPr>
                <w:rFonts w:ascii="Times New Roman" w:hAnsi="Times New Roman" w:cs="Times New Roman"/>
                <w:b/>
                <w:bCs/>
                <w:sz w:val="24"/>
                <w:szCs w:val="24"/>
              </w:rPr>
            </w:pPr>
          </w:p>
          <w:p w14:paraId="1D8F7DAB" w14:textId="221A9A97" w:rsidR="00B844AA" w:rsidRPr="00BF720E" w:rsidRDefault="00ED0137" w:rsidP="00B844AA">
            <w:pPr>
              <w:spacing w:after="0" w:line="264" w:lineRule="auto"/>
              <w:contextualSpacing/>
              <w:jc w:val="both"/>
              <w:rPr>
                <w:rFonts w:ascii="Times New Roman" w:hAnsi="Times New Roman" w:cs="Times New Roman"/>
                <w:sz w:val="24"/>
                <w:szCs w:val="24"/>
              </w:rPr>
            </w:pPr>
            <w:r>
              <w:rPr>
                <w:rFonts w:ascii="Times New Roman" w:hAnsi="Times New Roman" w:cs="Times New Roman"/>
                <w:sz w:val="24"/>
                <w:szCs w:val="24"/>
              </w:rPr>
              <w:t>Implementarea proiectului de lege nu implică costuri financiare</w:t>
            </w:r>
            <w:r w:rsidR="00BF720E">
              <w:rPr>
                <w:rFonts w:ascii="Times New Roman" w:hAnsi="Times New Roman" w:cs="Times New Roman"/>
                <w:sz w:val="24"/>
                <w:szCs w:val="24"/>
              </w:rPr>
              <w:t>.</w:t>
            </w:r>
          </w:p>
        </w:tc>
      </w:tr>
      <w:tr w:rsidR="00493123" w:rsidRPr="00493123" w14:paraId="41D0AF8B" w14:textId="77777777" w:rsidTr="00B844AA">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B23BE4" w14:textId="77777777" w:rsidR="00493123" w:rsidRDefault="00493123" w:rsidP="00493123">
            <w:pPr>
              <w:spacing w:after="0" w:line="264" w:lineRule="auto"/>
              <w:contextualSpacing/>
              <w:rPr>
                <w:rFonts w:ascii="Times New Roman" w:hAnsi="Times New Roman" w:cs="Times New Roman"/>
                <w:b/>
                <w:bCs/>
                <w:sz w:val="24"/>
                <w:szCs w:val="24"/>
              </w:rPr>
            </w:pPr>
            <w:r w:rsidRPr="00493123">
              <w:rPr>
                <w:rFonts w:ascii="Times New Roman" w:hAnsi="Times New Roman" w:cs="Times New Roman"/>
                <w:b/>
                <w:bCs/>
                <w:sz w:val="24"/>
                <w:szCs w:val="24"/>
              </w:rPr>
              <w:t>4.3. Impactul asupra sectorului privat</w:t>
            </w:r>
          </w:p>
          <w:p w14:paraId="58DE94D6" w14:textId="77777777" w:rsidR="00C33D20" w:rsidRDefault="00C33D20" w:rsidP="004857AB">
            <w:pPr>
              <w:spacing w:after="0" w:line="264" w:lineRule="auto"/>
              <w:contextualSpacing/>
              <w:jc w:val="both"/>
              <w:rPr>
                <w:rFonts w:ascii="Times New Roman" w:hAnsi="Times New Roman" w:cs="Times New Roman"/>
                <w:sz w:val="24"/>
                <w:szCs w:val="24"/>
              </w:rPr>
            </w:pPr>
          </w:p>
          <w:p w14:paraId="130BABF6" w14:textId="13403AC0" w:rsidR="00B844AA" w:rsidRPr="004857AB" w:rsidRDefault="006115FE" w:rsidP="00B844AA">
            <w:pPr>
              <w:spacing w:after="0" w:line="264"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Proiectul de lege nu are impact </w:t>
            </w:r>
            <w:r w:rsidR="00B844AA">
              <w:rPr>
                <w:rFonts w:ascii="Times New Roman" w:hAnsi="Times New Roman" w:cs="Times New Roman"/>
                <w:sz w:val="24"/>
                <w:szCs w:val="24"/>
              </w:rPr>
              <w:t xml:space="preserve">negativ </w:t>
            </w:r>
            <w:r>
              <w:rPr>
                <w:rFonts w:ascii="Times New Roman" w:hAnsi="Times New Roman" w:cs="Times New Roman"/>
                <w:sz w:val="24"/>
                <w:szCs w:val="24"/>
              </w:rPr>
              <w:t>asupra sectorului privat.</w:t>
            </w:r>
          </w:p>
        </w:tc>
      </w:tr>
      <w:tr w:rsidR="00493123" w:rsidRPr="00493123" w14:paraId="5EF3486F" w14:textId="77777777" w:rsidTr="00B844AA">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EB43A8" w14:textId="0BEFA54C" w:rsidR="00493123" w:rsidRDefault="00493123" w:rsidP="00493123">
            <w:pPr>
              <w:spacing w:after="0" w:line="264" w:lineRule="auto"/>
              <w:contextualSpacing/>
              <w:rPr>
                <w:rFonts w:ascii="Times New Roman" w:hAnsi="Times New Roman" w:cs="Times New Roman"/>
                <w:b/>
                <w:bCs/>
                <w:sz w:val="24"/>
                <w:szCs w:val="24"/>
              </w:rPr>
            </w:pPr>
            <w:r w:rsidRPr="00493123">
              <w:rPr>
                <w:rFonts w:ascii="Times New Roman" w:hAnsi="Times New Roman" w:cs="Times New Roman"/>
                <w:b/>
                <w:bCs/>
                <w:sz w:val="24"/>
                <w:szCs w:val="24"/>
              </w:rPr>
              <w:t>4.4. Impactul social</w:t>
            </w:r>
          </w:p>
          <w:p w14:paraId="03A517E6" w14:textId="6F928A60" w:rsidR="00C33D20" w:rsidRDefault="00C33D20" w:rsidP="00493123">
            <w:pPr>
              <w:spacing w:after="0" w:line="264" w:lineRule="auto"/>
              <w:contextualSpacing/>
              <w:rPr>
                <w:rFonts w:ascii="Times New Roman" w:hAnsi="Times New Roman" w:cs="Times New Roman"/>
                <w:b/>
                <w:bCs/>
                <w:sz w:val="24"/>
                <w:szCs w:val="24"/>
              </w:rPr>
            </w:pPr>
          </w:p>
          <w:p w14:paraId="2A782A16" w14:textId="19359A04" w:rsidR="00C33D20" w:rsidRPr="00DC119D" w:rsidRDefault="006115FE" w:rsidP="006115FE">
            <w:pPr>
              <w:spacing w:after="0" w:line="264" w:lineRule="auto"/>
              <w:contextualSpacing/>
              <w:jc w:val="both"/>
              <w:rPr>
                <w:rFonts w:ascii="Times New Roman" w:hAnsi="Times New Roman" w:cs="Times New Roman"/>
                <w:sz w:val="24"/>
                <w:szCs w:val="24"/>
                <w:lang w:val="en-US"/>
              </w:rPr>
            </w:pPr>
            <w:r>
              <w:rPr>
                <w:rFonts w:ascii="Times New Roman" w:hAnsi="Times New Roman" w:cs="Times New Roman"/>
                <w:sz w:val="24"/>
                <w:szCs w:val="24"/>
              </w:rPr>
              <w:t>Proiectul de lege nu are impact social.</w:t>
            </w:r>
          </w:p>
        </w:tc>
      </w:tr>
      <w:tr w:rsidR="00DC119D" w:rsidRPr="00493123" w14:paraId="11CBBE9D" w14:textId="77777777" w:rsidTr="00B844AA">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65A74D5" w14:textId="77777777" w:rsidR="00DC119D" w:rsidRDefault="00DC119D" w:rsidP="00DC119D">
            <w:pPr>
              <w:spacing w:after="0" w:line="264" w:lineRule="auto"/>
              <w:contextualSpacing/>
              <w:rPr>
                <w:rFonts w:ascii="Times New Roman" w:hAnsi="Times New Roman" w:cs="Times New Roman"/>
                <w:b/>
                <w:bCs/>
                <w:sz w:val="24"/>
                <w:szCs w:val="24"/>
              </w:rPr>
            </w:pPr>
            <w:r w:rsidRPr="00493123">
              <w:rPr>
                <w:rFonts w:ascii="Times New Roman" w:hAnsi="Times New Roman" w:cs="Times New Roman"/>
                <w:b/>
                <w:bCs/>
                <w:sz w:val="24"/>
                <w:szCs w:val="24"/>
              </w:rPr>
              <w:t>4.4.1. Impactul asupra datelor cu caracter personal</w:t>
            </w:r>
          </w:p>
          <w:p w14:paraId="5623E74F" w14:textId="77777777" w:rsidR="006115FE" w:rsidRDefault="006115FE" w:rsidP="00493123">
            <w:pPr>
              <w:spacing w:after="0" w:line="264" w:lineRule="auto"/>
              <w:contextualSpacing/>
              <w:rPr>
                <w:rFonts w:ascii="Times New Roman" w:hAnsi="Times New Roman" w:cs="Times New Roman"/>
                <w:sz w:val="24"/>
                <w:szCs w:val="24"/>
              </w:rPr>
            </w:pPr>
          </w:p>
          <w:p w14:paraId="03092B38" w14:textId="223E9697" w:rsidR="00DC119D" w:rsidRPr="006115FE" w:rsidRDefault="006115FE" w:rsidP="00493123">
            <w:pPr>
              <w:spacing w:after="0" w:line="264" w:lineRule="auto"/>
              <w:contextualSpacing/>
              <w:rPr>
                <w:rFonts w:ascii="Times New Roman" w:hAnsi="Times New Roman" w:cs="Times New Roman"/>
                <w:sz w:val="24"/>
                <w:szCs w:val="24"/>
                <w:lang w:val="en-US"/>
              </w:rPr>
            </w:pPr>
            <w:r>
              <w:rPr>
                <w:rFonts w:ascii="Times New Roman" w:hAnsi="Times New Roman" w:cs="Times New Roman"/>
                <w:sz w:val="24"/>
                <w:szCs w:val="24"/>
              </w:rPr>
              <w:t>Proiectul de lege nu are impact asupra datelor cu caracter personal.</w:t>
            </w:r>
          </w:p>
        </w:tc>
      </w:tr>
      <w:tr w:rsidR="00DC119D" w:rsidRPr="00493123" w14:paraId="3784EB16" w14:textId="77777777" w:rsidTr="00B844AA">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2E2CB4F" w14:textId="77777777" w:rsidR="00DC119D" w:rsidRDefault="00DC119D" w:rsidP="00DC119D">
            <w:pPr>
              <w:spacing w:after="0" w:line="264" w:lineRule="auto"/>
              <w:contextualSpacing/>
              <w:rPr>
                <w:rFonts w:ascii="Times New Roman" w:hAnsi="Times New Roman" w:cs="Times New Roman"/>
                <w:b/>
                <w:bCs/>
                <w:sz w:val="24"/>
                <w:szCs w:val="24"/>
              </w:rPr>
            </w:pPr>
            <w:r w:rsidRPr="00493123">
              <w:rPr>
                <w:rFonts w:ascii="Times New Roman" w:hAnsi="Times New Roman" w:cs="Times New Roman"/>
                <w:b/>
                <w:bCs/>
                <w:sz w:val="24"/>
                <w:szCs w:val="24"/>
              </w:rPr>
              <w:t xml:space="preserve">4.4.2. Impactul asupra </w:t>
            </w:r>
            <w:proofErr w:type="spellStart"/>
            <w:r w:rsidRPr="00493123">
              <w:rPr>
                <w:rFonts w:ascii="Times New Roman" w:hAnsi="Times New Roman" w:cs="Times New Roman"/>
                <w:b/>
                <w:bCs/>
                <w:sz w:val="24"/>
                <w:szCs w:val="24"/>
              </w:rPr>
              <w:t>echităţii</w:t>
            </w:r>
            <w:proofErr w:type="spellEnd"/>
            <w:r w:rsidRPr="00493123">
              <w:rPr>
                <w:rFonts w:ascii="Times New Roman" w:hAnsi="Times New Roman" w:cs="Times New Roman"/>
                <w:b/>
                <w:bCs/>
                <w:sz w:val="24"/>
                <w:szCs w:val="24"/>
              </w:rPr>
              <w:t xml:space="preserve"> </w:t>
            </w:r>
            <w:proofErr w:type="spellStart"/>
            <w:r w:rsidRPr="00493123">
              <w:rPr>
                <w:rFonts w:ascii="Times New Roman" w:hAnsi="Times New Roman" w:cs="Times New Roman"/>
                <w:b/>
                <w:bCs/>
                <w:sz w:val="24"/>
                <w:szCs w:val="24"/>
              </w:rPr>
              <w:t>şi</w:t>
            </w:r>
            <w:proofErr w:type="spellEnd"/>
            <w:r w:rsidRPr="00493123">
              <w:rPr>
                <w:rFonts w:ascii="Times New Roman" w:hAnsi="Times New Roman" w:cs="Times New Roman"/>
                <w:b/>
                <w:bCs/>
                <w:sz w:val="24"/>
                <w:szCs w:val="24"/>
              </w:rPr>
              <w:t xml:space="preserve"> </w:t>
            </w:r>
            <w:proofErr w:type="spellStart"/>
            <w:r w:rsidRPr="00493123">
              <w:rPr>
                <w:rFonts w:ascii="Times New Roman" w:hAnsi="Times New Roman" w:cs="Times New Roman"/>
                <w:b/>
                <w:bCs/>
                <w:sz w:val="24"/>
                <w:szCs w:val="24"/>
              </w:rPr>
              <w:t>egalităţii</w:t>
            </w:r>
            <w:proofErr w:type="spellEnd"/>
            <w:r w:rsidRPr="00493123">
              <w:rPr>
                <w:rFonts w:ascii="Times New Roman" w:hAnsi="Times New Roman" w:cs="Times New Roman"/>
                <w:b/>
                <w:bCs/>
                <w:sz w:val="24"/>
                <w:szCs w:val="24"/>
              </w:rPr>
              <w:t xml:space="preserve"> de gen</w:t>
            </w:r>
          </w:p>
          <w:p w14:paraId="796DB9C4" w14:textId="77777777" w:rsidR="00DC119D" w:rsidRDefault="00DC119D" w:rsidP="00493123">
            <w:pPr>
              <w:spacing w:after="0" w:line="264" w:lineRule="auto"/>
              <w:contextualSpacing/>
              <w:rPr>
                <w:rFonts w:ascii="Times New Roman" w:hAnsi="Times New Roman" w:cs="Times New Roman"/>
                <w:b/>
                <w:bCs/>
                <w:sz w:val="24"/>
                <w:szCs w:val="24"/>
              </w:rPr>
            </w:pPr>
          </w:p>
          <w:p w14:paraId="02093D65" w14:textId="7BD8D427" w:rsidR="00DC119D" w:rsidRPr="00493123" w:rsidRDefault="00B80A3E" w:rsidP="00493123">
            <w:pPr>
              <w:spacing w:after="0" w:line="264" w:lineRule="auto"/>
              <w:contextualSpacing/>
              <w:rPr>
                <w:rFonts w:ascii="Times New Roman" w:hAnsi="Times New Roman" w:cs="Times New Roman"/>
                <w:b/>
                <w:bCs/>
                <w:sz w:val="24"/>
                <w:szCs w:val="24"/>
              </w:rPr>
            </w:pPr>
            <w:r>
              <w:rPr>
                <w:rFonts w:ascii="Times New Roman" w:hAnsi="Times New Roman" w:cs="Times New Roman"/>
                <w:sz w:val="24"/>
                <w:szCs w:val="24"/>
              </w:rPr>
              <w:t>Proiectul de lege nu are impact asupra echității și egalității de gen.</w:t>
            </w:r>
          </w:p>
        </w:tc>
      </w:tr>
      <w:tr w:rsidR="00493123" w:rsidRPr="00493123" w14:paraId="3A4503ED" w14:textId="77777777" w:rsidTr="00B844AA">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809E76A" w14:textId="77777777" w:rsidR="00493123" w:rsidRDefault="00493123" w:rsidP="00493123">
            <w:pPr>
              <w:spacing w:after="0" w:line="264" w:lineRule="auto"/>
              <w:contextualSpacing/>
              <w:rPr>
                <w:rFonts w:ascii="Times New Roman" w:hAnsi="Times New Roman" w:cs="Times New Roman"/>
                <w:b/>
                <w:bCs/>
                <w:sz w:val="24"/>
                <w:szCs w:val="24"/>
              </w:rPr>
            </w:pPr>
            <w:r w:rsidRPr="00493123">
              <w:rPr>
                <w:rFonts w:ascii="Times New Roman" w:hAnsi="Times New Roman" w:cs="Times New Roman"/>
                <w:b/>
                <w:bCs/>
                <w:sz w:val="24"/>
                <w:szCs w:val="24"/>
              </w:rPr>
              <w:t>4.5. Impactul asupra mediului</w:t>
            </w:r>
          </w:p>
          <w:p w14:paraId="212DFC6C" w14:textId="77777777" w:rsidR="00C33D20" w:rsidRDefault="00C33D20" w:rsidP="00493123">
            <w:pPr>
              <w:spacing w:after="0" w:line="264" w:lineRule="auto"/>
              <w:contextualSpacing/>
              <w:rPr>
                <w:rFonts w:ascii="Times New Roman" w:hAnsi="Times New Roman" w:cs="Times New Roman"/>
                <w:b/>
                <w:bCs/>
                <w:sz w:val="24"/>
                <w:szCs w:val="24"/>
              </w:rPr>
            </w:pPr>
          </w:p>
          <w:p w14:paraId="362EBE3D" w14:textId="59FD6126" w:rsidR="009D6A6F" w:rsidRPr="00493123" w:rsidRDefault="009D6A6F" w:rsidP="00493123">
            <w:pPr>
              <w:spacing w:after="0" w:line="264" w:lineRule="auto"/>
              <w:contextualSpacing/>
              <w:rPr>
                <w:rFonts w:ascii="Times New Roman" w:hAnsi="Times New Roman" w:cs="Times New Roman"/>
                <w:b/>
                <w:bCs/>
                <w:sz w:val="24"/>
                <w:szCs w:val="24"/>
              </w:rPr>
            </w:pPr>
            <w:r>
              <w:rPr>
                <w:rFonts w:ascii="Times New Roman" w:hAnsi="Times New Roman" w:cs="Times New Roman"/>
                <w:sz w:val="24"/>
                <w:szCs w:val="24"/>
              </w:rPr>
              <w:t>Proiectul de lege nu are impact asupra mediului.</w:t>
            </w:r>
          </w:p>
        </w:tc>
      </w:tr>
      <w:tr w:rsidR="00493123" w:rsidRPr="00493123" w14:paraId="17B246FC" w14:textId="77777777" w:rsidTr="00B844AA">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9CD3401" w14:textId="77777777" w:rsidR="00493123" w:rsidRDefault="00493123" w:rsidP="00493123">
            <w:pPr>
              <w:spacing w:after="0" w:line="264" w:lineRule="auto"/>
              <w:contextualSpacing/>
              <w:rPr>
                <w:rFonts w:ascii="Times New Roman" w:hAnsi="Times New Roman" w:cs="Times New Roman"/>
                <w:b/>
                <w:bCs/>
                <w:sz w:val="24"/>
                <w:szCs w:val="24"/>
              </w:rPr>
            </w:pPr>
            <w:r w:rsidRPr="00493123">
              <w:rPr>
                <w:rFonts w:ascii="Times New Roman" w:hAnsi="Times New Roman" w:cs="Times New Roman"/>
                <w:b/>
                <w:bCs/>
                <w:sz w:val="24"/>
                <w:szCs w:val="24"/>
              </w:rPr>
              <w:t xml:space="preserve">4.6. Alte impacturi </w:t>
            </w:r>
            <w:proofErr w:type="spellStart"/>
            <w:r w:rsidRPr="00493123">
              <w:rPr>
                <w:rFonts w:ascii="Times New Roman" w:hAnsi="Times New Roman" w:cs="Times New Roman"/>
                <w:b/>
                <w:bCs/>
                <w:sz w:val="24"/>
                <w:szCs w:val="24"/>
              </w:rPr>
              <w:t>şi</w:t>
            </w:r>
            <w:proofErr w:type="spellEnd"/>
            <w:r w:rsidRPr="00493123">
              <w:rPr>
                <w:rFonts w:ascii="Times New Roman" w:hAnsi="Times New Roman" w:cs="Times New Roman"/>
                <w:b/>
                <w:bCs/>
                <w:sz w:val="24"/>
                <w:szCs w:val="24"/>
              </w:rPr>
              <w:t xml:space="preserve"> </w:t>
            </w:r>
            <w:proofErr w:type="spellStart"/>
            <w:r w:rsidRPr="00493123">
              <w:rPr>
                <w:rFonts w:ascii="Times New Roman" w:hAnsi="Times New Roman" w:cs="Times New Roman"/>
                <w:b/>
                <w:bCs/>
                <w:sz w:val="24"/>
                <w:szCs w:val="24"/>
              </w:rPr>
              <w:t>informaţii</w:t>
            </w:r>
            <w:proofErr w:type="spellEnd"/>
            <w:r w:rsidRPr="00493123">
              <w:rPr>
                <w:rFonts w:ascii="Times New Roman" w:hAnsi="Times New Roman" w:cs="Times New Roman"/>
                <w:b/>
                <w:bCs/>
                <w:sz w:val="24"/>
                <w:szCs w:val="24"/>
              </w:rPr>
              <w:t xml:space="preserve"> relevante</w:t>
            </w:r>
          </w:p>
          <w:p w14:paraId="679D8F99" w14:textId="77777777" w:rsidR="00C33D20" w:rsidRDefault="00C33D20" w:rsidP="00493123">
            <w:pPr>
              <w:spacing w:after="0" w:line="264" w:lineRule="auto"/>
              <w:contextualSpacing/>
              <w:rPr>
                <w:rFonts w:ascii="Times New Roman" w:hAnsi="Times New Roman" w:cs="Times New Roman"/>
                <w:b/>
                <w:bCs/>
                <w:sz w:val="24"/>
                <w:szCs w:val="24"/>
              </w:rPr>
            </w:pPr>
          </w:p>
          <w:p w14:paraId="061E7B01" w14:textId="77777777" w:rsidR="00C33D20" w:rsidRDefault="007A0A17" w:rsidP="009911F5">
            <w:pPr>
              <w:spacing w:after="0" w:line="264" w:lineRule="auto"/>
              <w:contextualSpacing/>
              <w:jc w:val="both"/>
              <w:rPr>
                <w:rFonts w:ascii="Times New Roman" w:hAnsi="Times New Roman" w:cs="Times New Roman"/>
                <w:sz w:val="24"/>
                <w:szCs w:val="24"/>
              </w:rPr>
            </w:pPr>
            <w:r w:rsidRPr="007A0A17">
              <w:rPr>
                <w:rFonts w:ascii="Times New Roman" w:hAnsi="Times New Roman" w:cs="Times New Roman"/>
                <w:sz w:val="24"/>
                <w:szCs w:val="24"/>
              </w:rPr>
              <w:t xml:space="preserve">Proiectul de lege va facilita accesul debitorilor viabili la procedura accelerată de restructurare, oferindu-le un cadru mai previzibil și mai rapid pentru negocierea și confirmarea unui plan înainte ca insolvabilitatea să devină inevitabilă. Debitorii vor beneficia de un interval protejat pentru negocieri (inclusiv prin suspendarea executărilor silite) și de continuitatea activității prin limitarea clauzelor contractuale care ar putea bloca imediat funcționarea întreprinderii. Totodată, proiectul </w:t>
            </w:r>
            <w:r w:rsidRPr="007A0A17">
              <w:rPr>
                <w:rFonts w:ascii="Times New Roman" w:hAnsi="Times New Roman" w:cs="Times New Roman"/>
                <w:sz w:val="24"/>
                <w:szCs w:val="24"/>
              </w:rPr>
              <w:lastRenderedPageBreak/>
              <w:t>crește șansele reale de implementare a planului prin clarificarea conținutului acestuia și prin stimularea finanțărilor necesare restructurării, reducând riscurile juridice aferente. În ansamblu, modificările urmăresc salvarea valorii economice a întreprinderilor viabile și evitarea falimentelor evitabile, în beneficiul debitorilor, creditorilor și economiei.</w:t>
            </w:r>
          </w:p>
          <w:p w14:paraId="04B465CE" w14:textId="71A9473A" w:rsidR="00B844AA" w:rsidRPr="009911F5" w:rsidRDefault="00B844AA" w:rsidP="009911F5">
            <w:pPr>
              <w:spacing w:after="0" w:line="264" w:lineRule="auto"/>
              <w:contextualSpacing/>
              <w:jc w:val="both"/>
              <w:rPr>
                <w:rFonts w:ascii="Times New Roman" w:hAnsi="Times New Roman" w:cs="Times New Roman"/>
                <w:sz w:val="24"/>
                <w:szCs w:val="24"/>
              </w:rPr>
            </w:pPr>
          </w:p>
        </w:tc>
      </w:tr>
      <w:tr w:rsidR="00493123" w:rsidRPr="00493123" w14:paraId="08BBAC2B" w14:textId="77777777" w:rsidTr="00B844AA">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6DCA6619" w14:textId="77777777" w:rsidR="00493123" w:rsidRPr="00493123" w:rsidRDefault="00493123" w:rsidP="00493123">
            <w:pPr>
              <w:spacing w:after="0" w:line="264" w:lineRule="auto"/>
              <w:contextualSpacing/>
              <w:rPr>
                <w:rFonts w:ascii="Times New Roman" w:hAnsi="Times New Roman" w:cs="Times New Roman"/>
                <w:b/>
                <w:bCs/>
                <w:sz w:val="24"/>
                <w:szCs w:val="24"/>
              </w:rPr>
            </w:pPr>
            <w:r w:rsidRPr="00493123">
              <w:rPr>
                <w:rFonts w:ascii="Times New Roman" w:hAnsi="Times New Roman" w:cs="Times New Roman"/>
                <w:b/>
                <w:bCs/>
                <w:sz w:val="24"/>
                <w:szCs w:val="24"/>
              </w:rPr>
              <w:lastRenderedPageBreak/>
              <w:t xml:space="preserve">5. Compatibilitatea proiectului actului normativ cu </w:t>
            </w:r>
            <w:proofErr w:type="spellStart"/>
            <w:r w:rsidRPr="00493123">
              <w:rPr>
                <w:rFonts w:ascii="Times New Roman" w:hAnsi="Times New Roman" w:cs="Times New Roman"/>
                <w:b/>
                <w:bCs/>
                <w:sz w:val="24"/>
                <w:szCs w:val="24"/>
              </w:rPr>
              <w:t>legislaţia</w:t>
            </w:r>
            <w:proofErr w:type="spellEnd"/>
            <w:r w:rsidRPr="00493123">
              <w:rPr>
                <w:rFonts w:ascii="Times New Roman" w:hAnsi="Times New Roman" w:cs="Times New Roman"/>
                <w:b/>
                <w:bCs/>
                <w:sz w:val="24"/>
                <w:szCs w:val="24"/>
              </w:rPr>
              <w:t xml:space="preserve"> UE</w:t>
            </w:r>
          </w:p>
        </w:tc>
      </w:tr>
      <w:tr w:rsidR="001D6A79" w:rsidRPr="00493123" w14:paraId="09A0750D" w14:textId="77777777" w:rsidTr="00B844AA">
        <w:tc>
          <w:tcPr>
            <w:tcW w:w="500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98E8A82" w14:textId="77777777" w:rsidR="001D6A79" w:rsidRDefault="001D6A79" w:rsidP="00493123">
            <w:pPr>
              <w:spacing w:after="0" w:line="264" w:lineRule="auto"/>
              <w:contextualSpacing/>
              <w:rPr>
                <w:rFonts w:ascii="Times New Roman" w:hAnsi="Times New Roman" w:cs="Times New Roman"/>
                <w:b/>
                <w:bCs/>
                <w:sz w:val="24"/>
                <w:szCs w:val="24"/>
              </w:rPr>
            </w:pPr>
          </w:p>
          <w:p w14:paraId="6916856F" w14:textId="77777777" w:rsidR="001D6A79" w:rsidRDefault="001D6A79" w:rsidP="001D6A79">
            <w:pPr>
              <w:spacing w:after="0" w:line="264"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Proiectul de lege transpune Directiva (UE) </w:t>
            </w:r>
            <w:r w:rsidRPr="000D7FE1">
              <w:rPr>
                <w:rFonts w:ascii="Times New Roman" w:hAnsi="Times New Roman" w:cs="Times New Roman"/>
                <w:sz w:val="24"/>
                <w:szCs w:val="24"/>
              </w:rPr>
              <w:t>2019/1023</w:t>
            </w:r>
            <w:r>
              <w:rPr>
                <w:rFonts w:ascii="Times New Roman" w:hAnsi="Times New Roman" w:cs="Times New Roman"/>
                <w:sz w:val="24"/>
                <w:szCs w:val="24"/>
              </w:rPr>
              <w:t xml:space="preserve"> </w:t>
            </w:r>
            <w:r w:rsidRPr="00731175">
              <w:rPr>
                <w:rFonts w:ascii="Times New Roman" w:hAnsi="Times New Roman" w:cs="Times New Roman"/>
                <w:sz w:val="24"/>
                <w:szCs w:val="24"/>
              </w:rPr>
              <w:t>a Parlamentului European și a Consiliului din 20 iunie 2019 privind cadrele de restructurare preventivă, remiterea de datorie și decăderile, precum și măsurile de sporire a eficienței procedurilor de restructurare și de insolvență</w:t>
            </w:r>
            <w:r>
              <w:rPr>
                <w:rFonts w:ascii="Times New Roman" w:hAnsi="Times New Roman" w:cs="Times New Roman"/>
                <w:sz w:val="24"/>
                <w:szCs w:val="24"/>
              </w:rPr>
              <w:t>.</w:t>
            </w:r>
          </w:p>
          <w:p w14:paraId="6EFA0BB8" w14:textId="5A617D73" w:rsidR="00B844AA" w:rsidRPr="001D6A79" w:rsidRDefault="00B844AA" w:rsidP="001D6A79">
            <w:pPr>
              <w:spacing w:after="0" w:line="264" w:lineRule="auto"/>
              <w:contextualSpacing/>
              <w:jc w:val="both"/>
              <w:rPr>
                <w:rFonts w:ascii="Times New Roman" w:hAnsi="Times New Roman" w:cs="Times New Roman"/>
                <w:sz w:val="24"/>
                <w:szCs w:val="24"/>
              </w:rPr>
            </w:pPr>
          </w:p>
        </w:tc>
      </w:tr>
      <w:tr w:rsidR="00493123" w:rsidRPr="00493123" w14:paraId="08BEAC64" w14:textId="77777777" w:rsidTr="00B844AA">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8F4F39" w14:textId="77777777" w:rsidR="00493123" w:rsidRDefault="00493123" w:rsidP="00493123">
            <w:pPr>
              <w:spacing w:after="0" w:line="264" w:lineRule="auto"/>
              <w:contextualSpacing/>
              <w:rPr>
                <w:rFonts w:ascii="Times New Roman" w:hAnsi="Times New Roman" w:cs="Times New Roman"/>
                <w:b/>
                <w:bCs/>
                <w:sz w:val="24"/>
                <w:szCs w:val="24"/>
              </w:rPr>
            </w:pPr>
            <w:r w:rsidRPr="00493123">
              <w:rPr>
                <w:rFonts w:ascii="Times New Roman" w:hAnsi="Times New Roman" w:cs="Times New Roman"/>
                <w:b/>
                <w:bCs/>
                <w:sz w:val="24"/>
                <w:szCs w:val="24"/>
              </w:rPr>
              <w:t xml:space="preserve">5.1. Măsuri normative necesare pentru transpunerea actelor juridice ale UE în </w:t>
            </w:r>
            <w:proofErr w:type="spellStart"/>
            <w:r w:rsidRPr="00493123">
              <w:rPr>
                <w:rFonts w:ascii="Times New Roman" w:hAnsi="Times New Roman" w:cs="Times New Roman"/>
                <w:b/>
                <w:bCs/>
                <w:sz w:val="24"/>
                <w:szCs w:val="24"/>
              </w:rPr>
              <w:t>legislaţia</w:t>
            </w:r>
            <w:proofErr w:type="spellEnd"/>
            <w:r w:rsidRPr="00493123">
              <w:rPr>
                <w:rFonts w:ascii="Times New Roman" w:hAnsi="Times New Roman" w:cs="Times New Roman"/>
                <w:b/>
                <w:bCs/>
                <w:sz w:val="24"/>
                <w:szCs w:val="24"/>
              </w:rPr>
              <w:t xml:space="preserve"> </w:t>
            </w:r>
            <w:proofErr w:type="spellStart"/>
            <w:r w:rsidRPr="00493123">
              <w:rPr>
                <w:rFonts w:ascii="Times New Roman" w:hAnsi="Times New Roman" w:cs="Times New Roman"/>
                <w:b/>
                <w:bCs/>
                <w:sz w:val="24"/>
                <w:szCs w:val="24"/>
              </w:rPr>
              <w:t>naţională</w:t>
            </w:r>
            <w:proofErr w:type="spellEnd"/>
          </w:p>
          <w:p w14:paraId="72DD40F9" w14:textId="2D12814D" w:rsidR="00475965" w:rsidRDefault="00475965" w:rsidP="00475965">
            <w:pPr>
              <w:spacing w:after="0" w:line="264" w:lineRule="auto"/>
              <w:jc w:val="both"/>
              <w:rPr>
                <w:rFonts w:ascii="Times New Roman" w:hAnsi="Times New Roman" w:cs="Times New Roman"/>
                <w:sz w:val="24"/>
                <w:szCs w:val="24"/>
              </w:rPr>
            </w:pPr>
          </w:p>
          <w:p w14:paraId="365CCA60" w14:textId="5C44B431" w:rsidR="00177C3F" w:rsidRDefault="00177C3F" w:rsidP="00177C3F">
            <w:pPr>
              <w:pStyle w:val="ListParagraph"/>
              <w:numPr>
                <w:ilvl w:val="0"/>
                <w:numId w:val="2"/>
              </w:numPr>
              <w:spacing w:after="0" w:line="264" w:lineRule="auto"/>
              <w:ind w:left="239" w:hanging="284"/>
              <w:jc w:val="both"/>
              <w:rPr>
                <w:rFonts w:ascii="Times New Roman" w:hAnsi="Times New Roman" w:cs="Times New Roman"/>
                <w:sz w:val="24"/>
                <w:szCs w:val="24"/>
              </w:rPr>
            </w:pPr>
            <w:r w:rsidRPr="00216147">
              <w:rPr>
                <w:rFonts w:ascii="Times New Roman" w:hAnsi="Times New Roman" w:cs="Times New Roman"/>
                <w:sz w:val="24"/>
                <w:szCs w:val="24"/>
                <w:u w:val="single"/>
              </w:rPr>
              <w:t>obiectivele actului juridic al UE</w:t>
            </w:r>
            <w:r>
              <w:rPr>
                <w:rFonts w:ascii="Times New Roman" w:hAnsi="Times New Roman" w:cs="Times New Roman"/>
                <w:sz w:val="24"/>
                <w:szCs w:val="24"/>
              </w:rPr>
              <w:t>:</w:t>
            </w:r>
            <w:r w:rsidR="00216147">
              <w:rPr>
                <w:rFonts w:ascii="Times New Roman" w:hAnsi="Times New Roman" w:cs="Times New Roman"/>
                <w:sz w:val="24"/>
                <w:szCs w:val="24"/>
              </w:rPr>
              <w:t xml:space="preserve"> Potrivit art.1 alin.(1) din Directiva (UE) 2019/1023: ”</w:t>
            </w:r>
            <w:r w:rsidR="00216147" w:rsidRPr="00216147">
              <w:rPr>
                <w:rFonts w:ascii="Times New Roman" w:hAnsi="Times New Roman" w:cs="Times New Roman"/>
                <w:i/>
                <w:iCs/>
                <w:sz w:val="24"/>
                <w:szCs w:val="24"/>
              </w:rPr>
              <w:t>Prezenta directivă stabilește norme cu privire la: (a) cadrele de restructurare preventivă la care pot recurge debitorii aflați în dificultate financiară atunci când există o probabilitate de insolvență, în vederea prevenirii insolvenței și a asigurării viabilității debitorului; (b) procedurile care conduc la remiterea datoriei angajate de întreprinzători insolvenți; și (c) măsurile de sporire a eficienței procedurilor de restructurare, de insolvență și de remitere de datorie</w:t>
            </w:r>
            <w:r w:rsidR="00216147" w:rsidRPr="00216147">
              <w:rPr>
                <w:rFonts w:ascii="Times New Roman" w:hAnsi="Times New Roman" w:cs="Times New Roman"/>
                <w:sz w:val="24"/>
                <w:szCs w:val="24"/>
              </w:rPr>
              <w:t>.</w:t>
            </w:r>
            <w:r w:rsidR="00216147">
              <w:rPr>
                <w:rFonts w:ascii="Times New Roman" w:hAnsi="Times New Roman" w:cs="Times New Roman"/>
                <w:sz w:val="24"/>
                <w:szCs w:val="24"/>
              </w:rPr>
              <w:t>”</w:t>
            </w:r>
          </w:p>
          <w:p w14:paraId="7ECDDD9A" w14:textId="5848E084" w:rsidR="00177C3F" w:rsidRDefault="00177C3F" w:rsidP="00177C3F">
            <w:pPr>
              <w:pStyle w:val="ListParagraph"/>
              <w:numPr>
                <w:ilvl w:val="0"/>
                <w:numId w:val="2"/>
              </w:numPr>
              <w:spacing w:after="0" w:line="264" w:lineRule="auto"/>
              <w:ind w:left="239" w:hanging="284"/>
              <w:jc w:val="both"/>
              <w:rPr>
                <w:rFonts w:ascii="Times New Roman" w:hAnsi="Times New Roman" w:cs="Times New Roman"/>
                <w:sz w:val="24"/>
                <w:szCs w:val="24"/>
              </w:rPr>
            </w:pPr>
            <w:r w:rsidRPr="00216147">
              <w:rPr>
                <w:rFonts w:ascii="Times New Roman" w:hAnsi="Times New Roman" w:cs="Times New Roman"/>
                <w:sz w:val="24"/>
                <w:szCs w:val="24"/>
                <w:u w:val="single"/>
              </w:rPr>
              <w:t>gradul de transpunere a actului juridic al UE</w:t>
            </w:r>
            <w:r>
              <w:rPr>
                <w:rFonts w:ascii="Times New Roman" w:hAnsi="Times New Roman" w:cs="Times New Roman"/>
                <w:sz w:val="24"/>
                <w:szCs w:val="24"/>
              </w:rPr>
              <w:t>:</w:t>
            </w:r>
            <w:r w:rsidR="005B449C">
              <w:rPr>
                <w:rFonts w:ascii="Times New Roman" w:hAnsi="Times New Roman" w:cs="Times New Roman"/>
                <w:sz w:val="24"/>
                <w:szCs w:val="24"/>
              </w:rPr>
              <w:t xml:space="preserve"> Proiectul de lege asigură transpunerea </w:t>
            </w:r>
            <w:r w:rsidR="007771F8">
              <w:rPr>
                <w:rFonts w:ascii="Times New Roman" w:hAnsi="Times New Roman" w:cs="Times New Roman"/>
                <w:sz w:val="24"/>
                <w:szCs w:val="24"/>
              </w:rPr>
              <w:t xml:space="preserve">primară </w:t>
            </w:r>
            <w:r w:rsidR="00EA14B3">
              <w:rPr>
                <w:rFonts w:ascii="Times New Roman" w:hAnsi="Times New Roman" w:cs="Times New Roman"/>
                <w:sz w:val="24"/>
                <w:szCs w:val="24"/>
              </w:rPr>
              <w:t>totală a Directivei (UE) 2019/1023.</w:t>
            </w:r>
          </w:p>
          <w:p w14:paraId="34E240FB" w14:textId="77777777" w:rsidR="00160CC0" w:rsidRDefault="00177C3F" w:rsidP="00D02E62">
            <w:pPr>
              <w:pStyle w:val="ListParagraph"/>
              <w:numPr>
                <w:ilvl w:val="0"/>
                <w:numId w:val="2"/>
              </w:numPr>
              <w:spacing w:after="0" w:line="264" w:lineRule="auto"/>
              <w:ind w:left="239" w:hanging="284"/>
              <w:jc w:val="both"/>
              <w:rPr>
                <w:rFonts w:ascii="Times New Roman" w:hAnsi="Times New Roman" w:cs="Times New Roman"/>
                <w:sz w:val="24"/>
                <w:szCs w:val="24"/>
              </w:rPr>
            </w:pPr>
            <w:r w:rsidRPr="00F83F7B">
              <w:rPr>
                <w:rFonts w:ascii="Times New Roman" w:hAnsi="Times New Roman" w:cs="Times New Roman"/>
                <w:sz w:val="24"/>
                <w:szCs w:val="24"/>
                <w:u w:val="single"/>
              </w:rPr>
              <w:t>argumentarea introducerii unor reglementări care nu sunt prevăzute expres în actul juridic al UE și/sau care depășesc cerințele minime stabilite de acesta</w:t>
            </w:r>
            <w:r>
              <w:rPr>
                <w:rFonts w:ascii="Times New Roman" w:hAnsi="Times New Roman" w:cs="Times New Roman"/>
                <w:sz w:val="24"/>
                <w:szCs w:val="24"/>
              </w:rPr>
              <w:t>:</w:t>
            </w:r>
            <w:r w:rsidR="00D02E62">
              <w:rPr>
                <w:rFonts w:ascii="Times New Roman" w:hAnsi="Times New Roman" w:cs="Times New Roman"/>
                <w:sz w:val="24"/>
                <w:szCs w:val="24"/>
              </w:rPr>
              <w:t xml:space="preserve"> Pentru acest proiect, a fost elaborat tabelul de concordanță care oferă explicații cu privire la această chestiune.</w:t>
            </w:r>
          </w:p>
          <w:p w14:paraId="22C8B46E" w14:textId="2009D94E" w:rsidR="00B844AA" w:rsidRPr="00D02E62" w:rsidRDefault="00B844AA" w:rsidP="00B844AA">
            <w:pPr>
              <w:pStyle w:val="ListParagraph"/>
              <w:spacing w:after="0" w:line="264" w:lineRule="auto"/>
              <w:ind w:left="239"/>
              <w:jc w:val="both"/>
              <w:rPr>
                <w:rFonts w:ascii="Times New Roman" w:hAnsi="Times New Roman" w:cs="Times New Roman"/>
                <w:sz w:val="24"/>
                <w:szCs w:val="24"/>
              </w:rPr>
            </w:pPr>
          </w:p>
        </w:tc>
      </w:tr>
      <w:tr w:rsidR="00493123" w:rsidRPr="00493123" w14:paraId="0877BD68" w14:textId="77777777" w:rsidTr="00B844AA">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D84F955" w14:textId="77777777" w:rsidR="00493123" w:rsidRDefault="00493123" w:rsidP="00493123">
            <w:pPr>
              <w:spacing w:after="0" w:line="264" w:lineRule="auto"/>
              <w:contextualSpacing/>
              <w:rPr>
                <w:rFonts w:ascii="Times New Roman" w:hAnsi="Times New Roman" w:cs="Times New Roman"/>
                <w:b/>
                <w:bCs/>
                <w:sz w:val="24"/>
                <w:szCs w:val="24"/>
              </w:rPr>
            </w:pPr>
            <w:r w:rsidRPr="00493123">
              <w:rPr>
                <w:rFonts w:ascii="Times New Roman" w:hAnsi="Times New Roman" w:cs="Times New Roman"/>
                <w:b/>
                <w:bCs/>
                <w:sz w:val="24"/>
                <w:szCs w:val="24"/>
              </w:rPr>
              <w:t xml:space="preserve">5.2. Măsuri normative care urmăresc crearea cadrului juridic intern necesar pentru implementarea </w:t>
            </w:r>
            <w:proofErr w:type="spellStart"/>
            <w:r w:rsidRPr="00493123">
              <w:rPr>
                <w:rFonts w:ascii="Times New Roman" w:hAnsi="Times New Roman" w:cs="Times New Roman"/>
                <w:b/>
                <w:bCs/>
                <w:sz w:val="24"/>
                <w:szCs w:val="24"/>
              </w:rPr>
              <w:t>legislaţiei</w:t>
            </w:r>
            <w:proofErr w:type="spellEnd"/>
            <w:r w:rsidRPr="00493123">
              <w:rPr>
                <w:rFonts w:ascii="Times New Roman" w:hAnsi="Times New Roman" w:cs="Times New Roman"/>
                <w:b/>
                <w:bCs/>
                <w:sz w:val="24"/>
                <w:szCs w:val="24"/>
              </w:rPr>
              <w:t xml:space="preserve"> UE</w:t>
            </w:r>
          </w:p>
          <w:p w14:paraId="743BD9FD" w14:textId="77777777" w:rsidR="00160CC0" w:rsidRDefault="00160CC0" w:rsidP="00493123">
            <w:pPr>
              <w:spacing w:after="0" w:line="264" w:lineRule="auto"/>
              <w:contextualSpacing/>
              <w:rPr>
                <w:rFonts w:ascii="Times New Roman" w:hAnsi="Times New Roman" w:cs="Times New Roman"/>
                <w:b/>
                <w:bCs/>
                <w:sz w:val="24"/>
                <w:szCs w:val="24"/>
              </w:rPr>
            </w:pPr>
          </w:p>
          <w:p w14:paraId="15E8364C" w14:textId="343E0F11" w:rsidR="002F5CC9" w:rsidRPr="002F5CC9" w:rsidRDefault="002F5CC9" w:rsidP="002F5CC9">
            <w:pPr>
              <w:spacing w:after="0" w:line="264" w:lineRule="auto"/>
              <w:contextualSpacing/>
              <w:jc w:val="both"/>
              <w:rPr>
                <w:rFonts w:ascii="Times New Roman" w:hAnsi="Times New Roman" w:cs="Times New Roman"/>
                <w:sz w:val="24"/>
                <w:szCs w:val="24"/>
              </w:rPr>
            </w:pPr>
            <w:r>
              <w:rPr>
                <w:rFonts w:ascii="Times New Roman" w:hAnsi="Times New Roman" w:cs="Times New Roman"/>
                <w:sz w:val="24"/>
                <w:szCs w:val="24"/>
              </w:rPr>
              <w:t>Se promovează proiectul de lege în vederea implementării legislației UE privind restructurarea preventivă și măsurile de sporire a eficienței acestor proceduri de restructurare.</w:t>
            </w:r>
          </w:p>
        </w:tc>
      </w:tr>
      <w:tr w:rsidR="00493123" w:rsidRPr="00493123" w14:paraId="3674E303" w14:textId="77777777" w:rsidTr="00B844AA">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FB06588" w14:textId="77777777" w:rsidR="00525A30" w:rsidRPr="00200CBE" w:rsidRDefault="00525A30" w:rsidP="00200CBE">
            <w:pPr>
              <w:spacing w:after="0" w:line="264" w:lineRule="auto"/>
              <w:contextualSpacing/>
              <w:jc w:val="both"/>
              <w:rPr>
                <w:rFonts w:ascii="Times New Roman" w:hAnsi="Times New Roman" w:cs="Times New Roman"/>
                <w:sz w:val="24"/>
                <w:szCs w:val="24"/>
                <w:highlight w:val="yellow"/>
              </w:rPr>
            </w:pPr>
          </w:p>
          <w:p w14:paraId="1F9B445F" w14:textId="229AB24D" w:rsidR="00493123" w:rsidRPr="000F23FE" w:rsidRDefault="00693CFD" w:rsidP="00200CBE">
            <w:pPr>
              <w:spacing w:after="0" w:line="264" w:lineRule="auto"/>
              <w:contextualSpacing/>
              <w:jc w:val="both"/>
              <w:rPr>
                <w:rFonts w:ascii="Times New Roman" w:hAnsi="Times New Roman" w:cs="Times New Roman"/>
                <w:sz w:val="24"/>
                <w:szCs w:val="24"/>
              </w:rPr>
            </w:pPr>
            <w:r w:rsidRPr="00200CBE">
              <w:rPr>
                <w:rFonts w:ascii="Times New Roman" w:hAnsi="Times New Roman" w:cs="Times New Roman"/>
                <w:sz w:val="24"/>
                <w:szCs w:val="24"/>
                <w:highlight w:val="yellow"/>
                <w:lang w:val="en-GB"/>
              </w:rPr>
              <w:t>[</w:t>
            </w:r>
            <w:r w:rsidRPr="000F23FE">
              <w:rPr>
                <w:rFonts w:ascii="Times New Roman" w:hAnsi="Times New Roman" w:cs="Times New Roman"/>
                <w:sz w:val="24"/>
                <w:szCs w:val="24"/>
              </w:rPr>
              <w:t>concluziile expertizei de compatibilitate]</w:t>
            </w:r>
          </w:p>
          <w:p w14:paraId="74A9F04E" w14:textId="690FD640" w:rsidR="00200CBE" w:rsidRPr="00200CBE" w:rsidRDefault="00200CBE" w:rsidP="00200CBE">
            <w:pPr>
              <w:spacing w:after="0" w:line="264" w:lineRule="auto"/>
              <w:contextualSpacing/>
              <w:jc w:val="both"/>
              <w:rPr>
                <w:rFonts w:ascii="Times New Roman" w:hAnsi="Times New Roman" w:cs="Times New Roman"/>
                <w:sz w:val="24"/>
                <w:szCs w:val="24"/>
                <w:lang w:val="en-GB"/>
              </w:rPr>
            </w:pPr>
          </w:p>
        </w:tc>
      </w:tr>
      <w:tr w:rsidR="00493123" w:rsidRPr="00493123" w14:paraId="5168619E" w14:textId="77777777" w:rsidTr="00B844AA">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3D35BB8A" w14:textId="77777777" w:rsidR="00493123" w:rsidRPr="00493123" w:rsidRDefault="00493123" w:rsidP="00493123">
            <w:pPr>
              <w:spacing w:after="0" w:line="264" w:lineRule="auto"/>
              <w:contextualSpacing/>
              <w:rPr>
                <w:rFonts w:ascii="Times New Roman" w:hAnsi="Times New Roman" w:cs="Times New Roman"/>
                <w:b/>
                <w:bCs/>
                <w:sz w:val="24"/>
                <w:szCs w:val="24"/>
              </w:rPr>
            </w:pPr>
            <w:r w:rsidRPr="00493123">
              <w:rPr>
                <w:rFonts w:ascii="Times New Roman" w:hAnsi="Times New Roman" w:cs="Times New Roman"/>
                <w:b/>
                <w:bCs/>
                <w:sz w:val="24"/>
                <w:szCs w:val="24"/>
              </w:rPr>
              <w:t xml:space="preserve">6. Avizarea </w:t>
            </w:r>
            <w:proofErr w:type="spellStart"/>
            <w:r w:rsidRPr="00493123">
              <w:rPr>
                <w:rFonts w:ascii="Times New Roman" w:hAnsi="Times New Roman" w:cs="Times New Roman"/>
                <w:b/>
                <w:bCs/>
                <w:sz w:val="24"/>
                <w:szCs w:val="24"/>
              </w:rPr>
              <w:t>şi</w:t>
            </w:r>
            <w:proofErr w:type="spellEnd"/>
            <w:r w:rsidRPr="00493123">
              <w:rPr>
                <w:rFonts w:ascii="Times New Roman" w:hAnsi="Times New Roman" w:cs="Times New Roman"/>
                <w:b/>
                <w:bCs/>
                <w:sz w:val="24"/>
                <w:szCs w:val="24"/>
              </w:rPr>
              <w:t xml:space="preserve"> consultarea publică a proiectului actului normativ</w:t>
            </w:r>
          </w:p>
        </w:tc>
      </w:tr>
      <w:tr w:rsidR="00493123" w:rsidRPr="00493123" w14:paraId="3D12E88A" w14:textId="77777777" w:rsidTr="00B844AA">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1959F1" w14:textId="77777777" w:rsidR="00493123" w:rsidRDefault="00493123" w:rsidP="00493123">
            <w:pPr>
              <w:spacing w:after="0" w:line="264" w:lineRule="auto"/>
              <w:contextualSpacing/>
              <w:rPr>
                <w:rFonts w:ascii="Times New Roman" w:hAnsi="Times New Roman" w:cs="Times New Roman"/>
                <w:b/>
                <w:bCs/>
                <w:sz w:val="24"/>
                <w:szCs w:val="24"/>
              </w:rPr>
            </w:pPr>
            <w:r w:rsidRPr="00493123">
              <w:rPr>
                <w:rFonts w:ascii="Times New Roman" w:hAnsi="Times New Roman" w:cs="Times New Roman"/>
                <w:b/>
                <w:bCs/>
                <w:sz w:val="24"/>
                <w:szCs w:val="24"/>
              </w:rPr>
              <w:t> </w:t>
            </w:r>
          </w:p>
          <w:p w14:paraId="228BC8CF" w14:textId="77777777" w:rsidR="00C33D20" w:rsidRDefault="00CB2E42" w:rsidP="00CB2E42">
            <w:pPr>
              <w:spacing w:after="0" w:line="264" w:lineRule="auto"/>
              <w:contextualSpacing/>
              <w:jc w:val="both"/>
              <w:rPr>
                <w:rFonts w:ascii="Times New Roman" w:hAnsi="Times New Roman" w:cs="Times New Roman"/>
                <w:sz w:val="24"/>
                <w:szCs w:val="24"/>
              </w:rPr>
            </w:pPr>
            <w:r>
              <w:rPr>
                <w:rFonts w:ascii="Times New Roman" w:hAnsi="Times New Roman" w:cs="Times New Roman"/>
                <w:sz w:val="24"/>
                <w:szCs w:val="24"/>
              </w:rPr>
              <w:t>În scopul respectării prevederilor Legii nr.239/2008 privind transparența în procesul decizional, elaborarea prezentului proiect de lege a fost demarată odată cu publica</w:t>
            </w:r>
            <w:r w:rsidR="00C027DE">
              <w:rPr>
                <w:rFonts w:ascii="Times New Roman" w:hAnsi="Times New Roman" w:cs="Times New Roman"/>
                <w:sz w:val="24"/>
                <w:szCs w:val="24"/>
              </w:rPr>
              <w:t xml:space="preserve">rea pe pagina web-oficială a Ministerului Dezvoltării Economice și Digitalizării la compartimentul Transparență Decizională – Anunțuri privind consultări publice și pe platforma </w:t>
            </w:r>
            <w:hyperlink r:id="rId5" w:history="1">
              <w:r w:rsidR="00C027DE" w:rsidRPr="00925660">
                <w:rPr>
                  <w:rStyle w:val="Hyperlink"/>
                  <w:rFonts w:ascii="Times New Roman" w:hAnsi="Times New Roman" w:cs="Times New Roman"/>
                  <w:sz w:val="24"/>
                  <w:szCs w:val="24"/>
                </w:rPr>
                <w:t>www.particip.gov.md</w:t>
              </w:r>
            </w:hyperlink>
            <w:r w:rsidR="00C027DE">
              <w:rPr>
                <w:rFonts w:ascii="Times New Roman" w:hAnsi="Times New Roman" w:cs="Times New Roman"/>
                <w:sz w:val="24"/>
                <w:szCs w:val="24"/>
              </w:rPr>
              <w:t xml:space="preserve"> a anunțului de inițiere prin care se solicită implicarea tuturor subiecților interesați prin prezentarea propunerilor de rigoare asupra proiectului de lege.</w:t>
            </w:r>
          </w:p>
          <w:p w14:paraId="03CBC6FC" w14:textId="77777777" w:rsidR="00C027DE" w:rsidRDefault="00C027DE" w:rsidP="00CB2E42">
            <w:pPr>
              <w:spacing w:after="0" w:line="264" w:lineRule="auto"/>
              <w:contextualSpacing/>
              <w:jc w:val="both"/>
              <w:rPr>
                <w:rFonts w:ascii="Times New Roman" w:hAnsi="Times New Roman" w:cs="Times New Roman"/>
                <w:sz w:val="24"/>
                <w:szCs w:val="24"/>
              </w:rPr>
            </w:pPr>
          </w:p>
          <w:p w14:paraId="468FCE45" w14:textId="77777777" w:rsidR="00C027DE" w:rsidRDefault="001465E4" w:rsidP="00CB2E42">
            <w:pPr>
              <w:spacing w:after="0" w:line="264" w:lineRule="auto"/>
              <w:contextualSpacing/>
              <w:jc w:val="both"/>
              <w:rPr>
                <w:rFonts w:ascii="Times New Roman" w:hAnsi="Times New Roman" w:cs="Times New Roman"/>
                <w:sz w:val="24"/>
                <w:szCs w:val="24"/>
              </w:rPr>
            </w:pPr>
            <w:r>
              <w:rPr>
                <w:rFonts w:ascii="Times New Roman" w:hAnsi="Times New Roman" w:cs="Times New Roman"/>
                <w:sz w:val="24"/>
                <w:szCs w:val="24"/>
              </w:rPr>
              <w:t>Totodată, în temeiul art.</w:t>
            </w:r>
            <w:r w:rsidR="006069DB">
              <w:rPr>
                <w:rFonts w:ascii="Times New Roman" w:hAnsi="Times New Roman" w:cs="Times New Roman"/>
                <w:sz w:val="24"/>
                <w:szCs w:val="24"/>
              </w:rPr>
              <w:t>32</w:t>
            </w:r>
            <w:r>
              <w:rPr>
                <w:rFonts w:ascii="Times New Roman" w:hAnsi="Times New Roman" w:cs="Times New Roman"/>
                <w:sz w:val="24"/>
                <w:szCs w:val="24"/>
              </w:rPr>
              <w:t xml:space="preserve"> </w:t>
            </w:r>
            <w:r w:rsidR="006069DB">
              <w:rPr>
                <w:rFonts w:ascii="Times New Roman" w:hAnsi="Times New Roman" w:cs="Times New Roman"/>
                <w:sz w:val="24"/>
                <w:szCs w:val="24"/>
              </w:rPr>
              <w:t xml:space="preserve">din Legea nr.100/2017 cu privire la actele normative </w:t>
            </w:r>
            <w:r w:rsidR="006069DB" w:rsidRPr="000F23FE">
              <w:rPr>
                <w:rFonts w:ascii="Times New Roman" w:hAnsi="Times New Roman" w:cs="Times New Roman"/>
                <w:sz w:val="24"/>
                <w:szCs w:val="24"/>
              </w:rPr>
              <w:t>proiectul a fost remis pentru avizare către autoritățile interesate</w:t>
            </w:r>
            <w:r w:rsidR="006069DB">
              <w:rPr>
                <w:rFonts w:ascii="Times New Roman" w:hAnsi="Times New Roman" w:cs="Times New Roman"/>
                <w:sz w:val="24"/>
                <w:szCs w:val="24"/>
              </w:rPr>
              <w:t>.</w:t>
            </w:r>
          </w:p>
          <w:p w14:paraId="2C75C4FD" w14:textId="66E3A723" w:rsidR="00B844AA" w:rsidRPr="00CB2E42" w:rsidRDefault="00B844AA" w:rsidP="00CB2E42">
            <w:pPr>
              <w:spacing w:after="0" w:line="264" w:lineRule="auto"/>
              <w:contextualSpacing/>
              <w:jc w:val="both"/>
              <w:rPr>
                <w:rFonts w:ascii="Times New Roman" w:hAnsi="Times New Roman" w:cs="Times New Roman"/>
                <w:sz w:val="24"/>
                <w:szCs w:val="24"/>
              </w:rPr>
            </w:pPr>
          </w:p>
        </w:tc>
      </w:tr>
      <w:tr w:rsidR="00493123" w:rsidRPr="00493123" w14:paraId="710BDAD1" w14:textId="77777777" w:rsidTr="00B844AA">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196FCCAD" w14:textId="77777777" w:rsidR="00493123" w:rsidRPr="00493123" w:rsidRDefault="00493123" w:rsidP="00493123">
            <w:pPr>
              <w:spacing w:after="0" w:line="264" w:lineRule="auto"/>
              <w:contextualSpacing/>
              <w:rPr>
                <w:rFonts w:ascii="Times New Roman" w:hAnsi="Times New Roman" w:cs="Times New Roman"/>
                <w:b/>
                <w:bCs/>
                <w:sz w:val="24"/>
                <w:szCs w:val="24"/>
              </w:rPr>
            </w:pPr>
            <w:r w:rsidRPr="00493123">
              <w:rPr>
                <w:rFonts w:ascii="Times New Roman" w:hAnsi="Times New Roman" w:cs="Times New Roman"/>
                <w:b/>
                <w:bCs/>
                <w:sz w:val="24"/>
                <w:szCs w:val="24"/>
              </w:rPr>
              <w:lastRenderedPageBreak/>
              <w:t>7. Concluziile expertizelor</w:t>
            </w:r>
          </w:p>
        </w:tc>
      </w:tr>
      <w:tr w:rsidR="00493123" w:rsidRPr="00493123" w14:paraId="34F40A9E" w14:textId="77777777" w:rsidTr="00B844AA">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458A56C" w14:textId="77777777" w:rsidR="00C33D20" w:rsidRDefault="00493123" w:rsidP="00493123">
            <w:pPr>
              <w:spacing w:after="0" w:line="264" w:lineRule="auto"/>
              <w:contextualSpacing/>
              <w:rPr>
                <w:rFonts w:ascii="Times New Roman" w:hAnsi="Times New Roman" w:cs="Times New Roman"/>
                <w:b/>
                <w:bCs/>
                <w:sz w:val="24"/>
                <w:szCs w:val="24"/>
              </w:rPr>
            </w:pPr>
            <w:r w:rsidRPr="00493123">
              <w:rPr>
                <w:rFonts w:ascii="Times New Roman" w:hAnsi="Times New Roman" w:cs="Times New Roman"/>
                <w:b/>
                <w:bCs/>
                <w:sz w:val="24"/>
                <w:szCs w:val="24"/>
              </w:rPr>
              <w:t> </w:t>
            </w:r>
          </w:p>
          <w:p w14:paraId="1439BA6F" w14:textId="77777777" w:rsidR="00865660" w:rsidRDefault="00865660" w:rsidP="00865660">
            <w:pPr>
              <w:spacing w:after="0" w:line="264" w:lineRule="auto"/>
              <w:contextualSpacing/>
              <w:jc w:val="both"/>
              <w:rPr>
                <w:rFonts w:ascii="Times New Roman" w:hAnsi="Times New Roman" w:cs="Times New Roman"/>
                <w:sz w:val="24"/>
                <w:szCs w:val="24"/>
              </w:rPr>
            </w:pPr>
            <w:r>
              <w:rPr>
                <w:rFonts w:ascii="Times New Roman" w:hAnsi="Times New Roman" w:cs="Times New Roman"/>
                <w:sz w:val="24"/>
                <w:szCs w:val="24"/>
              </w:rPr>
              <w:t>Proiectul de lege a fost supus expertizei de compatibilitate cu legislația UE, în conformitate cu art.35 al Legii nr.100/2017 cu privire la actele normative</w:t>
            </w:r>
            <w:r w:rsidR="00557D06">
              <w:rPr>
                <w:rFonts w:ascii="Times New Roman" w:hAnsi="Times New Roman" w:cs="Times New Roman"/>
                <w:sz w:val="24"/>
                <w:szCs w:val="24"/>
              </w:rPr>
              <w:t xml:space="preserve">, fiind emisă </w:t>
            </w:r>
            <w:r w:rsidR="00557D06" w:rsidRPr="00A226A9">
              <w:rPr>
                <w:rFonts w:ascii="Times New Roman" w:hAnsi="Times New Roman" w:cs="Times New Roman"/>
                <w:sz w:val="24"/>
                <w:szCs w:val="24"/>
              </w:rPr>
              <w:t>[</w:t>
            </w:r>
            <w:r w:rsidR="00557D06" w:rsidRPr="000F23FE">
              <w:rPr>
                <w:rFonts w:ascii="Times New Roman" w:hAnsi="Times New Roman" w:cs="Times New Roman"/>
                <w:sz w:val="24"/>
                <w:szCs w:val="24"/>
              </w:rPr>
              <w:t>Declarația de compatibilitate]</w:t>
            </w:r>
            <w:r w:rsidR="00557D06">
              <w:rPr>
                <w:rFonts w:ascii="Times New Roman" w:hAnsi="Times New Roman" w:cs="Times New Roman"/>
                <w:sz w:val="24"/>
                <w:szCs w:val="24"/>
              </w:rPr>
              <w:t>.</w:t>
            </w:r>
          </w:p>
          <w:p w14:paraId="161EE940" w14:textId="77777777" w:rsidR="00634E4A" w:rsidRDefault="00634E4A" w:rsidP="00865660">
            <w:pPr>
              <w:spacing w:after="0" w:line="264" w:lineRule="auto"/>
              <w:contextualSpacing/>
              <w:jc w:val="both"/>
              <w:rPr>
                <w:rFonts w:ascii="Times New Roman" w:hAnsi="Times New Roman" w:cs="Times New Roman"/>
                <w:sz w:val="24"/>
                <w:szCs w:val="24"/>
              </w:rPr>
            </w:pPr>
          </w:p>
          <w:p w14:paraId="265C13BC" w14:textId="77777777" w:rsidR="00634E4A" w:rsidRDefault="00634E4A" w:rsidP="00865660">
            <w:pPr>
              <w:spacing w:after="0" w:line="264"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Totodată, conform prevederilor art.36 și 37 din Legea nr.100/2017, proiectul de lege a fost supus </w:t>
            </w:r>
            <w:r w:rsidRPr="000F23FE">
              <w:rPr>
                <w:rFonts w:ascii="Times New Roman" w:hAnsi="Times New Roman" w:cs="Times New Roman"/>
                <w:sz w:val="24"/>
                <w:szCs w:val="24"/>
              </w:rPr>
              <w:t>expertizei anticorupție și expertizei juridice</w:t>
            </w:r>
            <w:r>
              <w:rPr>
                <w:rFonts w:ascii="Times New Roman" w:hAnsi="Times New Roman" w:cs="Times New Roman"/>
                <w:sz w:val="24"/>
                <w:szCs w:val="24"/>
              </w:rPr>
              <w:t>.</w:t>
            </w:r>
          </w:p>
          <w:p w14:paraId="6ED67930" w14:textId="15E8FDC4" w:rsidR="00B844AA" w:rsidRPr="00634E4A" w:rsidRDefault="00B844AA" w:rsidP="00865660">
            <w:pPr>
              <w:spacing w:after="0" w:line="264" w:lineRule="auto"/>
              <w:contextualSpacing/>
              <w:jc w:val="both"/>
              <w:rPr>
                <w:rFonts w:ascii="Times New Roman" w:hAnsi="Times New Roman" w:cs="Times New Roman"/>
                <w:sz w:val="24"/>
                <w:szCs w:val="24"/>
                <w:lang w:val="en-US"/>
              </w:rPr>
            </w:pPr>
          </w:p>
        </w:tc>
      </w:tr>
      <w:tr w:rsidR="00493123" w:rsidRPr="00493123" w14:paraId="178E2468" w14:textId="77777777" w:rsidTr="00B844AA">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114823B2" w14:textId="77777777" w:rsidR="00493123" w:rsidRPr="00493123" w:rsidRDefault="00493123" w:rsidP="00493123">
            <w:pPr>
              <w:spacing w:after="0" w:line="264" w:lineRule="auto"/>
              <w:contextualSpacing/>
              <w:rPr>
                <w:rFonts w:ascii="Times New Roman" w:hAnsi="Times New Roman" w:cs="Times New Roman"/>
                <w:b/>
                <w:bCs/>
                <w:sz w:val="24"/>
                <w:szCs w:val="24"/>
              </w:rPr>
            </w:pPr>
            <w:r w:rsidRPr="00493123">
              <w:rPr>
                <w:rFonts w:ascii="Times New Roman" w:hAnsi="Times New Roman" w:cs="Times New Roman"/>
                <w:b/>
                <w:bCs/>
                <w:sz w:val="24"/>
                <w:szCs w:val="24"/>
              </w:rPr>
              <w:t>8. Modul de încorporare a actului în cadrul normativ existent</w:t>
            </w:r>
          </w:p>
        </w:tc>
      </w:tr>
      <w:tr w:rsidR="00493123" w:rsidRPr="00493123" w14:paraId="720582C9" w14:textId="77777777" w:rsidTr="00B844AA">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DDBD29A" w14:textId="77777777" w:rsidR="00493123" w:rsidRDefault="00493123" w:rsidP="00493123">
            <w:pPr>
              <w:spacing w:after="0" w:line="264" w:lineRule="auto"/>
              <w:contextualSpacing/>
              <w:rPr>
                <w:rFonts w:ascii="Times New Roman" w:hAnsi="Times New Roman" w:cs="Times New Roman"/>
                <w:b/>
                <w:bCs/>
                <w:sz w:val="24"/>
                <w:szCs w:val="24"/>
              </w:rPr>
            </w:pPr>
            <w:r w:rsidRPr="00493123">
              <w:rPr>
                <w:rFonts w:ascii="Times New Roman" w:hAnsi="Times New Roman" w:cs="Times New Roman"/>
                <w:b/>
                <w:bCs/>
                <w:sz w:val="24"/>
                <w:szCs w:val="24"/>
              </w:rPr>
              <w:t> </w:t>
            </w:r>
          </w:p>
          <w:p w14:paraId="4FF96565" w14:textId="77777777" w:rsidR="00C33D20" w:rsidRDefault="004064DD" w:rsidP="004064DD">
            <w:pPr>
              <w:spacing w:after="0" w:line="264"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Adoptarea și punerea în aplicare a prevederilor proiectului impune necesitatea modificării Legii insolvabilității nr.149/2012. </w:t>
            </w:r>
          </w:p>
          <w:p w14:paraId="43175ADC" w14:textId="356DCA5F" w:rsidR="00B844AA" w:rsidRPr="004064DD" w:rsidRDefault="00B844AA" w:rsidP="004064DD">
            <w:pPr>
              <w:spacing w:after="0" w:line="264" w:lineRule="auto"/>
              <w:contextualSpacing/>
              <w:jc w:val="both"/>
              <w:rPr>
                <w:rFonts w:ascii="Times New Roman" w:hAnsi="Times New Roman" w:cs="Times New Roman"/>
                <w:sz w:val="24"/>
                <w:szCs w:val="24"/>
              </w:rPr>
            </w:pPr>
          </w:p>
        </w:tc>
      </w:tr>
      <w:tr w:rsidR="00493123" w:rsidRPr="00493123" w14:paraId="72599779" w14:textId="77777777" w:rsidTr="00B844AA">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4" w:type="dxa"/>
              <w:left w:w="48" w:type="dxa"/>
              <w:bottom w:w="24" w:type="dxa"/>
              <w:right w:w="48" w:type="dxa"/>
            </w:tcMar>
            <w:hideMark/>
          </w:tcPr>
          <w:p w14:paraId="58774331" w14:textId="77777777" w:rsidR="00493123" w:rsidRPr="00493123" w:rsidRDefault="00493123" w:rsidP="00493123">
            <w:pPr>
              <w:spacing w:after="0" w:line="264" w:lineRule="auto"/>
              <w:contextualSpacing/>
              <w:rPr>
                <w:rFonts w:ascii="Times New Roman" w:hAnsi="Times New Roman" w:cs="Times New Roman"/>
                <w:b/>
                <w:bCs/>
                <w:sz w:val="24"/>
                <w:szCs w:val="24"/>
              </w:rPr>
            </w:pPr>
            <w:r w:rsidRPr="00493123">
              <w:rPr>
                <w:rFonts w:ascii="Times New Roman" w:hAnsi="Times New Roman" w:cs="Times New Roman"/>
                <w:b/>
                <w:bCs/>
                <w:sz w:val="24"/>
                <w:szCs w:val="24"/>
              </w:rPr>
              <w:t>9. Măsurile necesare pentru implementarea prevederilor proiectului actului normativ</w:t>
            </w:r>
          </w:p>
        </w:tc>
      </w:tr>
      <w:tr w:rsidR="00493123" w:rsidRPr="00493123" w14:paraId="28D3CFFE" w14:textId="77777777" w:rsidTr="00B844AA">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44A5D0D" w14:textId="77777777" w:rsidR="00493123" w:rsidRDefault="00493123" w:rsidP="00493123">
            <w:pPr>
              <w:spacing w:after="0" w:line="264" w:lineRule="auto"/>
              <w:contextualSpacing/>
              <w:rPr>
                <w:rFonts w:ascii="Times New Roman" w:hAnsi="Times New Roman" w:cs="Times New Roman"/>
                <w:b/>
                <w:bCs/>
                <w:sz w:val="24"/>
                <w:szCs w:val="24"/>
              </w:rPr>
            </w:pPr>
            <w:r w:rsidRPr="00493123">
              <w:rPr>
                <w:rFonts w:ascii="Times New Roman" w:hAnsi="Times New Roman" w:cs="Times New Roman"/>
                <w:b/>
                <w:bCs/>
                <w:sz w:val="24"/>
                <w:szCs w:val="24"/>
              </w:rPr>
              <w:t> </w:t>
            </w:r>
          </w:p>
          <w:p w14:paraId="601DD733" w14:textId="678EEA94" w:rsidR="00C33D20" w:rsidRDefault="006365CB" w:rsidP="00493123">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 xml:space="preserve">Implementarea prevederilor proiectului de lege, și anume a mecanismelor de avertizare timpurie, urmează a fi </w:t>
            </w:r>
            <w:r w:rsidR="00BA6708">
              <w:rPr>
                <w:rFonts w:ascii="Times New Roman" w:hAnsi="Times New Roman" w:cs="Times New Roman"/>
                <w:sz w:val="24"/>
                <w:szCs w:val="24"/>
              </w:rPr>
              <w:t xml:space="preserve">realizată prin </w:t>
            </w:r>
            <w:r>
              <w:rPr>
                <w:rFonts w:ascii="Times New Roman" w:hAnsi="Times New Roman" w:cs="Times New Roman"/>
                <w:sz w:val="24"/>
                <w:szCs w:val="24"/>
              </w:rPr>
              <w:t>elabora</w:t>
            </w:r>
            <w:r w:rsidR="00BA6708">
              <w:rPr>
                <w:rFonts w:ascii="Times New Roman" w:hAnsi="Times New Roman" w:cs="Times New Roman"/>
                <w:sz w:val="24"/>
                <w:szCs w:val="24"/>
              </w:rPr>
              <w:t>rea</w:t>
            </w:r>
            <w:r>
              <w:rPr>
                <w:rFonts w:ascii="Times New Roman" w:hAnsi="Times New Roman" w:cs="Times New Roman"/>
                <w:sz w:val="24"/>
                <w:szCs w:val="24"/>
              </w:rPr>
              <w:t xml:space="preserve"> acte</w:t>
            </w:r>
            <w:r w:rsidR="00BA6708">
              <w:rPr>
                <w:rFonts w:ascii="Times New Roman" w:hAnsi="Times New Roman" w:cs="Times New Roman"/>
                <w:sz w:val="24"/>
                <w:szCs w:val="24"/>
              </w:rPr>
              <w:t>lor</w:t>
            </w:r>
            <w:r>
              <w:rPr>
                <w:rFonts w:ascii="Times New Roman" w:hAnsi="Times New Roman" w:cs="Times New Roman"/>
                <w:sz w:val="24"/>
                <w:szCs w:val="24"/>
              </w:rPr>
              <w:t xml:space="preserve"> care să reglementeze modul de executare a obligațiilor </w:t>
            </w:r>
            <w:r w:rsidR="00CB2283">
              <w:rPr>
                <w:rFonts w:ascii="Times New Roman" w:hAnsi="Times New Roman" w:cs="Times New Roman"/>
                <w:sz w:val="24"/>
                <w:szCs w:val="24"/>
              </w:rPr>
              <w:t>[</w:t>
            </w:r>
            <w:r w:rsidR="00CB2283" w:rsidRPr="00CB2283">
              <w:rPr>
                <w:rFonts w:ascii="Times New Roman" w:hAnsi="Times New Roman" w:cs="Times New Roman"/>
                <w:sz w:val="24"/>
                <w:szCs w:val="24"/>
              </w:rPr>
              <w:t xml:space="preserve">Ministerului Dezvoltării Economice și Digitalizării </w:t>
            </w:r>
            <w:r w:rsidR="00B844AA">
              <w:rPr>
                <w:rFonts w:ascii="Times New Roman" w:hAnsi="Times New Roman" w:cs="Times New Roman"/>
                <w:sz w:val="24"/>
                <w:szCs w:val="24"/>
              </w:rPr>
              <w:t>/</w:t>
            </w:r>
            <w:r w:rsidRPr="00CB2283">
              <w:rPr>
                <w:rFonts w:ascii="Times New Roman" w:hAnsi="Times New Roman" w:cs="Times New Roman"/>
                <w:sz w:val="24"/>
                <w:szCs w:val="24"/>
              </w:rPr>
              <w:t xml:space="preserve"> Organizației pentru Dezvoltarea </w:t>
            </w:r>
            <w:r w:rsidR="00B844AA" w:rsidRPr="00CB2283">
              <w:rPr>
                <w:rFonts w:ascii="Times New Roman" w:hAnsi="Times New Roman" w:cs="Times New Roman"/>
                <w:sz w:val="24"/>
                <w:szCs w:val="24"/>
              </w:rPr>
              <w:t>Antreprenorialului</w:t>
            </w:r>
            <w:r w:rsidR="00CB2283">
              <w:rPr>
                <w:rFonts w:ascii="Times New Roman" w:hAnsi="Times New Roman" w:cs="Times New Roman"/>
                <w:sz w:val="24"/>
                <w:szCs w:val="24"/>
              </w:rPr>
              <w:t>]</w:t>
            </w:r>
            <w:r>
              <w:rPr>
                <w:rFonts w:ascii="Times New Roman" w:hAnsi="Times New Roman" w:cs="Times New Roman"/>
                <w:sz w:val="24"/>
                <w:szCs w:val="24"/>
              </w:rPr>
              <w:t xml:space="preserve"> prevăzute în proiectul de lege.</w:t>
            </w:r>
          </w:p>
          <w:p w14:paraId="7214F3A4" w14:textId="2DB3A717" w:rsidR="00B844AA" w:rsidRPr="00493123" w:rsidRDefault="00B844AA" w:rsidP="00493123">
            <w:pPr>
              <w:spacing w:after="0" w:line="264" w:lineRule="auto"/>
              <w:contextualSpacing/>
              <w:rPr>
                <w:rFonts w:ascii="Times New Roman" w:hAnsi="Times New Roman" w:cs="Times New Roman"/>
                <w:b/>
                <w:bCs/>
                <w:sz w:val="24"/>
                <w:szCs w:val="24"/>
              </w:rPr>
            </w:pPr>
          </w:p>
        </w:tc>
      </w:tr>
    </w:tbl>
    <w:p w14:paraId="5487A501" w14:textId="77777777" w:rsidR="00014377" w:rsidRPr="005E5254" w:rsidRDefault="00014377" w:rsidP="00014377">
      <w:pPr>
        <w:spacing w:after="0" w:line="264" w:lineRule="auto"/>
        <w:contextualSpacing/>
        <w:rPr>
          <w:rFonts w:ascii="Times New Roman" w:hAnsi="Times New Roman" w:cs="Times New Roman"/>
          <w:b/>
          <w:bCs/>
          <w:sz w:val="24"/>
          <w:szCs w:val="24"/>
        </w:rPr>
      </w:pPr>
    </w:p>
    <w:sectPr w:rsidR="00014377" w:rsidRPr="005E5254" w:rsidSect="00A75E2A">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3071"/>
    <w:multiLevelType w:val="hybridMultilevel"/>
    <w:tmpl w:val="6310F72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48D09ED"/>
    <w:multiLevelType w:val="hybridMultilevel"/>
    <w:tmpl w:val="2E5AB730"/>
    <w:lvl w:ilvl="0" w:tplc="A090668A">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6662096"/>
    <w:multiLevelType w:val="hybridMultilevel"/>
    <w:tmpl w:val="B06459B2"/>
    <w:lvl w:ilvl="0" w:tplc="0BB451BA">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13606491">
    <w:abstractNumId w:val="2"/>
  </w:num>
  <w:num w:numId="2" w16cid:durableId="526410732">
    <w:abstractNumId w:val="0"/>
  </w:num>
  <w:num w:numId="3" w16cid:durableId="1466658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BC"/>
    <w:rsid w:val="000032C2"/>
    <w:rsid w:val="0001294D"/>
    <w:rsid w:val="00014377"/>
    <w:rsid w:val="00025065"/>
    <w:rsid w:val="000302DE"/>
    <w:rsid w:val="00037CD4"/>
    <w:rsid w:val="00040A03"/>
    <w:rsid w:val="00054F0A"/>
    <w:rsid w:val="00061959"/>
    <w:rsid w:val="00073834"/>
    <w:rsid w:val="00077397"/>
    <w:rsid w:val="00094B06"/>
    <w:rsid w:val="000A47EA"/>
    <w:rsid w:val="000B380B"/>
    <w:rsid w:val="000D7FE1"/>
    <w:rsid w:val="000E2F91"/>
    <w:rsid w:val="000F23FE"/>
    <w:rsid w:val="000F6A9E"/>
    <w:rsid w:val="00111591"/>
    <w:rsid w:val="0012342D"/>
    <w:rsid w:val="00137524"/>
    <w:rsid w:val="001465E4"/>
    <w:rsid w:val="001555DC"/>
    <w:rsid w:val="00155EB4"/>
    <w:rsid w:val="00160CC0"/>
    <w:rsid w:val="00165377"/>
    <w:rsid w:val="00177C3F"/>
    <w:rsid w:val="001A676A"/>
    <w:rsid w:val="001B06BE"/>
    <w:rsid w:val="001C6965"/>
    <w:rsid w:val="001D3583"/>
    <w:rsid w:val="001D6A79"/>
    <w:rsid w:val="001E5ABA"/>
    <w:rsid w:val="001F3324"/>
    <w:rsid w:val="00200CBE"/>
    <w:rsid w:val="00202164"/>
    <w:rsid w:val="0021070E"/>
    <w:rsid w:val="00214313"/>
    <w:rsid w:val="00216147"/>
    <w:rsid w:val="002315B9"/>
    <w:rsid w:val="00233FBC"/>
    <w:rsid w:val="00235509"/>
    <w:rsid w:val="00242FED"/>
    <w:rsid w:val="00253AD1"/>
    <w:rsid w:val="002544C8"/>
    <w:rsid w:val="00254755"/>
    <w:rsid w:val="00256E67"/>
    <w:rsid w:val="0026264A"/>
    <w:rsid w:val="002747EE"/>
    <w:rsid w:val="00286E07"/>
    <w:rsid w:val="00290F81"/>
    <w:rsid w:val="002B329D"/>
    <w:rsid w:val="002B363D"/>
    <w:rsid w:val="002C7BC8"/>
    <w:rsid w:val="002F1BAD"/>
    <w:rsid w:val="002F5CC9"/>
    <w:rsid w:val="002F697B"/>
    <w:rsid w:val="00304642"/>
    <w:rsid w:val="00307C9C"/>
    <w:rsid w:val="00316D08"/>
    <w:rsid w:val="00321414"/>
    <w:rsid w:val="003241A3"/>
    <w:rsid w:val="0032494C"/>
    <w:rsid w:val="00360910"/>
    <w:rsid w:val="00373ACD"/>
    <w:rsid w:val="00383492"/>
    <w:rsid w:val="00385C51"/>
    <w:rsid w:val="003863B6"/>
    <w:rsid w:val="003A698B"/>
    <w:rsid w:val="003B0290"/>
    <w:rsid w:val="003B4AAF"/>
    <w:rsid w:val="003C1A26"/>
    <w:rsid w:val="003D1E49"/>
    <w:rsid w:val="003F3A0D"/>
    <w:rsid w:val="004064DD"/>
    <w:rsid w:val="00410574"/>
    <w:rsid w:val="00420045"/>
    <w:rsid w:val="004228C5"/>
    <w:rsid w:val="00475965"/>
    <w:rsid w:val="00484EC1"/>
    <w:rsid w:val="00485753"/>
    <w:rsid w:val="004857AB"/>
    <w:rsid w:val="00493123"/>
    <w:rsid w:val="004A2FF3"/>
    <w:rsid w:val="004A5600"/>
    <w:rsid w:val="004C26AB"/>
    <w:rsid w:val="004C5BDD"/>
    <w:rsid w:val="004F3CE5"/>
    <w:rsid w:val="00525A30"/>
    <w:rsid w:val="00532D69"/>
    <w:rsid w:val="005339A4"/>
    <w:rsid w:val="005354B0"/>
    <w:rsid w:val="0054128D"/>
    <w:rsid w:val="00544FBF"/>
    <w:rsid w:val="00551AE1"/>
    <w:rsid w:val="00556EC3"/>
    <w:rsid w:val="00557D06"/>
    <w:rsid w:val="005616FD"/>
    <w:rsid w:val="00573754"/>
    <w:rsid w:val="005750E7"/>
    <w:rsid w:val="00583D77"/>
    <w:rsid w:val="00586113"/>
    <w:rsid w:val="005A7C60"/>
    <w:rsid w:val="005B046A"/>
    <w:rsid w:val="005B449C"/>
    <w:rsid w:val="005B7EFB"/>
    <w:rsid w:val="005C5AE8"/>
    <w:rsid w:val="005E5254"/>
    <w:rsid w:val="005F244F"/>
    <w:rsid w:val="006014D0"/>
    <w:rsid w:val="00602AF3"/>
    <w:rsid w:val="00604E58"/>
    <w:rsid w:val="0060666D"/>
    <w:rsid w:val="006069DB"/>
    <w:rsid w:val="006109A4"/>
    <w:rsid w:val="006115FE"/>
    <w:rsid w:val="006305A5"/>
    <w:rsid w:val="00634E4A"/>
    <w:rsid w:val="006365CB"/>
    <w:rsid w:val="006402A5"/>
    <w:rsid w:val="00641180"/>
    <w:rsid w:val="00646896"/>
    <w:rsid w:val="00647762"/>
    <w:rsid w:val="006521E0"/>
    <w:rsid w:val="006747B6"/>
    <w:rsid w:val="00680307"/>
    <w:rsid w:val="006861AD"/>
    <w:rsid w:val="00690D0F"/>
    <w:rsid w:val="00691CFD"/>
    <w:rsid w:val="00692D7F"/>
    <w:rsid w:val="00693CFD"/>
    <w:rsid w:val="006A13C5"/>
    <w:rsid w:val="006A65D8"/>
    <w:rsid w:val="006E19ED"/>
    <w:rsid w:val="006F1083"/>
    <w:rsid w:val="007010F0"/>
    <w:rsid w:val="00710A8C"/>
    <w:rsid w:val="00731175"/>
    <w:rsid w:val="0073128F"/>
    <w:rsid w:val="00733AB8"/>
    <w:rsid w:val="007608BC"/>
    <w:rsid w:val="00760D1C"/>
    <w:rsid w:val="007619DE"/>
    <w:rsid w:val="00763C4E"/>
    <w:rsid w:val="00765C53"/>
    <w:rsid w:val="00766F00"/>
    <w:rsid w:val="007717FE"/>
    <w:rsid w:val="007723BB"/>
    <w:rsid w:val="007771F8"/>
    <w:rsid w:val="00796FF4"/>
    <w:rsid w:val="007A0A17"/>
    <w:rsid w:val="007B20CB"/>
    <w:rsid w:val="007C25D5"/>
    <w:rsid w:val="007C4AE5"/>
    <w:rsid w:val="007D7D88"/>
    <w:rsid w:val="007E0A7F"/>
    <w:rsid w:val="007E6169"/>
    <w:rsid w:val="007F7928"/>
    <w:rsid w:val="00802252"/>
    <w:rsid w:val="008039D8"/>
    <w:rsid w:val="00805C84"/>
    <w:rsid w:val="00835906"/>
    <w:rsid w:val="008469F6"/>
    <w:rsid w:val="0085368E"/>
    <w:rsid w:val="008545B1"/>
    <w:rsid w:val="008645DD"/>
    <w:rsid w:val="00865660"/>
    <w:rsid w:val="00875FB2"/>
    <w:rsid w:val="00892C21"/>
    <w:rsid w:val="008A429B"/>
    <w:rsid w:val="008A642A"/>
    <w:rsid w:val="008A77B5"/>
    <w:rsid w:val="008C0DB9"/>
    <w:rsid w:val="008D3375"/>
    <w:rsid w:val="008D521D"/>
    <w:rsid w:val="008E25E6"/>
    <w:rsid w:val="008E49BF"/>
    <w:rsid w:val="008E62A1"/>
    <w:rsid w:val="00901731"/>
    <w:rsid w:val="00902129"/>
    <w:rsid w:val="0090503D"/>
    <w:rsid w:val="00911889"/>
    <w:rsid w:val="0091517A"/>
    <w:rsid w:val="0092589C"/>
    <w:rsid w:val="00936668"/>
    <w:rsid w:val="00976188"/>
    <w:rsid w:val="00983257"/>
    <w:rsid w:val="009872FF"/>
    <w:rsid w:val="009911F5"/>
    <w:rsid w:val="00995AB4"/>
    <w:rsid w:val="009A7863"/>
    <w:rsid w:val="009D32E3"/>
    <w:rsid w:val="009D6A6F"/>
    <w:rsid w:val="009E1604"/>
    <w:rsid w:val="00A0147F"/>
    <w:rsid w:val="00A14E63"/>
    <w:rsid w:val="00A220A1"/>
    <w:rsid w:val="00A226A9"/>
    <w:rsid w:val="00A339A9"/>
    <w:rsid w:val="00A42205"/>
    <w:rsid w:val="00A75E2A"/>
    <w:rsid w:val="00A915F4"/>
    <w:rsid w:val="00A95FD4"/>
    <w:rsid w:val="00AD4A4B"/>
    <w:rsid w:val="00AD6546"/>
    <w:rsid w:val="00AE0290"/>
    <w:rsid w:val="00AE044D"/>
    <w:rsid w:val="00AF2007"/>
    <w:rsid w:val="00AF5C2B"/>
    <w:rsid w:val="00AF5D74"/>
    <w:rsid w:val="00B00576"/>
    <w:rsid w:val="00B04556"/>
    <w:rsid w:val="00B054AB"/>
    <w:rsid w:val="00B527DF"/>
    <w:rsid w:val="00B70143"/>
    <w:rsid w:val="00B70C59"/>
    <w:rsid w:val="00B740F6"/>
    <w:rsid w:val="00B80A3E"/>
    <w:rsid w:val="00B844AA"/>
    <w:rsid w:val="00B917A5"/>
    <w:rsid w:val="00B91CEB"/>
    <w:rsid w:val="00BA6708"/>
    <w:rsid w:val="00BF05CB"/>
    <w:rsid w:val="00BF2A3D"/>
    <w:rsid w:val="00BF720E"/>
    <w:rsid w:val="00C00BF3"/>
    <w:rsid w:val="00C01FE7"/>
    <w:rsid w:val="00C027DE"/>
    <w:rsid w:val="00C04030"/>
    <w:rsid w:val="00C0527B"/>
    <w:rsid w:val="00C116DA"/>
    <w:rsid w:val="00C26047"/>
    <w:rsid w:val="00C33D20"/>
    <w:rsid w:val="00C36D65"/>
    <w:rsid w:val="00C45BE9"/>
    <w:rsid w:val="00C5470F"/>
    <w:rsid w:val="00C61D00"/>
    <w:rsid w:val="00C62A0A"/>
    <w:rsid w:val="00C63608"/>
    <w:rsid w:val="00C6621C"/>
    <w:rsid w:val="00C674EC"/>
    <w:rsid w:val="00C76099"/>
    <w:rsid w:val="00C82F88"/>
    <w:rsid w:val="00CB2283"/>
    <w:rsid w:val="00CB2E42"/>
    <w:rsid w:val="00CF08BD"/>
    <w:rsid w:val="00D001B3"/>
    <w:rsid w:val="00D0125C"/>
    <w:rsid w:val="00D02E62"/>
    <w:rsid w:val="00D20480"/>
    <w:rsid w:val="00D36DB0"/>
    <w:rsid w:val="00D419C6"/>
    <w:rsid w:val="00D530AE"/>
    <w:rsid w:val="00D75C32"/>
    <w:rsid w:val="00D871A0"/>
    <w:rsid w:val="00DB23F3"/>
    <w:rsid w:val="00DB2BE1"/>
    <w:rsid w:val="00DB7A65"/>
    <w:rsid w:val="00DC119D"/>
    <w:rsid w:val="00DF03E4"/>
    <w:rsid w:val="00E235D0"/>
    <w:rsid w:val="00E23D6F"/>
    <w:rsid w:val="00E240D9"/>
    <w:rsid w:val="00E3161E"/>
    <w:rsid w:val="00E47920"/>
    <w:rsid w:val="00E6441E"/>
    <w:rsid w:val="00E86815"/>
    <w:rsid w:val="00E94907"/>
    <w:rsid w:val="00EA14B3"/>
    <w:rsid w:val="00EA359E"/>
    <w:rsid w:val="00EB6214"/>
    <w:rsid w:val="00EC738E"/>
    <w:rsid w:val="00ED0137"/>
    <w:rsid w:val="00EE71C5"/>
    <w:rsid w:val="00EF2718"/>
    <w:rsid w:val="00F20010"/>
    <w:rsid w:val="00F2739E"/>
    <w:rsid w:val="00F32E65"/>
    <w:rsid w:val="00F34987"/>
    <w:rsid w:val="00F54AE2"/>
    <w:rsid w:val="00F83F7B"/>
    <w:rsid w:val="00F964C6"/>
    <w:rsid w:val="00FA1343"/>
    <w:rsid w:val="00FE25F7"/>
    <w:rsid w:val="00FE71DD"/>
    <w:rsid w:val="00FF4C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79603"/>
  <w15:chartTrackingRefBased/>
  <w15:docId w15:val="{6F7BBFB4-F705-4F0A-AE49-FB454A0A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AD1"/>
    <w:pPr>
      <w:ind w:left="720"/>
      <w:contextualSpacing/>
    </w:pPr>
  </w:style>
  <w:style w:type="character" w:styleId="Hyperlink">
    <w:name w:val="Hyperlink"/>
    <w:basedOn w:val="DefaultParagraphFont"/>
    <w:uiPriority w:val="99"/>
    <w:unhideWhenUsed/>
    <w:rsid w:val="00C027DE"/>
    <w:rPr>
      <w:color w:val="0563C1" w:themeColor="hyperlink"/>
      <w:u w:val="single"/>
    </w:rPr>
  </w:style>
  <w:style w:type="character" w:styleId="UnresolvedMention">
    <w:name w:val="Unresolved Mention"/>
    <w:basedOn w:val="DefaultParagraphFont"/>
    <w:uiPriority w:val="99"/>
    <w:semiHidden/>
    <w:unhideWhenUsed/>
    <w:rsid w:val="00C02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264552">
      <w:bodyDiv w:val="1"/>
      <w:marLeft w:val="0"/>
      <w:marRight w:val="0"/>
      <w:marTop w:val="0"/>
      <w:marBottom w:val="0"/>
      <w:divBdr>
        <w:top w:val="none" w:sz="0" w:space="0" w:color="auto"/>
        <w:left w:val="none" w:sz="0" w:space="0" w:color="auto"/>
        <w:bottom w:val="none" w:sz="0" w:space="0" w:color="auto"/>
        <w:right w:val="none" w:sz="0" w:space="0" w:color="auto"/>
      </w:divBdr>
    </w:div>
    <w:div w:id="581910476">
      <w:bodyDiv w:val="1"/>
      <w:marLeft w:val="0"/>
      <w:marRight w:val="0"/>
      <w:marTop w:val="0"/>
      <w:marBottom w:val="0"/>
      <w:divBdr>
        <w:top w:val="none" w:sz="0" w:space="0" w:color="auto"/>
        <w:left w:val="none" w:sz="0" w:space="0" w:color="auto"/>
        <w:bottom w:val="none" w:sz="0" w:space="0" w:color="auto"/>
        <w:right w:val="none" w:sz="0" w:space="0" w:color="auto"/>
      </w:divBdr>
    </w:div>
    <w:div w:id="895237425">
      <w:bodyDiv w:val="1"/>
      <w:marLeft w:val="0"/>
      <w:marRight w:val="0"/>
      <w:marTop w:val="0"/>
      <w:marBottom w:val="0"/>
      <w:divBdr>
        <w:top w:val="none" w:sz="0" w:space="0" w:color="auto"/>
        <w:left w:val="none" w:sz="0" w:space="0" w:color="auto"/>
        <w:bottom w:val="none" w:sz="0" w:space="0" w:color="auto"/>
        <w:right w:val="none" w:sz="0" w:space="0" w:color="auto"/>
      </w:divBdr>
    </w:div>
    <w:div w:id="2036156807">
      <w:bodyDiv w:val="1"/>
      <w:marLeft w:val="0"/>
      <w:marRight w:val="0"/>
      <w:marTop w:val="0"/>
      <w:marBottom w:val="0"/>
      <w:divBdr>
        <w:top w:val="none" w:sz="0" w:space="0" w:color="auto"/>
        <w:left w:val="none" w:sz="0" w:space="0" w:color="auto"/>
        <w:bottom w:val="none" w:sz="0" w:space="0" w:color="auto"/>
        <w:right w:val="none" w:sz="0" w:space="0" w:color="auto"/>
      </w:divBdr>
      <w:divsChild>
        <w:div w:id="1990746182">
          <w:marLeft w:val="0"/>
          <w:marRight w:val="0"/>
          <w:marTop w:val="0"/>
          <w:marBottom w:val="0"/>
          <w:divBdr>
            <w:top w:val="none" w:sz="0" w:space="0" w:color="auto"/>
            <w:left w:val="none" w:sz="0" w:space="0" w:color="auto"/>
            <w:bottom w:val="none" w:sz="0" w:space="0" w:color="auto"/>
            <w:right w:val="none" w:sz="0" w:space="0" w:color="auto"/>
          </w:divBdr>
          <w:divsChild>
            <w:div w:id="806513428">
              <w:marLeft w:val="0"/>
              <w:marRight w:val="0"/>
              <w:marTop w:val="0"/>
              <w:marBottom w:val="0"/>
              <w:divBdr>
                <w:top w:val="none" w:sz="0" w:space="0" w:color="auto"/>
                <w:left w:val="none" w:sz="0" w:space="0" w:color="auto"/>
                <w:bottom w:val="none" w:sz="0" w:space="0" w:color="auto"/>
                <w:right w:val="none" w:sz="0" w:space="0" w:color="auto"/>
              </w:divBdr>
              <w:divsChild>
                <w:div w:id="1166551401">
                  <w:marLeft w:val="0"/>
                  <w:marRight w:val="0"/>
                  <w:marTop w:val="0"/>
                  <w:marBottom w:val="0"/>
                  <w:divBdr>
                    <w:top w:val="none" w:sz="0" w:space="0" w:color="auto"/>
                    <w:left w:val="none" w:sz="0" w:space="0" w:color="auto"/>
                    <w:bottom w:val="none" w:sz="0" w:space="0" w:color="auto"/>
                    <w:right w:val="none" w:sz="0" w:space="0" w:color="auto"/>
                  </w:divBdr>
                  <w:divsChild>
                    <w:div w:id="423770391">
                      <w:marLeft w:val="0"/>
                      <w:marRight w:val="0"/>
                      <w:marTop w:val="0"/>
                      <w:marBottom w:val="0"/>
                      <w:divBdr>
                        <w:top w:val="none" w:sz="0" w:space="0" w:color="auto"/>
                        <w:left w:val="none" w:sz="0" w:space="0" w:color="auto"/>
                        <w:bottom w:val="none" w:sz="0" w:space="0" w:color="auto"/>
                        <w:right w:val="none" w:sz="0" w:space="0" w:color="auto"/>
                      </w:divBdr>
                      <w:divsChild>
                        <w:div w:id="602959997">
                          <w:marLeft w:val="0"/>
                          <w:marRight w:val="0"/>
                          <w:marTop w:val="0"/>
                          <w:marBottom w:val="0"/>
                          <w:divBdr>
                            <w:top w:val="none" w:sz="0" w:space="0" w:color="auto"/>
                            <w:left w:val="none" w:sz="0" w:space="0" w:color="auto"/>
                            <w:bottom w:val="none" w:sz="0" w:space="0" w:color="auto"/>
                            <w:right w:val="none" w:sz="0" w:space="0" w:color="auto"/>
                          </w:divBdr>
                          <w:divsChild>
                            <w:div w:id="758139473">
                              <w:marLeft w:val="0"/>
                              <w:marRight w:val="0"/>
                              <w:marTop w:val="0"/>
                              <w:marBottom w:val="0"/>
                              <w:divBdr>
                                <w:top w:val="none" w:sz="0" w:space="0" w:color="auto"/>
                                <w:left w:val="none" w:sz="0" w:space="0" w:color="auto"/>
                                <w:bottom w:val="none" w:sz="0" w:space="0" w:color="auto"/>
                                <w:right w:val="none" w:sz="0" w:space="0" w:color="auto"/>
                              </w:divBdr>
                              <w:divsChild>
                                <w:div w:id="10332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rticip.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4036</Words>
  <Characters>23009</Characters>
  <Application>Microsoft Office Word</Application>
  <DocSecurity>0</DocSecurity>
  <Lines>191</Lines>
  <Paragraphs>53</Paragraphs>
  <ScaleCrop>false</ScaleCrop>
  <Company/>
  <LinksUpToDate>false</LinksUpToDate>
  <CharactersWithSpaces>26992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dc:creator>
  <cp:keywords/>
  <dc:description/>
  <cp:lastModifiedBy>Olga Ceban</cp:lastModifiedBy>
  <cp:revision>5</cp:revision>
  <dcterms:created xsi:type="dcterms:W3CDTF">2026-03-30T13:48:00Z</dcterms:created>
  <dcterms:modified xsi:type="dcterms:W3CDTF">2026-03-30T14:25:00Z</dcterms:modified>
</cp:coreProperties>
</file>