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807FE0"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rPr>
      </w:pPr>
      <w:r w:rsidRPr="00807FE0">
        <w:rPr>
          <w:b/>
          <w:sz w:val="26"/>
          <w:szCs w:val="26"/>
        </w:rPr>
        <w:t>SINTEZA</w:t>
      </w:r>
    </w:p>
    <w:p w14:paraId="3F88CE31" w14:textId="2A5C2F59" w:rsidR="003D16A1" w:rsidRPr="00807FE0" w:rsidRDefault="00D238D8" w:rsidP="003D16A1">
      <w:pPr>
        <w:tabs>
          <w:tab w:val="left" w:pos="1254"/>
        </w:tabs>
        <w:spacing w:line="276" w:lineRule="auto"/>
        <w:ind w:firstLine="0"/>
        <w:jc w:val="center"/>
        <w:rPr>
          <w:b/>
          <w:bCs/>
          <w:color w:val="000000"/>
          <w:sz w:val="26"/>
          <w:szCs w:val="26"/>
          <w:lang w:val="ro-MD" w:eastAsia="ru-RU"/>
        </w:rPr>
      </w:pPr>
      <w:r>
        <w:rPr>
          <w:b/>
          <w:bCs/>
          <w:color w:val="000000"/>
          <w:sz w:val="26"/>
          <w:szCs w:val="26"/>
          <w:lang w:eastAsia="ru-RU"/>
        </w:rPr>
        <w:t xml:space="preserve">La </w:t>
      </w:r>
      <w:r w:rsidR="001A22EF" w:rsidRPr="00807FE0">
        <w:rPr>
          <w:b/>
          <w:bCs/>
          <w:color w:val="000000"/>
          <w:sz w:val="26"/>
          <w:szCs w:val="26"/>
          <w:lang w:eastAsia="ru-RU"/>
        </w:rPr>
        <w:t xml:space="preserve">proiectului hotărârii de Guvern pentru modificarea </w:t>
      </w:r>
      <w:r w:rsidR="003D16A1" w:rsidRPr="00807FE0">
        <w:rPr>
          <w:b/>
          <w:bCs/>
          <w:color w:val="000000"/>
          <w:sz w:val="26"/>
          <w:szCs w:val="26"/>
          <w:lang w:val="ro-MD" w:eastAsia="ru-RU"/>
        </w:rPr>
        <w:t xml:space="preserve">unor hotărâri ale Guvernului </w:t>
      </w:r>
    </w:p>
    <w:p w14:paraId="2265058B" w14:textId="0355E0D0" w:rsidR="008B4BE6" w:rsidRPr="00807FE0" w:rsidRDefault="003D16A1" w:rsidP="003D16A1">
      <w:pPr>
        <w:tabs>
          <w:tab w:val="left" w:pos="1254"/>
        </w:tabs>
        <w:spacing w:line="276" w:lineRule="auto"/>
        <w:ind w:firstLine="0"/>
        <w:jc w:val="center"/>
        <w:rPr>
          <w:sz w:val="26"/>
          <w:szCs w:val="26"/>
        </w:rPr>
      </w:pPr>
      <w:r w:rsidRPr="00807FE0">
        <w:rPr>
          <w:b/>
          <w:bCs/>
          <w:color w:val="000000"/>
          <w:sz w:val="26"/>
          <w:szCs w:val="26"/>
          <w:lang w:val="ro-MD" w:eastAsia="ru-RU"/>
        </w:rPr>
        <w:t xml:space="preserve">(consolidarea centrelor de date și utilizarea platformei tehnologice guvernamentale comune </w:t>
      </w:r>
      <w:proofErr w:type="spellStart"/>
      <w:r w:rsidRPr="00807FE0">
        <w:rPr>
          <w:b/>
          <w:bCs/>
          <w:color w:val="000000"/>
          <w:sz w:val="26"/>
          <w:szCs w:val="26"/>
          <w:lang w:val="ro-MD" w:eastAsia="ru-RU"/>
        </w:rPr>
        <w:t>MCloud</w:t>
      </w:r>
      <w:proofErr w:type="spellEnd"/>
      <w:r w:rsidRPr="00807FE0">
        <w:rPr>
          <w:b/>
          <w:bCs/>
          <w:color w:val="000000"/>
          <w:sz w:val="26"/>
          <w:szCs w:val="26"/>
          <w:lang w:val="ro-MD" w:eastAsia="ru-RU"/>
        </w:rPr>
        <w:t>)</w:t>
      </w:r>
    </w:p>
    <w:tbl>
      <w:tblPr>
        <w:tblStyle w:val="Tabelgril"/>
        <w:tblpPr w:leftFromText="180" w:rightFromText="180" w:vertAnchor="text" w:tblpY="1"/>
        <w:tblOverlap w:val="never"/>
        <w:tblW w:w="1456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89"/>
        <w:gridCol w:w="1090"/>
        <w:gridCol w:w="6105"/>
        <w:gridCol w:w="4450"/>
        <w:gridCol w:w="29"/>
      </w:tblGrid>
      <w:tr w:rsidR="006D3EB7" w:rsidRPr="00807FE0" w14:paraId="165C98F0" w14:textId="77777777" w:rsidTr="00E34DD3">
        <w:trPr>
          <w:gridAfter w:val="1"/>
          <w:wAfter w:w="29" w:type="dxa"/>
        </w:trPr>
        <w:tc>
          <w:tcPr>
            <w:tcW w:w="2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807FE0" w:rsidRDefault="006933C3" w:rsidP="00E34DD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6"/>
                <w:szCs w:val="26"/>
              </w:rPr>
            </w:pPr>
            <w:r w:rsidRPr="00807FE0">
              <w:rPr>
                <w:rFonts w:ascii="Times New Roman" w:hAnsi="Times New Roman"/>
                <w:b/>
                <w:sz w:val="26"/>
                <w:szCs w:val="26"/>
              </w:rPr>
              <w:t>Participantul</w:t>
            </w:r>
            <w:r w:rsidR="00032B46" w:rsidRPr="00807FE0">
              <w:rPr>
                <w:rFonts w:ascii="Times New Roman" w:hAnsi="Times New Roman"/>
                <w:b/>
                <w:sz w:val="26"/>
                <w:szCs w:val="26"/>
              </w:rPr>
              <w:t xml:space="preserve"> </w:t>
            </w:r>
            <w:r w:rsidRPr="00807FE0">
              <w:rPr>
                <w:rFonts w:ascii="Times New Roman" w:hAnsi="Times New Roman"/>
                <w:b/>
                <w:sz w:val="26"/>
                <w:szCs w:val="26"/>
              </w:rPr>
              <w:t>la</w:t>
            </w:r>
            <w:r w:rsidR="00032B46" w:rsidRPr="00807FE0">
              <w:rPr>
                <w:rFonts w:ascii="Times New Roman" w:hAnsi="Times New Roman"/>
                <w:b/>
                <w:sz w:val="26"/>
                <w:szCs w:val="26"/>
              </w:rPr>
              <w:t xml:space="preserve"> </w:t>
            </w:r>
            <w:r w:rsidRPr="00807FE0">
              <w:rPr>
                <w:rFonts w:ascii="Times New Roman" w:hAnsi="Times New Roman"/>
                <w:b/>
                <w:sz w:val="26"/>
                <w:szCs w:val="26"/>
              </w:rPr>
              <w:t>avizare,</w:t>
            </w:r>
            <w:r w:rsidR="00032B46" w:rsidRPr="00807FE0">
              <w:rPr>
                <w:rFonts w:ascii="Times New Roman" w:hAnsi="Times New Roman"/>
                <w:b/>
                <w:sz w:val="26"/>
                <w:szCs w:val="26"/>
              </w:rPr>
              <w:t xml:space="preserve"> </w:t>
            </w:r>
            <w:r w:rsidRPr="00807FE0">
              <w:rPr>
                <w:rFonts w:ascii="Times New Roman" w:hAnsi="Times New Roman"/>
                <w:b/>
                <w:sz w:val="26"/>
                <w:szCs w:val="26"/>
              </w:rPr>
              <w:t>consultare</w:t>
            </w:r>
            <w:r w:rsidR="00032B46" w:rsidRPr="00807FE0">
              <w:rPr>
                <w:rFonts w:ascii="Times New Roman" w:hAnsi="Times New Roman"/>
                <w:b/>
                <w:sz w:val="26"/>
                <w:szCs w:val="26"/>
              </w:rPr>
              <w:t xml:space="preserve"> </w:t>
            </w:r>
            <w:r w:rsidRPr="00807FE0">
              <w:rPr>
                <w:rFonts w:ascii="Times New Roman" w:hAnsi="Times New Roman"/>
                <w:b/>
                <w:sz w:val="26"/>
                <w:szCs w:val="26"/>
              </w:rPr>
              <w:t>publică,</w:t>
            </w:r>
            <w:r w:rsidR="00032B46" w:rsidRPr="00807FE0">
              <w:rPr>
                <w:rFonts w:ascii="Times New Roman" w:hAnsi="Times New Roman"/>
                <w:b/>
                <w:sz w:val="26"/>
                <w:szCs w:val="26"/>
              </w:rPr>
              <w:t xml:space="preserve"> </w:t>
            </w:r>
            <w:r w:rsidRPr="00807FE0">
              <w:rPr>
                <w:rFonts w:ascii="Times New Roman" w:hAnsi="Times New Roman"/>
                <w:b/>
                <w:sz w:val="26"/>
                <w:szCs w:val="26"/>
              </w:rPr>
              <w:t>expertizare</w:t>
            </w:r>
          </w:p>
        </w:tc>
        <w:tc>
          <w:tcPr>
            <w:tcW w:w="109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807FE0" w:rsidRDefault="006933C3" w:rsidP="00E34DD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6"/>
                <w:szCs w:val="26"/>
              </w:rPr>
            </w:pPr>
            <w:r w:rsidRPr="00807FE0">
              <w:rPr>
                <w:rFonts w:ascii="Times New Roman" w:hAnsi="Times New Roman"/>
                <w:b/>
                <w:sz w:val="26"/>
                <w:szCs w:val="26"/>
              </w:rPr>
              <w:t>Nr.</w:t>
            </w:r>
            <w:r w:rsidR="00032B46" w:rsidRPr="00807FE0">
              <w:rPr>
                <w:rFonts w:ascii="Times New Roman" w:hAnsi="Times New Roman"/>
                <w:b/>
                <w:sz w:val="26"/>
                <w:szCs w:val="26"/>
              </w:rPr>
              <w:t xml:space="preserve"> </w:t>
            </w:r>
            <w:r w:rsidR="00BA5B5B" w:rsidRPr="00807FE0">
              <w:rPr>
                <w:rFonts w:ascii="Times New Roman" w:hAnsi="Times New Roman"/>
                <w:b/>
                <w:sz w:val="26"/>
                <w:szCs w:val="26"/>
              </w:rPr>
              <w:t>crt.</w:t>
            </w:r>
          </w:p>
        </w:tc>
        <w:tc>
          <w:tcPr>
            <w:tcW w:w="61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807FE0" w:rsidRDefault="006933C3" w:rsidP="00E34DD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6"/>
                <w:szCs w:val="26"/>
              </w:rPr>
            </w:pPr>
            <w:r w:rsidRPr="00807FE0">
              <w:rPr>
                <w:rFonts w:ascii="Times New Roman" w:hAnsi="Times New Roman"/>
                <w:b/>
                <w:sz w:val="26"/>
                <w:szCs w:val="26"/>
              </w:rPr>
              <w:t>Con</w:t>
            </w:r>
            <w:r w:rsidR="00863417" w:rsidRPr="00807FE0">
              <w:rPr>
                <w:rFonts w:ascii="Times New Roman" w:hAnsi="Times New Roman"/>
                <w:b/>
                <w:sz w:val="26"/>
                <w:szCs w:val="26"/>
              </w:rPr>
              <w:t>ț</w:t>
            </w:r>
            <w:r w:rsidRPr="00807FE0">
              <w:rPr>
                <w:rFonts w:ascii="Times New Roman" w:hAnsi="Times New Roman"/>
                <w:b/>
                <w:sz w:val="26"/>
                <w:szCs w:val="26"/>
              </w:rPr>
              <w:t>inutul</w:t>
            </w:r>
            <w:r w:rsidR="00032B46" w:rsidRPr="00807FE0">
              <w:rPr>
                <w:rFonts w:ascii="Times New Roman" w:hAnsi="Times New Roman"/>
                <w:b/>
                <w:sz w:val="26"/>
                <w:szCs w:val="26"/>
              </w:rPr>
              <w:t xml:space="preserve"> </w:t>
            </w:r>
            <w:r w:rsidRPr="00807FE0">
              <w:rPr>
                <w:rFonts w:ascii="Times New Roman" w:hAnsi="Times New Roman"/>
                <w:b/>
                <w:sz w:val="26"/>
                <w:szCs w:val="26"/>
              </w:rPr>
              <w:t>obiec</w:t>
            </w:r>
            <w:r w:rsidR="00863417" w:rsidRPr="00807FE0">
              <w:rPr>
                <w:rFonts w:ascii="Times New Roman" w:hAnsi="Times New Roman"/>
                <w:b/>
                <w:sz w:val="26"/>
                <w:szCs w:val="26"/>
              </w:rPr>
              <w:t>ț</w:t>
            </w:r>
            <w:r w:rsidRPr="00807FE0">
              <w:rPr>
                <w:rFonts w:ascii="Times New Roman" w:hAnsi="Times New Roman"/>
                <w:b/>
                <w:sz w:val="26"/>
                <w:szCs w:val="26"/>
              </w:rPr>
              <w:t>iei,</w:t>
            </w:r>
          </w:p>
          <w:p w14:paraId="055FB5F6" w14:textId="56D3CBFA" w:rsidR="008B4BE6" w:rsidRPr="00807FE0" w:rsidRDefault="006933C3" w:rsidP="00E34DD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6"/>
                <w:szCs w:val="26"/>
              </w:rPr>
            </w:pPr>
            <w:r w:rsidRPr="00807FE0">
              <w:rPr>
                <w:rFonts w:ascii="Times New Roman" w:hAnsi="Times New Roman"/>
                <w:b/>
                <w:sz w:val="26"/>
                <w:szCs w:val="26"/>
              </w:rPr>
              <w:t>propunerii,</w:t>
            </w:r>
            <w:r w:rsidR="00032B46" w:rsidRPr="00807FE0">
              <w:rPr>
                <w:rFonts w:ascii="Times New Roman" w:hAnsi="Times New Roman"/>
                <w:b/>
                <w:sz w:val="26"/>
                <w:szCs w:val="26"/>
              </w:rPr>
              <w:t xml:space="preserve"> </w:t>
            </w:r>
            <w:r w:rsidRPr="00807FE0">
              <w:rPr>
                <w:rFonts w:ascii="Times New Roman" w:hAnsi="Times New Roman"/>
                <w:b/>
                <w:sz w:val="26"/>
                <w:szCs w:val="26"/>
              </w:rPr>
              <w:t>recomandării,</w:t>
            </w:r>
            <w:r w:rsidR="00032B46" w:rsidRPr="00807FE0">
              <w:rPr>
                <w:rFonts w:ascii="Times New Roman" w:hAnsi="Times New Roman"/>
                <w:b/>
                <w:sz w:val="26"/>
                <w:szCs w:val="26"/>
              </w:rPr>
              <w:t xml:space="preserve"> </w:t>
            </w:r>
            <w:r w:rsidRPr="00807FE0">
              <w:rPr>
                <w:rFonts w:ascii="Times New Roman" w:hAnsi="Times New Roman"/>
                <w:b/>
                <w:sz w:val="26"/>
                <w:szCs w:val="26"/>
              </w:rPr>
              <w:t>concluziei</w:t>
            </w:r>
          </w:p>
        </w:tc>
        <w:tc>
          <w:tcPr>
            <w:tcW w:w="445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18E8C3BC" w:rsidR="008B4BE6" w:rsidRPr="00807FE0" w:rsidRDefault="008A48C4" w:rsidP="00E34DD3">
            <w:pPr>
              <w:pBdr>
                <w:top w:val="none" w:sz="4" w:space="0" w:color="000000"/>
                <w:left w:val="none" w:sz="4" w:space="0" w:color="000000"/>
                <w:bottom w:val="none" w:sz="4" w:space="0" w:color="000000"/>
                <w:right w:val="none" w:sz="4" w:space="0" w:color="000000"/>
              </w:pBdr>
              <w:tabs>
                <w:tab w:val="left" w:pos="884"/>
                <w:tab w:val="left" w:pos="1196"/>
                <w:tab w:val="center" w:pos="2329"/>
                <w:tab w:val="right" w:pos="4658"/>
              </w:tabs>
              <w:ind w:right="166" w:firstLine="0"/>
              <w:jc w:val="left"/>
              <w:rPr>
                <w:rFonts w:ascii="Times New Roman" w:hAnsi="Times New Roman"/>
                <w:sz w:val="26"/>
                <w:szCs w:val="26"/>
              </w:rPr>
            </w:pPr>
            <w:r w:rsidRPr="00807FE0">
              <w:rPr>
                <w:rFonts w:ascii="Times New Roman" w:hAnsi="Times New Roman"/>
                <w:b/>
                <w:sz w:val="26"/>
                <w:szCs w:val="26"/>
              </w:rPr>
              <w:tab/>
            </w:r>
            <w:r w:rsidRPr="00807FE0">
              <w:rPr>
                <w:rFonts w:ascii="Times New Roman" w:hAnsi="Times New Roman"/>
                <w:b/>
                <w:sz w:val="26"/>
                <w:szCs w:val="26"/>
              </w:rPr>
              <w:tab/>
            </w:r>
            <w:r w:rsidRPr="00807FE0">
              <w:rPr>
                <w:rFonts w:ascii="Times New Roman" w:hAnsi="Times New Roman"/>
                <w:b/>
                <w:sz w:val="26"/>
                <w:szCs w:val="26"/>
              </w:rPr>
              <w:tab/>
            </w:r>
            <w:r w:rsidR="006933C3" w:rsidRPr="00807FE0">
              <w:rPr>
                <w:rFonts w:ascii="Times New Roman" w:hAnsi="Times New Roman"/>
                <w:b/>
                <w:sz w:val="26"/>
                <w:szCs w:val="26"/>
              </w:rPr>
              <w:t>Argumentarea</w:t>
            </w:r>
            <w:r w:rsidRPr="00807FE0">
              <w:rPr>
                <w:rFonts w:ascii="Times New Roman" w:hAnsi="Times New Roman"/>
                <w:b/>
                <w:sz w:val="26"/>
                <w:szCs w:val="26"/>
              </w:rPr>
              <w:tab/>
            </w:r>
          </w:p>
          <w:p w14:paraId="42C4E39B" w14:textId="729BF662" w:rsidR="008B4BE6" w:rsidRPr="00807FE0" w:rsidRDefault="006933C3" w:rsidP="00E34DD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6"/>
                <w:szCs w:val="26"/>
              </w:rPr>
            </w:pPr>
            <w:r w:rsidRPr="00807FE0">
              <w:rPr>
                <w:rFonts w:ascii="Times New Roman" w:hAnsi="Times New Roman"/>
                <w:b/>
                <w:sz w:val="26"/>
                <w:szCs w:val="26"/>
              </w:rPr>
              <w:t>autorului</w:t>
            </w:r>
            <w:r w:rsidR="00032B46" w:rsidRPr="00807FE0">
              <w:rPr>
                <w:rFonts w:ascii="Times New Roman" w:hAnsi="Times New Roman"/>
                <w:b/>
                <w:sz w:val="26"/>
                <w:szCs w:val="26"/>
              </w:rPr>
              <w:t xml:space="preserve"> </w:t>
            </w:r>
            <w:r w:rsidRPr="00807FE0">
              <w:rPr>
                <w:rFonts w:ascii="Times New Roman" w:hAnsi="Times New Roman"/>
                <w:b/>
                <w:sz w:val="26"/>
                <w:szCs w:val="26"/>
              </w:rPr>
              <w:t>proiectului</w:t>
            </w:r>
          </w:p>
        </w:tc>
      </w:tr>
      <w:tr w:rsidR="006D3EB7" w:rsidRPr="00807FE0" w14:paraId="092EF798" w14:textId="77777777" w:rsidTr="00E34DD3">
        <w:tc>
          <w:tcPr>
            <w:tcW w:w="14563" w:type="dxa"/>
            <w:gridSpan w:val="5"/>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963EAAD" w14:textId="3E290495" w:rsidR="008B4BE6" w:rsidRPr="00807FE0" w:rsidRDefault="006933C3" w:rsidP="00E34D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6"/>
                <w:szCs w:val="26"/>
              </w:rPr>
            </w:pPr>
            <w:r w:rsidRPr="00807FE0">
              <w:rPr>
                <w:rFonts w:ascii="Times New Roman" w:hAnsi="Times New Roman"/>
                <w:b/>
                <w:bCs/>
                <w:sz w:val="26"/>
                <w:szCs w:val="26"/>
              </w:rPr>
              <w:t>Avizare</w:t>
            </w:r>
            <w:r w:rsidR="00032B46" w:rsidRPr="00807FE0">
              <w:rPr>
                <w:rFonts w:ascii="Times New Roman" w:hAnsi="Times New Roman"/>
                <w:b/>
                <w:bCs/>
                <w:sz w:val="26"/>
                <w:szCs w:val="26"/>
              </w:rPr>
              <w:t xml:space="preserve"> </w:t>
            </w:r>
            <w:r w:rsidR="00863417" w:rsidRPr="00807FE0">
              <w:rPr>
                <w:rFonts w:ascii="Times New Roman" w:hAnsi="Times New Roman"/>
                <w:b/>
                <w:bCs/>
                <w:sz w:val="26"/>
                <w:szCs w:val="26"/>
              </w:rPr>
              <w:t>ș</w:t>
            </w:r>
            <w:r w:rsidRPr="00807FE0">
              <w:rPr>
                <w:rFonts w:ascii="Times New Roman" w:hAnsi="Times New Roman"/>
                <w:b/>
                <w:bCs/>
                <w:sz w:val="26"/>
                <w:szCs w:val="26"/>
              </w:rPr>
              <w:t>i</w:t>
            </w:r>
            <w:r w:rsidR="00032B46" w:rsidRPr="00807FE0">
              <w:rPr>
                <w:rFonts w:ascii="Times New Roman" w:hAnsi="Times New Roman"/>
                <w:b/>
                <w:bCs/>
                <w:sz w:val="26"/>
                <w:szCs w:val="26"/>
              </w:rPr>
              <w:t xml:space="preserve"> </w:t>
            </w:r>
            <w:r w:rsidRPr="00807FE0">
              <w:rPr>
                <w:rFonts w:ascii="Times New Roman" w:hAnsi="Times New Roman"/>
                <w:b/>
                <w:bCs/>
                <w:sz w:val="26"/>
                <w:szCs w:val="26"/>
              </w:rPr>
              <w:t>consultare</w:t>
            </w:r>
            <w:r w:rsidR="008326D1" w:rsidRPr="00807FE0">
              <w:rPr>
                <w:rFonts w:ascii="Times New Roman" w:hAnsi="Times New Roman"/>
                <w:b/>
                <w:bCs/>
                <w:sz w:val="26"/>
                <w:szCs w:val="26"/>
              </w:rPr>
              <w:t xml:space="preserve"> publică</w:t>
            </w:r>
            <w:r w:rsidR="00032B46" w:rsidRPr="00807FE0">
              <w:rPr>
                <w:rFonts w:ascii="Times New Roman" w:hAnsi="Times New Roman"/>
                <w:b/>
                <w:bCs/>
                <w:sz w:val="26"/>
                <w:szCs w:val="26"/>
              </w:rPr>
              <w:t xml:space="preserve"> </w:t>
            </w:r>
            <w:r w:rsidR="00A63387" w:rsidRPr="00807FE0">
              <w:rPr>
                <w:rFonts w:ascii="Times New Roman" w:hAnsi="Times New Roman"/>
                <w:b/>
                <w:bCs/>
                <w:sz w:val="26"/>
                <w:szCs w:val="26"/>
              </w:rPr>
              <w:t>prealabilă</w:t>
            </w:r>
          </w:p>
        </w:tc>
      </w:tr>
      <w:tr w:rsidR="000D7E46" w:rsidRPr="00807FE0" w14:paraId="615D72BE" w14:textId="77777777" w:rsidTr="00E34DD3">
        <w:trPr>
          <w:gridAfter w:val="1"/>
          <w:wAfter w:w="29" w:type="dxa"/>
          <w:trHeight w:val="7155"/>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D377A"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r w:rsidRPr="00807FE0">
              <w:rPr>
                <w:rFonts w:ascii="Times New Roman" w:hAnsi="Times New Roman"/>
                <w:b/>
                <w:bCs/>
                <w:sz w:val="26"/>
                <w:szCs w:val="26"/>
              </w:rPr>
              <w:t>Agenția de Guvernare Electronică</w:t>
            </w:r>
          </w:p>
          <w:p w14:paraId="69DD48B9" w14:textId="1BEB94C9" w:rsidR="000D7E46" w:rsidRPr="00807FE0" w:rsidRDefault="000D7E46"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6"/>
                <w:szCs w:val="26"/>
              </w:rPr>
            </w:pPr>
            <w:r w:rsidRPr="00807FE0">
              <w:rPr>
                <w:rFonts w:ascii="Times New Roman" w:hAnsi="Times New Roman"/>
                <w:i/>
                <w:iCs/>
                <w:sz w:val="26"/>
                <w:szCs w:val="26"/>
              </w:rPr>
              <w:t>(Nr. 3007-208 din 22.10.2025)</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DE7C" w14:textId="4ABDB303" w:rsidR="000D7E46" w:rsidRPr="00807FE0" w:rsidRDefault="000D7E46"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r w:rsidRPr="00807FE0">
              <w:rPr>
                <w:rFonts w:ascii="Times New Roman" w:hAnsi="Times New Roman"/>
                <w:sz w:val="26"/>
                <w:szCs w:val="26"/>
              </w:rPr>
              <w:t>1.</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FDC" w14:textId="7EB9CAD1"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Conform Notei informative la Hotărârea Guvernului nr.823/2020, proiectul a fost elaborat în scopul optimizării și eficientizării centrelor de date în sectorul public, precum și în contextul executării pct.32 sbp.2) </w:t>
            </w:r>
            <w:proofErr w:type="spellStart"/>
            <w:r w:rsidRPr="00807FE0">
              <w:rPr>
                <w:rFonts w:ascii="Times New Roman" w:hAnsi="Times New Roman"/>
                <w:sz w:val="26"/>
                <w:szCs w:val="26"/>
              </w:rPr>
              <w:t>lit.b</w:t>
            </w:r>
            <w:proofErr w:type="spellEnd"/>
            <w:r w:rsidRPr="00807FE0">
              <w:rPr>
                <w:rFonts w:ascii="Times New Roman" w:hAnsi="Times New Roman"/>
                <w:sz w:val="26"/>
                <w:szCs w:val="26"/>
              </w:rPr>
              <w:t xml:space="preserve">) și c) din Hotărârea Guvernului nr.414/2018 cu privire la măsurile de consolidare a centrelor de date în sectorul public </w:t>
            </w:r>
            <w:proofErr w:type="spellStart"/>
            <w:r w:rsidRPr="00807FE0">
              <w:rPr>
                <w:rFonts w:ascii="Times New Roman" w:hAnsi="Times New Roman"/>
                <w:sz w:val="26"/>
                <w:szCs w:val="26"/>
              </w:rPr>
              <w:t>şi</w:t>
            </w:r>
            <w:proofErr w:type="spellEnd"/>
            <w:r w:rsidRPr="00807FE0">
              <w:rPr>
                <w:rFonts w:ascii="Times New Roman" w:hAnsi="Times New Roman"/>
                <w:sz w:val="26"/>
                <w:szCs w:val="26"/>
              </w:rPr>
              <w:t xml:space="preserve"> de raționalizare a administrării sistemelor informaționale de stat, conform cărora IP „Serviciul Tehnologia Informației și Securitate Cibernetică” (în continuare - STISC) în comun cu Instituția Publică „Agenția de Guvernare Electronică” (în continuare – AGE) aveau sarcina să efectueze inventarierea tuturor centrelor de date din sectorul public, iar în rezultatul inventarierii să prezinte Guvernului propuneri privind optimizarea și eficientizarea acestora. În acest sens, ca rezultat al inventarierii centrelor de date în sectorul public, au fost identificate 3 centre de date care au fost considerate rațional a fi consolidate, restul centrelor de date urmând a fi supuse lichidării. În cazul celor 3 centre de date care au fost considerate rațional a fi consolidate - ale Ministerului Finanțelor, Serviciului tehnologii informaționale din subordinea Ministerului Afacerilor Interne (în continuare – STI al MAI) și Instituției publice „Agenția Servicii Publice” (în continuare - ASP) – având în vedere complexitatea adaptărilor necesare și importanța menținerii </w:t>
            </w:r>
            <w:r w:rsidRPr="00807FE0">
              <w:rPr>
                <w:rFonts w:ascii="Times New Roman" w:hAnsi="Times New Roman"/>
                <w:sz w:val="26"/>
                <w:szCs w:val="26"/>
              </w:rPr>
              <w:lastRenderedPageBreak/>
              <w:t>continuității proceselor critice, au fost stabilite unele norme specifice de consolidare. Astfel, conform pct.4 din Hotărârea Guvernului</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FEB95" w14:textId="494AFD2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b/>
                <w:bCs/>
                <w:sz w:val="26"/>
                <w:szCs w:val="26"/>
              </w:rPr>
            </w:pPr>
            <w:r w:rsidRPr="00807FE0">
              <w:rPr>
                <w:rFonts w:ascii="Times New Roman" w:hAnsi="Times New Roman"/>
                <w:b/>
                <w:bCs/>
                <w:sz w:val="26"/>
                <w:szCs w:val="26"/>
              </w:rPr>
              <w:lastRenderedPageBreak/>
              <w:t>S-a luat act.</w:t>
            </w:r>
          </w:p>
        </w:tc>
      </w:tr>
      <w:tr w:rsidR="000D7E46" w:rsidRPr="00807FE0" w14:paraId="11485442" w14:textId="77777777" w:rsidTr="00E34DD3">
        <w:trPr>
          <w:gridAfter w:val="1"/>
          <w:wAfter w:w="29" w:type="dxa"/>
          <w:trHeight w:val="10035"/>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D9631"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795F0"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p>
        </w:tc>
        <w:tc>
          <w:tcPr>
            <w:tcW w:w="610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060049D" w14:textId="77777777" w:rsidR="000D7E46" w:rsidRPr="00807FE0" w:rsidRDefault="00E34DD3"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 nr.823/2020 s-a stabilit ca încăperile aferente centrelor de date urmau a fi transmise în gestiunea economică sau în comodat către STISC. Prin corelare, și pct.18 sbp.3) din Hotărârea Guvernului nr.414/2018 a fost expus cu un nou cuprins, conform căruia inclusiv entitățile publice indicate în anexa nr.1 la Hotărârea Guvernului nr.823/2020 urmau să întreprindă măsurile necesare în vederea asigurării transmiterii bunurilor imobile sau a părților acestora în care sunt amplasate centrele de date din gestiunea economică a acestora în gestiunea economică sau în comodat, după caz, către STISC, în conformitate cu legislația. Deși normele respective au fost aprobate și au intrat în vigoare la 20 noiembrie 2020, constatăm că implementarea acestora nu s-a realizat din diferite motive, doar parțial obiective. Luând în considerare cele menționate, în calitate de dezvoltator al platformei tehnologice guvernamentale comune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AGE recomandă a se examina opțiunea implementării normelor specificate, astfel încât, în lipsa unor spații disponibile de găzduire fizică a serverelor, STISC să gestioneze temporar imobilele sau părțile acestora în care se situează centrele de date ale celor 3 entități publice, până la identificarea unui spațiu comun de găzduire. Propunerea respectivă ar reprezenta o soluție viabilă la opțiunea din prezentul proiect prin care se va perpetua situația de fapt din ultimii 5 ani prin care, contrar normelor stabilite de Guvern, sunt procurate echipamente hardware de tip server și de stocare, iar centrele de date nu sunt supuse consolidării în platforma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Considerăm că soluția propusă ar permite extinderea platformei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proces care potrivit argumentelor autorului din Nota de fundamentare a fost cauzat de lipsa finanțării corespunzătoare a STISC în </w:t>
            </w:r>
            <w:r w:rsidRPr="00807FE0">
              <w:rPr>
                <w:rFonts w:ascii="Times New Roman" w:hAnsi="Times New Roman"/>
                <w:sz w:val="26"/>
                <w:szCs w:val="26"/>
              </w:rPr>
              <w:lastRenderedPageBreak/>
              <w:t xml:space="preserve">ultimii ani, precum și de dificultăți în alocarea resurselor TI conform necesităților autorităților publice. Or, este clar că indiferent de faptul procurării de echipamente hardware de tip server și de stocare prin intermediul Ministerului Finanțelor sau al STI al MAI (exceptând ASP), aceste resurse financiare sunt parte componentă a bugetului public național, iar consolidarea echipamentelor respective în platforma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este justificată și sub aspectul sursei de finanțare.</w:t>
            </w:r>
          </w:p>
        </w:tc>
        <w:tc>
          <w:tcPr>
            <w:tcW w:w="44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E9DA824"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p>
        </w:tc>
      </w:tr>
      <w:tr w:rsidR="000D7E46" w:rsidRPr="00807FE0" w14:paraId="653C615B" w14:textId="77777777" w:rsidTr="00E34DD3">
        <w:trPr>
          <w:gridAfter w:val="1"/>
          <w:wAfter w:w="29" w:type="dxa"/>
          <w:trHeight w:val="718"/>
        </w:trPr>
        <w:tc>
          <w:tcPr>
            <w:tcW w:w="288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A21481D"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6F5"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p>
        </w:tc>
        <w:tc>
          <w:tcPr>
            <w:tcW w:w="61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DF2D0D1"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p>
        </w:tc>
        <w:tc>
          <w:tcPr>
            <w:tcW w:w="445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741E007"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p>
        </w:tc>
      </w:tr>
      <w:tr w:rsidR="00C10DC8" w:rsidRPr="00807FE0" w14:paraId="6DA0DC90" w14:textId="77777777" w:rsidTr="00E34DD3">
        <w:trPr>
          <w:gridAfter w:val="1"/>
          <w:wAfter w:w="29" w:type="dxa"/>
          <w:trHeight w:val="270"/>
        </w:trPr>
        <w:tc>
          <w:tcPr>
            <w:tcW w:w="2889" w:type="dxa"/>
            <w:vMerge/>
            <w:tcBorders>
              <w:left w:val="single" w:sz="4" w:space="0" w:color="auto"/>
              <w:right w:val="single" w:sz="4" w:space="0" w:color="auto"/>
            </w:tcBorders>
            <w:tcMar>
              <w:top w:w="0" w:type="dxa"/>
              <w:left w:w="108" w:type="dxa"/>
              <w:bottom w:w="0" w:type="dxa"/>
              <w:right w:w="108" w:type="dxa"/>
            </w:tcMar>
          </w:tcPr>
          <w:p w14:paraId="673747EC" w14:textId="77777777" w:rsidR="00C10DC8" w:rsidRPr="00807FE0" w:rsidRDefault="00C10DC8"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18C0" w14:textId="30770DDE" w:rsidR="00C10DC8" w:rsidRPr="00807FE0" w:rsidRDefault="00C10DC8"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r w:rsidRPr="00807FE0">
              <w:rPr>
                <w:rFonts w:ascii="Times New Roman" w:hAnsi="Times New Roman"/>
                <w:sz w:val="26"/>
                <w:szCs w:val="26"/>
              </w:rPr>
              <w:t>2.</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56CCA" w14:textId="269078EF" w:rsidR="00C10DC8" w:rsidRPr="00807FE0" w:rsidRDefault="00C10DC8"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În contextul armonizării și implementării acquis-ului UE, Republica Moldova și-a asumat o serie de angajamente de digitalizare a serviciilor publice. Astfel, în procesul de coordonare prealabilă și avizare a proiectelor de acte normative, AGE remarcă inițierea a unor procese ample de digitalizare în domeniul sănătății, justiției, educației, agriculturii etc. Subsecvent, stabilirea unor excepții, fie ele și temporare, care ar permite achiziționarea de către unele entități publice a echipamentelor hardware de tip server sau de stocare nu este recomandabilă, deoarece ar putea avea ca impact solicitarea unor astfel de excepții și de către alte autorități publice, având la bază aceleași argumente invocate în Nota de fundamentare, fapt ce ar frâna sau chiar inversa procesul de consolidare a infrastructurii guvernamentale a centrelor de date în cadrul platformei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88ED" w14:textId="1CDEC966" w:rsidR="00C10DC8" w:rsidRPr="00807FE0" w:rsidRDefault="00335FEA"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rPr>
            </w:pPr>
            <w:r w:rsidRPr="00807FE0">
              <w:rPr>
                <w:rFonts w:ascii="Times New Roman" w:hAnsi="Times New Roman"/>
                <w:b/>
                <w:sz w:val="26"/>
                <w:szCs w:val="26"/>
              </w:rPr>
              <w:t>S-a luat act.</w:t>
            </w:r>
          </w:p>
        </w:tc>
      </w:tr>
      <w:tr w:rsidR="00C10DC8" w:rsidRPr="00807FE0" w14:paraId="5BFBAFA2" w14:textId="77777777" w:rsidTr="00E34DD3">
        <w:trPr>
          <w:gridAfter w:val="1"/>
          <w:wAfter w:w="29" w:type="dxa"/>
          <w:trHeight w:val="300"/>
        </w:trPr>
        <w:tc>
          <w:tcPr>
            <w:tcW w:w="2889" w:type="dxa"/>
            <w:vMerge/>
            <w:tcBorders>
              <w:left w:val="single" w:sz="4" w:space="0" w:color="auto"/>
              <w:right w:val="single" w:sz="4" w:space="0" w:color="auto"/>
            </w:tcBorders>
            <w:tcMar>
              <w:top w:w="0" w:type="dxa"/>
              <w:left w:w="108" w:type="dxa"/>
              <w:bottom w:w="0" w:type="dxa"/>
              <w:right w:w="108" w:type="dxa"/>
            </w:tcMar>
          </w:tcPr>
          <w:p w14:paraId="7DE9B08C" w14:textId="77777777" w:rsidR="00C10DC8" w:rsidRPr="00807FE0" w:rsidRDefault="00C10DC8"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6F448" w14:textId="77D9CE6A" w:rsidR="00C10DC8" w:rsidRPr="00807FE0" w:rsidRDefault="00C10DC8"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r w:rsidRPr="00807FE0">
              <w:rPr>
                <w:rFonts w:ascii="Times New Roman" w:hAnsi="Times New Roman"/>
                <w:sz w:val="26"/>
                <w:szCs w:val="26"/>
              </w:rPr>
              <w:t>3.</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EBC79" w14:textId="77777777" w:rsidR="00C10DC8" w:rsidRPr="00807FE0" w:rsidRDefault="00C10DC8"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La prima propoziție a pct.3 propus într-o nouă redacție: </w:t>
            </w:r>
          </w:p>
          <w:p w14:paraId="367626BA" w14:textId="73C77115" w:rsidR="00C10DC8" w:rsidRPr="00807FE0" w:rsidRDefault="00C10DC8"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 În scopul eliminării unor confuzii de interpretare a normei juridice, considerăm oportună stabilirea unei date exacte până la care se permite achiziționarea echipamentelor hardware de tip server și de stocare. Subsecvent, urmează să fie substituit textul „până în anul 2027” cu textul „până la 31 decembrie 202</w:t>
            </w:r>
            <w:r w:rsidR="002F0CF3" w:rsidRPr="00807FE0">
              <w:rPr>
                <w:rFonts w:ascii="Times New Roman" w:hAnsi="Times New Roman"/>
                <w:sz w:val="26"/>
                <w:szCs w:val="26"/>
              </w:rPr>
              <w:t>7</w:t>
            </w:r>
            <w:r w:rsidRPr="00807FE0">
              <w:rPr>
                <w:rFonts w:ascii="Times New Roman" w:hAnsi="Times New Roman"/>
                <w:sz w:val="26"/>
                <w:szCs w:val="26"/>
              </w:rPr>
              <w:t>”.</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7238" w14:textId="71ADB8AA" w:rsidR="002F0CF3" w:rsidRPr="00807FE0" w:rsidRDefault="002F0CF3" w:rsidP="00E34DD3">
            <w:pPr>
              <w:pBdr>
                <w:top w:val="none" w:sz="4" w:space="0" w:color="000000"/>
                <w:left w:val="none" w:sz="4" w:space="0" w:color="000000"/>
                <w:bottom w:val="none" w:sz="4" w:space="0" w:color="000000"/>
                <w:right w:val="none" w:sz="4" w:space="0" w:color="000000"/>
              </w:pBdr>
              <w:ind w:firstLine="0"/>
              <w:rPr>
                <w:rFonts w:ascii="Times New Roman" w:hAnsi="Times New Roman"/>
                <w:b/>
                <w:bCs/>
                <w:sz w:val="26"/>
                <w:szCs w:val="26"/>
              </w:rPr>
            </w:pPr>
            <w:r w:rsidRPr="00807FE0">
              <w:rPr>
                <w:rFonts w:ascii="Times New Roman" w:hAnsi="Times New Roman"/>
                <w:b/>
                <w:bCs/>
                <w:sz w:val="26"/>
                <w:szCs w:val="26"/>
              </w:rPr>
              <w:t>Se acceptă.</w:t>
            </w:r>
          </w:p>
          <w:p w14:paraId="6DB88CBA" w14:textId="708CFCA3" w:rsidR="00C10DC8" w:rsidRPr="00807FE0" w:rsidRDefault="00335FEA"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S-a modificat conform propunerii</w:t>
            </w:r>
            <w:r w:rsidR="00B65C14" w:rsidRPr="00807FE0">
              <w:rPr>
                <w:rFonts w:ascii="Times New Roman" w:hAnsi="Times New Roman"/>
                <w:sz w:val="26"/>
                <w:szCs w:val="26"/>
              </w:rPr>
              <w:t>. Termenul discutat suplimentar și agreat cu AGE</w:t>
            </w:r>
            <w:r w:rsidR="00031F36" w:rsidRPr="00807FE0">
              <w:rPr>
                <w:rFonts w:ascii="Times New Roman" w:hAnsi="Times New Roman"/>
                <w:sz w:val="26"/>
                <w:szCs w:val="26"/>
              </w:rPr>
              <w:t>, 31 decembrie 2027.</w:t>
            </w:r>
          </w:p>
        </w:tc>
      </w:tr>
      <w:tr w:rsidR="000D7E46" w:rsidRPr="00807FE0" w14:paraId="7E0F8CAE" w14:textId="77777777" w:rsidTr="00E34DD3">
        <w:trPr>
          <w:gridAfter w:val="1"/>
          <w:wAfter w:w="29" w:type="dxa"/>
          <w:trHeight w:val="2745"/>
        </w:trPr>
        <w:tc>
          <w:tcPr>
            <w:tcW w:w="288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BFF8ACF"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EDC8" w14:textId="58BDBF1B" w:rsidR="000D7E46" w:rsidRPr="00807FE0" w:rsidRDefault="000D7E46"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r w:rsidRPr="00807FE0">
              <w:rPr>
                <w:rFonts w:ascii="Times New Roman" w:hAnsi="Times New Roman"/>
                <w:sz w:val="26"/>
                <w:szCs w:val="26"/>
              </w:rPr>
              <w:t>4.</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AEF8C" w14:textId="4D458AB9"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La a doua propoziție a pct.3 propus într-o nouă redacție: 4. Prin analogie cu Hotărârea Guvernului nr.544/2019 cu privire la unele măsuri de organizare a procesului de achiziții în domeniul tehnologiei informației și comunicațiilor, recomandăm expunerea propoziției a doua de o manieră care să stabilească mai concret etapa/etapele la care se va asigura coordonarea achizițiilor de echipamente cu STISC. În acest sens, propunem ca coordonarea achizițiilor respective să se realizeze: 1) înainte de prezentarea către Ministerul Finanțelor a propunerilor de bugetare a cheltuielilor pentru tehnologii informaționale și comunicații; 2) pentru aprobarea planurilor generale de achiziții pentru tehnologii informaționale și</w:t>
            </w:r>
            <w:r w:rsidR="004B3B1D" w:rsidRPr="00807FE0">
              <w:rPr>
                <w:rFonts w:ascii="Times New Roman" w:hAnsi="Times New Roman"/>
                <w:sz w:val="26"/>
                <w:szCs w:val="26"/>
              </w:rPr>
              <w:t xml:space="preserve"> comunicații și a modificărilor la plan care conțin achiziții incidente proiectului de hotărâre; 3) înainte de lansarea procedurilor de achiziție, caz în care STISC va decide și va înainta recomandări în privința justificării și argumentării oportunității achiziției. La același subiect, recomandăm includerea unei norme care să stabilească competența STISC de aprobare a Metodologiei de coordonare a achizițiilor de echipamente hardware de tip servere sau de stocare, prin care, similar normelor din Hotărârea Guvernului nr.544/2019, să se descrie mai concret procedura de coordonare a achizițiilor respective, precum și a faptului că echipamentele respective urmează a fi achiziționate doar în condițiile compatibilității cu platforma </w:t>
            </w:r>
            <w:proofErr w:type="spellStart"/>
            <w:r w:rsidR="004B3B1D" w:rsidRPr="00807FE0">
              <w:rPr>
                <w:rFonts w:ascii="Times New Roman" w:hAnsi="Times New Roman"/>
                <w:sz w:val="26"/>
                <w:szCs w:val="26"/>
              </w:rPr>
              <w:t>MCloud</w:t>
            </w:r>
            <w:proofErr w:type="spellEnd"/>
            <w:r w:rsidR="004B3B1D" w:rsidRPr="00807FE0">
              <w:rPr>
                <w:rFonts w:ascii="Times New Roman" w:hAnsi="Times New Roman"/>
                <w:sz w:val="26"/>
                <w:szCs w:val="26"/>
              </w:rPr>
              <w:t>.</w:t>
            </w:r>
          </w:p>
        </w:tc>
        <w:tc>
          <w:tcPr>
            <w:tcW w:w="4450" w:type="dxa"/>
            <w:tcBorders>
              <w:top w:val="single" w:sz="4" w:space="0" w:color="auto"/>
              <w:left w:val="single" w:sz="4" w:space="0" w:color="auto"/>
              <w:right w:val="single" w:sz="4" w:space="0" w:color="auto"/>
            </w:tcBorders>
            <w:tcMar>
              <w:top w:w="0" w:type="dxa"/>
              <w:left w:w="108" w:type="dxa"/>
              <w:bottom w:w="0" w:type="dxa"/>
              <w:right w:w="108" w:type="dxa"/>
            </w:tcMar>
          </w:tcPr>
          <w:p w14:paraId="12A54784" w14:textId="745DE514"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b/>
                <w:bCs/>
                <w:sz w:val="26"/>
                <w:szCs w:val="26"/>
              </w:rPr>
            </w:pPr>
            <w:r w:rsidRPr="00807FE0">
              <w:rPr>
                <w:rFonts w:ascii="Times New Roman" w:hAnsi="Times New Roman"/>
                <w:b/>
                <w:bCs/>
                <w:sz w:val="26"/>
                <w:szCs w:val="26"/>
              </w:rPr>
              <w:t>Se acceptă.</w:t>
            </w:r>
          </w:p>
          <w:p w14:paraId="128471D4" w14:textId="0F06CAF8"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S-a modificat conform propunerii.</w:t>
            </w:r>
          </w:p>
        </w:tc>
      </w:tr>
      <w:tr w:rsidR="00C10DC8" w:rsidRPr="00807FE0" w14:paraId="448A4A21" w14:textId="77777777" w:rsidTr="00E34DD3">
        <w:trPr>
          <w:gridAfter w:val="1"/>
          <w:wAfter w:w="29" w:type="dxa"/>
          <w:trHeight w:val="120"/>
        </w:trPr>
        <w:tc>
          <w:tcPr>
            <w:tcW w:w="2889" w:type="dxa"/>
            <w:vMerge/>
            <w:tcBorders>
              <w:left w:val="single" w:sz="4" w:space="0" w:color="auto"/>
              <w:right w:val="single" w:sz="4" w:space="0" w:color="auto"/>
            </w:tcBorders>
            <w:tcMar>
              <w:top w:w="0" w:type="dxa"/>
              <w:left w:w="108" w:type="dxa"/>
              <w:bottom w:w="0" w:type="dxa"/>
              <w:right w:w="108" w:type="dxa"/>
            </w:tcMar>
          </w:tcPr>
          <w:p w14:paraId="49840B54" w14:textId="77777777" w:rsidR="00C10DC8" w:rsidRPr="00807FE0" w:rsidRDefault="00C10DC8"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378DE" w14:textId="71A62397" w:rsidR="00C10DC8" w:rsidRPr="00807FE0" w:rsidRDefault="00C10DC8"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r w:rsidRPr="00807FE0">
              <w:rPr>
                <w:rFonts w:ascii="Times New Roman" w:hAnsi="Times New Roman"/>
                <w:sz w:val="26"/>
                <w:szCs w:val="26"/>
              </w:rPr>
              <w:t>5.</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0D74F" w14:textId="172B0138" w:rsidR="00C10DC8" w:rsidRPr="00807FE0" w:rsidRDefault="00C10DC8"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De asemenea, pentru a asigura un mecanism eficient de control a executării prevederilor proiectului, propunem includerea unei norme, după a doua propoziție, cu următorul conținut: „Ministerul Finanțelor va aproba spre finanțare doar propunerile de buget și înregistrarea </w:t>
            </w:r>
            <w:r w:rsidRPr="00807FE0">
              <w:rPr>
                <w:rFonts w:ascii="Times New Roman" w:hAnsi="Times New Roman"/>
                <w:sz w:val="26"/>
                <w:szCs w:val="26"/>
              </w:rPr>
              <w:lastRenderedPageBreak/>
              <w:t>contractelor de achiziție de echipamente hardware de tip server și de stocare care au fost consultate și avizate pozitiv de Instituția publică „Serviciul Tehnologia Informației și Securitate Cibernetică”.</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0E36" w14:textId="18B5BC55" w:rsidR="002F0CF3" w:rsidRPr="00807FE0" w:rsidRDefault="002F0CF3" w:rsidP="00E34DD3">
            <w:pPr>
              <w:pBdr>
                <w:top w:val="none" w:sz="4" w:space="0" w:color="000000"/>
                <w:left w:val="none" w:sz="4" w:space="0" w:color="000000"/>
                <w:bottom w:val="none" w:sz="4" w:space="0" w:color="000000"/>
                <w:right w:val="none" w:sz="4" w:space="0" w:color="000000"/>
              </w:pBdr>
              <w:ind w:firstLine="0"/>
              <w:rPr>
                <w:rFonts w:ascii="Times New Roman" w:hAnsi="Times New Roman"/>
                <w:b/>
                <w:bCs/>
                <w:sz w:val="26"/>
                <w:szCs w:val="26"/>
              </w:rPr>
            </w:pPr>
            <w:r w:rsidRPr="00807FE0">
              <w:rPr>
                <w:rFonts w:ascii="Times New Roman" w:hAnsi="Times New Roman"/>
                <w:b/>
                <w:bCs/>
                <w:sz w:val="26"/>
                <w:szCs w:val="26"/>
              </w:rPr>
              <w:lastRenderedPageBreak/>
              <w:t>Se acceptă.</w:t>
            </w:r>
          </w:p>
          <w:p w14:paraId="5DC0B270" w14:textId="2A652339" w:rsidR="00C10DC8" w:rsidRPr="00807FE0" w:rsidRDefault="00335FEA"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S-a modificat conform propunerii.</w:t>
            </w:r>
          </w:p>
        </w:tc>
      </w:tr>
      <w:tr w:rsidR="000D7E46" w:rsidRPr="00807FE0" w14:paraId="6F967FD7" w14:textId="77777777" w:rsidTr="00E34DD3">
        <w:trPr>
          <w:gridAfter w:val="1"/>
          <w:wAfter w:w="29" w:type="dxa"/>
          <w:trHeight w:val="3285"/>
        </w:trPr>
        <w:tc>
          <w:tcPr>
            <w:tcW w:w="288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7FA2D16"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3A09157" w14:textId="400F9621" w:rsidR="000D7E46" w:rsidRPr="00807FE0" w:rsidRDefault="000D7E46"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r w:rsidRPr="00807FE0">
              <w:rPr>
                <w:rFonts w:ascii="Times New Roman" w:hAnsi="Times New Roman"/>
                <w:sz w:val="26"/>
                <w:szCs w:val="26"/>
              </w:rPr>
              <w:t>6.</w:t>
            </w:r>
          </w:p>
        </w:tc>
        <w:tc>
          <w:tcPr>
            <w:tcW w:w="610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04B3B6E"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La a treia propoziție a pct.3 propusă într-o nouă redacție: 6. Pentru evitarea unor soluții de eludare a transmiterii efective a centrelor de tipul „</w:t>
            </w:r>
            <w:proofErr w:type="spellStart"/>
            <w:r w:rsidRPr="00807FE0">
              <w:rPr>
                <w:rFonts w:ascii="Times New Roman" w:hAnsi="Times New Roman"/>
                <w:sz w:val="26"/>
                <w:szCs w:val="26"/>
              </w:rPr>
              <w:t>colocare</w:t>
            </w:r>
            <w:proofErr w:type="spellEnd"/>
            <w:r w:rsidRPr="00807FE0">
              <w:rPr>
                <w:rFonts w:ascii="Times New Roman" w:hAnsi="Times New Roman"/>
                <w:sz w:val="26"/>
                <w:szCs w:val="26"/>
              </w:rPr>
              <w:t xml:space="preserve">” prin care fizic nu se transmit în posesia I.P. STISC componentele centrelor de date, propunem expunerea propoziției a treia a pct.3 cu următorul conținut: „În termen de 6 luni din data expirării termenului stabilit în primul alineat, entitățile publice indicate în anexa nr.1 vor asigura transmiterea fizică și completă a centrelor de date și a echipamentelor achiziționate, cu titlu gratuit, din administrarea lor în administrarea Instituției Publice „Serviciul Tehnologia Informației și Securitate Cibernetică”, în conformitate cu prevederile Regulamentului cu privire la modul de transmitere a bunurilor proprietate publică, aprobat prin Hotărârea Guvernului nr. 901/2015.” </w:t>
            </w:r>
          </w:p>
          <w:p w14:paraId="31F4831C" w14:textId="4CD2B3DB"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p>
        </w:tc>
        <w:tc>
          <w:tcPr>
            <w:tcW w:w="44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24419F8" w14:textId="31ABE461"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b/>
                <w:bCs/>
                <w:sz w:val="26"/>
                <w:szCs w:val="26"/>
              </w:rPr>
            </w:pPr>
            <w:r w:rsidRPr="00807FE0">
              <w:rPr>
                <w:rFonts w:ascii="Times New Roman" w:hAnsi="Times New Roman"/>
                <w:b/>
                <w:bCs/>
                <w:sz w:val="26"/>
                <w:szCs w:val="26"/>
              </w:rPr>
              <w:t>Se acceptă.</w:t>
            </w:r>
          </w:p>
          <w:p w14:paraId="0C568E1C" w14:textId="4983D9B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S-a modificat conform propunerii.</w:t>
            </w:r>
          </w:p>
        </w:tc>
      </w:tr>
      <w:tr w:rsidR="000D7E46" w:rsidRPr="00807FE0" w14:paraId="33DBF31F" w14:textId="77777777" w:rsidTr="00E34DD3">
        <w:trPr>
          <w:gridAfter w:val="1"/>
          <w:wAfter w:w="29" w:type="dxa"/>
          <w:trHeight w:val="840"/>
        </w:trPr>
        <w:tc>
          <w:tcPr>
            <w:tcW w:w="2889" w:type="dxa"/>
            <w:tcBorders>
              <w:top w:val="single" w:sz="4" w:space="0" w:color="auto"/>
              <w:left w:val="single" w:sz="4" w:space="0" w:color="auto"/>
              <w:right w:val="single" w:sz="4" w:space="0" w:color="auto"/>
            </w:tcBorders>
            <w:tcMar>
              <w:top w:w="0" w:type="dxa"/>
              <w:left w:w="108" w:type="dxa"/>
              <w:bottom w:w="0" w:type="dxa"/>
              <w:right w:w="108" w:type="dxa"/>
            </w:tcMar>
          </w:tcPr>
          <w:p w14:paraId="6EC40212"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0906BFD"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p>
        </w:tc>
        <w:tc>
          <w:tcPr>
            <w:tcW w:w="61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F8BC810"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p>
        </w:tc>
        <w:tc>
          <w:tcPr>
            <w:tcW w:w="445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086F117"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b/>
                <w:bCs/>
                <w:sz w:val="26"/>
                <w:szCs w:val="26"/>
              </w:rPr>
            </w:pPr>
          </w:p>
        </w:tc>
      </w:tr>
      <w:tr w:rsidR="005C5CE4" w:rsidRPr="00807FE0" w14:paraId="03109B8D" w14:textId="77777777" w:rsidTr="00E34DD3">
        <w:trPr>
          <w:gridAfter w:val="1"/>
          <w:wAfter w:w="29" w:type="dxa"/>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6E640" w14:textId="7996363D" w:rsidR="005C5CE4" w:rsidRPr="00807FE0" w:rsidRDefault="005C5CE4" w:rsidP="00E34D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BEC10" w14:textId="2EA341E7" w:rsidR="005C5CE4" w:rsidRPr="00807FE0" w:rsidRDefault="005C5CE4" w:rsidP="00E34DD3">
            <w:pPr>
              <w:pBdr>
                <w:top w:val="none" w:sz="4" w:space="0" w:color="000000"/>
                <w:left w:val="none" w:sz="4" w:space="0" w:color="000000"/>
                <w:bottom w:val="none" w:sz="4" w:space="0" w:color="000000"/>
                <w:right w:val="none" w:sz="4" w:space="0" w:color="000000"/>
              </w:pBdr>
              <w:ind w:firstLine="303"/>
              <w:rPr>
                <w:rFonts w:ascii="Times New Roman" w:hAnsi="Times New Roman"/>
                <w:sz w:val="26"/>
                <w:szCs w:val="26"/>
              </w:rPr>
            </w:pP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C7E0" w14:textId="590E66B3" w:rsidR="005C5CE4" w:rsidRPr="00807FE0" w:rsidRDefault="000D15B1" w:rsidP="00E34DD3">
            <w:pPr>
              <w:pBdr>
                <w:top w:val="none" w:sz="4" w:space="0" w:color="000000"/>
                <w:left w:val="none" w:sz="4" w:space="0" w:color="000000"/>
                <w:bottom w:val="none" w:sz="4" w:space="0" w:color="000000"/>
                <w:right w:val="none" w:sz="4" w:space="0" w:color="000000"/>
              </w:pBdr>
              <w:ind w:firstLine="0"/>
              <w:rPr>
                <w:rFonts w:ascii="Times New Roman" w:hAnsi="Times New Roman"/>
                <w:b/>
                <w:bCs/>
                <w:sz w:val="26"/>
                <w:szCs w:val="26"/>
              </w:rPr>
            </w:pPr>
            <w:r w:rsidRPr="00807FE0">
              <w:rPr>
                <w:rFonts w:ascii="Times New Roman" w:hAnsi="Times New Roman"/>
                <w:sz w:val="26"/>
                <w:szCs w:val="26"/>
              </w:rPr>
              <w:t xml:space="preserve">Totodată, la acest subiect, luând în considerare argumentele expuse la pct.1 și 2 din prezentul aviz, propunem a se stabili un termen de 6 luni de transmitere a centrelor de date și echipamentelor achiziționate nu din data expirării termenului stabilit în primul alineat, dar în termen de 6 luni din data achiziționării acestora. În acest mod, se va asigura o transmitere etapizată, mai facilă și fără perturbări majore a acestor echipamente în administrarea STISC, cu respectarea dezideratului de consolidare a infrastructurii centrelor de date guvernamentale în cadrul platformei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w:t>
            </w:r>
            <w:proofErr w:type="spellStart"/>
            <w:r w:rsidRPr="00807FE0">
              <w:rPr>
                <w:rFonts w:ascii="Times New Roman" w:hAnsi="Times New Roman"/>
                <w:sz w:val="26"/>
                <w:szCs w:val="26"/>
              </w:rPr>
              <w:t>într</w:t>
            </w:r>
            <w:proofErr w:type="spellEnd"/>
            <w:r w:rsidRPr="00807FE0">
              <w:rPr>
                <w:rFonts w:ascii="Times New Roman" w:hAnsi="Times New Roman"/>
                <w:sz w:val="26"/>
                <w:szCs w:val="26"/>
              </w:rPr>
              <w:t xml:space="preserve"> un ritm susținut pentru optimizarea costurilor, creșterea </w:t>
            </w:r>
            <w:r w:rsidRPr="00807FE0">
              <w:rPr>
                <w:rFonts w:ascii="Times New Roman" w:hAnsi="Times New Roman"/>
                <w:sz w:val="26"/>
                <w:szCs w:val="26"/>
              </w:rPr>
              <w:lastRenderedPageBreak/>
              <w:t>securității datelor și facilitarea accesului la serviciile publice electronice.</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9D24" w14:textId="23DDD660" w:rsidR="00807FE0" w:rsidRPr="00807FE0" w:rsidRDefault="00807FE0" w:rsidP="00E34DD3">
            <w:pPr>
              <w:ind w:firstLine="0"/>
              <w:rPr>
                <w:rFonts w:ascii="Times New Roman" w:hAnsi="Times New Roman"/>
                <w:b/>
                <w:bCs/>
                <w:sz w:val="26"/>
                <w:szCs w:val="26"/>
                <w:lang w:val="ro-MD"/>
              </w:rPr>
            </w:pPr>
            <w:r w:rsidRPr="00807FE0">
              <w:rPr>
                <w:rFonts w:ascii="Times New Roman" w:hAnsi="Times New Roman"/>
                <w:b/>
                <w:bCs/>
                <w:sz w:val="26"/>
                <w:szCs w:val="26"/>
                <w:lang w:val="ro-MD"/>
              </w:rPr>
              <w:lastRenderedPageBreak/>
              <w:t>Nu se acceptă.</w:t>
            </w:r>
          </w:p>
          <w:p w14:paraId="3CCAC687" w14:textId="31B33395" w:rsidR="000D15B1" w:rsidRPr="00807FE0" w:rsidRDefault="000D15B1" w:rsidP="00E34DD3">
            <w:pPr>
              <w:ind w:firstLine="0"/>
              <w:rPr>
                <w:rFonts w:ascii="Times New Roman" w:hAnsi="Times New Roman"/>
                <w:sz w:val="26"/>
                <w:szCs w:val="26"/>
                <w:lang w:val="ro-MD"/>
              </w:rPr>
            </w:pPr>
            <w:r w:rsidRPr="00807FE0">
              <w:rPr>
                <w:rFonts w:ascii="Times New Roman" w:hAnsi="Times New Roman"/>
                <w:sz w:val="26"/>
                <w:szCs w:val="26"/>
                <w:lang w:val="ro-MD"/>
              </w:rPr>
              <w:t xml:space="preserve">Propunerea de a stabili termenul de transmitere a centrelor de date și a echipamentelor achiziționate în termen de 6 luni </w:t>
            </w:r>
            <w:r w:rsidRPr="00807FE0">
              <w:rPr>
                <w:rFonts w:ascii="Times New Roman" w:hAnsi="Times New Roman"/>
                <w:bCs/>
                <w:sz w:val="26"/>
                <w:szCs w:val="26"/>
                <w:lang w:val="ro-MD"/>
              </w:rPr>
              <w:t>din data achiziționării acestora</w:t>
            </w:r>
            <w:r w:rsidR="006470A7" w:rsidRPr="00807FE0">
              <w:rPr>
                <w:rFonts w:ascii="Times New Roman" w:hAnsi="Times New Roman"/>
                <w:sz w:val="26"/>
                <w:szCs w:val="26"/>
                <w:lang w:val="ro-MD"/>
              </w:rPr>
              <w:t xml:space="preserve"> nu poate fi acceptată</w:t>
            </w:r>
            <w:r w:rsidRPr="00807FE0">
              <w:rPr>
                <w:rFonts w:ascii="Times New Roman" w:hAnsi="Times New Roman"/>
                <w:sz w:val="26"/>
                <w:szCs w:val="26"/>
                <w:lang w:val="ro-MD"/>
              </w:rPr>
              <w:t xml:space="preserve"> întrucât ar conduce la fragmentarea procesului de consolidare și la posibile disfuncționalități în asigurarea continuității proceselor critice ale entităților publice.</w:t>
            </w:r>
          </w:p>
          <w:p w14:paraId="3452AFD9" w14:textId="53673200" w:rsidR="006470A7" w:rsidRPr="00807FE0" w:rsidRDefault="006470A7" w:rsidP="00E34DD3">
            <w:pPr>
              <w:ind w:firstLine="0"/>
              <w:rPr>
                <w:rFonts w:ascii="Times New Roman" w:hAnsi="Times New Roman"/>
                <w:sz w:val="26"/>
                <w:szCs w:val="26"/>
                <w:lang w:val="ro-MD"/>
              </w:rPr>
            </w:pPr>
            <w:r w:rsidRPr="00807FE0">
              <w:rPr>
                <w:rFonts w:ascii="Times New Roman" w:hAnsi="Times New Roman"/>
                <w:sz w:val="26"/>
                <w:szCs w:val="26"/>
                <w:lang w:val="ro-MD"/>
              </w:rPr>
              <w:t>Termenul actual</w:t>
            </w:r>
            <w:r w:rsidR="000D15B1" w:rsidRPr="00807FE0">
              <w:rPr>
                <w:rFonts w:ascii="Times New Roman" w:hAnsi="Times New Roman"/>
                <w:sz w:val="26"/>
                <w:szCs w:val="26"/>
                <w:lang w:val="ro-MD"/>
              </w:rPr>
              <w:t xml:space="preserve"> de 6 luni </w:t>
            </w:r>
            <w:r w:rsidR="000D15B1" w:rsidRPr="00807FE0">
              <w:rPr>
                <w:rFonts w:ascii="Times New Roman" w:hAnsi="Times New Roman"/>
                <w:bCs/>
                <w:sz w:val="26"/>
                <w:szCs w:val="26"/>
                <w:lang w:val="ro-MD"/>
              </w:rPr>
              <w:t>de la data expirării perioadei tranzitorii</w:t>
            </w:r>
            <w:r w:rsidR="000D15B1" w:rsidRPr="00807FE0">
              <w:rPr>
                <w:rFonts w:ascii="Times New Roman" w:hAnsi="Times New Roman"/>
                <w:sz w:val="26"/>
                <w:szCs w:val="26"/>
                <w:lang w:val="ro-MD"/>
              </w:rPr>
              <w:t xml:space="preserve"> este corelat </w:t>
            </w:r>
            <w:r w:rsidR="000D15B1" w:rsidRPr="00807FE0">
              <w:rPr>
                <w:rFonts w:ascii="Times New Roman" w:hAnsi="Times New Roman"/>
                <w:sz w:val="26"/>
                <w:szCs w:val="26"/>
                <w:lang w:val="ro-MD"/>
              </w:rPr>
              <w:lastRenderedPageBreak/>
              <w:t>cu obiectivul principal al modificării, care constă în menținerea capacității operaționale până la finalizarea procesului de integrare în platforma guvernamentală comună (</w:t>
            </w:r>
            <w:proofErr w:type="spellStart"/>
            <w:r w:rsidR="000D15B1" w:rsidRPr="00807FE0">
              <w:rPr>
                <w:rFonts w:ascii="Times New Roman" w:hAnsi="Times New Roman"/>
                <w:sz w:val="26"/>
                <w:szCs w:val="26"/>
                <w:lang w:val="ro-MD"/>
              </w:rPr>
              <w:t>MCloud</w:t>
            </w:r>
            <w:proofErr w:type="spellEnd"/>
            <w:r w:rsidR="000D15B1" w:rsidRPr="00807FE0">
              <w:rPr>
                <w:rFonts w:ascii="Times New Roman" w:hAnsi="Times New Roman"/>
                <w:sz w:val="26"/>
                <w:szCs w:val="26"/>
                <w:lang w:val="ro-MD"/>
              </w:rPr>
              <w:t>).</w:t>
            </w:r>
          </w:p>
          <w:p w14:paraId="6A112FC4" w14:textId="77777777" w:rsidR="006470A7" w:rsidRPr="00807FE0" w:rsidRDefault="000D15B1" w:rsidP="00E34DD3">
            <w:pPr>
              <w:ind w:firstLine="0"/>
              <w:rPr>
                <w:rFonts w:ascii="Times New Roman" w:hAnsi="Times New Roman"/>
                <w:sz w:val="26"/>
                <w:szCs w:val="26"/>
                <w:lang w:val="ro-MD"/>
              </w:rPr>
            </w:pPr>
            <w:r w:rsidRPr="00807FE0">
              <w:rPr>
                <w:rFonts w:ascii="Times New Roman" w:hAnsi="Times New Roman"/>
                <w:sz w:val="26"/>
                <w:szCs w:val="26"/>
                <w:lang w:val="ro-MD"/>
              </w:rPr>
              <w:t>Stabilirea termenului propus de avizator ar presupune transmiterea etapizată a echipamentelor chiar în perioada în care acestea sunt utilizate pentru funcționarea serviciilor critice, ceea ce ar putea genera întreruperi în activitatea instituțiilor beneficiare și ar contraveni scopului prevederii tranzitorii.</w:t>
            </w:r>
          </w:p>
          <w:p w14:paraId="70A6CF95" w14:textId="7FB05A7C" w:rsidR="006470A7" w:rsidRPr="00807FE0" w:rsidRDefault="000D15B1" w:rsidP="00E34DD3">
            <w:pPr>
              <w:ind w:firstLine="0"/>
              <w:rPr>
                <w:rFonts w:ascii="Times New Roman" w:hAnsi="Times New Roman"/>
                <w:sz w:val="26"/>
                <w:szCs w:val="26"/>
                <w:lang w:val="ro-MD"/>
              </w:rPr>
            </w:pPr>
            <w:r w:rsidRPr="00807FE0">
              <w:rPr>
                <w:rFonts w:ascii="Times New Roman" w:hAnsi="Times New Roman"/>
                <w:sz w:val="26"/>
                <w:szCs w:val="26"/>
                <w:lang w:val="ro-MD"/>
              </w:rPr>
              <w:t xml:space="preserve">De asemenea, transmiterea simultană, la încheierea perioadei tranzitorii, asigură o </w:t>
            </w:r>
            <w:r w:rsidRPr="00807FE0">
              <w:rPr>
                <w:rFonts w:ascii="Times New Roman" w:hAnsi="Times New Roman"/>
                <w:bCs/>
                <w:sz w:val="26"/>
                <w:szCs w:val="26"/>
                <w:lang w:val="ro-MD"/>
              </w:rPr>
              <w:t>integrare planificată, completă și tehnic uniformă</w:t>
            </w:r>
            <w:r w:rsidRPr="00807FE0">
              <w:rPr>
                <w:rFonts w:ascii="Times New Roman" w:hAnsi="Times New Roman"/>
                <w:sz w:val="26"/>
                <w:szCs w:val="26"/>
                <w:lang w:val="ro-MD"/>
              </w:rPr>
              <w:t xml:space="preserve"> în cadrul platformei </w:t>
            </w:r>
            <w:proofErr w:type="spellStart"/>
            <w:r w:rsidRPr="00807FE0">
              <w:rPr>
                <w:rFonts w:ascii="Times New Roman" w:hAnsi="Times New Roman"/>
                <w:sz w:val="26"/>
                <w:szCs w:val="26"/>
                <w:lang w:val="ro-MD"/>
              </w:rPr>
              <w:t>MCloud</w:t>
            </w:r>
            <w:proofErr w:type="spellEnd"/>
            <w:r w:rsidR="006470A7" w:rsidRPr="00807FE0">
              <w:rPr>
                <w:rFonts w:ascii="Times New Roman" w:hAnsi="Times New Roman"/>
                <w:sz w:val="26"/>
                <w:szCs w:val="26"/>
                <w:lang w:val="ro-MD"/>
              </w:rPr>
              <w:t>.</w:t>
            </w:r>
          </w:p>
          <w:p w14:paraId="072E54C3" w14:textId="05823E90" w:rsidR="000D15B1" w:rsidRPr="00807FE0" w:rsidRDefault="000D15B1" w:rsidP="00E34DD3">
            <w:pPr>
              <w:ind w:firstLine="0"/>
              <w:rPr>
                <w:rFonts w:ascii="Times New Roman" w:hAnsi="Times New Roman"/>
                <w:sz w:val="26"/>
                <w:szCs w:val="26"/>
                <w:lang w:val="ro-MD"/>
              </w:rPr>
            </w:pPr>
            <w:r w:rsidRPr="00807FE0">
              <w:rPr>
                <w:rFonts w:ascii="Times New Roman" w:hAnsi="Times New Roman"/>
                <w:sz w:val="26"/>
                <w:szCs w:val="26"/>
                <w:lang w:val="ro-MD"/>
              </w:rPr>
              <w:t xml:space="preserve">Prin urmare, menținerea termenului de 6 luni calculat </w:t>
            </w:r>
            <w:r w:rsidRPr="00807FE0">
              <w:rPr>
                <w:rFonts w:ascii="Times New Roman" w:hAnsi="Times New Roman"/>
                <w:bCs/>
                <w:sz w:val="26"/>
                <w:szCs w:val="26"/>
                <w:lang w:val="ro-MD"/>
              </w:rPr>
              <w:t>de la data expirării perioadei tranzitorii</w:t>
            </w:r>
            <w:r w:rsidRPr="00807FE0">
              <w:rPr>
                <w:rFonts w:ascii="Times New Roman" w:hAnsi="Times New Roman"/>
                <w:sz w:val="26"/>
                <w:szCs w:val="26"/>
                <w:lang w:val="ro-MD"/>
              </w:rPr>
              <w:t xml:space="preserve"> este justificată din considerente tehnice, de securitate operațională și de eficiență în procesul de consolidare a centrelor de date guvernamentale.</w:t>
            </w:r>
          </w:p>
          <w:p w14:paraId="1F7FC0B5" w14:textId="4EC595E1" w:rsidR="005C5CE4" w:rsidRPr="00807FE0" w:rsidRDefault="005C5CE4"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lang w:val="ro-MD"/>
              </w:rPr>
            </w:pPr>
          </w:p>
        </w:tc>
      </w:tr>
      <w:tr w:rsidR="00AD3B71" w:rsidRPr="00807FE0" w14:paraId="7F8DF5B2" w14:textId="77777777" w:rsidTr="00E34DD3">
        <w:trPr>
          <w:gridAfter w:val="1"/>
          <w:wAfter w:w="29" w:type="dxa"/>
          <w:trHeight w:val="330"/>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E7E23" w14:textId="547D37B5" w:rsidR="00AD3B71" w:rsidRPr="00807FE0" w:rsidRDefault="00AD3B71"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eastAsia="Times New Roman" w:hAnsi="Times New Roman"/>
                <w:b/>
                <w:color w:val="000000" w:themeColor="text1"/>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C17B" w14:textId="56B6E2B2" w:rsidR="00AD3B71" w:rsidRPr="00807FE0" w:rsidRDefault="00AD3B71"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A6C32" w14:textId="77777777"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p>
          <w:p w14:paraId="45C07170" w14:textId="136A7E6A"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bCs/>
                <w:color w:val="000000" w:themeColor="text1"/>
                <w:sz w:val="26"/>
                <w:szCs w:val="26"/>
              </w:rPr>
            </w:pPr>
            <w:r w:rsidRPr="00807FE0">
              <w:rPr>
                <w:rFonts w:ascii="Times New Roman" w:hAnsi="Times New Roman"/>
                <w:color w:val="000000" w:themeColor="text1"/>
                <w:sz w:val="26"/>
                <w:szCs w:val="26"/>
              </w:rPr>
              <w:t xml:space="preserve">                         </w:t>
            </w:r>
            <w:r w:rsidRPr="00807FE0">
              <w:rPr>
                <w:rFonts w:ascii="Times New Roman" w:hAnsi="Times New Roman"/>
                <w:b/>
                <w:bCs/>
                <w:color w:val="000000" w:themeColor="text1"/>
                <w:sz w:val="26"/>
                <w:szCs w:val="26"/>
              </w:rPr>
              <w:t>Avizare și consultare publică</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A2CB" w14:textId="16EFA08F" w:rsidR="00AD3B71" w:rsidRPr="00807FE0" w:rsidRDefault="00AD3B71"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p>
        </w:tc>
      </w:tr>
      <w:tr w:rsidR="003827A2" w:rsidRPr="00807FE0" w14:paraId="479F0D2B" w14:textId="77777777" w:rsidTr="00E34DD3">
        <w:trPr>
          <w:gridAfter w:val="1"/>
          <w:wAfter w:w="29" w:type="dxa"/>
          <w:trHeight w:val="237"/>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811C" w14:textId="77777777"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r w:rsidRPr="00807FE0">
              <w:rPr>
                <w:rFonts w:ascii="Times New Roman" w:hAnsi="Times New Roman"/>
                <w:b/>
                <w:color w:val="000000" w:themeColor="text1"/>
                <w:sz w:val="26"/>
                <w:szCs w:val="26"/>
              </w:rPr>
              <w:t>Agenția Servicii Publice</w:t>
            </w:r>
          </w:p>
          <w:p w14:paraId="631EE462" w14:textId="655B333B"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Cs/>
                <w:i/>
                <w:iCs/>
                <w:color w:val="000000" w:themeColor="text1"/>
                <w:sz w:val="26"/>
                <w:szCs w:val="26"/>
              </w:rPr>
            </w:pPr>
            <w:r w:rsidRPr="00807FE0">
              <w:rPr>
                <w:rFonts w:ascii="Times New Roman" w:hAnsi="Times New Roman"/>
                <w:bCs/>
                <w:i/>
                <w:iCs/>
                <w:color w:val="000000" w:themeColor="text1"/>
                <w:sz w:val="26"/>
                <w:szCs w:val="26"/>
              </w:rPr>
              <w:t>(Nr. 01/808 din 03.02.2026)</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C7771" w14:textId="2BE6BE88" w:rsidR="003827A2" w:rsidRPr="00807FE0" w:rsidRDefault="003827A2"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t>1.</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FCD9" w14:textId="69C56ADA"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Lipsă de obiecții și propuneri.</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6DFA9" w14:textId="55A114BF" w:rsidR="003827A2" w:rsidRPr="00807FE0" w:rsidRDefault="003827A2"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w:t>
            </w:r>
          </w:p>
        </w:tc>
      </w:tr>
      <w:tr w:rsidR="003827A2" w:rsidRPr="00807FE0" w14:paraId="7BF120CE" w14:textId="77777777" w:rsidTr="00E34DD3">
        <w:trPr>
          <w:gridAfter w:val="1"/>
          <w:wAfter w:w="29" w:type="dxa"/>
          <w:trHeight w:val="270"/>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4B4C6" w14:textId="52FF95E2"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r w:rsidRPr="00807FE0">
              <w:rPr>
                <w:rFonts w:ascii="Times New Roman" w:hAnsi="Times New Roman"/>
                <w:b/>
                <w:color w:val="000000" w:themeColor="text1"/>
                <w:sz w:val="26"/>
                <w:szCs w:val="26"/>
              </w:rPr>
              <w:t>Ministerul Afacerilor Interne</w:t>
            </w:r>
          </w:p>
          <w:p w14:paraId="7087ACA7" w14:textId="14FC079F"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Cs/>
                <w:i/>
                <w:iCs/>
                <w:color w:val="000000" w:themeColor="text1"/>
                <w:sz w:val="26"/>
                <w:szCs w:val="26"/>
              </w:rPr>
            </w:pPr>
            <w:r w:rsidRPr="00807FE0">
              <w:rPr>
                <w:rFonts w:ascii="Times New Roman" w:hAnsi="Times New Roman"/>
                <w:bCs/>
                <w:i/>
                <w:iCs/>
                <w:color w:val="000000" w:themeColor="text1"/>
                <w:sz w:val="26"/>
                <w:szCs w:val="26"/>
              </w:rPr>
              <w:lastRenderedPageBreak/>
              <w:t>(Nr. 30/423 din 05 februarie 2026)</w:t>
            </w:r>
          </w:p>
          <w:p w14:paraId="3F61E714" w14:textId="2AEF0255"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ABB7D" w14:textId="777055AC" w:rsidR="003827A2" w:rsidRPr="00807FE0" w:rsidRDefault="003827A2"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lastRenderedPageBreak/>
              <w:t>1.</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FD347" w14:textId="77777777"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 xml:space="preserve">Se consideră necesară revizuirea termenului prevăzut la punctul 3 subpunctul 1) din proiect, în partea ce vizează perioada până la care este permisă achiziționarea </w:t>
            </w:r>
            <w:r w:rsidRPr="00807FE0">
              <w:rPr>
                <w:rFonts w:ascii="Times New Roman" w:hAnsi="Times New Roman"/>
                <w:color w:val="000000" w:themeColor="text1"/>
                <w:sz w:val="26"/>
                <w:szCs w:val="26"/>
              </w:rPr>
              <w:lastRenderedPageBreak/>
              <w:t xml:space="preserve">echipamentelor hardware și a produselor software strict necesare pentru funcționarea temporară a centrelor de date. Stabilirea termenului-limită până la data de 31 decembrie 2027 nu este pe deplin corelată cu complexitatea procesului, cu ciclurile bugetare anuale, precum și cu durata procedurilor de achiziții publice, fapt ce poate genera riscuri privind asigurarea continuității serviciilor publice critice și aplicarea efectivă a actului normativ. În acest context, se propune ca, la punctul 3 subpunctul 1), textul „până la data de 31 decembrie 2027” să fie substituit cu textul „până la data de </w:t>
            </w:r>
            <w:r w:rsidRPr="00807FE0">
              <w:rPr>
                <w:rFonts w:ascii="Times New Roman" w:hAnsi="Times New Roman"/>
                <w:b/>
                <w:bCs/>
                <w:color w:val="000000" w:themeColor="text1"/>
                <w:sz w:val="26"/>
                <w:szCs w:val="26"/>
              </w:rPr>
              <w:t>31 decembrie 2028</w:t>
            </w:r>
            <w:r w:rsidRPr="00807FE0">
              <w:rPr>
                <w:rFonts w:ascii="Times New Roman" w:hAnsi="Times New Roman"/>
                <w:color w:val="000000" w:themeColor="text1"/>
                <w:sz w:val="26"/>
                <w:szCs w:val="26"/>
              </w:rPr>
              <w:t xml:space="preserve">”. </w:t>
            </w:r>
          </w:p>
          <w:p w14:paraId="2D27805B" w14:textId="2F33DCF1"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Reieșind din faptul că resursele bugetare alocate pentru anul 2026 nu cuprind cheltuieli de achiziționare a echipamentelor hardware, această extindere va permite alinierea cu cel puțin un ciclu bugetar complet (2028) și reduce substanțial riscul de întrerupere a serviciilor publice digitale critice în perioada de tranziție. Prelungirea nu compromite obiectivul de optimizare, ci îl face fezabil din punct de vedere operațional, tehnic și financiar.</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3E3A5" w14:textId="7EFD6431" w:rsidR="003827A2" w:rsidRPr="00807FE0" w:rsidRDefault="003F332A"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lang w:val="ro-MD"/>
              </w:rPr>
            </w:pPr>
            <w:r w:rsidRPr="00807FE0">
              <w:rPr>
                <w:rFonts w:ascii="Times New Roman" w:hAnsi="Times New Roman"/>
                <w:b/>
                <w:sz w:val="26"/>
                <w:szCs w:val="26"/>
              </w:rPr>
              <w:lastRenderedPageBreak/>
              <w:t>Se accept</w:t>
            </w:r>
            <w:r w:rsidRPr="00807FE0">
              <w:rPr>
                <w:rFonts w:ascii="Times New Roman" w:hAnsi="Times New Roman"/>
                <w:b/>
                <w:sz w:val="26"/>
                <w:szCs w:val="26"/>
                <w:lang w:val="ro-MD"/>
              </w:rPr>
              <w:t>ă.</w:t>
            </w:r>
          </w:p>
        </w:tc>
      </w:tr>
      <w:tr w:rsidR="003827A2" w:rsidRPr="00807FE0" w14:paraId="13D1D01B" w14:textId="77777777" w:rsidTr="00E34DD3">
        <w:trPr>
          <w:gridAfter w:val="1"/>
          <w:wAfter w:w="29" w:type="dxa"/>
          <w:trHeight w:val="225"/>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ACEF2" w14:textId="77777777" w:rsidR="003827A2" w:rsidRPr="00807FE0" w:rsidRDefault="0033355D"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r w:rsidRPr="00807FE0">
              <w:rPr>
                <w:rFonts w:ascii="Times New Roman" w:hAnsi="Times New Roman"/>
                <w:b/>
                <w:color w:val="000000" w:themeColor="text1"/>
                <w:sz w:val="26"/>
                <w:szCs w:val="26"/>
              </w:rPr>
              <w:t>Serviciul Tehnologia Informației și Securitate Cibernetică</w:t>
            </w:r>
          </w:p>
          <w:p w14:paraId="06207B27" w14:textId="7CFEBB6E" w:rsidR="0033355D" w:rsidRPr="00807FE0" w:rsidRDefault="0033355D"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Cs/>
                <w:i/>
                <w:iCs/>
                <w:color w:val="000000" w:themeColor="text1"/>
                <w:sz w:val="26"/>
                <w:szCs w:val="26"/>
              </w:rPr>
            </w:pPr>
            <w:r w:rsidRPr="00807FE0">
              <w:rPr>
                <w:rFonts w:ascii="Times New Roman" w:hAnsi="Times New Roman"/>
                <w:bCs/>
                <w:i/>
                <w:iCs/>
                <w:color w:val="000000" w:themeColor="text1"/>
                <w:sz w:val="26"/>
                <w:szCs w:val="26"/>
              </w:rPr>
              <w:t>(</w:t>
            </w:r>
            <w:r w:rsidRPr="00807FE0">
              <w:rPr>
                <w:rFonts w:ascii="Times New Roman" w:hAnsi="Times New Roman"/>
                <w:bCs/>
                <w:i/>
                <w:iCs/>
                <w:sz w:val="26"/>
                <w:szCs w:val="26"/>
              </w:rPr>
              <w:t>nr.1.4/240/26 din 02.02.2026)</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1376C" w14:textId="0CF66ACE" w:rsidR="003827A2" w:rsidRPr="00807FE0" w:rsidRDefault="0033355D"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t>1.</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8032D" w14:textId="7DC5B84A" w:rsidR="003827A2" w:rsidRPr="00807FE0" w:rsidRDefault="0033355D"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Lipsă de obiecții și propuneri.</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EA021" w14:textId="253BF7C7" w:rsidR="003827A2" w:rsidRPr="00807FE0" w:rsidRDefault="0033355D"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w:t>
            </w:r>
          </w:p>
        </w:tc>
      </w:tr>
      <w:tr w:rsidR="001962FA" w:rsidRPr="00807FE0" w14:paraId="1CCADDA4" w14:textId="77777777" w:rsidTr="00C91790">
        <w:trPr>
          <w:gridAfter w:val="1"/>
          <w:wAfter w:w="29" w:type="dxa"/>
          <w:trHeight w:val="3307"/>
        </w:trPr>
        <w:tc>
          <w:tcPr>
            <w:tcW w:w="2889" w:type="dxa"/>
            <w:vMerge w:val="restart"/>
            <w:tcBorders>
              <w:top w:val="single" w:sz="4" w:space="0" w:color="auto"/>
              <w:left w:val="single" w:sz="4" w:space="0" w:color="auto"/>
              <w:bottom w:val="none" w:sz="4" w:space="0" w:color="000000"/>
              <w:right w:val="single" w:sz="4" w:space="0" w:color="auto"/>
            </w:tcBorders>
            <w:tcMar>
              <w:top w:w="0" w:type="dxa"/>
              <w:left w:w="108" w:type="dxa"/>
              <w:bottom w:w="0" w:type="dxa"/>
              <w:right w:w="108" w:type="dxa"/>
            </w:tcMar>
          </w:tcPr>
          <w:p w14:paraId="13533743" w14:textId="77777777"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Cs/>
                <w:i/>
                <w:iCs/>
                <w:color w:val="000000" w:themeColor="text1"/>
                <w:sz w:val="26"/>
                <w:szCs w:val="26"/>
              </w:rPr>
            </w:pPr>
            <w:r w:rsidRPr="00807FE0">
              <w:rPr>
                <w:rFonts w:ascii="Times New Roman" w:hAnsi="Times New Roman"/>
                <w:b/>
                <w:color w:val="000000" w:themeColor="text1"/>
                <w:sz w:val="26"/>
                <w:szCs w:val="26"/>
              </w:rPr>
              <w:lastRenderedPageBreak/>
              <w:t>Agenția de Guvernare Electronică</w:t>
            </w:r>
          </w:p>
          <w:p w14:paraId="76289363" w14:textId="7A7BCD45" w:rsidR="001962FA" w:rsidRPr="00807FE0" w:rsidRDefault="001962FA" w:rsidP="00C91790">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Cs/>
                <w:i/>
                <w:iCs/>
                <w:color w:val="000000" w:themeColor="text1"/>
                <w:sz w:val="26"/>
                <w:szCs w:val="26"/>
              </w:rPr>
            </w:pPr>
            <w:r w:rsidRPr="00807FE0">
              <w:rPr>
                <w:rFonts w:ascii="Times New Roman" w:hAnsi="Times New Roman"/>
                <w:bCs/>
                <w:i/>
                <w:iCs/>
                <w:color w:val="000000" w:themeColor="text1"/>
                <w:sz w:val="26"/>
                <w:szCs w:val="26"/>
              </w:rPr>
              <w:t>(Nr. 3007 – 030-DGPȘG-1683-18-din 12.02.2026)</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B3694" w14:textId="139CCFB8" w:rsidR="001962FA" w:rsidRPr="00807FE0" w:rsidRDefault="001962FA"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t>1.</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8C59C" w14:textId="6748F4E0"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1. În scopul evitării dublării competențelor Instituției publice „Serviciul Tehnologia Informației și Securitate Cibernetică” (în continuare - STISC), stabilite prin prezenta hotărâre, și celor ale AGE, stabilite în Hotărârea Guvernului nr.544/2019 cu privire la unele măsuri de organizare a procesului de achiziții în domeniul tehnologiei informației și comunicațiilor, la pct.1 din proiectul de hotărâre:</w:t>
            </w:r>
          </w:p>
          <w:p w14:paraId="7C5977BF" w14:textId="6A5FC9B3"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1.1. în pct.3 subpct.2) cuvintele „în coordonare” se vor substitui cu cuvintele „cu coordonarea obligatorie a specificațiilor tehnice a echipamentelor și produselor menționate la subpunctul 1)”;</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3CC22" w14:textId="404C510E" w:rsidR="001962FA" w:rsidRPr="00807FE0" w:rsidRDefault="001962FA"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rPr>
            </w:pPr>
            <w:r w:rsidRPr="00807FE0">
              <w:rPr>
                <w:rFonts w:ascii="Times New Roman" w:hAnsi="Times New Roman"/>
                <w:b/>
                <w:sz w:val="26"/>
                <w:szCs w:val="26"/>
              </w:rPr>
              <w:t>Se acceptă.</w:t>
            </w:r>
          </w:p>
        </w:tc>
      </w:tr>
      <w:tr w:rsidR="001962FA" w:rsidRPr="00807FE0" w14:paraId="08CDC98F" w14:textId="77777777" w:rsidTr="00E34DD3">
        <w:trPr>
          <w:gridAfter w:val="1"/>
          <w:wAfter w:w="29" w:type="dxa"/>
          <w:trHeight w:val="330"/>
        </w:trPr>
        <w:tc>
          <w:tcPr>
            <w:tcW w:w="2889" w:type="dxa"/>
            <w:vMerge/>
            <w:tcBorders>
              <w:left w:val="single" w:sz="4" w:space="0" w:color="auto"/>
              <w:right w:val="single" w:sz="4" w:space="0" w:color="auto"/>
            </w:tcBorders>
            <w:tcMar>
              <w:top w:w="0" w:type="dxa"/>
              <w:left w:w="108" w:type="dxa"/>
              <w:bottom w:w="0" w:type="dxa"/>
              <w:right w:w="108" w:type="dxa"/>
            </w:tcMar>
          </w:tcPr>
          <w:p w14:paraId="77E81C6D" w14:textId="77777777"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788D8" w14:textId="0F944A84" w:rsidR="001962FA" w:rsidRPr="00807FE0" w:rsidRDefault="001962FA"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t>2.</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99B10" w14:textId="01EB158F"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1.2. în pct.3 subpct.3) cuvintele „coordonarea achiziției” se vor substitui cu cuvintele „coordonarea specificațiilor tehnice la achiziția”;</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E916D" w14:textId="75D05928" w:rsidR="001962FA" w:rsidRPr="00807FE0" w:rsidRDefault="001962FA"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rPr>
            </w:pPr>
            <w:r w:rsidRPr="00807FE0">
              <w:rPr>
                <w:rFonts w:ascii="Times New Roman" w:hAnsi="Times New Roman"/>
                <w:b/>
                <w:sz w:val="26"/>
                <w:szCs w:val="26"/>
              </w:rPr>
              <w:t>Se acceptă.</w:t>
            </w:r>
          </w:p>
        </w:tc>
      </w:tr>
      <w:tr w:rsidR="001962FA" w:rsidRPr="00807FE0" w14:paraId="32CF174A" w14:textId="77777777" w:rsidTr="00E34DD3">
        <w:trPr>
          <w:gridAfter w:val="1"/>
          <w:wAfter w:w="29" w:type="dxa"/>
          <w:trHeight w:val="195"/>
        </w:trPr>
        <w:tc>
          <w:tcPr>
            <w:tcW w:w="2889" w:type="dxa"/>
            <w:vMerge/>
            <w:tcBorders>
              <w:left w:val="single" w:sz="4" w:space="0" w:color="auto"/>
              <w:right w:val="single" w:sz="4" w:space="0" w:color="auto"/>
            </w:tcBorders>
            <w:tcMar>
              <w:top w:w="0" w:type="dxa"/>
              <w:left w:w="108" w:type="dxa"/>
              <w:bottom w:w="0" w:type="dxa"/>
              <w:right w:w="108" w:type="dxa"/>
            </w:tcMar>
          </w:tcPr>
          <w:p w14:paraId="276FD335" w14:textId="77777777"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5ADE" w14:textId="34812A88" w:rsidR="001962FA" w:rsidRPr="00807FE0" w:rsidRDefault="001962FA"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t>3.</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BC7B" w14:textId="2C0CF07E"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sz w:val="26"/>
                <w:szCs w:val="26"/>
              </w:rPr>
              <w:t>1.3. în scopul utilizării în tot textul proiectului a unei noțiuni unice, la pct.3 subpct.4) cuvântul „consultate” se va substitui cu cuvântul „coordonate”;</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39F9C" w14:textId="61F83C4E" w:rsidR="001962FA" w:rsidRPr="00807FE0" w:rsidRDefault="001962FA"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rPr>
            </w:pPr>
            <w:r w:rsidRPr="00807FE0">
              <w:rPr>
                <w:rFonts w:ascii="Times New Roman" w:hAnsi="Times New Roman"/>
                <w:b/>
                <w:sz w:val="26"/>
                <w:szCs w:val="26"/>
              </w:rPr>
              <w:t>Se acceptă.</w:t>
            </w:r>
          </w:p>
        </w:tc>
      </w:tr>
      <w:tr w:rsidR="001962FA" w:rsidRPr="00807FE0" w14:paraId="44BBCA5A" w14:textId="77777777" w:rsidTr="00E34DD3">
        <w:trPr>
          <w:gridAfter w:val="1"/>
          <w:wAfter w:w="29" w:type="dxa"/>
          <w:trHeight w:val="135"/>
        </w:trPr>
        <w:tc>
          <w:tcPr>
            <w:tcW w:w="2889" w:type="dxa"/>
            <w:vMerge/>
            <w:tcBorders>
              <w:left w:val="single" w:sz="4" w:space="0" w:color="auto"/>
              <w:right w:val="single" w:sz="4" w:space="0" w:color="auto"/>
            </w:tcBorders>
            <w:tcMar>
              <w:top w:w="0" w:type="dxa"/>
              <w:left w:w="108" w:type="dxa"/>
              <w:bottom w:w="0" w:type="dxa"/>
              <w:right w:w="108" w:type="dxa"/>
            </w:tcMar>
          </w:tcPr>
          <w:p w14:paraId="248C8850" w14:textId="77777777"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61A0A" w14:textId="6C1D6E62" w:rsidR="001962FA" w:rsidRPr="00807FE0" w:rsidRDefault="001962FA" w:rsidP="00E34DD3">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 xml:space="preserve">      4.</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1B539" w14:textId="4D88E1A0"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sz w:val="26"/>
                <w:szCs w:val="26"/>
              </w:rPr>
              <w:t>1.4. în scopul asigurării unei transmitere etapizate, mai facile și fără perturbări majore a echipamentelor și produselor în administrarea STISC, cu respectarea dezideratului de consolidare a infrastructurii centrelor de date guvernamentale în cadrul platformei tehnologice guvernamentale comune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într-un ritm susținut pentru optimizarea costurilor, creșterea securității datelor și facilitarea accesului la serviciile publice electronice, la pct.3 subpct.5) propunem substituirea textului „în termen de 6 luni” cu textul „în termen rezonabil, dar nu mai târziu de 6 luni”</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1F909" w14:textId="1A8F8BAD" w:rsidR="001962FA" w:rsidRPr="00807FE0" w:rsidRDefault="001962FA"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rPr>
            </w:pPr>
            <w:r w:rsidRPr="00807FE0">
              <w:rPr>
                <w:rFonts w:ascii="Times New Roman" w:hAnsi="Times New Roman"/>
                <w:b/>
                <w:sz w:val="26"/>
                <w:szCs w:val="26"/>
              </w:rPr>
              <w:t>Se acceptă.</w:t>
            </w:r>
          </w:p>
        </w:tc>
      </w:tr>
      <w:tr w:rsidR="001962FA" w:rsidRPr="00807FE0" w14:paraId="15C30F09" w14:textId="77777777" w:rsidTr="00E34DD3">
        <w:trPr>
          <w:gridAfter w:val="1"/>
          <w:wAfter w:w="29" w:type="dxa"/>
          <w:trHeight w:val="150"/>
        </w:trPr>
        <w:tc>
          <w:tcPr>
            <w:tcW w:w="2889" w:type="dxa"/>
            <w:vMerge/>
            <w:tcBorders>
              <w:left w:val="single" w:sz="4" w:space="0" w:color="auto"/>
              <w:right w:val="single" w:sz="4" w:space="0" w:color="auto"/>
            </w:tcBorders>
            <w:tcMar>
              <w:top w:w="0" w:type="dxa"/>
              <w:left w:w="108" w:type="dxa"/>
              <w:bottom w:w="0" w:type="dxa"/>
              <w:right w:w="108" w:type="dxa"/>
            </w:tcMar>
          </w:tcPr>
          <w:p w14:paraId="6567DFD0" w14:textId="77777777"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208ED" w14:textId="6B6C043C" w:rsidR="001962FA" w:rsidRPr="00807FE0" w:rsidRDefault="001962FA" w:rsidP="00E34DD3">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 xml:space="preserve">       5.</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7434F" w14:textId="55600020"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 xml:space="preserve">În contextul introducerii normelor aferente coordonării procesului de </w:t>
            </w:r>
            <w:proofErr w:type="spellStart"/>
            <w:r w:rsidRPr="00807FE0">
              <w:rPr>
                <w:rFonts w:ascii="Times New Roman" w:hAnsi="Times New Roman"/>
                <w:color w:val="000000" w:themeColor="text1"/>
                <w:sz w:val="26"/>
                <w:szCs w:val="26"/>
              </w:rPr>
              <w:t>achizițiea</w:t>
            </w:r>
            <w:proofErr w:type="spellEnd"/>
            <w:r w:rsidRPr="00807FE0">
              <w:rPr>
                <w:rFonts w:ascii="Times New Roman" w:hAnsi="Times New Roman"/>
                <w:color w:val="000000" w:themeColor="text1"/>
                <w:sz w:val="26"/>
                <w:szCs w:val="26"/>
              </w:rPr>
              <w:t xml:space="preserve"> echipamentelor hardware de tip server, de stocare, a echipamentelor de comunicații</w:t>
            </w:r>
          </w:p>
          <w:p w14:paraId="7A4F249C" w14:textId="7AD25074"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lastRenderedPageBreak/>
              <w:t>destinate exclusiv funcționării acestora precum și a produselor software și licențelor aferente, compatibile cu platforma tehnologică guvernamentală comună (</w:t>
            </w:r>
            <w:proofErr w:type="spellStart"/>
            <w:r w:rsidRPr="00807FE0">
              <w:rPr>
                <w:rFonts w:ascii="Times New Roman" w:hAnsi="Times New Roman"/>
                <w:color w:val="000000" w:themeColor="text1"/>
                <w:sz w:val="26"/>
                <w:szCs w:val="26"/>
              </w:rPr>
              <w:t>MCloud</w:t>
            </w:r>
            <w:proofErr w:type="spellEnd"/>
            <w:r w:rsidRPr="00807FE0">
              <w:rPr>
                <w:rFonts w:ascii="Times New Roman" w:hAnsi="Times New Roman"/>
                <w:color w:val="000000" w:themeColor="text1"/>
                <w:sz w:val="26"/>
                <w:szCs w:val="26"/>
              </w:rPr>
              <w:t>),</w:t>
            </w:r>
          </w:p>
          <w:p w14:paraId="2F6526CF" w14:textId="5D2AFCEB"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precum și pentru evitarea interpretărilor și aplicării necorespunzătoare a normelor, propunem completarea textului proiectului cu o norma care să reflecte necesitatea</w:t>
            </w:r>
          </w:p>
          <w:p w14:paraId="64310015" w14:textId="7E8D7DA7"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respectării prevederilor Hotărârii Guvernului nr. 544/2019 cu privire la unele măsuri de organizare a procesului de achiziții în domeniul tehnologiei informației și comunicațiilor, după următorul model:</w:t>
            </w:r>
          </w:p>
          <w:p w14:paraId="7FF59712" w14:textId="39B68DB9"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„3. Implementarea prevederilor prezentei hotărâri nu exclude coordonarea propunerilor de bugetare a cheltuielilor pentru tehnologii informaționale și a planurilor generale de achiziții pentru tehnologii informaționale și comunicații în conformitate cu prevederile Hotărârii Guvernului nr.544/2019 cu privire la unele măsuri de organizare a procesului de achiziții în domeniul tehnologiei informației</w:t>
            </w:r>
          </w:p>
          <w:p w14:paraId="321D4830" w14:textId="0BB17EAF" w:rsidR="001962FA" w:rsidRPr="00807FE0" w:rsidRDefault="001962F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și comunicațiilor.”</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715FB" w14:textId="5BD680FE" w:rsidR="001962FA" w:rsidRPr="00807FE0" w:rsidRDefault="001962FA"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rPr>
            </w:pPr>
            <w:r w:rsidRPr="00807FE0">
              <w:rPr>
                <w:rFonts w:ascii="Times New Roman" w:hAnsi="Times New Roman"/>
                <w:b/>
                <w:sz w:val="26"/>
                <w:szCs w:val="26"/>
              </w:rPr>
              <w:lastRenderedPageBreak/>
              <w:t>Se acceptă.</w:t>
            </w:r>
          </w:p>
        </w:tc>
      </w:tr>
      <w:tr w:rsidR="003827A2" w:rsidRPr="00807FE0" w14:paraId="2175306E" w14:textId="77777777" w:rsidTr="00E34DD3">
        <w:trPr>
          <w:gridAfter w:val="1"/>
          <w:wAfter w:w="29" w:type="dxa"/>
          <w:trHeight w:val="135"/>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028F1" w14:textId="77777777" w:rsidR="003827A2"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r w:rsidRPr="00807FE0">
              <w:rPr>
                <w:rFonts w:ascii="Times New Roman" w:hAnsi="Times New Roman"/>
                <w:b/>
                <w:color w:val="000000" w:themeColor="text1"/>
                <w:sz w:val="26"/>
                <w:szCs w:val="26"/>
              </w:rPr>
              <w:t>Ministerul Justiției</w:t>
            </w:r>
          </w:p>
          <w:p w14:paraId="7738B8FE" w14:textId="408102A3" w:rsidR="000672DA"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Cs/>
                <w:i/>
                <w:iCs/>
                <w:color w:val="000000" w:themeColor="text1"/>
                <w:sz w:val="26"/>
                <w:szCs w:val="26"/>
              </w:rPr>
            </w:pPr>
            <w:r w:rsidRPr="00807FE0">
              <w:rPr>
                <w:rFonts w:ascii="Times New Roman" w:hAnsi="Times New Roman"/>
                <w:bCs/>
                <w:i/>
                <w:iCs/>
                <w:color w:val="000000" w:themeColor="text1"/>
                <w:sz w:val="26"/>
                <w:szCs w:val="26"/>
              </w:rPr>
              <w:t>(Nr. 04/1-1554 din 13.02.2026)</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DD6F1" w14:textId="629A7FBD" w:rsidR="003827A2" w:rsidRPr="00807FE0" w:rsidRDefault="000672DA"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t>1.</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2542" w14:textId="645B6EF7" w:rsidR="000672DA"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Sub aspectul intenției de reglementare, potrivit notei de fundamentare,</w:t>
            </w:r>
            <w:r w:rsidR="00B1146F" w:rsidRPr="00807FE0">
              <w:rPr>
                <w:rFonts w:ascii="Times New Roman" w:hAnsi="Times New Roman"/>
                <w:color w:val="000000" w:themeColor="text1"/>
                <w:sz w:val="26"/>
                <w:szCs w:val="26"/>
              </w:rPr>
              <w:t xml:space="preserve"> </w:t>
            </w:r>
            <w:r w:rsidRPr="00807FE0">
              <w:rPr>
                <w:rFonts w:ascii="Times New Roman" w:hAnsi="Times New Roman"/>
                <w:color w:val="000000" w:themeColor="text1"/>
                <w:sz w:val="26"/>
                <w:szCs w:val="26"/>
              </w:rPr>
              <w:t>proiectul a fost elaborat în scopul stabilirii unei perioade tranzitorii de adaptare tehnologică pentru entitățile publice indicate în Anexa nr. 1 la Hotărârea Guvernului nr. 823/2020, în vederea asigurării continuității proceselor critice pe perioada pregătirii integrării infrastructurilor TI în platforma tehnologică guvernamentală comună (</w:t>
            </w:r>
            <w:proofErr w:type="spellStart"/>
            <w:r w:rsidRPr="00807FE0">
              <w:rPr>
                <w:rFonts w:ascii="Times New Roman" w:hAnsi="Times New Roman"/>
                <w:color w:val="000000" w:themeColor="text1"/>
                <w:sz w:val="26"/>
                <w:szCs w:val="26"/>
              </w:rPr>
              <w:t>MCloud</w:t>
            </w:r>
            <w:proofErr w:type="spellEnd"/>
            <w:r w:rsidRPr="00807FE0">
              <w:rPr>
                <w:rFonts w:ascii="Times New Roman" w:hAnsi="Times New Roman"/>
                <w:color w:val="000000" w:themeColor="text1"/>
                <w:sz w:val="26"/>
                <w:szCs w:val="26"/>
              </w:rPr>
              <w:t xml:space="preserve">). </w:t>
            </w:r>
          </w:p>
          <w:p w14:paraId="6CD9EFAF" w14:textId="715B7BA4" w:rsidR="000672DA"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Scopul proiectului este de a asigura cadrul normativ necesar</w:t>
            </w:r>
          </w:p>
          <w:p w14:paraId="736839FA" w14:textId="662D8ADA" w:rsidR="000672DA"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lastRenderedPageBreak/>
              <w:t>pentru această perioadă tranzitorie de adaptare tehnologică, să permită entităților publice menționate să asigure continuitatea proceselor critice.</w:t>
            </w:r>
          </w:p>
          <w:p w14:paraId="0085110D" w14:textId="77777777" w:rsidR="000672DA"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Amendamentele la Hotărârea Guvernului nr. 823/2020 se vor numerota „1.1”,</w:t>
            </w:r>
          </w:p>
          <w:p w14:paraId="0BEBE27D" w14:textId="77777777" w:rsidR="000672DA"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respectiv„1.2.”.</w:t>
            </w:r>
          </w:p>
          <w:p w14:paraId="685A5938" w14:textId="636B5391" w:rsidR="000672DA"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La pct. 1 menționăm că, în cazul expunerii în redacție nouă a conținutului unui element structural sau a unei părți a acestuia, se utilizează textul „va avea următorul cuprins:”, urmat de redarea noului text. Respectiv, se va revizui dispoziția de</w:t>
            </w:r>
          </w:p>
          <w:p w14:paraId="51CBC054" w14:textId="6D1DADA1" w:rsidR="003827A2"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modificare.</w:t>
            </w: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E3C1F" w14:textId="26B6BF11" w:rsidR="003827A2" w:rsidRPr="00807FE0" w:rsidRDefault="009B4096"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rPr>
            </w:pPr>
            <w:r w:rsidRPr="00807FE0">
              <w:rPr>
                <w:rFonts w:ascii="Times New Roman" w:hAnsi="Times New Roman"/>
                <w:b/>
                <w:sz w:val="26"/>
                <w:szCs w:val="26"/>
              </w:rPr>
              <w:lastRenderedPageBreak/>
              <w:t>Se acceptă.</w:t>
            </w:r>
          </w:p>
        </w:tc>
      </w:tr>
      <w:tr w:rsidR="003827A2" w:rsidRPr="00807FE0" w14:paraId="11378105" w14:textId="77777777" w:rsidTr="00E34DD3">
        <w:trPr>
          <w:gridAfter w:val="1"/>
          <w:wAfter w:w="29" w:type="dxa"/>
          <w:trHeight w:val="1905"/>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08961" w14:textId="77777777" w:rsidR="003827A2" w:rsidRPr="00807FE0" w:rsidRDefault="003827A2"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346CC" w14:textId="3B5EDCBD" w:rsidR="003827A2" w:rsidRPr="00807FE0" w:rsidRDefault="000672DA"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t>2.</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6800" w14:textId="77777777" w:rsidR="003827A2" w:rsidRPr="00807FE0" w:rsidRDefault="000672DA"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color w:val="000000" w:themeColor="text1"/>
                <w:sz w:val="26"/>
                <w:szCs w:val="26"/>
              </w:rPr>
              <w:t xml:space="preserve">La pct. 1 referitor la prevederile propuse la pct. 3 </w:t>
            </w:r>
            <w:proofErr w:type="spellStart"/>
            <w:r w:rsidRPr="00807FE0">
              <w:rPr>
                <w:rFonts w:ascii="Times New Roman" w:hAnsi="Times New Roman"/>
                <w:color w:val="000000" w:themeColor="text1"/>
                <w:sz w:val="26"/>
                <w:szCs w:val="26"/>
              </w:rPr>
              <w:t>sbp</w:t>
            </w:r>
            <w:proofErr w:type="spellEnd"/>
            <w:r w:rsidRPr="00807FE0">
              <w:rPr>
                <w:rFonts w:ascii="Times New Roman" w:hAnsi="Times New Roman"/>
                <w:color w:val="000000" w:themeColor="text1"/>
                <w:sz w:val="26"/>
                <w:szCs w:val="26"/>
              </w:rPr>
              <w:t xml:space="preserve">. 2) lit. a) cuvintele „propunerilor de bugetare a cheltuielilor” se vor substitui cu cuvintele „ propunerilor de finanțare a cheltuielilor”, în conformitate cu terminologia utilizată în Legea nr. 181/2014 </w:t>
            </w:r>
            <w:proofErr w:type="spellStart"/>
            <w:r w:rsidRPr="00807FE0">
              <w:rPr>
                <w:rFonts w:ascii="Times New Roman" w:hAnsi="Times New Roman"/>
                <w:color w:val="000000" w:themeColor="text1"/>
                <w:sz w:val="26"/>
                <w:szCs w:val="26"/>
              </w:rPr>
              <w:t>finanţelor</w:t>
            </w:r>
            <w:proofErr w:type="spellEnd"/>
            <w:r w:rsidRPr="00807FE0">
              <w:rPr>
                <w:rFonts w:ascii="Times New Roman" w:hAnsi="Times New Roman"/>
                <w:color w:val="000000" w:themeColor="text1"/>
                <w:sz w:val="26"/>
                <w:szCs w:val="26"/>
              </w:rPr>
              <w:t xml:space="preserve"> publice </w:t>
            </w:r>
            <w:proofErr w:type="spellStart"/>
            <w:r w:rsidRPr="00807FE0">
              <w:rPr>
                <w:rFonts w:ascii="Times New Roman" w:hAnsi="Times New Roman"/>
                <w:color w:val="000000" w:themeColor="text1"/>
                <w:sz w:val="26"/>
                <w:szCs w:val="26"/>
              </w:rPr>
              <w:t>şi</w:t>
            </w:r>
            <w:proofErr w:type="spellEnd"/>
            <w:r w:rsidRPr="00807FE0">
              <w:rPr>
                <w:rFonts w:ascii="Times New Roman" w:hAnsi="Times New Roman"/>
                <w:color w:val="000000" w:themeColor="text1"/>
                <w:sz w:val="26"/>
                <w:szCs w:val="26"/>
              </w:rPr>
              <w:t xml:space="preserve"> </w:t>
            </w:r>
            <w:proofErr w:type="spellStart"/>
            <w:r w:rsidRPr="00807FE0">
              <w:rPr>
                <w:rFonts w:ascii="Times New Roman" w:hAnsi="Times New Roman"/>
                <w:color w:val="000000" w:themeColor="text1"/>
                <w:sz w:val="26"/>
                <w:szCs w:val="26"/>
              </w:rPr>
              <w:t>responsabilităţii</w:t>
            </w:r>
            <w:proofErr w:type="spellEnd"/>
            <w:r w:rsidRPr="00807FE0">
              <w:rPr>
                <w:rFonts w:ascii="Times New Roman" w:hAnsi="Times New Roman"/>
                <w:color w:val="000000" w:themeColor="text1"/>
                <w:sz w:val="26"/>
                <w:szCs w:val="26"/>
              </w:rPr>
              <w:t xml:space="preserve"> bugetar-fiscale.</w:t>
            </w:r>
          </w:p>
          <w:p w14:paraId="1FEFE3FE" w14:textId="62729C12" w:rsidR="00A37906" w:rsidRPr="00807FE0" w:rsidRDefault="00A37906"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p>
        </w:tc>
        <w:tc>
          <w:tcPr>
            <w:tcW w:w="4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A3F9E" w14:textId="62C12A53" w:rsidR="003827A2" w:rsidRPr="00807FE0" w:rsidRDefault="00B1146F" w:rsidP="00E34DD3">
            <w:pPr>
              <w:pBdr>
                <w:top w:val="none" w:sz="4" w:space="0" w:color="000000"/>
                <w:left w:val="none" w:sz="4" w:space="0" w:color="000000"/>
                <w:bottom w:val="none" w:sz="4" w:space="0" w:color="000000"/>
                <w:right w:val="none" w:sz="4" w:space="0" w:color="000000"/>
              </w:pBdr>
              <w:ind w:firstLine="0"/>
              <w:rPr>
                <w:rFonts w:ascii="Times New Roman" w:hAnsi="Times New Roman"/>
                <w:b/>
                <w:sz w:val="26"/>
                <w:szCs w:val="26"/>
              </w:rPr>
            </w:pPr>
            <w:r w:rsidRPr="00807FE0">
              <w:rPr>
                <w:rFonts w:ascii="Times New Roman" w:hAnsi="Times New Roman"/>
                <w:b/>
                <w:sz w:val="26"/>
                <w:szCs w:val="26"/>
              </w:rPr>
              <w:t>Se acceptă.</w:t>
            </w:r>
          </w:p>
        </w:tc>
      </w:tr>
      <w:tr w:rsidR="00A37906" w:rsidRPr="00807FE0" w14:paraId="04793C0F" w14:textId="77777777" w:rsidTr="00E34DD3">
        <w:trPr>
          <w:trHeight w:val="228"/>
        </w:trPr>
        <w:tc>
          <w:tcPr>
            <w:tcW w:w="2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F3D5" w14:textId="77777777" w:rsidR="00A37906" w:rsidRPr="00807FE0" w:rsidRDefault="00A37906"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
                <w:color w:val="000000" w:themeColor="text1"/>
                <w:sz w:val="26"/>
                <w:szCs w:val="26"/>
              </w:rPr>
            </w:pPr>
            <w:r w:rsidRPr="00807FE0">
              <w:rPr>
                <w:rFonts w:ascii="Times New Roman" w:hAnsi="Times New Roman"/>
                <w:b/>
                <w:color w:val="000000" w:themeColor="text1"/>
                <w:sz w:val="26"/>
                <w:szCs w:val="26"/>
              </w:rPr>
              <w:t>Ministerul Finanțelor</w:t>
            </w:r>
          </w:p>
          <w:p w14:paraId="743C1A9D" w14:textId="79B0BDB7" w:rsidR="00A37906" w:rsidRPr="00807FE0" w:rsidRDefault="00A37906"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bCs/>
                <w:i/>
                <w:iCs/>
                <w:color w:val="000000" w:themeColor="text1"/>
                <w:sz w:val="26"/>
                <w:szCs w:val="26"/>
              </w:rPr>
            </w:pPr>
            <w:r w:rsidRPr="00807FE0">
              <w:rPr>
                <w:rFonts w:ascii="Times New Roman" w:hAnsi="Times New Roman"/>
                <w:bCs/>
                <w:i/>
                <w:iCs/>
                <w:color w:val="000000" w:themeColor="text1"/>
                <w:sz w:val="26"/>
                <w:szCs w:val="26"/>
              </w:rPr>
              <w:t>(Nr. 09/2-03/90/177 din 16.02.2026)</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FF3B" w14:textId="2D739C96" w:rsidR="00A37906" w:rsidRPr="00807FE0" w:rsidRDefault="00A37906" w:rsidP="00E34DD3">
            <w:pPr>
              <w:pBdr>
                <w:top w:val="none" w:sz="4" w:space="0" w:color="000000"/>
                <w:left w:val="none" w:sz="4" w:space="0" w:color="000000"/>
                <w:bottom w:val="none" w:sz="4" w:space="0" w:color="000000"/>
                <w:right w:val="none" w:sz="4" w:space="0" w:color="000000"/>
              </w:pBdr>
              <w:ind w:firstLine="303"/>
              <w:rPr>
                <w:rFonts w:ascii="Times New Roman" w:hAnsi="Times New Roman"/>
                <w:color w:val="000000" w:themeColor="text1"/>
                <w:sz w:val="26"/>
                <w:szCs w:val="26"/>
              </w:rPr>
            </w:pPr>
            <w:r w:rsidRPr="00807FE0">
              <w:rPr>
                <w:rFonts w:ascii="Times New Roman" w:hAnsi="Times New Roman"/>
                <w:color w:val="000000" w:themeColor="text1"/>
                <w:sz w:val="26"/>
                <w:szCs w:val="26"/>
              </w:rPr>
              <w:t>1.</w:t>
            </w:r>
          </w:p>
        </w:tc>
        <w:tc>
          <w:tcPr>
            <w:tcW w:w="6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D608F" w14:textId="17215929" w:rsidR="00A37906" w:rsidRPr="00807FE0" w:rsidRDefault="00A37906" w:rsidP="00E34DD3">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olor w:val="000000" w:themeColor="text1"/>
                <w:sz w:val="26"/>
                <w:szCs w:val="26"/>
              </w:rPr>
            </w:pPr>
            <w:r w:rsidRPr="00807FE0">
              <w:rPr>
                <w:rFonts w:ascii="Times New Roman" w:hAnsi="Times New Roman"/>
                <w:sz w:val="26"/>
                <w:szCs w:val="26"/>
              </w:rPr>
              <w:t xml:space="preserve">Se constată că prevederile propuse la Hotărârea Guvernului nr. 823/2020 instituie о procedură de coordonare a achizițiilor de echipamente hardware, software și licențe aferente cu Instituția Publică „Serviciul Tehnologia Informației și Securitate Cibernetică", inclusiv prin elaborarea unei metodologii separate. Totodată, atragem atenția că Hotărârea Guvernului nr. 544/2019 cu privire la unele măsuri de organizare a procesului de achiziții în domeniul tehnologiei informației și comunicațiilor stabilește deja obligația coordonării achizițiilor în domeniul tehnologiei informației și comunicațiilor cu Agenția de Guvernare Electronică, în baza unei metodologii aprobate. În acest context, se constată o dublare a mecanismelor de </w:t>
            </w:r>
            <w:r w:rsidRPr="00807FE0">
              <w:rPr>
                <w:rFonts w:ascii="Times New Roman" w:hAnsi="Times New Roman"/>
                <w:sz w:val="26"/>
                <w:szCs w:val="26"/>
              </w:rPr>
              <w:lastRenderedPageBreak/>
              <w:t>coordonare și a cadrului metodologic aplicabil achizițiilor TIC, fapt ce poate genera sarcini administrative suplimentare pentru autoritățile contractante și riscul aplicării neuniforme a procedurilor. Pentru evitarea suprapunerilor instituționale și eficientizarea procesului de coordonare, urmează a fi examinată oportunitatea instituirii unui mecanism comun de coordonare între Agenția de Guvernare Electronică și Instituția Publică „Serviciul Tehnologia Informației și Securitate Cibernetică", a elaborării unei metodologii unice de coordonare sau a introducerii în Hotărârea Guvernului nr. 823/2020 a unei prevederi exprese privind exceptarea acestor achiziții de la aplicarea Hotărârii Guvernului nr. 544/2019.</w:t>
            </w:r>
          </w:p>
        </w:tc>
        <w:tc>
          <w:tcPr>
            <w:tcW w:w="44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F8B4B" w14:textId="77777777" w:rsidR="000D7E46" w:rsidRPr="00807FE0" w:rsidRDefault="000D7E46" w:rsidP="00E34DD3">
            <w:pPr>
              <w:pBdr>
                <w:top w:val="none" w:sz="4" w:space="0" w:color="000000"/>
                <w:left w:val="none" w:sz="4" w:space="0" w:color="000000"/>
                <w:bottom w:val="none" w:sz="4" w:space="0" w:color="000000"/>
                <w:right w:val="none" w:sz="4" w:space="0" w:color="000000"/>
              </w:pBdr>
              <w:ind w:firstLine="0"/>
              <w:rPr>
                <w:rFonts w:ascii="Times New Roman" w:hAnsi="Times New Roman"/>
                <w:b/>
                <w:bCs/>
                <w:sz w:val="26"/>
                <w:szCs w:val="26"/>
              </w:rPr>
            </w:pPr>
            <w:r w:rsidRPr="00807FE0">
              <w:rPr>
                <w:rFonts w:ascii="Times New Roman" w:hAnsi="Times New Roman"/>
                <w:b/>
                <w:bCs/>
                <w:sz w:val="26"/>
                <w:szCs w:val="26"/>
              </w:rPr>
              <w:lastRenderedPageBreak/>
              <w:t>S-a luat act. Argumentare.</w:t>
            </w:r>
          </w:p>
          <w:p w14:paraId="6EF2BDBA" w14:textId="279C240B" w:rsidR="00707E36" w:rsidRPr="00807FE0" w:rsidRDefault="00707E3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Se menționează că mecanismul prevăzut în proiect nu dublează procedura reglementată prin Hotărârea Guvernului nr. 544/2019 întrucât </w:t>
            </w:r>
            <w:r w:rsidR="001A6C49" w:rsidRPr="00807FE0">
              <w:rPr>
                <w:rFonts w:ascii="Times New Roman" w:hAnsi="Times New Roman"/>
                <w:sz w:val="26"/>
                <w:szCs w:val="26"/>
              </w:rPr>
              <w:t>proiectul propus și actul normativ menționat au obiecte distincte de reglementare</w:t>
            </w:r>
            <w:r w:rsidRPr="00807FE0">
              <w:rPr>
                <w:rFonts w:ascii="Times New Roman" w:hAnsi="Times New Roman"/>
                <w:sz w:val="26"/>
                <w:szCs w:val="26"/>
              </w:rPr>
              <w:t>.</w:t>
            </w:r>
          </w:p>
          <w:p w14:paraId="5FD81EB1" w14:textId="59C84986" w:rsidR="00707E36" w:rsidRPr="00807FE0" w:rsidRDefault="00707E3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Hotărârea Guvernului nr. 544/2019 stabilește cadrul general de coordonare a achizițiilor TIC din perspectiva planificării bugetare, oportunității investițiilor și alinierii acestora la politicile guvernamentale în domeniul </w:t>
            </w:r>
            <w:r w:rsidRPr="00807FE0">
              <w:rPr>
                <w:rFonts w:ascii="Times New Roman" w:hAnsi="Times New Roman"/>
                <w:sz w:val="26"/>
                <w:szCs w:val="26"/>
              </w:rPr>
              <w:lastRenderedPageBreak/>
              <w:t>digitalizării, atribuții exercitate de Agenția de Guvernare Electronică.</w:t>
            </w:r>
          </w:p>
          <w:p w14:paraId="0397CC2F" w14:textId="62F6A1E4" w:rsidR="00707E36" w:rsidRPr="00807FE0" w:rsidRDefault="00707E3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Modificările propuse la Hotărârea Guvernului nr. 823/2020 vizează exclusiv coordonarea specificațiilor tehnice aferente echipamentelor și produselor indicate la subpunctul 1 al punctului 3, în scopul asigurării compatibilității tehnice cu platforma tehnologică guvernamentală comună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în contex</w:t>
            </w:r>
            <w:r w:rsidR="001A6C49" w:rsidRPr="00807FE0">
              <w:rPr>
                <w:rFonts w:ascii="Times New Roman" w:hAnsi="Times New Roman"/>
                <w:sz w:val="26"/>
                <w:szCs w:val="26"/>
              </w:rPr>
              <w:t xml:space="preserve">tul </w:t>
            </w:r>
            <w:proofErr w:type="spellStart"/>
            <w:r w:rsidR="001A6C49" w:rsidRPr="00807FE0">
              <w:rPr>
                <w:rFonts w:ascii="Times New Roman" w:hAnsi="Times New Roman"/>
                <w:sz w:val="26"/>
                <w:szCs w:val="26"/>
              </w:rPr>
              <w:t>consolid</w:t>
            </w:r>
            <w:r w:rsidR="001A6C49" w:rsidRPr="00807FE0">
              <w:rPr>
                <w:rFonts w:ascii="Times New Roman" w:hAnsi="Times New Roman"/>
                <w:sz w:val="26"/>
                <w:szCs w:val="26"/>
                <w:lang w:val="ro-MD"/>
              </w:rPr>
              <w:t>ării</w:t>
            </w:r>
            <w:proofErr w:type="spellEnd"/>
            <w:r w:rsidR="001A6C49" w:rsidRPr="00807FE0">
              <w:rPr>
                <w:rFonts w:ascii="Times New Roman" w:hAnsi="Times New Roman"/>
                <w:sz w:val="26"/>
                <w:szCs w:val="26"/>
              </w:rPr>
              <w:t xml:space="preserve"> </w:t>
            </w:r>
            <w:r w:rsidRPr="00807FE0">
              <w:rPr>
                <w:rFonts w:ascii="Times New Roman" w:hAnsi="Times New Roman"/>
                <w:sz w:val="26"/>
                <w:szCs w:val="26"/>
              </w:rPr>
              <w:t xml:space="preserve"> centrelor de date și al asigurării continuității proceselor critice.</w:t>
            </w:r>
          </w:p>
          <w:p w14:paraId="10B36049" w14:textId="77777777" w:rsidR="00A37906" w:rsidRPr="00807FE0" w:rsidRDefault="00707E36"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rPr>
            </w:pPr>
            <w:r w:rsidRPr="00807FE0">
              <w:rPr>
                <w:rFonts w:ascii="Times New Roman" w:hAnsi="Times New Roman"/>
                <w:sz w:val="26"/>
                <w:szCs w:val="26"/>
              </w:rPr>
              <w:t xml:space="preserve">Prin urmare, mecanismul propus are caracter complementar și tehnic, fără a substitui sau exclude aplicarea procedurilor de coordonare prevăzute de Hotărârea Guvernului nr. 544/2019, </w:t>
            </w:r>
            <w:r w:rsidR="001A6C49" w:rsidRPr="00807FE0">
              <w:rPr>
                <w:rFonts w:ascii="Times New Roman" w:hAnsi="Times New Roman"/>
                <w:sz w:val="26"/>
                <w:szCs w:val="26"/>
              </w:rPr>
              <w:t>aspect</w:t>
            </w:r>
            <w:r w:rsidRPr="00807FE0">
              <w:rPr>
                <w:rFonts w:ascii="Times New Roman" w:hAnsi="Times New Roman"/>
                <w:sz w:val="26"/>
                <w:szCs w:val="26"/>
              </w:rPr>
              <w:t xml:space="preserve"> clarificat și prin prevederea introdusă la punctul 2 din proiect</w:t>
            </w:r>
            <w:r w:rsidR="001A6C49" w:rsidRPr="00807FE0">
              <w:rPr>
                <w:rFonts w:ascii="Times New Roman" w:hAnsi="Times New Roman"/>
                <w:sz w:val="26"/>
                <w:szCs w:val="26"/>
              </w:rPr>
              <w:t>ul de hotărâre</w:t>
            </w:r>
            <w:r w:rsidRPr="00807FE0">
              <w:rPr>
                <w:rFonts w:ascii="Times New Roman" w:hAnsi="Times New Roman"/>
                <w:sz w:val="26"/>
                <w:szCs w:val="26"/>
              </w:rPr>
              <w:t xml:space="preserve"> </w:t>
            </w:r>
            <w:r w:rsidR="001A6C49" w:rsidRPr="00807FE0">
              <w:rPr>
                <w:rFonts w:ascii="Times New Roman" w:hAnsi="Times New Roman"/>
                <w:sz w:val="26"/>
                <w:szCs w:val="26"/>
              </w:rPr>
              <w:t>la propunerea</w:t>
            </w:r>
            <w:r w:rsidRPr="00807FE0">
              <w:rPr>
                <w:rFonts w:ascii="Times New Roman" w:hAnsi="Times New Roman"/>
                <w:sz w:val="26"/>
                <w:szCs w:val="26"/>
              </w:rPr>
              <w:t xml:space="preserve"> Agenției de Guvernare Electronică.</w:t>
            </w:r>
          </w:p>
          <w:p w14:paraId="4BC32E39" w14:textId="77777777" w:rsidR="00586B1F" w:rsidRPr="00807FE0" w:rsidRDefault="00586B1F"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highlight w:val="yellow"/>
                <w:lang w:val="ro-MD"/>
              </w:rPr>
            </w:pPr>
          </w:p>
          <w:p w14:paraId="525E3DE4" w14:textId="4982F2F5" w:rsidR="00586B1F" w:rsidRPr="00807FE0" w:rsidRDefault="00586B1F" w:rsidP="00E34DD3">
            <w:pPr>
              <w:pBdr>
                <w:top w:val="none" w:sz="4" w:space="0" w:color="000000"/>
                <w:left w:val="none" w:sz="4" w:space="0" w:color="000000"/>
                <w:bottom w:val="none" w:sz="4" w:space="0" w:color="000000"/>
                <w:right w:val="none" w:sz="4" w:space="0" w:color="000000"/>
              </w:pBdr>
              <w:ind w:firstLine="0"/>
              <w:rPr>
                <w:rFonts w:ascii="Times New Roman" w:hAnsi="Times New Roman"/>
                <w:sz w:val="26"/>
                <w:szCs w:val="26"/>
                <w:highlight w:val="yellow"/>
                <w:lang w:val="ro-MD"/>
              </w:rPr>
            </w:pPr>
          </w:p>
        </w:tc>
      </w:tr>
    </w:tbl>
    <w:p w14:paraId="4ECF5D07" w14:textId="5D2639E5" w:rsidR="001962FA" w:rsidRPr="00807FE0" w:rsidRDefault="001962FA" w:rsidP="00807FE0">
      <w:pPr>
        <w:pStyle w:val="Frspaiere"/>
        <w:ind w:firstLine="0"/>
        <w:rPr>
          <w:b/>
          <w:bCs/>
          <w:sz w:val="26"/>
          <w:szCs w:val="26"/>
          <w:lang w:val="ro-RO"/>
        </w:rPr>
      </w:pPr>
    </w:p>
    <w:tbl>
      <w:tblPr>
        <w:tblStyle w:val="Tabelgril"/>
        <w:tblW w:w="14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1152"/>
        <w:gridCol w:w="6136"/>
        <w:gridCol w:w="4427"/>
      </w:tblGrid>
      <w:tr w:rsidR="00586B1F" w:rsidRPr="00807FE0" w14:paraId="7044A2BB" w14:textId="77777777" w:rsidTr="00646EEE">
        <w:trPr>
          <w:trHeight w:val="158"/>
        </w:trPr>
        <w:tc>
          <w:tcPr>
            <w:tcW w:w="14540" w:type="dxa"/>
            <w:gridSpan w:val="4"/>
            <w:tcBorders>
              <w:top w:val="single" w:sz="4" w:space="0" w:color="auto"/>
              <w:left w:val="single" w:sz="8" w:space="0" w:color="000000"/>
              <w:bottom w:val="single" w:sz="8" w:space="0" w:color="000000"/>
              <w:right w:val="single" w:sz="8" w:space="0" w:color="000000"/>
            </w:tcBorders>
            <w:hideMark/>
          </w:tcPr>
          <w:p w14:paraId="45307D53" w14:textId="77777777" w:rsidR="00586B1F" w:rsidRPr="00807FE0" w:rsidRDefault="00586B1F">
            <w:pPr>
              <w:ind w:firstLine="0"/>
              <w:jc w:val="center"/>
              <w:rPr>
                <w:rFonts w:ascii="Times New Roman" w:hAnsi="Times New Roman"/>
                <w:b/>
                <w:bCs/>
                <w:sz w:val="26"/>
                <w:szCs w:val="26"/>
              </w:rPr>
            </w:pPr>
            <w:r w:rsidRPr="00807FE0">
              <w:rPr>
                <w:rFonts w:ascii="Times New Roman" w:hAnsi="Times New Roman"/>
                <w:b/>
                <w:bCs/>
                <w:sz w:val="26"/>
                <w:szCs w:val="26"/>
              </w:rPr>
              <w:t>Avizare și consultare publică repetată</w:t>
            </w:r>
          </w:p>
        </w:tc>
      </w:tr>
      <w:tr w:rsidR="00B73648" w:rsidRPr="00807FE0" w14:paraId="3BBCDA1B" w14:textId="7A01B495" w:rsidTr="00B73648">
        <w:trPr>
          <w:trHeight w:val="138"/>
        </w:trPr>
        <w:tc>
          <w:tcPr>
            <w:tcW w:w="2825" w:type="dxa"/>
            <w:tcBorders>
              <w:top w:val="nil"/>
              <w:left w:val="single" w:sz="4" w:space="0" w:color="auto"/>
              <w:bottom w:val="single" w:sz="4" w:space="0" w:color="auto"/>
              <w:right w:val="single" w:sz="8" w:space="0" w:color="000000"/>
            </w:tcBorders>
            <w:hideMark/>
          </w:tcPr>
          <w:p w14:paraId="400F9803" w14:textId="77777777" w:rsidR="00B73648" w:rsidRPr="00807FE0" w:rsidRDefault="00B73648" w:rsidP="00B73648">
            <w:pPr>
              <w:ind w:firstLine="0"/>
              <w:rPr>
                <w:rFonts w:ascii="Times New Roman" w:hAnsi="Times New Roman"/>
                <w:b/>
                <w:bCs/>
                <w:sz w:val="26"/>
                <w:szCs w:val="26"/>
              </w:rPr>
            </w:pPr>
            <w:r w:rsidRPr="00807FE0">
              <w:rPr>
                <w:rFonts w:ascii="Times New Roman" w:hAnsi="Times New Roman"/>
                <w:sz w:val="26"/>
                <w:szCs w:val="26"/>
              </w:rPr>
              <w:t xml:space="preserve"> </w:t>
            </w:r>
            <w:r w:rsidR="008D5C7A" w:rsidRPr="00807FE0">
              <w:rPr>
                <w:rFonts w:ascii="Times New Roman" w:hAnsi="Times New Roman"/>
                <w:b/>
                <w:bCs/>
                <w:sz w:val="26"/>
                <w:szCs w:val="26"/>
              </w:rPr>
              <w:t>Ministerul Afacerilor Interne</w:t>
            </w:r>
          </w:p>
          <w:p w14:paraId="1423C803" w14:textId="7F32E9E0" w:rsidR="008D5C7A" w:rsidRPr="00807FE0" w:rsidRDefault="008D5C7A" w:rsidP="00B73648">
            <w:pPr>
              <w:ind w:firstLine="0"/>
              <w:rPr>
                <w:rFonts w:ascii="Times New Roman" w:hAnsi="Times New Roman"/>
                <w:i/>
                <w:iCs/>
                <w:sz w:val="26"/>
                <w:szCs w:val="26"/>
              </w:rPr>
            </w:pPr>
            <w:r w:rsidRPr="00807FE0">
              <w:rPr>
                <w:rFonts w:ascii="Times New Roman" w:hAnsi="Times New Roman"/>
                <w:i/>
                <w:iCs/>
                <w:sz w:val="26"/>
                <w:szCs w:val="26"/>
              </w:rPr>
              <w:t>(Nr. 30/885 din 9 martie 2026)</w:t>
            </w:r>
          </w:p>
        </w:tc>
        <w:tc>
          <w:tcPr>
            <w:tcW w:w="1152" w:type="dxa"/>
            <w:tcBorders>
              <w:top w:val="single" w:sz="4" w:space="0" w:color="auto"/>
              <w:bottom w:val="single" w:sz="4" w:space="0" w:color="auto"/>
              <w:right w:val="single" w:sz="4" w:space="0" w:color="auto"/>
            </w:tcBorders>
          </w:tcPr>
          <w:p w14:paraId="21894B32" w14:textId="7D3F2BF8" w:rsidR="00B73648" w:rsidRPr="00807FE0" w:rsidRDefault="008D5C7A">
            <w:pPr>
              <w:rPr>
                <w:rFonts w:ascii="Times New Roman" w:hAnsi="Times New Roman"/>
                <w:sz w:val="26"/>
                <w:szCs w:val="26"/>
                <w:lang w:val="ro-MD" w:eastAsia="zh-CN"/>
              </w:rPr>
            </w:pPr>
            <w:r w:rsidRPr="00807FE0">
              <w:rPr>
                <w:rFonts w:ascii="Times New Roman" w:hAnsi="Times New Roman"/>
                <w:sz w:val="26"/>
                <w:szCs w:val="26"/>
                <w:lang w:val="ro-MD" w:eastAsia="zh-CN"/>
              </w:rPr>
              <w:t>1.</w:t>
            </w:r>
          </w:p>
        </w:tc>
        <w:tc>
          <w:tcPr>
            <w:tcW w:w="6136" w:type="dxa"/>
            <w:tcBorders>
              <w:top w:val="single" w:sz="4" w:space="0" w:color="auto"/>
              <w:bottom w:val="single" w:sz="4" w:space="0" w:color="auto"/>
              <w:right w:val="single" w:sz="4" w:space="0" w:color="auto"/>
            </w:tcBorders>
          </w:tcPr>
          <w:p w14:paraId="1CDC65E3" w14:textId="4E7585A6" w:rsidR="00B73648" w:rsidRPr="00807FE0" w:rsidRDefault="008D5C7A" w:rsidP="008D5C7A">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Lipsă de obiecții și propuneri.</w:t>
            </w:r>
          </w:p>
        </w:tc>
        <w:tc>
          <w:tcPr>
            <w:tcW w:w="4427" w:type="dxa"/>
            <w:tcBorders>
              <w:top w:val="single" w:sz="4" w:space="0" w:color="auto"/>
              <w:bottom w:val="single" w:sz="4" w:space="0" w:color="auto"/>
              <w:right w:val="single" w:sz="4" w:space="0" w:color="auto"/>
            </w:tcBorders>
          </w:tcPr>
          <w:p w14:paraId="2E79A227" w14:textId="78CD8A4F" w:rsidR="00B73648" w:rsidRPr="00807FE0" w:rsidRDefault="008D5C7A" w:rsidP="008D5C7A">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w:t>
            </w:r>
          </w:p>
        </w:tc>
      </w:tr>
      <w:tr w:rsidR="00723E41" w:rsidRPr="00807FE0" w14:paraId="081C4CFB" w14:textId="3C2C1B0A" w:rsidTr="00723E41">
        <w:trPr>
          <w:trHeight w:val="109"/>
        </w:trPr>
        <w:tc>
          <w:tcPr>
            <w:tcW w:w="2825" w:type="dxa"/>
            <w:vMerge w:val="restart"/>
            <w:tcBorders>
              <w:top w:val="single" w:sz="4" w:space="0" w:color="auto"/>
              <w:left w:val="single" w:sz="4" w:space="0" w:color="auto"/>
              <w:right w:val="single" w:sz="8" w:space="0" w:color="000000"/>
            </w:tcBorders>
          </w:tcPr>
          <w:p w14:paraId="63847DEF" w14:textId="231380CE" w:rsidR="00723E41" w:rsidRPr="00807FE0" w:rsidRDefault="00723E41" w:rsidP="00723E41">
            <w:pPr>
              <w:ind w:firstLine="0"/>
              <w:rPr>
                <w:rFonts w:ascii="Times New Roman" w:hAnsi="Times New Roman"/>
                <w:b/>
                <w:bCs/>
                <w:sz w:val="26"/>
                <w:szCs w:val="26"/>
              </w:rPr>
            </w:pPr>
            <w:r w:rsidRPr="00807FE0">
              <w:rPr>
                <w:rFonts w:ascii="Times New Roman" w:hAnsi="Times New Roman"/>
                <w:b/>
                <w:bCs/>
                <w:sz w:val="26"/>
                <w:szCs w:val="26"/>
              </w:rPr>
              <w:t>Agenția Servicii Publice</w:t>
            </w:r>
          </w:p>
          <w:p w14:paraId="0F507385" w14:textId="3135C85A" w:rsidR="00723E41" w:rsidRPr="00807FE0" w:rsidRDefault="00723E41" w:rsidP="00723E41">
            <w:pPr>
              <w:ind w:firstLine="0"/>
              <w:rPr>
                <w:rFonts w:ascii="Times New Roman" w:hAnsi="Times New Roman"/>
                <w:i/>
                <w:iCs/>
                <w:sz w:val="26"/>
                <w:szCs w:val="26"/>
              </w:rPr>
            </w:pPr>
            <w:r w:rsidRPr="00807FE0">
              <w:rPr>
                <w:rFonts w:ascii="Times New Roman" w:hAnsi="Times New Roman"/>
                <w:i/>
                <w:iCs/>
                <w:sz w:val="26"/>
                <w:szCs w:val="26"/>
              </w:rPr>
              <w:lastRenderedPageBreak/>
              <w:t>(Nr.01/2099 din 06.03.2026)</w:t>
            </w:r>
          </w:p>
        </w:tc>
        <w:tc>
          <w:tcPr>
            <w:tcW w:w="1152" w:type="dxa"/>
            <w:tcBorders>
              <w:top w:val="single" w:sz="4" w:space="0" w:color="auto"/>
              <w:bottom w:val="single" w:sz="4" w:space="0" w:color="auto"/>
              <w:right w:val="single" w:sz="4" w:space="0" w:color="auto"/>
            </w:tcBorders>
          </w:tcPr>
          <w:p w14:paraId="1C6C76F5" w14:textId="689E4A60"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lastRenderedPageBreak/>
              <w:t>1.</w:t>
            </w:r>
          </w:p>
        </w:tc>
        <w:tc>
          <w:tcPr>
            <w:tcW w:w="6136" w:type="dxa"/>
            <w:tcBorders>
              <w:top w:val="single" w:sz="4" w:space="0" w:color="auto"/>
              <w:bottom w:val="single" w:sz="4" w:space="0" w:color="auto"/>
              <w:right w:val="single" w:sz="4" w:space="0" w:color="auto"/>
            </w:tcBorders>
          </w:tcPr>
          <w:p w14:paraId="6C7E3DBF" w14:textId="77777777" w:rsidR="00723E41" w:rsidRPr="00807FE0" w:rsidRDefault="00723E41" w:rsidP="00723E41">
            <w:pPr>
              <w:ind w:firstLine="0"/>
              <w:rPr>
                <w:rFonts w:ascii="Times New Roman" w:hAnsi="Times New Roman"/>
                <w:sz w:val="26"/>
                <w:szCs w:val="26"/>
              </w:rPr>
            </w:pPr>
            <w:r w:rsidRPr="00807FE0">
              <w:rPr>
                <w:rFonts w:ascii="Times New Roman" w:hAnsi="Times New Roman"/>
                <w:sz w:val="26"/>
                <w:szCs w:val="26"/>
              </w:rPr>
              <w:t xml:space="preserve">Proiectul de hotărâre al Guvernului (în continuare – Proiectul), autor – Ministerul Dezvoltării Economice și Digitalizării (MDED) în comun cu Instituția Publică </w:t>
            </w:r>
            <w:r w:rsidRPr="00807FE0">
              <w:rPr>
                <w:rFonts w:ascii="Times New Roman" w:hAnsi="Times New Roman"/>
                <w:sz w:val="26"/>
                <w:szCs w:val="26"/>
              </w:rPr>
              <w:lastRenderedPageBreak/>
              <w:t>„Serviciul Tehnologia Informației și Securitate Cibernetică” (STISC) a fost remis spre expertizare, conform scrisorii MDED nr. 13/1-683 din 27.02.2026, în temeiul pct. 230 și 231 din Regulamentul Guvernului, aprobat prin Hotărârea Guvernului nr. 610/2018. Agenția Servicii Publice (în continuare – ASP) este una dintre cele trei entități publice nominalizate în Anexa nr. 1 la Hotărârea Guvernului nr. 823/2020 (împreună cu Ministerul Finanțelor și Serviciul Tehnologii Informaționale din subordinea MAI), ale căror centre de date sunt supuse consolidării în cadrul platformei tehnologice guvernamentale comune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Prin urmare, ASP este direct vizată de modificările propuse. Proiectul răspunde unei necesități reale și urgente. Termenul inițial de 9 luni, stabilit prin Hotărârea Guvernului 823/2020 pentru transmiterea centrelor de date, s-a dovedit a fi nerealist din punct de vedere tehnic, financiar și operațional. Sistemele și resursele informaționale gestionate de ASP – de importanță critică pentru funcționarea serviciilor publice (registrele de bază, sistemul documentelor de identitate, registrul unităților de drept, registrul de stat al populației, acte stare civilă, etc.) – necesită un proces amplu de </w:t>
            </w:r>
            <w:proofErr w:type="spellStart"/>
            <w:r w:rsidRPr="00807FE0">
              <w:rPr>
                <w:rFonts w:ascii="Times New Roman" w:hAnsi="Times New Roman"/>
                <w:sz w:val="26"/>
                <w:szCs w:val="26"/>
              </w:rPr>
              <w:t>reinginerie</w:t>
            </w:r>
            <w:proofErr w:type="spellEnd"/>
            <w:r w:rsidRPr="00807FE0">
              <w:rPr>
                <w:rFonts w:ascii="Times New Roman" w:hAnsi="Times New Roman"/>
                <w:sz w:val="26"/>
                <w:szCs w:val="26"/>
              </w:rPr>
              <w:t xml:space="preserve"> pentru a deveni compatibile cu platforma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w:t>
            </w:r>
          </w:p>
          <w:p w14:paraId="08AD6117" w14:textId="77777777" w:rsidR="00723E41" w:rsidRPr="00807FE0" w:rsidRDefault="00723E41" w:rsidP="00723E41">
            <w:pPr>
              <w:ind w:firstLine="0"/>
              <w:rPr>
                <w:rFonts w:ascii="Times New Roman" w:hAnsi="Times New Roman"/>
                <w:sz w:val="26"/>
                <w:szCs w:val="26"/>
              </w:rPr>
            </w:pPr>
            <w:r w:rsidRPr="00807FE0">
              <w:rPr>
                <w:rFonts w:ascii="Times New Roman" w:hAnsi="Times New Roman"/>
                <w:sz w:val="26"/>
                <w:szCs w:val="26"/>
              </w:rPr>
              <w:t xml:space="preserve">În acest sens ASP și STISC au semnat în 2024 un Plan de acțiuni privind migrarea sistemelor și resurselor informaționale ale Agenției Servicii Publice pe platforma tehnologică guvernamentală comună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ce prevede finalizarea procesului de migrare până la sfârșitul anului 2028, ceea ce corespunde pe deplin termenului-limită propus în Proiect (31 decembrie 2028). Modificările propuse asigură cadrul normativ necesar pentru a permite ASP, în această perioadă tranzitorie: a) să modernizeze </w:t>
            </w:r>
            <w:r w:rsidRPr="00807FE0">
              <w:rPr>
                <w:rFonts w:ascii="Times New Roman" w:hAnsi="Times New Roman"/>
                <w:sz w:val="26"/>
                <w:szCs w:val="26"/>
              </w:rPr>
              <w:lastRenderedPageBreak/>
              <w:t xml:space="preserve">infrastructura de calcul (servere, sisteme de stocare, echipamente de comunicații) pentru asigurarea continuității operaționale (business </w:t>
            </w:r>
            <w:proofErr w:type="spellStart"/>
            <w:r w:rsidRPr="00807FE0">
              <w:rPr>
                <w:rFonts w:ascii="Times New Roman" w:hAnsi="Times New Roman"/>
                <w:sz w:val="26"/>
                <w:szCs w:val="26"/>
              </w:rPr>
              <w:t>continuity</w:t>
            </w:r>
            <w:proofErr w:type="spellEnd"/>
            <w:r w:rsidRPr="00807FE0">
              <w:rPr>
                <w:rFonts w:ascii="Times New Roman" w:hAnsi="Times New Roman"/>
                <w:sz w:val="26"/>
                <w:szCs w:val="26"/>
              </w:rPr>
              <w:t xml:space="preserve">) și a disponibilității sistemelor și resurselor informaționale critice; Nr. 01/2099 din 06.03.2026 La nr. 13/1-683 din 27.02.2026 b) să realizeze </w:t>
            </w:r>
            <w:proofErr w:type="spellStart"/>
            <w:r w:rsidRPr="00807FE0">
              <w:rPr>
                <w:rFonts w:ascii="Times New Roman" w:hAnsi="Times New Roman"/>
                <w:sz w:val="26"/>
                <w:szCs w:val="26"/>
              </w:rPr>
              <w:t>reingineria</w:t>
            </w:r>
            <w:proofErr w:type="spellEnd"/>
            <w:r w:rsidRPr="00807FE0">
              <w:rPr>
                <w:rFonts w:ascii="Times New Roman" w:hAnsi="Times New Roman"/>
                <w:sz w:val="26"/>
                <w:szCs w:val="26"/>
              </w:rPr>
              <w:t xml:space="preserve"> sistemelor vechi (</w:t>
            </w:r>
            <w:proofErr w:type="spellStart"/>
            <w:r w:rsidRPr="00807FE0">
              <w:rPr>
                <w:rFonts w:ascii="Times New Roman" w:hAnsi="Times New Roman"/>
                <w:sz w:val="26"/>
                <w:szCs w:val="26"/>
              </w:rPr>
              <w:t>legacy</w:t>
            </w:r>
            <w:proofErr w:type="spellEnd"/>
            <w:r w:rsidRPr="00807FE0">
              <w:rPr>
                <w:rFonts w:ascii="Times New Roman" w:hAnsi="Times New Roman"/>
                <w:sz w:val="26"/>
                <w:szCs w:val="26"/>
              </w:rPr>
              <w:t xml:space="preserve">) care nu pot fi migrate direct în mediul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c) să mențină fiabilitatea și securitatea funcționării serviciilor publice electronice pe toată durata pregătirii integrării. </w:t>
            </w:r>
          </w:p>
          <w:p w14:paraId="3C942341" w14:textId="4213B256" w:rsidR="00723E41" w:rsidRPr="00807FE0" w:rsidRDefault="00723E41" w:rsidP="00723E41">
            <w:pPr>
              <w:ind w:firstLine="0"/>
              <w:rPr>
                <w:rFonts w:ascii="Times New Roman" w:hAnsi="Times New Roman"/>
                <w:sz w:val="26"/>
                <w:szCs w:val="26"/>
                <w:lang w:val="ro-MD" w:eastAsia="zh-CN"/>
              </w:rPr>
            </w:pPr>
            <w:r w:rsidRPr="00807FE0">
              <w:rPr>
                <w:rFonts w:ascii="Times New Roman" w:hAnsi="Times New Roman"/>
                <w:b/>
                <w:bCs/>
                <w:sz w:val="26"/>
                <w:szCs w:val="26"/>
              </w:rPr>
              <w:t>În concluzie, Proiectul, în ansamblu, este acceptabil și susținut de ASP.</w:t>
            </w:r>
            <w:r w:rsidRPr="00807FE0">
              <w:rPr>
                <w:rFonts w:ascii="Times New Roman" w:hAnsi="Times New Roman"/>
                <w:sz w:val="26"/>
                <w:szCs w:val="26"/>
              </w:rPr>
              <w:t xml:space="preserve"> Modificările propuse sunt oportune, bine fundamentate și corespund necesităților practice ale entităților vizate. </w:t>
            </w:r>
            <w:proofErr w:type="spellStart"/>
            <w:r w:rsidRPr="00807FE0">
              <w:rPr>
                <w:rFonts w:ascii="Times New Roman" w:hAnsi="Times New Roman"/>
                <w:sz w:val="26"/>
                <w:szCs w:val="26"/>
              </w:rPr>
              <w:t>Totodată,ca</w:t>
            </w:r>
            <w:proofErr w:type="spellEnd"/>
            <w:r w:rsidRPr="00807FE0">
              <w:rPr>
                <w:rFonts w:ascii="Times New Roman" w:hAnsi="Times New Roman"/>
                <w:sz w:val="26"/>
                <w:szCs w:val="26"/>
              </w:rPr>
              <w:t xml:space="preserve"> urmare a examinării aprofundate, au fost identificate câteva aspecte care ar putea fi perfecționate din perspectiva tehnicii legislative și a clarității normative, expuse în secțiunea următoare.</w:t>
            </w:r>
          </w:p>
        </w:tc>
        <w:tc>
          <w:tcPr>
            <w:tcW w:w="4427" w:type="dxa"/>
            <w:tcBorders>
              <w:top w:val="single" w:sz="4" w:space="0" w:color="auto"/>
              <w:bottom w:val="single" w:sz="4" w:space="0" w:color="auto"/>
              <w:right w:val="single" w:sz="4" w:space="0" w:color="auto"/>
            </w:tcBorders>
          </w:tcPr>
          <w:p w14:paraId="031617C4" w14:textId="7BBAE6AB" w:rsidR="00723E41" w:rsidRPr="00807FE0" w:rsidRDefault="0038498F" w:rsidP="00723E41">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lastRenderedPageBreak/>
              <w:t>S-a luat act.</w:t>
            </w:r>
          </w:p>
        </w:tc>
      </w:tr>
      <w:tr w:rsidR="00723E41" w:rsidRPr="00807FE0" w14:paraId="79D8E3E7" w14:textId="77777777" w:rsidTr="000128A7">
        <w:trPr>
          <w:trHeight w:val="120"/>
        </w:trPr>
        <w:tc>
          <w:tcPr>
            <w:tcW w:w="2825" w:type="dxa"/>
            <w:vMerge/>
            <w:tcBorders>
              <w:left w:val="single" w:sz="4" w:space="0" w:color="auto"/>
              <w:right w:val="single" w:sz="8" w:space="0" w:color="000000"/>
            </w:tcBorders>
          </w:tcPr>
          <w:p w14:paraId="73295DCB" w14:textId="77777777" w:rsidR="00723E41" w:rsidRPr="00807FE0" w:rsidRDefault="00723E41"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15001EB3" w14:textId="06BEE61D"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t>2.</w:t>
            </w:r>
          </w:p>
        </w:tc>
        <w:tc>
          <w:tcPr>
            <w:tcW w:w="6136" w:type="dxa"/>
            <w:tcBorders>
              <w:top w:val="single" w:sz="4" w:space="0" w:color="auto"/>
              <w:bottom w:val="single" w:sz="4" w:space="0" w:color="auto"/>
              <w:right w:val="single" w:sz="4" w:space="0" w:color="auto"/>
            </w:tcBorders>
          </w:tcPr>
          <w:p w14:paraId="61C16F1B" w14:textId="77777777" w:rsidR="00723E41" w:rsidRPr="00807FE0" w:rsidRDefault="00723E41">
            <w:pPr>
              <w:rPr>
                <w:rFonts w:ascii="Times New Roman" w:hAnsi="Times New Roman"/>
                <w:sz w:val="26"/>
                <w:szCs w:val="26"/>
              </w:rPr>
            </w:pPr>
            <w:r w:rsidRPr="00807FE0">
              <w:rPr>
                <w:rFonts w:ascii="Times New Roman" w:hAnsi="Times New Roman"/>
                <w:sz w:val="26"/>
                <w:szCs w:val="26"/>
              </w:rPr>
              <w:t xml:space="preserve">I. OBSERVAȚII ȘI PROPUNERI DE ÎMBUNĂTĂȚIRE </w:t>
            </w:r>
          </w:p>
          <w:p w14:paraId="294C45EC" w14:textId="77777777" w:rsidR="00723E41" w:rsidRPr="00807FE0" w:rsidRDefault="00723E41" w:rsidP="00723E41">
            <w:pPr>
              <w:ind w:firstLine="0"/>
              <w:rPr>
                <w:rFonts w:ascii="Times New Roman" w:hAnsi="Times New Roman"/>
                <w:sz w:val="26"/>
                <w:szCs w:val="26"/>
              </w:rPr>
            </w:pPr>
            <w:r w:rsidRPr="00807FE0">
              <w:rPr>
                <w:rFonts w:ascii="Times New Roman" w:hAnsi="Times New Roman"/>
                <w:sz w:val="26"/>
                <w:szCs w:val="26"/>
              </w:rPr>
              <w:t xml:space="preserve">1.1. Neconcordanță între textul Proiectului și Tabelul comparativ la pct. 3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4) </w:t>
            </w:r>
          </w:p>
          <w:p w14:paraId="54BF8301" w14:textId="785328AC" w:rsidR="00723E41" w:rsidRPr="00807FE0" w:rsidRDefault="00723E41" w:rsidP="00723E41">
            <w:pPr>
              <w:ind w:firstLine="0"/>
              <w:rPr>
                <w:rFonts w:ascii="Times New Roman" w:hAnsi="Times New Roman"/>
                <w:sz w:val="26"/>
                <w:szCs w:val="26"/>
              </w:rPr>
            </w:pPr>
            <w:r w:rsidRPr="00807FE0">
              <w:rPr>
                <w:rFonts w:ascii="Times New Roman" w:hAnsi="Times New Roman"/>
                <w:b/>
                <w:bCs/>
                <w:sz w:val="26"/>
                <w:szCs w:val="26"/>
              </w:rPr>
              <w:t>Constatare:</w:t>
            </w:r>
            <w:r w:rsidRPr="00807FE0">
              <w:rPr>
                <w:rFonts w:ascii="Times New Roman" w:hAnsi="Times New Roman"/>
                <w:sz w:val="26"/>
                <w:szCs w:val="26"/>
              </w:rPr>
              <w:t xml:space="preserve"> Tabelul comparativ (coloana „Conținutul normei după modificare”) conține formularea: „coordonate și avizate pozitiv de către Instituția Publică «Serviciul Tehnologia Informației și Securitate Cibernetică»”. Proiectul hotărârii propriu-zis, însă utilizează formularea: „coordonate pozitiv de Instituția Publică «Serviciul Tehnologia Informației și Securitate Cibernetică»”, omițând sintagma „și avizate”. </w:t>
            </w:r>
          </w:p>
          <w:p w14:paraId="091EA957" w14:textId="77777777" w:rsidR="00723E41" w:rsidRPr="00807FE0" w:rsidRDefault="00723E41" w:rsidP="00723E41">
            <w:pPr>
              <w:ind w:firstLine="0"/>
              <w:rPr>
                <w:rFonts w:ascii="Times New Roman" w:hAnsi="Times New Roman"/>
                <w:sz w:val="26"/>
                <w:szCs w:val="26"/>
              </w:rPr>
            </w:pPr>
            <w:r w:rsidRPr="00807FE0">
              <w:rPr>
                <w:rFonts w:ascii="Times New Roman" w:hAnsi="Times New Roman"/>
                <w:b/>
                <w:bCs/>
                <w:sz w:val="26"/>
                <w:szCs w:val="26"/>
              </w:rPr>
              <w:t>Relevanță:</w:t>
            </w:r>
            <w:r w:rsidRPr="00807FE0">
              <w:rPr>
                <w:rFonts w:ascii="Times New Roman" w:hAnsi="Times New Roman"/>
                <w:sz w:val="26"/>
                <w:szCs w:val="26"/>
              </w:rPr>
              <w:t xml:space="preserve"> Noțiunile de „coordonare” și „avizare” au semnificații juridice distincte în practica administrativă a Republicii Moldova. Coordonarea presupune un proces de consultare și armonizare a pozițiilor, în timp ce </w:t>
            </w:r>
            <w:r w:rsidRPr="00807FE0">
              <w:rPr>
                <w:rFonts w:ascii="Times New Roman" w:hAnsi="Times New Roman"/>
                <w:sz w:val="26"/>
                <w:szCs w:val="26"/>
              </w:rPr>
              <w:lastRenderedPageBreak/>
              <w:t xml:space="preserve">avizarea implică emiterea unui act formal (aviz) cu caracter de condiție prealabilă. Omiterea sintagmei „și avizate” ar putea diminua forța mecanismului de control al STISC asupra compatibilității tehnice a achizițiilor. </w:t>
            </w:r>
          </w:p>
          <w:p w14:paraId="40A66682" w14:textId="52119F72" w:rsidR="00723E41" w:rsidRPr="00807FE0" w:rsidRDefault="00723E41" w:rsidP="00723E41">
            <w:pPr>
              <w:ind w:firstLine="0"/>
              <w:rPr>
                <w:rFonts w:ascii="Times New Roman" w:hAnsi="Times New Roman"/>
                <w:sz w:val="26"/>
                <w:szCs w:val="26"/>
                <w:lang w:val="ro-MD" w:eastAsia="zh-CN"/>
              </w:rPr>
            </w:pPr>
            <w:r w:rsidRPr="00807FE0">
              <w:rPr>
                <w:rFonts w:ascii="Times New Roman" w:hAnsi="Times New Roman"/>
                <w:b/>
                <w:bCs/>
                <w:sz w:val="26"/>
                <w:szCs w:val="26"/>
              </w:rPr>
              <w:t>Propunere:</w:t>
            </w:r>
            <w:r w:rsidRPr="00807FE0">
              <w:rPr>
                <w:rFonts w:ascii="Times New Roman" w:hAnsi="Times New Roman"/>
                <w:sz w:val="26"/>
                <w:szCs w:val="26"/>
              </w:rPr>
              <w:t xml:space="preserve"> Se recomandă armonizarea textului Proiectului cu Tabelul comparativ prin utilizarea formulării „coordonate și avizate pozitiv” la pct. 3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4), asigurând astfel concordanța între toate componentele dosarului de fundamentare și claritatea mecanismului juridic</w:t>
            </w:r>
          </w:p>
        </w:tc>
        <w:tc>
          <w:tcPr>
            <w:tcW w:w="4427" w:type="dxa"/>
            <w:tcBorders>
              <w:top w:val="single" w:sz="4" w:space="0" w:color="auto"/>
              <w:bottom w:val="single" w:sz="4" w:space="0" w:color="auto"/>
              <w:right w:val="single" w:sz="4" w:space="0" w:color="auto"/>
            </w:tcBorders>
          </w:tcPr>
          <w:p w14:paraId="757FF18E" w14:textId="02E9728C" w:rsidR="0038498F" w:rsidRPr="00807FE0" w:rsidRDefault="0038498F" w:rsidP="00807FE0">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lastRenderedPageBreak/>
              <w:t xml:space="preserve">Nu se acceptă. </w:t>
            </w:r>
            <w:r w:rsidR="002B4D6A">
              <w:rPr>
                <w:rFonts w:ascii="Times New Roman" w:hAnsi="Times New Roman"/>
                <w:b/>
                <w:sz w:val="26"/>
                <w:szCs w:val="26"/>
                <w:lang w:val="ro-MD" w:eastAsia="zh-CN"/>
              </w:rPr>
              <w:t>Argumentare.</w:t>
            </w:r>
          </w:p>
          <w:p w14:paraId="2D873E83" w14:textId="2C2929E6" w:rsidR="0038498F" w:rsidRPr="00807FE0" w:rsidRDefault="0038498F" w:rsidP="00807FE0">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 xml:space="preserve">          Controlul tehnic al Instituției Publice „Serviciul Tehnologia Informației și Securitate Cibernetică” este deja asigurat prin prevederile punctului 3 subpunctul 2), care instituie </w:t>
            </w:r>
            <w:r w:rsidRPr="00807FE0">
              <w:rPr>
                <w:rFonts w:ascii="Times New Roman" w:hAnsi="Times New Roman"/>
                <w:b/>
                <w:bCs/>
                <w:sz w:val="26"/>
                <w:szCs w:val="26"/>
                <w:lang w:val="ro-MD" w:eastAsia="zh-CN"/>
              </w:rPr>
              <w:t>coordonarea obligatorie a specificațiilor tehnice</w:t>
            </w:r>
            <w:r w:rsidRPr="00807FE0">
              <w:rPr>
                <w:rFonts w:ascii="Times New Roman" w:hAnsi="Times New Roman"/>
                <w:sz w:val="26"/>
                <w:szCs w:val="26"/>
                <w:lang w:val="ro-MD" w:eastAsia="zh-CN"/>
              </w:rPr>
              <w:t xml:space="preserve"> pentru achizițiile menționate, la mai multe etape ale procesului de achiziție, și anume:</w:t>
            </w:r>
            <w:r w:rsidRPr="00807FE0">
              <w:rPr>
                <w:rFonts w:ascii="Times New Roman" w:hAnsi="Times New Roman"/>
                <w:sz w:val="26"/>
                <w:szCs w:val="26"/>
                <w:lang w:val="ro-MD" w:eastAsia="zh-CN"/>
              </w:rPr>
              <w:br/>
              <w:t>– înainte de prezentarea propunerilor de finanțare către Ministerul Finanțelor;</w:t>
            </w:r>
            <w:r w:rsidRPr="00807FE0">
              <w:rPr>
                <w:rFonts w:ascii="Times New Roman" w:hAnsi="Times New Roman"/>
                <w:sz w:val="26"/>
                <w:szCs w:val="26"/>
                <w:lang w:val="ro-MD" w:eastAsia="zh-CN"/>
              </w:rPr>
              <w:br/>
              <w:t>– la aprobarea planurilor generale de achiziții și a modificărilor acestora;</w:t>
            </w:r>
            <w:r w:rsidRPr="00807FE0">
              <w:rPr>
                <w:rFonts w:ascii="Times New Roman" w:hAnsi="Times New Roman"/>
                <w:sz w:val="26"/>
                <w:szCs w:val="26"/>
                <w:lang w:val="ro-MD" w:eastAsia="zh-CN"/>
              </w:rPr>
              <w:br/>
              <w:t>– înainte de lansarea procedurilor de achiziție.</w:t>
            </w:r>
          </w:p>
          <w:p w14:paraId="3875FE95" w14:textId="7FA912C8" w:rsidR="0038498F" w:rsidRPr="00807FE0" w:rsidRDefault="0038498F" w:rsidP="00807FE0">
            <w:pPr>
              <w:ind w:firstLine="0"/>
              <w:rPr>
                <w:rFonts w:ascii="Times New Roman" w:hAnsi="Times New Roman"/>
                <w:sz w:val="26"/>
                <w:szCs w:val="26"/>
                <w:lang w:val="ro-MD" w:eastAsia="zh-CN"/>
              </w:rPr>
            </w:pPr>
            <w:r w:rsidRPr="00807FE0">
              <w:rPr>
                <w:rFonts w:ascii="Times New Roman" w:hAnsi="Times New Roman"/>
                <w:sz w:val="26"/>
                <w:szCs w:val="26"/>
                <w:lang w:val="ro-MD" w:eastAsia="zh-CN"/>
              </w:rPr>
              <w:lastRenderedPageBreak/>
              <w:t xml:space="preserve">          Totodată, subpunctul 3) stabilește că Instituția Publică „Serviciul Tehnologia Informației și Securitate Cibernetică” </w:t>
            </w:r>
            <w:r w:rsidRPr="00807FE0">
              <w:rPr>
                <w:rFonts w:ascii="Times New Roman" w:hAnsi="Times New Roman"/>
                <w:b/>
                <w:bCs/>
                <w:sz w:val="26"/>
                <w:szCs w:val="26"/>
                <w:lang w:val="ro-MD" w:eastAsia="zh-CN"/>
              </w:rPr>
              <w:t>elaborează și aprobă metodologia privind coordonarea specificațiilor tehnice</w:t>
            </w:r>
            <w:r w:rsidRPr="00807FE0">
              <w:rPr>
                <w:rFonts w:ascii="Times New Roman" w:hAnsi="Times New Roman"/>
                <w:sz w:val="26"/>
                <w:szCs w:val="26"/>
                <w:lang w:val="ro-MD" w:eastAsia="zh-CN"/>
              </w:rPr>
              <w:t>, care reglementează procedura, etapele și cerințele de compatibilitate tehnică cu platforma tehnologică guvernamentală comună (</w:t>
            </w:r>
            <w:proofErr w:type="spellStart"/>
            <w:r w:rsidRPr="00807FE0">
              <w:rPr>
                <w:rFonts w:ascii="Times New Roman" w:hAnsi="Times New Roman"/>
                <w:sz w:val="26"/>
                <w:szCs w:val="26"/>
                <w:lang w:val="ro-MD" w:eastAsia="zh-CN"/>
              </w:rPr>
              <w:t>MCloud</w:t>
            </w:r>
            <w:proofErr w:type="spellEnd"/>
            <w:r w:rsidRPr="00807FE0">
              <w:rPr>
                <w:rFonts w:ascii="Times New Roman" w:hAnsi="Times New Roman"/>
                <w:sz w:val="26"/>
                <w:szCs w:val="26"/>
                <w:lang w:val="ro-MD" w:eastAsia="zh-CN"/>
              </w:rPr>
              <w:t>).</w:t>
            </w:r>
          </w:p>
          <w:p w14:paraId="21B46F8D" w14:textId="6783C381" w:rsidR="0038498F" w:rsidRPr="00807FE0" w:rsidRDefault="0038498F" w:rsidP="0038498F">
            <w:pPr>
              <w:rPr>
                <w:rFonts w:ascii="Times New Roman" w:hAnsi="Times New Roman"/>
                <w:sz w:val="26"/>
                <w:szCs w:val="26"/>
                <w:lang w:val="ro-MD" w:eastAsia="zh-CN"/>
              </w:rPr>
            </w:pPr>
            <w:r w:rsidRPr="00807FE0">
              <w:rPr>
                <w:rFonts w:ascii="Times New Roman" w:hAnsi="Times New Roman"/>
                <w:sz w:val="26"/>
                <w:szCs w:val="26"/>
                <w:lang w:val="ro-MD" w:eastAsia="zh-CN"/>
              </w:rPr>
              <w:t xml:space="preserve">În acest context, mecanismul instituit deja asigură exercitarea </w:t>
            </w:r>
            <w:r w:rsidRPr="00807FE0">
              <w:rPr>
                <w:rFonts w:ascii="Times New Roman" w:hAnsi="Times New Roman"/>
                <w:b/>
                <w:bCs/>
                <w:sz w:val="26"/>
                <w:szCs w:val="26"/>
                <w:lang w:val="ro-MD" w:eastAsia="zh-CN"/>
              </w:rPr>
              <w:t xml:space="preserve">controlului tehnic asupra specificațiilor tehnice, documentației și compatibilității tehnice a echipamentelor și produselor cu platforma </w:t>
            </w:r>
            <w:proofErr w:type="spellStart"/>
            <w:r w:rsidRPr="00807FE0">
              <w:rPr>
                <w:rFonts w:ascii="Times New Roman" w:hAnsi="Times New Roman"/>
                <w:b/>
                <w:bCs/>
                <w:sz w:val="26"/>
                <w:szCs w:val="26"/>
                <w:lang w:val="ro-MD" w:eastAsia="zh-CN"/>
              </w:rPr>
              <w:t>MCloud</w:t>
            </w:r>
            <w:proofErr w:type="spellEnd"/>
            <w:r w:rsidRPr="00807FE0">
              <w:rPr>
                <w:rFonts w:ascii="Times New Roman" w:hAnsi="Times New Roman"/>
                <w:sz w:val="26"/>
                <w:szCs w:val="26"/>
                <w:lang w:val="ro-MD" w:eastAsia="zh-CN"/>
              </w:rPr>
              <w:t xml:space="preserve"> iar introducerea suplimentară a unei proceduri de </w:t>
            </w:r>
            <w:r w:rsidRPr="00807FE0">
              <w:rPr>
                <w:rFonts w:ascii="Times New Roman" w:hAnsi="Times New Roman"/>
                <w:b/>
                <w:bCs/>
                <w:sz w:val="26"/>
                <w:szCs w:val="26"/>
                <w:lang w:val="ro-MD" w:eastAsia="zh-CN"/>
              </w:rPr>
              <w:t>avizare</w:t>
            </w:r>
            <w:r w:rsidRPr="00807FE0">
              <w:rPr>
                <w:rFonts w:ascii="Times New Roman" w:hAnsi="Times New Roman"/>
                <w:sz w:val="26"/>
                <w:szCs w:val="26"/>
                <w:lang w:val="ro-MD" w:eastAsia="zh-CN"/>
              </w:rPr>
              <w:t xml:space="preserve"> ar dubla mecanismul existent și ar genera o sarcină procedurală suplimentară fără a aduce valoare juridică sau tehnică suplimentară.</w:t>
            </w:r>
          </w:p>
          <w:p w14:paraId="22282A66" w14:textId="119DAC26" w:rsidR="0038498F" w:rsidRPr="00807FE0" w:rsidRDefault="0038498F" w:rsidP="0038498F">
            <w:pPr>
              <w:rPr>
                <w:rFonts w:ascii="Times New Roman" w:hAnsi="Times New Roman"/>
                <w:sz w:val="26"/>
                <w:szCs w:val="26"/>
                <w:lang w:val="ro-MD" w:eastAsia="zh-CN"/>
              </w:rPr>
            </w:pPr>
            <w:r w:rsidRPr="00807FE0">
              <w:rPr>
                <w:rFonts w:ascii="Times New Roman" w:hAnsi="Times New Roman"/>
                <w:sz w:val="26"/>
                <w:szCs w:val="26"/>
                <w:lang w:val="ro-MD" w:eastAsia="zh-CN"/>
              </w:rPr>
              <w:t>Subpunctul 4) nu instituie un</w:t>
            </w:r>
            <w:r w:rsidR="00C737F4" w:rsidRPr="00807FE0">
              <w:rPr>
                <w:rFonts w:ascii="Times New Roman" w:hAnsi="Times New Roman"/>
                <w:sz w:val="26"/>
                <w:szCs w:val="26"/>
                <w:lang w:val="ro-MD" w:eastAsia="zh-CN"/>
              </w:rPr>
              <w:t xml:space="preserve"> mecanism de control tehnic nou</w:t>
            </w:r>
            <w:r w:rsidRPr="00807FE0">
              <w:rPr>
                <w:rFonts w:ascii="Times New Roman" w:hAnsi="Times New Roman"/>
                <w:sz w:val="26"/>
                <w:szCs w:val="26"/>
                <w:lang w:val="ro-MD" w:eastAsia="zh-CN"/>
              </w:rPr>
              <w:t xml:space="preserve"> ci stabilește </w:t>
            </w:r>
            <w:r w:rsidRPr="00807FE0">
              <w:rPr>
                <w:rFonts w:ascii="Times New Roman" w:hAnsi="Times New Roman"/>
                <w:b/>
                <w:bCs/>
                <w:sz w:val="26"/>
                <w:szCs w:val="26"/>
                <w:lang w:val="ro-MD" w:eastAsia="zh-CN"/>
              </w:rPr>
              <w:t>o condiție pentru aprobarea finanțării de către Ministerul Finanțelor</w:t>
            </w:r>
            <w:r w:rsidRPr="00807FE0">
              <w:rPr>
                <w:rFonts w:ascii="Times New Roman" w:hAnsi="Times New Roman"/>
                <w:sz w:val="26"/>
                <w:szCs w:val="26"/>
                <w:lang w:val="ro-MD" w:eastAsia="zh-CN"/>
              </w:rPr>
              <w:t xml:space="preserve">, respectiv existența coordonării pozitive a specificațiilor tehnice de către Instituția Publică „Serviciul Tehnologia Informației și Securitate Cibernetică”, asigurând astfel corelarea dintre controlul tehnic </w:t>
            </w:r>
            <w:r w:rsidRPr="00807FE0">
              <w:rPr>
                <w:rFonts w:ascii="Times New Roman" w:hAnsi="Times New Roman"/>
                <w:sz w:val="26"/>
                <w:szCs w:val="26"/>
                <w:lang w:val="ro-MD" w:eastAsia="zh-CN"/>
              </w:rPr>
              <w:lastRenderedPageBreak/>
              <w:t>exercitat de STISC și controlul financiar exercitat de Ministerul Finanțelor.</w:t>
            </w:r>
          </w:p>
          <w:p w14:paraId="79EF4B0A" w14:textId="77777777" w:rsidR="0038498F" w:rsidRPr="00807FE0" w:rsidRDefault="0038498F" w:rsidP="0038498F">
            <w:pPr>
              <w:rPr>
                <w:rFonts w:ascii="Times New Roman" w:hAnsi="Times New Roman"/>
                <w:sz w:val="26"/>
                <w:szCs w:val="26"/>
                <w:lang w:val="ro-MD" w:eastAsia="zh-CN"/>
              </w:rPr>
            </w:pPr>
            <w:r w:rsidRPr="00807FE0">
              <w:rPr>
                <w:rFonts w:ascii="Times New Roman" w:hAnsi="Times New Roman"/>
                <w:sz w:val="26"/>
                <w:szCs w:val="26"/>
                <w:lang w:val="ro-MD" w:eastAsia="zh-CN"/>
              </w:rPr>
              <w:t xml:space="preserve">Prin urmare, utilizarea sintagmei </w:t>
            </w:r>
            <w:r w:rsidRPr="00807FE0">
              <w:rPr>
                <w:rFonts w:ascii="Times New Roman" w:hAnsi="Times New Roman"/>
                <w:b/>
                <w:bCs/>
                <w:sz w:val="26"/>
                <w:szCs w:val="26"/>
                <w:lang w:val="ro-MD" w:eastAsia="zh-CN"/>
              </w:rPr>
              <w:t>„coordonate pozitiv”</w:t>
            </w:r>
            <w:r w:rsidRPr="00807FE0">
              <w:rPr>
                <w:rFonts w:ascii="Times New Roman" w:hAnsi="Times New Roman"/>
                <w:sz w:val="26"/>
                <w:szCs w:val="26"/>
                <w:lang w:val="ro-MD" w:eastAsia="zh-CN"/>
              </w:rPr>
              <w:t xml:space="preserve"> este suficientă pentru realizarea scopului normei, fără a fi necesară introducerea unei proceduri suplimentare de avizare.</w:t>
            </w:r>
          </w:p>
          <w:p w14:paraId="6C1EC37A" w14:textId="6AD2846C" w:rsidR="0038498F" w:rsidRPr="00807FE0" w:rsidRDefault="0038498F" w:rsidP="0038498F">
            <w:pPr>
              <w:rPr>
                <w:rFonts w:ascii="Times New Roman" w:hAnsi="Times New Roman"/>
                <w:sz w:val="26"/>
                <w:szCs w:val="26"/>
                <w:lang w:val="ro-MD" w:eastAsia="zh-CN"/>
              </w:rPr>
            </w:pPr>
            <w:r w:rsidRPr="00807FE0">
              <w:rPr>
                <w:rFonts w:ascii="Times New Roman" w:hAnsi="Times New Roman"/>
                <w:sz w:val="26"/>
                <w:szCs w:val="26"/>
                <w:lang w:val="ro-MD" w:eastAsia="zh-CN"/>
              </w:rPr>
              <w:t xml:space="preserve">Totodată, pentru a clarifica obiectul coordonării și pentru a consolida </w:t>
            </w:r>
            <w:r w:rsidR="00015D21" w:rsidRPr="00807FE0">
              <w:rPr>
                <w:rFonts w:ascii="Times New Roman" w:hAnsi="Times New Roman"/>
                <w:sz w:val="26"/>
                <w:szCs w:val="26"/>
                <w:lang w:val="ro-MD" w:eastAsia="zh-CN"/>
              </w:rPr>
              <w:t>claritatea</w:t>
            </w:r>
            <w:r w:rsidRPr="00807FE0">
              <w:rPr>
                <w:rFonts w:ascii="Times New Roman" w:hAnsi="Times New Roman"/>
                <w:sz w:val="26"/>
                <w:szCs w:val="26"/>
                <w:lang w:val="ro-MD" w:eastAsia="zh-CN"/>
              </w:rPr>
              <w:t xml:space="preserve"> normei, formularea subpunctului 4) a fost ajustată.</w:t>
            </w:r>
          </w:p>
          <w:p w14:paraId="4AB76CE2" w14:textId="77777777" w:rsidR="00723E41" w:rsidRPr="00807FE0" w:rsidRDefault="00723E41">
            <w:pPr>
              <w:rPr>
                <w:rFonts w:ascii="Times New Roman" w:hAnsi="Times New Roman"/>
                <w:sz w:val="26"/>
                <w:szCs w:val="26"/>
                <w:lang w:val="ro-MD" w:eastAsia="zh-CN"/>
              </w:rPr>
            </w:pPr>
          </w:p>
        </w:tc>
      </w:tr>
      <w:tr w:rsidR="00723E41" w:rsidRPr="00807FE0" w14:paraId="5B03B21D" w14:textId="77777777" w:rsidTr="00D9486C">
        <w:trPr>
          <w:trHeight w:val="165"/>
        </w:trPr>
        <w:tc>
          <w:tcPr>
            <w:tcW w:w="2825" w:type="dxa"/>
            <w:vMerge/>
            <w:tcBorders>
              <w:left w:val="single" w:sz="4" w:space="0" w:color="auto"/>
              <w:right w:val="single" w:sz="8" w:space="0" w:color="000000"/>
            </w:tcBorders>
          </w:tcPr>
          <w:p w14:paraId="1961DC23" w14:textId="77777777" w:rsidR="00723E41" w:rsidRPr="00807FE0" w:rsidRDefault="00723E41"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5A46DB0B" w14:textId="57FD9F98"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t>3.</w:t>
            </w:r>
          </w:p>
        </w:tc>
        <w:tc>
          <w:tcPr>
            <w:tcW w:w="6136" w:type="dxa"/>
            <w:tcBorders>
              <w:top w:val="single" w:sz="4" w:space="0" w:color="auto"/>
              <w:bottom w:val="single" w:sz="4" w:space="0" w:color="auto"/>
              <w:right w:val="single" w:sz="4" w:space="0" w:color="auto"/>
            </w:tcBorders>
          </w:tcPr>
          <w:p w14:paraId="728F7A90" w14:textId="77777777" w:rsidR="00723E41" w:rsidRPr="00807FE0" w:rsidRDefault="00723E41">
            <w:pPr>
              <w:rPr>
                <w:rFonts w:ascii="Times New Roman" w:hAnsi="Times New Roman"/>
                <w:sz w:val="26"/>
                <w:szCs w:val="26"/>
              </w:rPr>
            </w:pPr>
            <w:r w:rsidRPr="00807FE0">
              <w:rPr>
                <w:rFonts w:ascii="Times New Roman" w:hAnsi="Times New Roman"/>
                <w:sz w:val="26"/>
                <w:szCs w:val="26"/>
              </w:rPr>
              <w:t xml:space="preserve">1.2. Absența termenului-limită pentru elaborarea Metodologiei de către STISC (pct. 3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3)) </w:t>
            </w:r>
          </w:p>
          <w:p w14:paraId="7C19A1E0" w14:textId="77777777" w:rsidR="00723E41" w:rsidRPr="00807FE0" w:rsidRDefault="00723E41" w:rsidP="00723E41">
            <w:pPr>
              <w:ind w:firstLine="0"/>
              <w:rPr>
                <w:rFonts w:ascii="Times New Roman" w:hAnsi="Times New Roman"/>
                <w:sz w:val="26"/>
                <w:szCs w:val="26"/>
              </w:rPr>
            </w:pPr>
            <w:r w:rsidRPr="00807FE0">
              <w:rPr>
                <w:rFonts w:ascii="Times New Roman" w:hAnsi="Times New Roman"/>
                <w:b/>
                <w:bCs/>
                <w:sz w:val="26"/>
                <w:szCs w:val="26"/>
              </w:rPr>
              <w:t>Constatare:</w:t>
            </w:r>
            <w:r w:rsidRPr="00807FE0">
              <w:rPr>
                <w:rFonts w:ascii="Times New Roman" w:hAnsi="Times New Roman"/>
                <w:sz w:val="26"/>
                <w:szCs w:val="26"/>
              </w:rPr>
              <w:t xml:space="preserve"> Subpunctul 3) prevede obligația STISC de a elabora și aproba, prin ordin al directorului, Metodologia privind coordonarea specificațiilor tehnice, fără a stabili un termen concret pentru îndeplinirea acestei obligații. </w:t>
            </w:r>
          </w:p>
          <w:p w14:paraId="5E62432A" w14:textId="77777777" w:rsidR="00723E41" w:rsidRPr="00807FE0" w:rsidRDefault="00723E41" w:rsidP="00723E41">
            <w:pPr>
              <w:ind w:firstLine="0"/>
              <w:rPr>
                <w:rFonts w:ascii="Times New Roman" w:hAnsi="Times New Roman"/>
                <w:sz w:val="26"/>
                <w:szCs w:val="26"/>
              </w:rPr>
            </w:pPr>
            <w:r w:rsidRPr="00807FE0">
              <w:rPr>
                <w:rFonts w:ascii="Times New Roman" w:hAnsi="Times New Roman"/>
                <w:b/>
                <w:bCs/>
                <w:sz w:val="26"/>
                <w:szCs w:val="26"/>
              </w:rPr>
              <w:t>Relevanță:</w:t>
            </w:r>
            <w:r w:rsidRPr="00807FE0">
              <w:rPr>
                <w:rFonts w:ascii="Times New Roman" w:hAnsi="Times New Roman"/>
                <w:sz w:val="26"/>
                <w:szCs w:val="26"/>
              </w:rPr>
              <w:t xml:space="preserve"> Absența unui termen-limită creează o lacună procedurală semnificativă. Conform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2), entitățile publice sunt obligate să realizeze coordonarea achizițiilor cu STISC la trei etape distincte. Totuși, în lipsa Metodologiei, procedura de coordonare nu poate fi aplicată uniform, iar entitățile publice riscă să fie blocate în procesul de achiziție din cauza inexistenței cadrului metodologic. Această situație ar contraveni însuși scopului Proiectului – asigurarea continuității proceselor critice. </w:t>
            </w:r>
          </w:p>
          <w:p w14:paraId="6B4E14E7" w14:textId="7E6406B5" w:rsidR="00723E41" w:rsidRPr="00807FE0" w:rsidRDefault="00723E41" w:rsidP="00723E41">
            <w:pPr>
              <w:ind w:firstLine="0"/>
              <w:rPr>
                <w:rFonts w:ascii="Times New Roman" w:hAnsi="Times New Roman"/>
                <w:sz w:val="26"/>
                <w:szCs w:val="26"/>
                <w:lang w:val="ro-MD" w:eastAsia="zh-CN"/>
              </w:rPr>
            </w:pPr>
            <w:r w:rsidRPr="00807FE0">
              <w:rPr>
                <w:rFonts w:ascii="Times New Roman" w:hAnsi="Times New Roman"/>
                <w:b/>
                <w:bCs/>
                <w:sz w:val="26"/>
                <w:szCs w:val="26"/>
              </w:rPr>
              <w:t>Propunere:</w:t>
            </w:r>
            <w:r w:rsidRPr="00807FE0">
              <w:rPr>
                <w:rFonts w:ascii="Times New Roman" w:hAnsi="Times New Roman"/>
                <w:sz w:val="26"/>
                <w:szCs w:val="26"/>
              </w:rPr>
              <w:t xml:space="preserve"> Se recomandă completarea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3) cu un termen explicit, de exemplu: „...va elabora și va aproba, în termen de 60 de zile de la data intrării în vigoare a prezentei hotărâri, prin ordin al directorului, Metodologia...”. Termenul de 60 de zile este rezonabil, </w:t>
            </w:r>
            <w:r w:rsidRPr="00807FE0">
              <w:rPr>
                <w:rFonts w:ascii="Times New Roman" w:hAnsi="Times New Roman"/>
                <w:sz w:val="26"/>
                <w:szCs w:val="26"/>
              </w:rPr>
              <w:lastRenderedPageBreak/>
              <w:t>oferind STISC timp suficient pentru elaborare, iar entităților publice – certitudinea procedurală necesară pentru planificarea achizițiilor.</w:t>
            </w:r>
          </w:p>
        </w:tc>
        <w:tc>
          <w:tcPr>
            <w:tcW w:w="4427" w:type="dxa"/>
            <w:tcBorders>
              <w:top w:val="single" w:sz="4" w:space="0" w:color="auto"/>
              <w:bottom w:val="single" w:sz="4" w:space="0" w:color="auto"/>
              <w:right w:val="single" w:sz="4" w:space="0" w:color="auto"/>
            </w:tcBorders>
          </w:tcPr>
          <w:p w14:paraId="2D84CEF1" w14:textId="1FEB4B11" w:rsidR="00D52DB6" w:rsidRPr="00807FE0" w:rsidRDefault="003E1AB1" w:rsidP="003E1AB1">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lastRenderedPageBreak/>
              <w:t>Se acceptă</w:t>
            </w:r>
            <w:r w:rsidR="00D52DB6" w:rsidRPr="00807FE0">
              <w:rPr>
                <w:rFonts w:ascii="Times New Roman" w:hAnsi="Times New Roman"/>
                <w:b/>
                <w:sz w:val="26"/>
                <w:szCs w:val="26"/>
                <w:lang w:val="ro-MD" w:eastAsia="zh-CN"/>
              </w:rPr>
              <w:t xml:space="preserve"> parțial</w:t>
            </w:r>
            <w:r w:rsidRPr="00807FE0">
              <w:rPr>
                <w:rFonts w:ascii="Times New Roman" w:hAnsi="Times New Roman"/>
                <w:b/>
                <w:sz w:val="26"/>
                <w:szCs w:val="26"/>
                <w:lang w:val="ro-MD" w:eastAsia="zh-CN"/>
              </w:rPr>
              <w:t>.</w:t>
            </w:r>
          </w:p>
          <w:p w14:paraId="1B68154C" w14:textId="3A422257" w:rsidR="00D52DB6" w:rsidRPr="00807FE0" w:rsidRDefault="00D52DB6" w:rsidP="00D52DB6">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Proiectul a fost completat cu un termen pentru elaborarea și aprobarea Metodologiei privind coordonarea specificațiilor tehnice.</w:t>
            </w:r>
          </w:p>
          <w:p w14:paraId="77686508" w14:textId="0E2E373F" w:rsidR="00D52DB6" w:rsidRPr="00807FE0" w:rsidRDefault="00D52DB6" w:rsidP="00807FE0">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Având în vedere complexitatea procesu</w:t>
            </w:r>
            <w:r w:rsidR="00C737F4" w:rsidRPr="00807FE0">
              <w:rPr>
                <w:rFonts w:ascii="Times New Roman" w:hAnsi="Times New Roman"/>
                <w:sz w:val="26"/>
                <w:szCs w:val="26"/>
                <w:lang w:val="ro-MD" w:eastAsia="zh-CN"/>
              </w:rPr>
              <w:t>lui de elaborare a metodologiei</w:t>
            </w:r>
            <w:r w:rsidRPr="00807FE0">
              <w:rPr>
                <w:rFonts w:ascii="Times New Roman" w:hAnsi="Times New Roman"/>
                <w:sz w:val="26"/>
                <w:szCs w:val="26"/>
                <w:lang w:val="ro-MD" w:eastAsia="zh-CN"/>
              </w:rPr>
              <w:t xml:space="preserve"> care presupune stabilirea cadrului procedural de coordonare, definirea cerințelor tehnice și a criteriilor de compatibilitate cu platforma tehnologică guvernamentală comună (</w:t>
            </w:r>
            <w:proofErr w:type="spellStart"/>
            <w:r w:rsidRPr="00807FE0">
              <w:rPr>
                <w:rFonts w:ascii="Times New Roman" w:hAnsi="Times New Roman"/>
                <w:sz w:val="26"/>
                <w:szCs w:val="26"/>
                <w:lang w:val="ro-MD" w:eastAsia="zh-CN"/>
              </w:rPr>
              <w:t>MCloud</w:t>
            </w:r>
            <w:proofErr w:type="spellEnd"/>
            <w:r w:rsidRPr="00807FE0">
              <w:rPr>
                <w:rFonts w:ascii="Times New Roman" w:hAnsi="Times New Roman"/>
                <w:sz w:val="26"/>
                <w:szCs w:val="26"/>
                <w:lang w:val="ro-MD" w:eastAsia="zh-CN"/>
              </w:rPr>
              <w:t>), termenul a fost stabilit la 90 de zile de la data intrării în vigoare a prezentei hotărâri.</w:t>
            </w:r>
          </w:p>
        </w:tc>
      </w:tr>
      <w:tr w:rsidR="00723E41" w:rsidRPr="00807FE0" w14:paraId="3BC47E99" w14:textId="77777777" w:rsidTr="00D5013B">
        <w:trPr>
          <w:trHeight w:val="120"/>
        </w:trPr>
        <w:tc>
          <w:tcPr>
            <w:tcW w:w="2825" w:type="dxa"/>
            <w:vMerge/>
            <w:tcBorders>
              <w:left w:val="single" w:sz="4" w:space="0" w:color="auto"/>
              <w:right w:val="single" w:sz="8" w:space="0" w:color="000000"/>
            </w:tcBorders>
          </w:tcPr>
          <w:p w14:paraId="30124059" w14:textId="77777777" w:rsidR="00723E41" w:rsidRPr="00807FE0" w:rsidRDefault="00723E41"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473B5366" w14:textId="6FC3F2DA"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t>4.</w:t>
            </w:r>
          </w:p>
        </w:tc>
        <w:tc>
          <w:tcPr>
            <w:tcW w:w="6136" w:type="dxa"/>
            <w:tcBorders>
              <w:top w:val="single" w:sz="4" w:space="0" w:color="auto"/>
              <w:bottom w:val="single" w:sz="4" w:space="0" w:color="auto"/>
              <w:right w:val="single" w:sz="4" w:space="0" w:color="auto"/>
            </w:tcBorders>
          </w:tcPr>
          <w:p w14:paraId="1BFA8734" w14:textId="77777777" w:rsidR="00723E41" w:rsidRPr="00807FE0" w:rsidRDefault="00723E41">
            <w:pPr>
              <w:rPr>
                <w:rFonts w:ascii="Times New Roman" w:hAnsi="Times New Roman"/>
                <w:sz w:val="26"/>
                <w:szCs w:val="26"/>
              </w:rPr>
            </w:pPr>
            <w:r w:rsidRPr="00807FE0">
              <w:rPr>
                <w:rFonts w:ascii="Times New Roman" w:hAnsi="Times New Roman"/>
                <w:sz w:val="26"/>
                <w:szCs w:val="26"/>
              </w:rPr>
              <w:t xml:space="preserve">1.3. Inconsistență terminologică la pct. 2 al Proiectului („bugetare” vs. „finanțare”) </w:t>
            </w:r>
          </w:p>
          <w:p w14:paraId="272618B4" w14:textId="77777777" w:rsidR="00723E41" w:rsidRPr="00807FE0" w:rsidRDefault="00723E41" w:rsidP="00723E41">
            <w:pPr>
              <w:ind w:firstLine="0"/>
              <w:rPr>
                <w:rFonts w:ascii="Times New Roman" w:hAnsi="Times New Roman"/>
                <w:sz w:val="26"/>
                <w:szCs w:val="26"/>
              </w:rPr>
            </w:pPr>
            <w:r w:rsidRPr="00807FE0">
              <w:rPr>
                <w:rFonts w:ascii="Times New Roman" w:hAnsi="Times New Roman"/>
                <w:b/>
                <w:bCs/>
                <w:sz w:val="26"/>
                <w:szCs w:val="26"/>
              </w:rPr>
              <w:t>Constatare:</w:t>
            </w:r>
            <w:r w:rsidRPr="00807FE0">
              <w:rPr>
                <w:rFonts w:ascii="Times New Roman" w:hAnsi="Times New Roman"/>
                <w:sz w:val="26"/>
                <w:szCs w:val="26"/>
              </w:rPr>
              <w:t xml:space="preserve"> La pct. 2 al Proiectului se utilizează sintagma „propunerilor de bugetare a cheltuielilor”. Totodată, la pct. 3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2) lit. a), ca urmare a acceptării propunerii Ministerului Justiției (în conformitate cu terminologia Legii nr. 181/2014 a finanțelor publice și responsabilității bugetar-fiscale), termenul utilizat este deja „propunerilor de finanțare a cheltuielilor”. </w:t>
            </w:r>
          </w:p>
          <w:p w14:paraId="24C57C06" w14:textId="77777777" w:rsidR="00723E41" w:rsidRPr="00807FE0" w:rsidRDefault="00723E41" w:rsidP="00723E41">
            <w:pPr>
              <w:ind w:firstLine="0"/>
              <w:rPr>
                <w:rFonts w:ascii="Times New Roman" w:hAnsi="Times New Roman"/>
                <w:sz w:val="26"/>
                <w:szCs w:val="26"/>
              </w:rPr>
            </w:pPr>
            <w:r w:rsidRPr="00807FE0">
              <w:rPr>
                <w:rFonts w:ascii="Times New Roman" w:hAnsi="Times New Roman"/>
                <w:b/>
                <w:bCs/>
                <w:sz w:val="26"/>
                <w:szCs w:val="26"/>
              </w:rPr>
              <w:t>Relevanță:</w:t>
            </w:r>
            <w:r w:rsidRPr="00807FE0">
              <w:rPr>
                <w:rFonts w:ascii="Times New Roman" w:hAnsi="Times New Roman"/>
                <w:sz w:val="26"/>
                <w:szCs w:val="26"/>
              </w:rPr>
              <w:t xml:space="preserve"> Utilizarea a două formulări diferite în cadrul aceluiași act normativ, pentru aceeași noțiune, contravine principiului unității terminologice prevăzut la art. 52 alin. (6) din Legea nr. 100/2017 cu privire la actele normative, potrivit căruia „fiecare noțiune se utilizează într-un sens unic pe tot parcursul actului normativ”. </w:t>
            </w:r>
          </w:p>
          <w:p w14:paraId="49FB4B51" w14:textId="7B8E7FB0" w:rsidR="00723E41" w:rsidRPr="00807FE0" w:rsidRDefault="00723E41" w:rsidP="00723E41">
            <w:pPr>
              <w:ind w:firstLine="0"/>
              <w:rPr>
                <w:rFonts w:ascii="Times New Roman" w:hAnsi="Times New Roman"/>
                <w:sz w:val="26"/>
                <w:szCs w:val="26"/>
                <w:lang w:val="ro-MD" w:eastAsia="zh-CN"/>
              </w:rPr>
            </w:pPr>
            <w:r w:rsidRPr="00807FE0">
              <w:rPr>
                <w:rFonts w:ascii="Times New Roman" w:hAnsi="Times New Roman"/>
                <w:b/>
                <w:bCs/>
                <w:sz w:val="26"/>
                <w:szCs w:val="26"/>
              </w:rPr>
              <w:t>Propunere:</w:t>
            </w:r>
            <w:r w:rsidRPr="00807FE0">
              <w:rPr>
                <w:rFonts w:ascii="Times New Roman" w:hAnsi="Times New Roman"/>
                <w:sz w:val="26"/>
                <w:szCs w:val="26"/>
              </w:rPr>
              <w:t xml:space="preserve"> La pct. 2 al Proiectului, sintagma „propunerilor de bugetare a cheltuielilor” se va substitui cu „propunerilor de finanțare a cheltuielilor”, pentru coerență internă și conformitate cu Legea nr. 181/2014</w:t>
            </w:r>
          </w:p>
        </w:tc>
        <w:tc>
          <w:tcPr>
            <w:tcW w:w="4427" w:type="dxa"/>
            <w:tcBorders>
              <w:top w:val="single" w:sz="4" w:space="0" w:color="auto"/>
              <w:bottom w:val="single" w:sz="4" w:space="0" w:color="auto"/>
              <w:right w:val="single" w:sz="4" w:space="0" w:color="auto"/>
            </w:tcBorders>
          </w:tcPr>
          <w:p w14:paraId="48854568" w14:textId="26971B78" w:rsidR="00723E41" w:rsidRPr="00807FE0" w:rsidRDefault="0060632F" w:rsidP="00807FE0">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t>Se acceptă.</w:t>
            </w:r>
          </w:p>
        </w:tc>
      </w:tr>
      <w:tr w:rsidR="00723E41" w:rsidRPr="00807FE0" w14:paraId="4922C0CD" w14:textId="77777777" w:rsidTr="00723E41">
        <w:trPr>
          <w:trHeight w:val="93"/>
        </w:trPr>
        <w:tc>
          <w:tcPr>
            <w:tcW w:w="2825" w:type="dxa"/>
            <w:vMerge/>
            <w:tcBorders>
              <w:left w:val="single" w:sz="4" w:space="0" w:color="auto"/>
              <w:right w:val="single" w:sz="8" w:space="0" w:color="000000"/>
            </w:tcBorders>
          </w:tcPr>
          <w:p w14:paraId="5DF895F7" w14:textId="77777777" w:rsidR="00723E41" w:rsidRPr="00807FE0" w:rsidRDefault="00723E41"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249E0B89" w14:textId="4DB2A061"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t>5.</w:t>
            </w:r>
          </w:p>
        </w:tc>
        <w:tc>
          <w:tcPr>
            <w:tcW w:w="6136" w:type="dxa"/>
            <w:tcBorders>
              <w:top w:val="single" w:sz="4" w:space="0" w:color="auto"/>
              <w:bottom w:val="single" w:sz="4" w:space="0" w:color="auto"/>
              <w:right w:val="single" w:sz="4" w:space="0" w:color="auto"/>
            </w:tcBorders>
          </w:tcPr>
          <w:p w14:paraId="622C6D3A" w14:textId="77777777" w:rsidR="00723E41" w:rsidRPr="00807FE0" w:rsidRDefault="00723E41" w:rsidP="00723E41">
            <w:pPr>
              <w:ind w:firstLine="0"/>
              <w:rPr>
                <w:rFonts w:ascii="Times New Roman" w:hAnsi="Times New Roman"/>
                <w:sz w:val="26"/>
                <w:szCs w:val="26"/>
              </w:rPr>
            </w:pPr>
            <w:r w:rsidRPr="00807FE0">
              <w:rPr>
                <w:rFonts w:ascii="Times New Roman" w:hAnsi="Times New Roman"/>
                <w:sz w:val="26"/>
                <w:szCs w:val="26"/>
              </w:rPr>
              <w:t xml:space="preserve">1.4. Oportunitatea definirii sau delimitării noțiunii de „procese critice” </w:t>
            </w:r>
            <w:r w:rsidRPr="00807FE0">
              <w:rPr>
                <w:rFonts w:ascii="Times New Roman" w:hAnsi="Times New Roman"/>
                <w:b/>
                <w:bCs/>
                <w:sz w:val="26"/>
                <w:szCs w:val="26"/>
              </w:rPr>
              <w:t>Constatare:</w:t>
            </w:r>
            <w:r w:rsidRPr="00807FE0">
              <w:rPr>
                <w:rFonts w:ascii="Times New Roman" w:hAnsi="Times New Roman"/>
                <w:sz w:val="26"/>
                <w:szCs w:val="26"/>
              </w:rPr>
              <w:t xml:space="preserve"> Textul Proiectului utilizează în mod repetat sintagma „asigurarea continuității proceselor critice”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1) fără a oferi o definiție sau criterii de calificare a unui proces drept „critic”. Relevanță: Absența unei delimitări clare poate conduce la interpretări extensive ale noțiunii de către entitățile beneficiare, în scopul justificării achizițiilor de echipamente care nu sunt strict necesare pentru continuitatea operațională. Pe de altă parte, o definire prea rigidă ar putea limita nejustificat capacitatea </w:t>
            </w:r>
            <w:r w:rsidRPr="00807FE0">
              <w:rPr>
                <w:rFonts w:ascii="Times New Roman" w:hAnsi="Times New Roman"/>
                <w:sz w:val="26"/>
                <w:szCs w:val="26"/>
              </w:rPr>
              <w:lastRenderedPageBreak/>
              <w:t xml:space="preserve">entităților de a asigura funcționarea normală a serviciilor publice. </w:t>
            </w:r>
          </w:p>
          <w:p w14:paraId="5E2D4DCD" w14:textId="6EF5AE4B" w:rsidR="00723E41" w:rsidRPr="00807FE0" w:rsidRDefault="00723E41" w:rsidP="00723E41">
            <w:pPr>
              <w:ind w:firstLine="0"/>
              <w:rPr>
                <w:rFonts w:ascii="Times New Roman" w:hAnsi="Times New Roman"/>
                <w:sz w:val="26"/>
                <w:szCs w:val="26"/>
                <w:lang w:val="ro-MD" w:eastAsia="zh-CN"/>
              </w:rPr>
            </w:pPr>
            <w:r w:rsidRPr="00807FE0">
              <w:rPr>
                <w:rFonts w:ascii="Times New Roman" w:hAnsi="Times New Roman"/>
                <w:b/>
                <w:bCs/>
                <w:sz w:val="26"/>
                <w:szCs w:val="26"/>
              </w:rPr>
              <w:t>Propunere:</w:t>
            </w:r>
            <w:r w:rsidRPr="00807FE0">
              <w:rPr>
                <w:rFonts w:ascii="Times New Roman" w:hAnsi="Times New Roman"/>
                <w:sz w:val="26"/>
                <w:szCs w:val="26"/>
              </w:rPr>
              <w:t xml:space="preserve"> Se recomandă ca Metodologia pe care STISC urmează s-o elaboreze (conform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3) să conțină criterii clare de calificare a proceselor critice – de exemplu, prin trimitere la clasificarea sistemelor informaționale conform nivelului de </w:t>
            </w:r>
            <w:proofErr w:type="spellStart"/>
            <w:r w:rsidRPr="00807FE0">
              <w:rPr>
                <w:rFonts w:ascii="Times New Roman" w:hAnsi="Times New Roman"/>
                <w:sz w:val="26"/>
                <w:szCs w:val="26"/>
              </w:rPr>
              <w:t>criticitate</w:t>
            </w:r>
            <w:proofErr w:type="spellEnd"/>
            <w:r w:rsidRPr="00807FE0">
              <w:rPr>
                <w:rFonts w:ascii="Times New Roman" w:hAnsi="Times New Roman"/>
                <w:sz w:val="26"/>
                <w:szCs w:val="26"/>
              </w:rPr>
              <w:t xml:space="preserve"> operațională. Alternativ, în textul Proiectului s-ar putea introduce o prevedere de genul: „Caracterul critic al proceselor se determină în funcție de impactul întreruperii acestora asupra furnizării serviciilor publice și a funcționării registrelor de stat”. Această soluție ar asigura un cadru de referință fără a fi excesiv de restrictivă.</w:t>
            </w:r>
          </w:p>
        </w:tc>
        <w:tc>
          <w:tcPr>
            <w:tcW w:w="4427" w:type="dxa"/>
            <w:tcBorders>
              <w:top w:val="single" w:sz="4" w:space="0" w:color="auto"/>
              <w:bottom w:val="single" w:sz="4" w:space="0" w:color="auto"/>
              <w:right w:val="single" w:sz="4" w:space="0" w:color="auto"/>
            </w:tcBorders>
          </w:tcPr>
          <w:p w14:paraId="5BE85FC1" w14:textId="734B231B" w:rsidR="00106B2D" w:rsidRPr="00807FE0" w:rsidRDefault="00106B2D" w:rsidP="00807FE0">
            <w:pPr>
              <w:ind w:firstLine="0"/>
              <w:rPr>
                <w:rFonts w:ascii="Times New Roman" w:hAnsi="Times New Roman"/>
                <w:b/>
                <w:sz w:val="26"/>
                <w:szCs w:val="26"/>
                <w:lang w:eastAsia="zh-CN"/>
              </w:rPr>
            </w:pPr>
            <w:r w:rsidRPr="00807FE0">
              <w:rPr>
                <w:rFonts w:ascii="Times New Roman" w:hAnsi="Times New Roman"/>
                <w:b/>
                <w:sz w:val="26"/>
                <w:szCs w:val="26"/>
                <w:lang w:eastAsia="zh-CN"/>
              </w:rPr>
              <w:lastRenderedPageBreak/>
              <w:t>Se acceptă.</w:t>
            </w:r>
          </w:p>
          <w:p w14:paraId="0B0E92CF" w14:textId="3F645E17" w:rsidR="00723E41" w:rsidRPr="00807FE0" w:rsidRDefault="00106B2D" w:rsidP="00807FE0">
            <w:pPr>
              <w:ind w:firstLine="0"/>
              <w:rPr>
                <w:rFonts w:ascii="Times New Roman" w:hAnsi="Times New Roman"/>
                <w:b/>
                <w:sz w:val="26"/>
                <w:szCs w:val="26"/>
                <w:lang w:val="ro-MD" w:eastAsia="zh-CN"/>
              </w:rPr>
            </w:pPr>
            <w:r w:rsidRPr="00807FE0">
              <w:rPr>
                <w:rFonts w:ascii="Times New Roman" w:hAnsi="Times New Roman"/>
                <w:sz w:val="26"/>
                <w:szCs w:val="26"/>
                <w:lang w:eastAsia="zh-CN"/>
              </w:rPr>
              <w:t xml:space="preserve">Delimitarea noțiunii de „procese critice” va fi realizată în cadrul Metodologiei ce urmează a fi elaborată de către STISC, conform </w:t>
            </w:r>
            <w:r w:rsidR="00304FF3" w:rsidRPr="00807FE0">
              <w:rPr>
                <w:rFonts w:ascii="Times New Roman" w:hAnsi="Times New Roman"/>
                <w:sz w:val="26"/>
                <w:szCs w:val="26"/>
                <w:lang w:eastAsia="zh-CN"/>
              </w:rPr>
              <w:t xml:space="preserve">pct. 3 </w:t>
            </w:r>
            <w:proofErr w:type="spellStart"/>
            <w:r w:rsidRPr="00807FE0">
              <w:rPr>
                <w:rFonts w:ascii="Times New Roman" w:hAnsi="Times New Roman"/>
                <w:sz w:val="26"/>
                <w:szCs w:val="26"/>
                <w:lang w:eastAsia="zh-CN"/>
              </w:rPr>
              <w:t>subpct</w:t>
            </w:r>
            <w:proofErr w:type="spellEnd"/>
            <w:r w:rsidRPr="00807FE0">
              <w:rPr>
                <w:rFonts w:ascii="Times New Roman" w:hAnsi="Times New Roman"/>
                <w:sz w:val="26"/>
                <w:szCs w:val="26"/>
                <w:lang w:eastAsia="zh-CN"/>
              </w:rPr>
              <w:t>. 3)</w:t>
            </w:r>
            <w:r w:rsidR="00851EC5" w:rsidRPr="00807FE0">
              <w:rPr>
                <w:rFonts w:ascii="Times New Roman" w:hAnsi="Times New Roman"/>
                <w:sz w:val="26"/>
                <w:szCs w:val="26"/>
                <w:lang w:eastAsia="zh-CN"/>
              </w:rPr>
              <w:t xml:space="preserve"> din proiect</w:t>
            </w:r>
            <w:r w:rsidR="00304FF3" w:rsidRPr="00807FE0">
              <w:rPr>
                <w:rFonts w:ascii="Times New Roman" w:hAnsi="Times New Roman"/>
                <w:sz w:val="26"/>
                <w:szCs w:val="26"/>
                <w:lang w:eastAsia="zh-CN"/>
              </w:rPr>
              <w:t>.</w:t>
            </w:r>
          </w:p>
        </w:tc>
      </w:tr>
      <w:tr w:rsidR="00723E41" w:rsidRPr="00807FE0" w14:paraId="5DE05C2B" w14:textId="77777777" w:rsidTr="000128A7">
        <w:trPr>
          <w:trHeight w:val="138"/>
        </w:trPr>
        <w:tc>
          <w:tcPr>
            <w:tcW w:w="2825" w:type="dxa"/>
            <w:vMerge/>
            <w:tcBorders>
              <w:left w:val="single" w:sz="4" w:space="0" w:color="auto"/>
              <w:right w:val="single" w:sz="8" w:space="0" w:color="000000"/>
            </w:tcBorders>
          </w:tcPr>
          <w:p w14:paraId="22C19B1C" w14:textId="77777777" w:rsidR="00723E41" w:rsidRPr="00807FE0" w:rsidRDefault="00723E41"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78683817" w14:textId="488CE27D"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t>6.</w:t>
            </w:r>
          </w:p>
        </w:tc>
        <w:tc>
          <w:tcPr>
            <w:tcW w:w="6136" w:type="dxa"/>
            <w:tcBorders>
              <w:top w:val="single" w:sz="4" w:space="0" w:color="auto"/>
              <w:bottom w:val="single" w:sz="4" w:space="0" w:color="auto"/>
              <w:right w:val="single" w:sz="4" w:space="0" w:color="auto"/>
            </w:tcBorders>
          </w:tcPr>
          <w:p w14:paraId="2FABC56C" w14:textId="77777777" w:rsidR="00723E41" w:rsidRPr="00807FE0" w:rsidRDefault="00723E41" w:rsidP="00723E41">
            <w:pPr>
              <w:ind w:firstLine="0"/>
              <w:rPr>
                <w:rFonts w:ascii="Times New Roman" w:hAnsi="Times New Roman"/>
                <w:sz w:val="26"/>
                <w:szCs w:val="26"/>
              </w:rPr>
            </w:pPr>
            <w:r w:rsidRPr="00807FE0">
              <w:rPr>
                <w:rFonts w:ascii="Times New Roman" w:hAnsi="Times New Roman"/>
                <w:sz w:val="26"/>
                <w:szCs w:val="26"/>
              </w:rPr>
              <w:t xml:space="preserve">1.5. Precizarea regimului echipamentelor existente (anterioare perioadei tranzitorii) </w:t>
            </w:r>
          </w:p>
          <w:p w14:paraId="7A792C94" w14:textId="77777777" w:rsidR="00723E41" w:rsidRPr="00807FE0" w:rsidRDefault="00723E41" w:rsidP="00723E41">
            <w:pPr>
              <w:ind w:firstLine="0"/>
              <w:rPr>
                <w:rFonts w:ascii="Times New Roman" w:hAnsi="Times New Roman"/>
                <w:sz w:val="26"/>
                <w:szCs w:val="26"/>
              </w:rPr>
            </w:pPr>
            <w:r w:rsidRPr="00807FE0">
              <w:rPr>
                <w:rFonts w:ascii="Times New Roman" w:hAnsi="Times New Roman"/>
                <w:b/>
                <w:bCs/>
                <w:sz w:val="26"/>
                <w:szCs w:val="26"/>
              </w:rPr>
              <w:t>Constatare:</w:t>
            </w:r>
            <w:r w:rsidRPr="00807FE0">
              <w:rPr>
                <w:rFonts w:ascii="Times New Roman" w:hAnsi="Times New Roman"/>
                <w:sz w:val="26"/>
                <w:szCs w:val="26"/>
              </w:rPr>
              <w:t xml:space="preserve"> Subpunctul 5) reglementează transmiterea către STISC, la expirarea perioadei tranzitorii, „doar a echipamentelor hardware de tip server, de stocare, a echipamentelor de comunicații...”. Formularea „doar” sugerează că se transmit, exclusiv echipamentele achiziționate în baza acestei derogări. Totuși, textul nu clarifică explicit regimul echipamentelor existente (deja aflate în dotarea centrelor de date la momentul intrării în vigoare a Proiectului) – și anume dacă acestea sunt, de asemenea, supuse transmiterii către STISC sau rămân în gestiunea entităților. </w:t>
            </w:r>
          </w:p>
          <w:p w14:paraId="22B9DBAB" w14:textId="77777777" w:rsidR="00723E41" w:rsidRPr="00807FE0" w:rsidRDefault="00723E41" w:rsidP="00723E41">
            <w:pPr>
              <w:ind w:firstLine="0"/>
              <w:rPr>
                <w:rFonts w:ascii="Times New Roman" w:hAnsi="Times New Roman"/>
                <w:sz w:val="26"/>
                <w:szCs w:val="26"/>
              </w:rPr>
            </w:pPr>
            <w:r w:rsidRPr="00807FE0">
              <w:rPr>
                <w:rFonts w:ascii="Times New Roman" w:hAnsi="Times New Roman"/>
                <w:b/>
                <w:bCs/>
                <w:sz w:val="26"/>
                <w:szCs w:val="26"/>
              </w:rPr>
              <w:t>Relevanță:</w:t>
            </w:r>
            <w:r w:rsidRPr="00807FE0">
              <w:rPr>
                <w:rFonts w:ascii="Times New Roman" w:hAnsi="Times New Roman"/>
                <w:sz w:val="26"/>
                <w:szCs w:val="26"/>
              </w:rPr>
              <w:t xml:space="preserve"> Echipamentele existente, deși pot fi depășite tehnologic, ar putea conține componente valorificate sau ar putea genera confuzii la momentul inventarierii și transmiterii. Clarificarea statutului lor este importantă pentru evitarea disputelor ulterioare și pentru planificarea adecvată a procesului de consolidare. </w:t>
            </w:r>
          </w:p>
          <w:p w14:paraId="513CD007" w14:textId="15B02CF8" w:rsidR="00723E41" w:rsidRPr="00807FE0" w:rsidRDefault="00723E41" w:rsidP="00723E41">
            <w:pPr>
              <w:ind w:firstLine="0"/>
              <w:rPr>
                <w:rFonts w:ascii="Times New Roman" w:hAnsi="Times New Roman"/>
                <w:sz w:val="26"/>
                <w:szCs w:val="26"/>
                <w:lang w:val="ro-MD" w:eastAsia="zh-CN"/>
              </w:rPr>
            </w:pPr>
            <w:r w:rsidRPr="00807FE0">
              <w:rPr>
                <w:rFonts w:ascii="Times New Roman" w:hAnsi="Times New Roman"/>
                <w:b/>
                <w:bCs/>
                <w:sz w:val="26"/>
                <w:szCs w:val="26"/>
              </w:rPr>
              <w:lastRenderedPageBreak/>
              <w:t>Propunere:</w:t>
            </w:r>
            <w:r w:rsidRPr="00807FE0">
              <w:rPr>
                <w:rFonts w:ascii="Times New Roman" w:hAnsi="Times New Roman"/>
                <w:sz w:val="26"/>
                <w:szCs w:val="26"/>
              </w:rPr>
              <w:t xml:space="preserve"> Se recomandă ca STISC, în cadrul Metodologiei menționate la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3), sau autorul Proiectului, prin nota de fundamentare, să clarifice regimul juridic al echipamentelor preexistente din centrele de date – în mod particular, dacă acestea urmează să fie incluse sau excluse din procesul de transmitere.</w:t>
            </w:r>
          </w:p>
        </w:tc>
        <w:tc>
          <w:tcPr>
            <w:tcW w:w="4427" w:type="dxa"/>
            <w:tcBorders>
              <w:top w:val="single" w:sz="4" w:space="0" w:color="auto"/>
              <w:bottom w:val="single" w:sz="4" w:space="0" w:color="auto"/>
              <w:right w:val="single" w:sz="4" w:space="0" w:color="auto"/>
            </w:tcBorders>
          </w:tcPr>
          <w:p w14:paraId="0C2626AE" w14:textId="1B7EDCD6" w:rsidR="00FB4249" w:rsidRPr="00807FE0" w:rsidRDefault="00FB4249" w:rsidP="00807FE0">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lastRenderedPageBreak/>
              <w:t>Se acceptă.</w:t>
            </w:r>
          </w:p>
          <w:p w14:paraId="022407D4" w14:textId="0DE9DF93" w:rsidR="00FB4249" w:rsidRPr="00807FE0" w:rsidRDefault="00D75B5D" w:rsidP="00807FE0">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Prevederea de la pct. 3 subpct.</w:t>
            </w:r>
            <w:r w:rsidR="00FB4249" w:rsidRPr="00807FE0">
              <w:rPr>
                <w:rFonts w:ascii="Times New Roman" w:hAnsi="Times New Roman"/>
                <w:sz w:val="26"/>
                <w:szCs w:val="26"/>
                <w:lang w:val="ro-MD" w:eastAsia="zh-CN"/>
              </w:rPr>
              <w:t xml:space="preserve"> 5) stabilește că obiectul transmiterii către Instituția Publică „Serviciul Tehnologia Informației și Securitate Cibernetică” îl constituie doar echipamentele achiziționate în perioada tranzitorie prevăzută la punctul 3 subpunctul 1).</w:t>
            </w:r>
          </w:p>
          <w:p w14:paraId="14C267FE" w14:textId="6A6951CB" w:rsidR="00FB4249" w:rsidRPr="00807FE0" w:rsidRDefault="00FB4249" w:rsidP="00807FE0">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Prin urmare, echipamentele existente în centrele de date ale entităților publice la momentul intrării în vigoare a hotărârii nu fac obiectul transmiterii prevăzute la punctul 3 subpunctul 5).</w:t>
            </w:r>
          </w:p>
          <w:p w14:paraId="7844DA8E" w14:textId="69866E86" w:rsidR="00FB4249" w:rsidRPr="00807FE0" w:rsidRDefault="00FB4249" w:rsidP="00807FE0">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 xml:space="preserve">Pentru a evita eventuale interpretări diferite ale normei, nota de fundamentare a fost completată, fiind introdusă o clarificare în </w:t>
            </w:r>
            <w:r w:rsidR="0074394D" w:rsidRPr="00807FE0">
              <w:rPr>
                <w:rFonts w:ascii="Times New Roman" w:hAnsi="Times New Roman"/>
                <w:sz w:val="26"/>
                <w:szCs w:val="26"/>
                <w:lang w:val="ro-MD" w:eastAsia="zh-CN"/>
              </w:rPr>
              <w:t>secțiunea</w:t>
            </w:r>
            <w:r w:rsidRPr="00807FE0">
              <w:rPr>
                <w:rFonts w:ascii="Times New Roman" w:hAnsi="Times New Roman"/>
                <w:sz w:val="26"/>
                <w:szCs w:val="26"/>
                <w:lang w:val="ro-MD" w:eastAsia="zh-CN"/>
              </w:rPr>
              <w:t xml:space="preserve"> 3.1 „</w:t>
            </w:r>
            <w:r w:rsidRPr="00807FE0">
              <w:rPr>
                <w:rFonts w:ascii="Times New Roman" w:hAnsi="Times New Roman"/>
                <w:i/>
                <w:sz w:val="26"/>
                <w:szCs w:val="26"/>
                <w:lang w:val="ro-MD" w:eastAsia="zh-CN"/>
              </w:rPr>
              <w:t>Principalele prevederi ale proiectului și evidențierea elementelor noi</w:t>
            </w:r>
            <w:r w:rsidRPr="00807FE0">
              <w:rPr>
                <w:rFonts w:ascii="Times New Roman" w:hAnsi="Times New Roman"/>
                <w:sz w:val="26"/>
                <w:szCs w:val="26"/>
                <w:lang w:val="ro-MD" w:eastAsia="zh-CN"/>
              </w:rPr>
              <w:t xml:space="preserve">”, după </w:t>
            </w:r>
            <w:r w:rsidRPr="00807FE0">
              <w:rPr>
                <w:rFonts w:ascii="Times New Roman" w:hAnsi="Times New Roman"/>
                <w:sz w:val="26"/>
                <w:szCs w:val="26"/>
                <w:lang w:val="ro-MD" w:eastAsia="zh-CN"/>
              </w:rPr>
              <w:lastRenderedPageBreak/>
              <w:t>paragraful referitor la transmiterea echipamentelor către STISC.</w:t>
            </w:r>
          </w:p>
          <w:p w14:paraId="2505782F" w14:textId="1D2135A0" w:rsidR="00723E41" w:rsidRPr="00807FE0" w:rsidRDefault="00723E41" w:rsidP="00591B9D">
            <w:pPr>
              <w:rPr>
                <w:rFonts w:ascii="Times New Roman" w:hAnsi="Times New Roman"/>
                <w:sz w:val="26"/>
                <w:szCs w:val="26"/>
                <w:lang w:val="ro-MD" w:eastAsia="zh-CN"/>
              </w:rPr>
            </w:pPr>
          </w:p>
        </w:tc>
      </w:tr>
      <w:tr w:rsidR="00723E41" w:rsidRPr="00807FE0" w14:paraId="1EB42C4C" w14:textId="77777777" w:rsidTr="00723E41">
        <w:trPr>
          <w:trHeight w:val="125"/>
        </w:trPr>
        <w:tc>
          <w:tcPr>
            <w:tcW w:w="2825" w:type="dxa"/>
            <w:vMerge/>
            <w:tcBorders>
              <w:left w:val="single" w:sz="4" w:space="0" w:color="auto"/>
              <w:right w:val="single" w:sz="8" w:space="0" w:color="000000"/>
            </w:tcBorders>
          </w:tcPr>
          <w:p w14:paraId="5D09F938" w14:textId="77777777" w:rsidR="00723E41" w:rsidRPr="00807FE0" w:rsidRDefault="00723E41"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62AAC829" w14:textId="3F08966C"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t>7.</w:t>
            </w:r>
          </w:p>
        </w:tc>
        <w:tc>
          <w:tcPr>
            <w:tcW w:w="6136" w:type="dxa"/>
            <w:tcBorders>
              <w:top w:val="single" w:sz="4" w:space="0" w:color="auto"/>
              <w:bottom w:val="single" w:sz="4" w:space="0" w:color="auto"/>
              <w:right w:val="single" w:sz="4" w:space="0" w:color="auto"/>
            </w:tcBorders>
          </w:tcPr>
          <w:p w14:paraId="3F3E35DD" w14:textId="77777777" w:rsidR="00B61002" w:rsidRPr="00807FE0" w:rsidRDefault="00B61002" w:rsidP="00B61002">
            <w:pPr>
              <w:ind w:firstLine="0"/>
              <w:rPr>
                <w:rFonts w:ascii="Times New Roman" w:hAnsi="Times New Roman"/>
                <w:sz w:val="26"/>
                <w:szCs w:val="26"/>
              </w:rPr>
            </w:pPr>
            <w:r w:rsidRPr="00807FE0">
              <w:rPr>
                <w:rFonts w:ascii="Times New Roman" w:hAnsi="Times New Roman"/>
                <w:sz w:val="26"/>
                <w:szCs w:val="26"/>
              </w:rPr>
              <w:t>1.6. Abrogarea punctului 4 – concordanța cu Hotărârea Guvernului 414/2018</w:t>
            </w:r>
          </w:p>
          <w:p w14:paraId="6F9B5AA1" w14:textId="77777777" w:rsidR="00B61002" w:rsidRPr="00807FE0" w:rsidRDefault="00B61002" w:rsidP="00B61002">
            <w:pPr>
              <w:ind w:firstLine="0"/>
              <w:rPr>
                <w:rFonts w:ascii="Times New Roman" w:hAnsi="Times New Roman"/>
                <w:sz w:val="26"/>
                <w:szCs w:val="26"/>
              </w:rPr>
            </w:pPr>
            <w:r w:rsidRPr="00807FE0">
              <w:rPr>
                <w:rFonts w:ascii="Times New Roman" w:hAnsi="Times New Roman"/>
                <w:sz w:val="26"/>
                <w:szCs w:val="26"/>
              </w:rPr>
              <w:t xml:space="preserve"> </w:t>
            </w:r>
            <w:r w:rsidRPr="00807FE0">
              <w:rPr>
                <w:rFonts w:ascii="Times New Roman" w:hAnsi="Times New Roman"/>
                <w:b/>
                <w:bCs/>
                <w:sz w:val="26"/>
                <w:szCs w:val="26"/>
              </w:rPr>
              <w:t>Constatare:</w:t>
            </w:r>
            <w:r w:rsidRPr="00807FE0">
              <w:rPr>
                <w:rFonts w:ascii="Times New Roman" w:hAnsi="Times New Roman"/>
                <w:sz w:val="26"/>
                <w:szCs w:val="26"/>
              </w:rPr>
              <w:t xml:space="preserve"> Proiectul prevede abrogarea pct. 4 din Hotărârea Guvernului 823/2020 (privind transmiterea încăperilor centrelor de date în gestiunea STISC). Nota de fundamentare justifică această decizie prin faptul că încăperile nu sunt necesare pentru consolidarea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și ar genera cheltuieli suplimentare. Motivarea este rezonabilă. Totuși, conform observațiilor AGE din avizul prealabil, pct. 18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3) din Hotărârea Guvernului nr. 414/2018 a fost modificat anterior pentru a reflecta obligația transmiterii bunurilor imobile aferente centrelor de date. Abrogarea pct. 4 din Hotărârea Guvernului 823/2020 fără o modificare corespunzătoare a </w:t>
            </w:r>
            <w:proofErr w:type="spellStart"/>
            <w:r w:rsidRPr="00807FE0">
              <w:rPr>
                <w:rFonts w:ascii="Times New Roman" w:hAnsi="Times New Roman"/>
                <w:sz w:val="26"/>
                <w:szCs w:val="26"/>
              </w:rPr>
              <w:t>Hotărîrii</w:t>
            </w:r>
            <w:proofErr w:type="spellEnd"/>
            <w:r w:rsidRPr="00807FE0">
              <w:rPr>
                <w:rFonts w:ascii="Times New Roman" w:hAnsi="Times New Roman"/>
                <w:sz w:val="26"/>
                <w:szCs w:val="26"/>
              </w:rPr>
              <w:t xml:space="preserve"> Guvernului 414/2018 ar putea genera o necorelare între cele două acte normative. </w:t>
            </w:r>
          </w:p>
          <w:p w14:paraId="4CCDBF89" w14:textId="50A546D6" w:rsidR="00723E41" w:rsidRPr="00807FE0" w:rsidRDefault="00B61002" w:rsidP="00B61002">
            <w:pPr>
              <w:ind w:firstLine="0"/>
              <w:rPr>
                <w:rFonts w:ascii="Times New Roman" w:hAnsi="Times New Roman"/>
                <w:sz w:val="26"/>
                <w:szCs w:val="26"/>
                <w:lang w:val="ro-MD" w:eastAsia="zh-CN"/>
              </w:rPr>
            </w:pPr>
            <w:r w:rsidRPr="00807FE0">
              <w:rPr>
                <w:rFonts w:ascii="Times New Roman" w:hAnsi="Times New Roman"/>
                <w:b/>
                <w:bCs/>
                <w:sz w:val="26"/>
                <w:szCs w:val="26"/>
              </w:rPr>
              <w:t>Propunere:</w:t>
            </w:r>
            <w:r w:rsidRPr="00807FE0">
              <w:rPr>
                <w:rFonts w:ascii="Times New Roman" w:hAnsi="Times New Roman"/>
                <w:sz w:val="26"/>
                <w:szCs w:val="26"/>
              </w:rPr>
              <w:t xml:space="preserve"> Se recomandă verificarea necesității ajustării concomitente a prevederilor relevante din Hotărârea Guvernului 414/2018, în vederea evitării unor antinomii normative. În cazul în care prevederea din Hotărârea Guvernului 414/2018 rămâne în vigoare cu un conținut contradictoriu față de noua redacție a Hotărârii Guvernului 823/2020, ar fi oportună includerea unei norme de corelare în textul Proiectului.</w:t>
            </w:r>
          </w:p>
        </w:tc>
        <w:tc>
          <w:tcPr>
            <w:tcW w:w="4427" w:type="dxa"/>
            <w:tcBorders>
              <w:top w:val="single" w:sz="4" w:space="0" w:color="auto"/>
              <w:bottom w:val="single" w:sz="4" w:space="0" w:color="auto"/>
              <w:right w:val="single" w:sz="4" w:space="0" w:color="auto"/>
            </w:tcBorders>
          </w:tcPr>
          <w:p w14:paraId="3026A9F2" w14:textId="248EBAEC" w:rsidR="00851EC5" w:rsidRPr="00807FE0" w:rsidRDefault="00A84763" w:rsidP="00807FE0">
            <w:pPr>
              <w:ind w:firstLine="0"/>
              <w:rPr>
                <w:rFonts w:ascii="Times New Roman" w:hAnsi="Times New Roman"/>
                <w:b/>
                <w:sz w:val="26"/>
                <w:szCs w:val="26"/>
                <w:lang w:val="ro-MD" w:eastAsia="zh-CN"/>
              </w:rPr>
            </w:pPr>
            <w:r w:rsidRPr="00807FE0">
              <w:rPr>
                <w:rFonts w:ascii="Times New Roman" w:hAnsi="Times New Roman"/>
                <w:b/>
                <w:sz w:val="26"/>
                <w:szCs w:val="26"/>
                <w:lang w:val="en-US" w:eastAsia="zh-CN"/>
              </w:rPr>
              <w:t>Se accept</w:t>
            </w:r>
            <w:r w:rsidRPr="00807FE0">
              <w:rPr>
                <w:rFonts w:ascii="Times New Roman" w:hAnsi="Times New Roman"/>
                <w:b/>
                <w:sz w:val="26"/>
                <w:szCs w:val="26"/>
                <w:lang w:val="ro-MD" w:eastAsia="zh-CN"/>
              </w:rPr>
              <w:t>ă.</w:t>
            </w:r>
          </w:p>
          <w:p w14:paraId="0C39C12A" w14:textId="10934B59" w:rsidR="00851EC5" w:rsidRPr="00807FE0" w:rsidRDefault="00851EC5" w:rsidP="00807FE0">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Punctul 2 din proiectul de hotărâre.</w:t>
            </w:r>
          </w:p>
        </w:tc>
      </w:tr>
      <w:tr w:rsidR="00723E41" w:rsidRPr="00807FE0" w14:paraId="35485016" w14:textId="77777777" w:rsidTr="004078DF">
        <w:trPr>
          <w:trHeight w:val="106"/>
        </w:trPr>
        <w:tc>
          <w:tcPr>
            <w:tcW w:w="2825" w:type="dxa"/>
            <w:vMerge/>
            <w:tcBorders>
              <w:left w:val="single" w:sz="4" w:space="0" w:color="auto"/>
              <w:right w:val="single" w:sz="8" w:space="0" w:color="000000"/>
            </w:tcBorders>
          </w:tcPr>
          <w:p w14:paraId="08C92BA5" w14:textId="77777777" w:rsidR="00723E41" w:rsidRPr="00807FE0" w:rsidRDefault="00723E41"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289C11BD" w14:textId="006B2CBA"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t>8.</w:t>
            </w:r>
          </w:p>
        </w:tc>
        <w:tc>
          <w:tcPr>
            <w:tcW w:w="6136" w:type="dxa"/>
            <w:tcBorders>
              <w:top w:val="single" w:sz="4" w:space="0" w:color="auto"/>
              <w:bottom w:val="single" w:sz="4" w:space="0" w:color="auto"/>
              <w:right w:val="single" w:sz="4" w:space="0" w:color="auto"/>
            </w:tcBorders>
          </w:tcPr>
          <w:p w14:paraId="06614D5D" w14:textId="3D7938FA" w:rsidR="003D77A5" w:rsidRPr="00807FE0" w:rsidRDefault="003D77A5" w:rsidP="003D77A5">
            <w:pPr>
              <w:ind w:firstLine="0"/>
              <w:rPr>
                <w:rFonts w:ascii="Times New Roman" w:hAnsi="Times New Roman"/>
                <w:sz w:val="26"/>
                <w:szCs w:val="26"/>
                <w:lang w:val="ro-MD" w:eastAsia="zh-CN"/>
              </w:rPr>
            </w:pPr>
            <w:r w:rsidRPr="00807FE0">
              <w:rPr>
                <w:rFonts w:ascii="Times New Roman" w:hAnsi="Times New Roman"/>
                <w:sz w:val="26"/>
                <w:szCs w:val="26"/>
              </w:rPr>
              <w:t xml:space="preserve">II. TABEL SINOPTIC AL PROPUNERILOR Nr. Element vizat Constatare Propunere Tip 1 Pct. 3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4) Neconcordanță text PHG vs. Tabel comparativ </w:t>
            </w:r>
            <w:r w:rsidRPr="00807FE0">
              <w:rPr>
                <w:rFonts w:ascii="Times New Roman" w:hAnsi="Times New Roman"/>
                <w:sz w:val="26"/>
                <w:szCs w:val="26"/>
              </w:rPr>
              <w:lastRenderedPageBreak/>
              <w:t xml:space="preserve">(„coordonat pozitiv” vs. „coordonat și avizat pozitiv”) Armonizare cu „coordonat și avizat pozitiv” Corectare 2 Pct. 3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3) Lipsă termen elaborare Metodologie STISC Introducerea termenului de 60 zile Completare 3 Pct. 2 al Proiectului „Bugetare” vs. „finanțare” – inconsistență terminologică Substituirea cu „finanțare” (conform Legii 181/2014) Corectare 4 Pct. 3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1) Noțiunea „procese critice” nedefinită Definire prin Metodologie STISC sau prin textul Proiectului Recomandare 5 Pct. 3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xml:space="preserve">. 5) Regimul echipamentelor preexistente neclar Clarificare în Metodologie sau nota de fundamentare Recomandare 6 Pct. 1.2 (abrogare pct. 4) Potențială necorelare cu HG 414/2018 pct. 18 </w:t>
            </w:r>
            <w:proofErr w:type="spellStart"/>
            <w:r w:rsidRPr="00807FE0">
              <w:rPr>
                <w:rFonts w:ascii="Times New Roman" w:hAnsi="Times New Roman"/>
                <w:sz w:val="26"/>
                <w:szCs w:val="26"/>
              </w:rPr>
              <w:t>subpct</w:t>
            </w:r>
            <w:proofErr w:type="spellEnd"/>
            <w:r w:rsidRPr="00807FE0">
              <w:rPr>
                <w:rFonts w:ascii="Times New Roman" w:hAnsi="Times New Roman"/>
                <w:sz w:val="26"/>
                <w:szCs w:val="26"/>
              </w:rPr>
              <w:t>. 3) Verificare și, eventual, corelare Recomandare</w:t>
            </w:r>
          </w:p>
        </w:tc>
        <w:tc>
          <w:tcPr>
            <w:tcW w:w="4427" w:type="dxa"/>
            <w:tcBorders>
              <w:top w:val="single" w:sz="4" w:space="0" w:color="auto"/>
              <w:bottom w:val="single" w:sz="4" w:space="0" w:color="auto"/>
              <w:right w:val="single" w:sz="4" w:space="0" w:color="auto"/>
            </w:tcBorders>
          </w:tcPr>
          <w:p w14:paraId="1A32C00B" w14:textId="397CDC65" w:rsidR="001962FA" w:rsidRPr="00807FE0" w:rsidRDefault="001962FA" w:rsidP="00807FE0">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lastRenderedPageBreak/>
              <w:t>S-a luat act.</w:t>
            </w:r>
          </w:p>
          <w:p w14:paraId="5DE1AA1F" w14:textId="2200F7E5" w:rsidR="00723E41" w:rsidRPr="00807FE0" w:rsidRDefault="00FA36B5" w:rsidP="00807FE0">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 xml:space="preserve">Propunerile incluse în tabelul sinoptic au fost examinate, poziția autorului și </w:t>
            </w:r>
            <w:r w:rsidRPr="00807FE0">
              <w:rPr>
                <w:rFonts w:ascii="Times New Roman" w:hAnsi="Times New Roman"/>
                <w:sz w:val="26"/>
                <w:szCs w:val="26"/>
                <w:lang w:val="ro-MD" w:eastAsia="zh-CN"/>
              </w:rPr>
              <w:lastRenderedPageBreak/>
              <w:t>argumentarea aferentă fiecărei observații fiind prezentate în secțiunile anterioare ale prezentei sinteze.</w:t>
            </w:r>
          </w:p>
        </w:tc>
      </w:tr>
      <w:tr w:rsidR="00723E41" w:rsidRPr="00807FE0" w14:paraId="3AC63168" w14:textId="77777777" w:rsidTr="0057406A">
        <w:trPr>
          <w:trHeight w:val="119"/>
        </w:trPr>
        <w:tc>
          <w:tcPr>
            <w:tcW w:w="2825" w:type="dxa"/>
            <w:vMerge/>
            <w:tcBorders>
              <w:left w:val="single" w:sz="4" w:space="0" w:color="auto"/>
              <w:bottom w:val="single" w:sz="4" w:space="0" w:color="auto"/>
              <w:right w:val="single" w:sz="8" w:space="0" w:color="000000"/>
            </w:tcBorders>
          </w:tcPr>
          <w:p w14:paraId="2E1C0025" w14:textId="77777777" w:rsidR="00723E41" w:rsidRPr="00807FE0" w:rsidRDefault="00723E41"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033E552D" w14:textId="39C06974" w:rsidR="00723E41" w:rsidRPr="00807FE0" w:rsidRDefault="00723E41">
            <w:pPr>
              <w:rPr>
                <w:rFonts w:ascii="Times New Roman" w:hAnsi="Times New Roman"/>
                <w:sz w:val="26"/>
                <w:szCs w:val="26"/>
                <w:lang w:val="ro-MD" w:eastAsia="zh-CN"/>
              </w:rPr>
            </w:pPr>
            <w:r w:rsidRPr="00807FE0">
              <w:rPr>
                <w:rFonts w:ascii="Times New Roman" w:hAnsi="Times New Roman"/>
                <w:sz w:val="26"/>
                <w:szCs w:val="26"/>
                <w:lang w:val="ro-MD" w:eastAsia="zh-CN"/>
              </w:rPr>
              <w:t>9.</w:t>
            </w:r>
          </w:p>
        </w:tc>
        <w:tc>
          <w:tcPr>
            <w:tcW w:w="6136" w:type="dxa"/>
            <w:tcBorders>
              <w:top w:val="single" w:sz="4" w:space="0" w:color="auto"/>
              <w:bottom w:val="single" w:sz="4" w:space="0" w:color="auto"/>
              <w:right w:val="single" w:sz="4" w:space="0" w:color="auto"/>
            </w:tcBorders>
          </w:tcPr>
          <w:p w14:paraId="4BDA6ECD" w14:textId="77777777" w:rsidR="003D77A5" w:rsidRPr="00807FE0" w:rsidRDefault="003D77A5" w:rsidP="003D77A5">
            <w:pPr>
              <w:ind w:firstLine="0"/>
              <w:rPr>
                <w:rFonts w:ascii="Times New Roman" w:hAnsi="Times New Roman"/>
                <w:b/>
                <w:bCs/>
                <w:sz w:val="26"/>
                <w:szCs w:val="26"/>
              </w:rPr>
            </w:pPr>
            <w:r w:rsidRPr="00807FE0">
              <w:rPr>
                <w:rFonts w:ascii="Times New Roman" w:hAnsi="Times New Roman"/>
                <w:b/>
                <w:bCs/>
                <w:sz w:val="26"/>
                <w:szCs w:val="26"/>
              </w:rPr>
              <w:t xml:space="preserve">III. CONCLUZIE </w:t>
            </w:r>
          </w:p>
          <w:p w14:paraId="095648A3" w14:textId="1041EAD4" w:rsidR="00723E41" w:rsidRPr="00807FE0" w:rsidRDefault="003D77A5" w:rsidP="003D77A5">
            <w:pPr>
              <w:ind w:firstLine="0"/>
              <w:rPr>
                <w:rFonts w:ascii="Times New Roman" w:hAnsi="Times New Roman"/>
                <w:sz w:val="26"/>
                <w:szCs w:val="26"/>
                <w:lang w:val="ro-MD" w:eastAsia="zh-CN"/>
              </w:rPr>
            </w:pPr>
            <w:r w:rsidRPr="00807FE0">
              <w:rPr>
                <w:rFonts w:ascii="Times New Roman" w:hAnsi="Times New Roman"/>
                <w:sz w:val="26"/>
                <w:szCs w:val="26"/>
              </w:rPr>
              <w:t xml:space="preserve">Ca urmare a examinării aprofundate a Proiectului hotărârii de Guvern pentru modificarea Hotărârii Guvernului 823/2020, a notei de fundamentare, a tabelului comparativ, a sintezei obiecțiilor și propunerilor, precum și a avizelor entităților consultate, </w:t>
            </w:r>
            <w:r w:rsidRPr="00807FE0">
              <w:rPr>
                <w:rFonts w:ascii="Times New Roman" w:hAnsi="Times New Roman"/>
                <w:b/>
                <w:bCs/>
                <w:sz w:val="26"/>
                <w:szCs w:val="26"/>
              </w:rPr>
              <w:t>ASP confirmă acceptabilitatea Proiectului în forma actuală și susține adoptarea acestuia.</w:t>
            </w:r>
            <w:r w:rsidRPr="00807FE0">
              <w:rPr>
                <w:rFonts w:ascii="Times New Roman" w:hAnsi="Times New Roman"/>
                <w:sz w:val="26"/>
                <w:szCs w:val="26"/>
              </w:rPr>
              <w:t xml:space="preserve"> Modificările propuse răspund unor necesități reale ale entităților publice vizate și creează cadrul normativ necesar pentru asigurarea continuității proceselor critice pe durata perioadei tranzitorii de integrare în platforma </w:t>
            </w:r>
            <w:proofErr w:type="spellStart"/>
            <w:r w:rsidRPr="00807FE0">
              <w:rPr>
                <w:rFonts w:ascii="Times New Roman" w:hAnsi="Times New Roman"/>
                <w:sz w:val="26"/>
                <w:szCs w:val="26"/>
              </w:rPr>
              <w:t>MCloud</w:t>
            </w:r>
            <w:proofErr w:type="spellEnd"/>
            <w:r w:rsidRPr="00807FE0">
              <w:rPr>
                <w:rFonts w:ascii="Times New Roman" w:hAnsi="Times New Roman"/>
                <w:sz w:val="26"/>
                <w:szCs w:val="26"/>
              </w:rPr>
              <w:t xml:space="preserve">. Propunerile de îmbunătățire formulate în Secțiunea I au un caracter perfectiv și urmăresc sporirea clarității, a coerenței terminologice și a securității juridice a actului normativ. Primele trei propuneri (3.1–3.3) vizează aspecte de tehnică legislativă care ar trebui soluționate înainte de adoptare, iar celelalte (3.4–3.6) au caracter de </w:t>
            </w:r>
            <w:r w:rsidRPr="00807FE0">
              <w:rPr>
                <w:rFonts w:ascii="Times New Roman" w:hAnsi="Times New Roman"/>
                <w:sz w:val="26"/>
                <w:szCs w:val="26"/>
              </w:rPr>
              <w:lastRenderedPageBreak/>
              <w:t>recomandare și pot fi adresate fie prin textul Proiectului, fie prin actele subsecvente (Metodologia STISC).</w:t>
            </w:r>
          </w:p>
        </w:tc>
        <w:tc>
          <w:tcPr>
            <w:tcW w:w="4427" w:type="dxa"/>
            <w:tcBorders>
              <w:top w:val="single" w:sz="4" w:space="0" w:color="auto"/>
              <w:bottom w:val="single" w:sz="4" w:space="0" w:color="auto"/>
              <w:right w:val="single" w:sz="4" w:space="0" w:color="auto"/>
            </w:tcBorders>
          </w:tcPr>
          <w:p w14:paraId="4E2D4BEA" w14:textId="3FFA3547" w:rsidR="00723E41" w:rsidRPr="00807FE0" w:rsidRDefault="0068512E" w:rsidP="00807FE0">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lastRenderedPageBreak/>
              <w:t>S-a luat act.</w:t>
            </w:r>
          </w:p>
        </w:tc>
      </w:tr>
      <w:tr w:rsidR="006877F9" w:rsidRPr="00807FE0" w14:paraId="5FE628D9" w14:textId="77777777" w:rsidTr="006877F9">
        <w:trPr>
          <w:trHeight w:val="87"/>
        </w:trPr>
        <w:tc>
          <w:tcPr>
            <w:tcW w:w="2825" w:type="dxa"/>
            <w:tcBorders>
              <w:top w:val="single" w:sz="4" w:space="0" w:color="auto"/>
              <w:left w:val="single" w:sz="4" w:space="0" w:color="auto"/>
              <w:bottom w:val="single" w:sz="4" w:space="0" w:color="auto"/>
              <w:right w:val="single" w:sz="8" w:space="0" w:color="000000"/>
            </w:tcBorders>
          </w:tcPr>
          <w:p w14:paraId="7C7DFF24" w14:textId="77777777" w:rsidR="006877F9" w:rsidRPr="00807FE0" w:rsidRDefault="006877F9" w:rsidP="00B73648">
            <w:pPr>
              <w:rPr>
                <w:rFonts w:ascii="Times New Roman" w:hAnsi="Times New Roman"/>
                <w:sz w:val="26"/>
                <w:szCs w:val="26"/>
              </w:rPr>
            </w:pPr>
          </w:p>
        </w:tc>
        <w:tc>
          <w:tcPr>
            <w:tcW w:w="1152" w:type="dxa"/>
            <w:tcBorders>
              <w:top w:val="single" w:sz="4" w:space="0" w:color="auto"/>
              <w:bottom w:val="single" w:sz="4" w:space="0" w:color="auto"/>
              <w:right w:val="single" w:sz="4" w:space="0" w:color="auto"/>
            </w:tcBorders>
          </w:tcPr>
          <w:p w14:paraId="08B211E0" w14:textId="77777777" w:rsidR="006877F9" w:rsidRPr="00807FE0" w:rsidRDefault="006877F9">
            <w:pPr>
              <w:rPr>
                <w:rFonts w:ascii="Times New Roman" w:hAnsi="Times New Roman"/>
                <w:sz w:val="26"/>
                <w:szCs w:val="26"/>
                <w:lang w:val="ro-MD" w:eastAsia="zh-CN"/>
              </w:rPr>
            </w:pPr>
          </w:p>
        </w:tc>
        <w:tc>
          <w:tcPr>
            <w:tcW w:w="6136" w:type="dxa"/>
            <w:tcBorders>
              <w:top w:val="single" w:sz="4" w:space="0" w:color="auto"/>
              <w:bottom w:val="single" w:sz="4" w:space="0" w:color="auto"/>
              <w:right w:val="single" w:sz="4" w:space="0" w:color="auto"/>
            </w:tcBorders>
          </w:tcPr>
          <w:p w14:paraId="3264735A" w14:textId="3FA388E6" w:rsidR="006877F9" w:rsidRPr="00807FE0" w:rsidRDefault="006877F9" w:rsidP="006877F9">
            <w:pPr>
              <w:rPr>
                <w:rFonts w:ascii="Times New Roman" w:hAnsi="Times New Roman"/>
                <w:b/>
                <w:bCs/>
                <w:sz w:val="26"/>
                <w:szCs w:val="26"/>
                <w:lang w:val="ro-MD" w:eastAsia="zh-CN"/>
              </w:rPr>
            </w:pPr>
            <w:r w:rsidRPr="00807FE0">
              <w:rPr>
                <w:rFonts w:ascii="Times New Roman" w:hAnsi="Times New Roman"/>
                <w:sz w:val="26"/>
                <w:szCs w:val="26"/>
                <w:lang w:val="ro-MD" w:eastAsia="zh-CN"/>
              </w:rPr>
              <w:t xml:space="preserve">                               </w:t>
            </w:r>
            <w:r w:rsidRPr="00807FE0">
              <w:rPr>
                <w:rFonts w:ascii="Times New Roman" w:hAnsi="Times New Roman"/>
                <w:b/>
                <w:bCs/>
                <w:sz w:val="26"/>
                <w:szCs w:val="26"/>
                <w:lang w:val="ro-MD" w:eastAsia="zh-CN"/>
              </w:rPr>
              <w:t>Expertizare</w:t>
            </w:r>
          </w:p>
        </w:tc>
        <w:tc>
          <w:tcPr>
            <w:tcW w:w="4427" w:type="dxa"/>
            <w:tcBorders>
              <w:top w:val="single" w:sz="4" w:space="0" w:color="auto"/>
              <w:bottom w:val="single" w:sz="4" w:space="0" w:color="auto"/>
              <w:right w:val="single" w:sz="4" w:space="0" w:color="auto"/>
            </w:tcBorders>
          </w:tcPr>
          <w:p w14:paraId="52AA0748" w14:textId="77777777" w:rsidR="006877F9" w:rsidRPr="00807FE0" w:rsidRDefault="006877F9">
            <w:pPr>
              <w:rPr>
                <w:rFonts w:ascii="Times New Roman" w:hAnsi="Times New Roman"/>
                <w:sz w:val="26"/>
                <w:szCs w:val="26"/>
                <w:lang w:val="ro-MD" w:eastAsia="zh-CN"/>
              </w:rPr>
            </w:pPr>
          </w:p>
        </w:tc>
      </w:tr>
      <w:tr w:rsidR="006877F9" w:rsidRPr="00807FE0" w14:paraId="7A88ABB4" w14:textId="77777777" w:rsidTr="0061202A">
        <w:trPr>
          <w:trHeight w:val="1110"/>
        </w:trPr>
        <w:tc>
          <w:tcPr>
            <w:tcW w:w="2825" w:type="dxa"/>
            <w:tcBorders>
              <w:top w:val="single" w:sz="4" w:space="0" w:color="auto"/>
              <w:left w:val="single" w:sz="4" w:space="0" w:color="auto"/>
              <w:bottom w:val="single" w:sz="4" w:space="0" w:color="auto"/>
              <w:right w:val="single" w:sz="8" w:space="0" w:color="000000"/>
            </w:tcBorders>
          </w:tcPr>
          <w:p w14:paraId="2134AD31" w14:textId="77777777" w:rsidR="006877F9" w:rsidRPr="00807FE0" w:rsidRDefault="006877F9" w:rsidP="006877F9">
            <w:pPr>
              <w:ind w:firstLine="0"/>
              <w:rPr>
                <w:rFonts w:ascii="Times New Roman" w:hAnsi="Times New Roman"/>
                <w:b/>
                <w:bCs/>
                <w:sz w:val="26"/>
                <w:szCs w:val="26"/>
              </w:rPr>
            </w:pPr>
            <w:r w:rsidRPr="00807FE0">
              <w:rPr>
                <w:rFonts w:ascii="Times New Roman" w:hAnsi="Times New Roman"/>
                <w:b/>
                <w:bCs/>
                <w:sz w:val="26"/>
                <w:szCs w:val="26"/>
              </w:rPr>
              <w:t>Ministerul Justiției</w:t>
            </w:r>
          </w:p>
          <w:p w14:paraId="3DE1C50D" w14:textId="29FF178B" w:rsidR="006877F9" w:rsidRPr="00807FE0" w:rsidRDefault="006877F9" w:rsidP="006877F9">
            <w:pPr>
              <w:ind w:firstLine="0"/>
              <w:rPr>
                <w:rFonts w:ascii="Times New Roman" w:hAnsi="Times New Roman"/>
                <w:i/>
                <w:iCs/>
                <w:sz w:val="26"/>
                <w:szCs w:val="26"/>
              </w:rPr>
            </w:pPr>
            <w:r w:rsidRPr="00807FE0">
              <w:rPr>
                <w:rFonts w:ascii="Times New Roman" w:hAnsi="Times New Roman"/>
                <w:i/>
                <w:iCs/>
                <w:sz w:val="26"/>
                <w:szCs w:val="26"/>
              </w:rPr>
              <w:t>(Nr. 04/1-2440 din 09.03.2026)</w:t>
            </w:r>
          </w:p>
        </w:tc>
        <w:tc>
          <w:tcPr>
            <w:tcW w:w="1152" w:type="dxa"/>
            <w:tcBorders>
              <w:top w:val="single" w:sz="4" w:space="0" w:color="auto"/>
              <w:bottom w:val="single" w:sz="4" w:space="0" w:color="auto"/>
              <w:right w:val="single" w:sz="4" w:space="0" w:color="auto"/>
            </w:tcBorders>
          </w:tcPr>
          <w:p w14:paraId="19514A75" w14:textId="15409060" w:rsidR="006877F9" w:rsidRPr="00807FE0" w:rsidRDefault="006877F9">
            <w:pPr>
              <w:rPr>
                <w:rFonts w:ascii="Times New Roman" w:hAnsi="Times New Roman"/>
                <w:sz w:val="26"/>
                <w:szCs w:val="26"/>
                <w:lang w:val="ro-MD" w:eastAsia="zh-CN"/>
              </w:rPr>
            </w:pPr>
            <w:r w:rsidRPr="00807FE0">
              <w:rPr>
                <w:rFonts w:ascii="Times New Roman" w:hAnsi="Times New Roman"/>
                <w:sz w:val="26"/>
                <w:szCs w:val="26"/>
                <w:lang w:val="ro-MD" w:eastAsia="zh-CN"/>
              </w:rPr>
              <w:t>1.</w:t>
            </w:r>
          </w:p>
        </w:tc>
        <w:tc>
          <w:tcPr>
            <w:tcW w:w="6136" w:type="dxa"/>
            <w:tcBorders>
              <w:top w:val="single" w:sz="4" w:space="0" w:color="auto"/>
              <w:bottom w:val="single" w:sz="4" w:space="0" w:color="auto"/>
              <w:right w:val="single" w:sz="4" w:space="0" w:color="auto"/>
            </w:tcBorders>
          </w:tcPr>
          <w:p w14:paraId="4C0DF298" w14:textId="77777777" w:rsidR="006877F9" w:rsidRPr="00807FE0" w:rsidRDefault="006877F9" w:rsidP="006877F9">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Lipsă de obiecții sau propuneri suplimentare.</w:t>
            </w:r>
          </w:p>
          <w:p w14:paraId="52190965" w14:textId="77777777" w:rsidR="0061202A" w:rsidRPr="00807FE0" w:rsidRDefault="0061202A" w:rsidP="006877F9">
            <w:pPr>
              <w:ind w:firstLine="0"/>
              <w:rPr>
                <w:rFonts w:ascii="Times New Roman" w:hAnsi="Times New Roman"/>
                <w:sz w:val="26"/>
                <w:szCs w:val="26"/>
                <w:lang w:val="ro-MD" w:eastAsia="zh-CN"/>
              </w:rPr>
            </w:pPr>
          </w:p>
          <w:p w14:paraId="4650F570" w14:textId="77777777" w:rsidR="0061202A" w:rsidRPr="00807FE0" w:rsidRDefault="0061202A" w:rsidP="006877F9">
            <w:pPr>
              <w:ind w:firstLine="0"/>
              <w:rPr>
                <w:rFonts w:ascii="Times New Roman" w:hAnsi="Times New Roman"/>
                <w:sz w:val="26"/>
                <w:szCs w:val="26"/>
                <w:lang w:val="ro-MD" w:eastAsia="zh-CN"/>
              </w:rPr>
            </w:pPr>
          </w:p>
          <w:p w14:paraId="1F934D07" w14:textId="77777777" w:rsidR="0061202A" w:rsidRPr="00807FE0" w:rsidRDefault="0061202A" w:rsidP="006877F9">
            <w:pPr>
              <w:ind w:firstLine="0"/>
              <w:rPr>
                <w:rFonts w:ascii="Times New Roman" w:hAnsi="Times New Roman"/>
                <w:sz w:val="26"/>
                <w:szCs w:val="26"/>
                <w:lang w:val="ro-MD" w:eastAsia="zh-CN"/>
              </w:rPr>
            </w:pPr>
          </w:p>
          <w:p w14:paraId="5EA22FF6" w14:textId="7011F220" w:rsidR="0061202A" w:rsidRPr="00807FE0" w:rsidRDefault="0061202A" w:rsidP="006877F9">
            <w:pPr>
              <w:ind w:firstLine="0"/>
              <w:rPr>
                <w:rFonts w:ascii="Times New Roman" w:hAnsi="Times New Roman"/>
                <w:sz w:val="26"/>
                <w:szCs w:val="26"/>
                <w:lang w:val="ro-MD" w:eastAsia="zh-CN"/>
              </w:rPr>
            </w:pPr>
          </w:p>
        </w:tc>
        <w:tc>
          <w:tcPr>
            <w:tcW w:w="4427" w:type="dxa"/>
            <w:tcBorders>
              <w:top w:val="single" w:sz="4" w:space="0" w:color="auto"/>
              <w:bottom w:val="single" w:sz="4" w:space="0" w:color="auto"/>
              <w:right w:val="single" w:sz="4" w:space="0" w:color="auto"/>
            </w:tcBorders>
          </w:tcPr>
          <w:p w14:paraId="0F16D8D2" w14:textId="7B82AF28" w:rsidR="006877F9" w:rsidRPr="00807FE0" w:rsidRDefault="006877F9" w:rsidP="006877F9">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w:t>
            </w:r>
          </w:p>
        </w:tc>
      </w:tr>
      <w:tr w:rsidR="0061202A" w:rsidRPr="00807FE0" w14:paraId="6996B85D" w14:textId="77777777" w:rsidTr="00B73648">
        <w:trPr>
          <w:trHeight w:val="531"/>
        </w:trPr>
        <w:tc>
          <w:tcPr>
            <w:tcW w:w="2825" w:type="dxa"/>
            <w:tcBorders>
              <w:top w:val="single" w:sz="4" w:space="0" w:color="auto"/>
              <w:left w:val="single" w:sz="4" w:space="0" w:color="auto"/>
              <w:bottom w:val="single" w:sz="8" w:space="0" w:color="000000"/>
              <w:right w:val="single" w:sz="8" w:space="0" w:color="000000"/>
            </w:tcBorders>
          </w:tcPr>
          <w:p w14:paraId="225009FD" w14:textId="77777777" w:rsidR="0061202A" w:rsidRPr="00807FE0" w:rsidRDefault="0061202A" w:rsidP="006877F9">
            <w:pPr>
              <w:ind w:firstLine="0"/>
              <w:rPr>
                <w:rFonts w:ascii="Times New Roman" w:hAnsi="Times New Roman"/>
                <w:b/>
                <w:bCs/>
                <w:sz w:val="26"/>
                <w:szCs w:val="26"/>
              </w:rPr>
            </w:pPr>
            <w:r w:rsidRPr="00807FE0">
              <w:rPr>
                <w:rFonts w:ascii="Times New Roman" w:hAnsi="Times New Roman"/>
                <w:b/>
                <w:bCs/>
                <w:sz w:val="26"/>
                <w:szCs w:val="26"/>
              </w:rPr>
              <w:t>Centrul Național Anticorupție</w:t>
            </w:r>
          </w:p>
          <w:p w14:paraId="41DE6936" w14:textId="1B260579" w:rsidR="0061202A" w:rsidRPr="00807FE0" w:rsidRDefault="0061202A" w:rsidP="006877F9">
            <w:pPr>
              <w:ind w:firstLine="0"/>
              <w:rPr>
                <w:rFonts w:ascii="Times New Roman" w:hAnsi="Times New Roman"/>
                <w:i/>
                <w:iCs/>
                <w:sz w:val="26"/>
                <w:szCs w:val="26"/>
              </w:rPr>
            </w:pPr>
            <w:r w:rsidRPr="00807FE0">
              <w:rPr>
                <w:rFonts w:ascii="Times New Roman" w:hAnsi="Times New Roman"/>
                <w:i/>
                <w:iCs/>
                <w:sz w:val="26"/>
                <w:szCs w:val="26"/>
              </w:rPr>
              <w:t>(Nr. EHG26/11240 din 10.03.2026)</w:t>
            </w:r>
          </w:p>
        </w:tc>
        <w:tc>
          <w:tcPr>
            <w:tcW w:w="1152" w:type="dxa"/>
            <w:tcBorders>
              <w:top w:val="single" w:sz="4" w:space="0" w:color="auto"/>
              <w:bottom w:val="single" w:sz="4" w:space="0" w:color="auto"/>
              <w:right w:val="single" w:sz="4" w:space="0" w:color="auto"/>
            </w:tcBorders>
          </w:tcPr>
          <w:p w14:paraId="0C771E07" w14:textId="27121B25" w:rsidR="0061202A" w:rsidRPr="00807FE0" w:rsidRDefault="0061202A" w:rsidP="0061202A">
            <w:pPr>
              <w:rPr>
                <w:rFonts w:ascii="Times New Roman" w:hAnsi="Times New Roman"/>
                <w:sz w:val="26"/>
                <w:szCs w:val="26"/>
                <w:lang w:val="ro-MD" w:eastAsia="zh-CN"/>
              </w:rPr>
            </w:pPr>
            <w:r w:rsidRPr="00807FE0">
              <w:rPr>
                <w:rFonts w:ascii="Times New Roman" w:hAnsi="Times New Roman"/>
                <w:sz w:val="26"/>
                <w:szCs w:val="26"/>
                <w:lang w:val="ro-MD" w:eastAsia="zh-CN"/>
              </w:rPr>
              <w:t>2.</w:t>
            </w:r>
          </w:p>
        </w:tc>
        <w:tc>
          <w:tcPr>
            <w:tcW w:w="6136" w:type="dxa"/>
            <w:tcBorders>
              <w:top w:val="single" w:sz="4" w:space="0" w:color="auto"/>
              <w:bottom w:val="single" w:sz="4" w:space="0" w:color="auto"/>
              <w:right w:val="single" w:sz="4" w:space="0" w:color="auto"/>
            </w:tcBorders>
          </w:tcPr>
          <w:p w14:paraId="112230F8" w14:textId="539FC1E3" w:rsidR="0061202A" w:rsidRPr="00807FE0" w:rsidRDefault="0061202A" w:rsidP="0061202A">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t xml:space="preserve">                                   Concluzia expertizei</w:t>
            </w:r>
          </w:p>
          <w:p w14:paraId="7C26E000" w14:textId="50C42DE9" w:rsidR="0061202A" w:rsidRPr="00807FE0" w:rsidRDefault="0061202A" w:rsidP="0061202A">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 xml:space="preserve">Potrivit notei de fundamentare, proiectul are drept scop reglementarea unei perioade tranzitorii </w:t>
            </w:r>
            <w:proofErr w:type="spellStart"/>
            <w:r w:rsidRPr="00807FE0">
              <w:rPr>
                <w:rFonts w:ascii="Times New Roman" w:hAnsi="Times New Roman"/>
                <w:sz w:val="26"/>
                <w:szCs w:val="26"/>
                <w:lang w:val="ro-MD" w:eastAsia="zh-CN"/>
              </w:rPr>
              <w:t>deadaptare</w:t>
            </w:r>
            <w:proofErr w:type="spellEnd"/>
            <w:r w:rsidRPr="00807FE0">
              <w:rPr>
                <w:rFonts w:ascii="Times New Roman" w:hAnsi="Times New Roman"/>
                <w:sz w:val="26"/>
                <w:szCs w:val="26"/>
                <w:lang w:val="ro-MD" w:eastAsia="zh-CN"/>
              </w:rPr>
              <w:t xml:space="preserve"> tehnologică pentru entitățile publice indicate în Anexa nr. 1 la Hotărârea Guvernului nr.</w:t>
            </w:r>
          </w:p>
          <w:p w14:paraId="297D0A9B" w14:textId="1F030657" w:rsidR="0061202A" w:rsidRPr="00807FE0" w:rsidRDefault="0061202A" w:rsidP="0061202A">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823/2020, în vederea asigurării</w:t>
            </w:r>
            <w:r w:rsidR="001962FA" w:rsidRPr="00807FE0">
              <w:rPr>
                <w:rFonts w:ascii="Times New Roman" w:hAnsi="Times New Roman"/>
                <w:sz w:val="26"/>
                <w:szCs w:val="26"/>
                <w:lang w:val="ro-MD" w:eastAsia="zh-CN"/>
              </w:rPr>
              <w:t>0.</w:t>
            </w:r>
            <w:r w:rsidRPr="00807FE0">
              <w:rPr>
                <w:rFonts w:ascii="Times New Roman" w:hAnsi="Times New Roman"/>
                <w:sz w:val="26"/>
                <w:szCs w:val="26"/>
                <w:lang w:val="ro-MD" w:eastAsia="zh-CN"/>
              </w:rPr>
              <w:t xml:space="preserve"> continuității proceselor critice pe perioada pregătirii integrării infrastructurilor TI în platforma tehnologică guvernamentală comună (</w:t>
            </w:r>
            <w:proofErr w:type="spellStart"/>
            <w:r w:rsidRPr="00807FE0">
              <w:rPr>
                <w:rFonts w:ascii="Times New Roman" w:hAnsi="Times New Roman"/>
                <w:sz w:val="26"/>
                <w:szCs w:val="26"/>
                <w:lang w:val="ro-MD" w:eastAsia="zh-CN"/>
              </w:rPr>
              <w:t>MCloud</w:t>
            </w:r>
            <w:proofErr w:type="spellEnd"/>
            <w:r w:rsidRPr="00807FE0">
              <w:rPr>
                <w:rFonts w:ascii="Times New Roman" w:hAnsi="Times New Roman"/>
                <w:sz w:val="26"/>
                <w:szCs w:val="26"/>
                <w:lang w:val="ro-MD" w:eastAsia="zh-CN"/>
              </w:rPr>
              <w:t>).</w:t>
            </w:r>
          </w:p>
          <w:p w14:paraId="607822D2" w14:textId="59AE5442" w:rsidR="0061202A" w:rsidRPr="00807FE0" w:rsidRDefault="0061202A" w:rsidP="0061202A">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 xml:space="preserve">Autorul a prezentat Sinteza avizelor parvenite în cadrul procesului de consultare publică a proiectului de către autoritățile responsabile de implementarea prevederilor </w:t>
            </w:r>
            <w:proofErr w:type="spellStart"/>
            <w:r w:rsidRPr="00807FE0">
              <w:rPr>
                <w:rFonts w:ascii="Times New Roman" w:hAnsi="Times New Roman"/>
                <w:sz w:val="26"/>
                <w:szCs w:val="26"/>
                <w:lang w:val="ro-MD" w:eastAsia="zh-CN"/>
              </w:rPr>
              <w:t>conţinute</w:t>
            </w:r>
            <w:proofErr w:type="spellEnd"/>
            <w:r w:rsidRPr="00807FE0">
              <w:rPr>
                <w:rFonts w:ascii="Times New Roman" w:hAnsi="Times New Roman"/>
                <w:sz w:val="26"/>
                <w:szCs w:val="26"/>
                <w:lang w:val="ro-MD" w:eastAsia="zh-CN"/>
              </w:rPr>
              <w:t xml:space="preserve"> în proiect/</w:t>
            </w:r>
            <w:proofErr w:type="spellStart"/>
            <w:r w:rsidRPr="00807FE0">
              <w:rPr>
                <w:rFonts w:ascii="Times New Roman" w:hAnsi="Times New Roman"/>
                <w:sz w:val="26"/>
                <w:szCs w:val="26"/>
                <w:lang w:val="ro-MD" w:eastAsia="zh-CN"/>
              </w:rPr>
              <w:t>instituţiilor</w:t>
            </w:r>
            <w:proofErr w:type="spellEnd"/>
            <w:r w:rsidRPr="00807FE0">
              <w:rPr>
                <w:rFonts w:ascii="Times New Roman" w:hAnsi="Times New Roman"/>
                <w:sz w:val="26"/>
                <w:szCs w:val="26"/>
                <w:lang w:val="ro-MD" w:eastAsia="zh-CN"/>
              </w:rPr>
              <w:t xml:space="preserve"> interesate, fapt ce denotă aspectul definitivat al acestuia și întrunirea condițiilor stabilite de prevederile art.28 al Legii nr.82/2017 - pentru efectuarea expertizei anticorupție.</w:t>
            </w:r>
          </w:p>
          <w:p w14:paraId="7BDCB6EA" w14:textId="6ED829AE" w:rsidR="0061202A" w:rsidRPr="00807FE0" w:rsidRDefault="0061202A" w:rsidP="0061202A">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 xml:space="preserve">În procesul de promovare a proiectului, au fost respectate rigorile de asigurare a </w:t>
            </w:r>
            <w:proofErr w:type="spellStart"/>
            <w:r w:rsidRPr="00807FE0">
              <w:rPr>
                <w:rFonts w:ascii="Times New Roman" w:hAnsi="Times New Roman"/>
                <w:sz w:val="26"/>
                <w:szCs w:val="26"/>
                <w:lang w:val="ro-MD" w:eastAsia="zh-CN"/>
              </w:rPr>
              <w:t>transparenţei</w:t>
            </w:r>
            <w:proofErr w:type="spellEnd"/>
            <w:r w:rsidR="00E53D3C" w:rsidRPr="00807FE0">
              <w:rPr>
                <w:rFonts w:ascii="Times New Roman" w:hAnsi="Times New Roman"/>
                <w:sz w:val="26"/>
                <w:szCs w:val="26"/>
                <w:lang w:val="ro-MD" w:eastAsia="zh-CN"/>
              </w:rPr>
              <w:t>.</w:t>
            </w:r>
          </w:p>
          <w:p w14:paraId="50C7AB1D" w14:textId="3793D400" w:rsidR="0061202A" w:rsidRPr="00807FE0" w:rsidRDefault="0061202A" w:rsidP="0061202A">
            <w:pPr>
              <w:ind w:firstLine="0"/>
              <w:rPr>
                <w:rFonts w:ascii="Times New Roman" w:hAnsi="Times New Roman"/>
                <w:sz w:val="26"/>
                <w:szCs w:val="26"/>
                <w:lang w:val="ro-MD" w:eastAsia="zh-CN"/>
              </w:rPr>
            </w:pPr>
            <w:r w:rsidRPr="00807FE0">
              <w:rPr>
                <w:rFonts w:ascii="Times New Roman" w:hAnsi="Times New Roman"/>
                <w:sz w:val="26"/>
                <w:szCs w:val="26"/>
                <w:lang w:val="ro-MD" w:eastAsia="zh-CN"/>
              </w:rPr>
              <w:t xml:space="preserve">Implementarea prevederilor propuse, poate contribui la realizarea interesului public vizat de proiect, fapt care nu este detrimentul interesului public general (în sensul prevăzut de prevederile Legii </w:t>
            </w:r>
            <w:proofErr w:type="spellStart"/>
            <w:r w:rsidRPr="00807FE0">
              <w:rPr>
                <w:rFonts w:ascii="Times New Roman" w:hAnsi="Times New Roman"/>
                <w:sz w:val="26"/>
                <w:szCs w:val="26"/>
                <w:lang w:val="ro-MD" w:eastAsia="zh-CN"/>
              </w:rPr>
              <w:t>integrităţii</w:t>
            </w:r>
            <w:proofErr w:type="spellEnd"/>
            <w:r w:rsidRPr="00807FE0">
              <w:rPr>
                <w:rFonts w:ascii="Times New Roman" w:hAnsi="Times New Roman"/>
                <w:sz w:val="26"/>
                <w:szCs w:val="26"/>
                <w:lang w:val="ro-MD" w:eastAsia="zh-CN"/>
              </w:rPr>
              <w:t xml:space="preserve"> nr.82 din 25 mai 2017).</w:t>
            </w:r>
          </w:p>
        </w:tc>
        <w:tc>
          <w:tcPr>
            <w:tcW w:w="4427" w:type="dxa"/>
            <w:tcBorders>
              <w:top w:val="single" w:sz="4" w:space="0" w:color="auto"/>
              <w:bottom w:val="single" w:sz="4" w:space="0" w:color="auto"/>
              <w:right w:val="single" w:sz="4" w:space="0" w:color="auto"/>
            </w:tcBorders>
          </w:tcPr>
          <w:p w14:paraId="16FC56B2" w14:textId="0E7EF990" w:rsidR="0061202A" w:rsidRPr="00807FE0" w:rsidRDefault="0061202A" w:rsidP="006877F9">
            <w:pPr>
              <w:ind w:firstLine="0"/>
              <w:rPr>
                <w:rFonts w:ascii="Times New Roman" w:hAnsi="Times New Roman"/>
                <w:b/>
                <w:sz w:val="26"/>
                <w:szCs w:val="26"/>
                <w:lang w:val="ro-MD" w:eastAsia="zh-CN"/>
              </w:rPr>
            </w:pPr>
            <w:r w:rsidRPr="00807FE0">
              <w:rPr>
                <w:rFonts w:ascii="Times New Roman" w:hAnsi="Times New Roman"/>
                <w:b/>
                <w:sz w:val="26"/>
                <w:szCs w:val="26"/>
                <w:lang w:val="ro-MD" w:eastAsia="zh-CN"/>
              </w:rPr>
              <w:t>S-a luat act.</w:t>
            </w:r>
          </w:p>
        </w:tc>
      </w:tr>
    </w:tbl>
    <w:p w14:paraId="547C0E17" w14:textId="77777777" w:rsidR="00586B1F" w:rsidRPr="00807FE0" w:rsidRDefault="00586B1F" w:rsidP="00E54D3A">
      <w:pPr>
        <w:pStyle w:val="Frspaiere"/>
        <w:ind w:left="720" w:firstLine="720"/>
        <w:rPr>
          <w:b/>
          <w:sz w:val="26"/>
          <w:szCs w:val="26"/>
          <w:lang w:val="ro-RO"/>
        </w:rPr>
      </w:pPr>
    </w:p>
    <w:p w14:paraId="6024583A" w14:textId="328BA60B" w:rsidR="008B4BE6" w:rsidRPr="00807FE0" w:rsidRDefault="00E54D3A" w:rsidP="00E54D3A">
      <w:pPr>
        <w:pStyle w:val="Frspaiere"/>
        <w:ind w:left="720" w:firstLine="720"/>
        <w:rPr>
          <w:b/>
          <w:sz w:val="26"/>
          <w:szCs w:val="26"/>
          <w:lang w:val="ro-RO"/>
        </w:rPr>
      </w:pPr>
      <w:r w:rsidRPr="00807FE0">
        <w:rPr>
          <w:b/>
          <w:sz w:val="26"/>
          <w:szCs w:val="26"/>
          <w:lang w:val="ro-RO"/>
        </w:rPr>
        <w:t>Secretar de stat</w:t>
      </w:r>
      <w:r w:rsidRPr="00807FE0">
        <w:rPr>
          <w:b/>
          <w:sz w:val="26"/>
          <w:szCs w:val="26"/>
          <w:lang w:val="ro-RO"/>
        </w:rPr>
        <w:tab/>
      </w:r>
      <w:r w:rsidRPr="00807FE0">
        <w:rPr>
          <w:b/>
          <w:sz w:val="26"/>
          <w:szCs w:val="26"/>
          <w:lang w:val="ro-RO"/>
        </w:rPr>
        <w:tab/>
      </w:r>
      <w:r w:rsidRPr="00807FE0">
        <w:rPr>
          <w:b/>
          <w:sz w:val="26"/>
          <w:szCs w:val="26"/>
          <w:lang w:val="ro-RO"/>
        </w:rPr>
        <w:tab/>
      </w:r>
      <w:r w:rsidRPr="00807FE0">
        <w:rPr>
          <w:b/>
          <w:sz w:val="26"/>
          <w:szCs w:val="26"/>
          <w:lang w:val="ro-RO"/>
        </w:rPr>
        <w:tab/>
      </w:r>
      <w:r w:rsidRPr="00807FE0">
        <w:rPr>
          <w:b/>
          <w:sz w:val="26"/>
          <w:szCs w:val="26"/>
          <w:lang w:val="ro-RO"/>
        </w:rPr>
        <w:tab/>
      </w:r>
      <w:r w:rsidRPr="00807FE0">
        <w:rPr>
          <w:b/>
          <w:sz w:val="26"/>
          <w:szCs w:val="26"/>
          <w:lang w:val="ro-RO"/>
        </w:rPr>
        <w:tab/>
      </w:r>
      <w:r w:rsidRPr="00807FE0">
        <w:rPr>
          <w:b/>
          <w:sz w:val="26"/>
          <w:szCs w:val="26"/>
          <w:lang w:val="ro-RO"/>
        </w:rPr>
        <w:tab/>
      </w:r>
      <w:r w:rsidRPr="00807FE0">
        <w:rPr>
          <w:b/>
          <w:sz w:val="26"/>
          <w:szCs w:val="26"/>
          <w:lang w:val="ro-RO"/>
        </w:rPr>
        <w:tab/>
      </w:r>
      <w:r w:rsidRPr="00807FE0">
        <w:rPr>
          <w:b/>
          <w:sz w:val="26"/>
          <w:szCs w:val="26"/>
          <w:lang w:val="ro-RO"/>
        </w:rPr>
        <w:tab/>
      </w:r>
      <w:r w:rsidRPr="00807FE0">
        <w:rPr>
          <w:b/>
          <w:sz w:val="26"/>
          <w:szCs w:val="26"/>
          <w:lang w:val="ro-RO"/>
        </w:rPr>
        <w:tab/>
      </w:r>
      <w:r w:rsidRPr="00807FE0">
        <w:rPr>
          <w:b/>
          <w:sz w:val="26"/>
          <w:szCs w:val="26"/>
          <w:lang w:val="ro-RO"/>
        </w:rPr>
        <w:tab/>
      </w:r>
      <w:r w:rsidR="008D5C7A" w:rsidRPr="00807FE0">
        <w:rPr>
          <w:b/>
          <w:color w:val="000000"/>
          <w:sz w:val="26"/>
          <w:szCs w:val="26"/>
          <w:lang w:val="ro-RO"/>
        </w:rPr>
        <w:t>Michelle ILIEV</w:t>
      </w:r>
    </w:p>
    <w:sectPr w:rsidR="008B4BE6" w:rsidRPr="00807FE0" w:rsidSect="00953B37">
      <w:headerReference w:type="default" r:id="rId11"/>
      <w:headerReference w:type="first" r:id="rId12"/>
      <w:pgSz w:w="16840" w:h="11907" w:orient="landscape"/>
      <w:pgMar w:top="1260"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7585" w14:textId="77777777" w:rsidR="00B77272" w:rsidRPr="00101BD0" w:rsidRDefault="00B77272">
      <w:r w:rsidRPr="00101BD0">
        <w:separator/>
      </w:r>
    </w:p>
  </w:endnote>
  <w:endnote w:type="continuationSeparator" w:id="0">
    <w:p w14:paraId="6C46B9C9" w14:textId="77777777" w:rsidR="00B77272" w:rsidRPr="00101BD0" w:rsidRDefault="00B77272">
      <w:r w:rsidRPr="00101B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F2A6" w14:textId="77777777" w:rsidR="00B77272" w:rsidRPr="00101BD0" w:rsidRDefault="00B77272">
      <w:r w:rsidRPr="00101BD0">
        <w:separator/>
      </w:r>
    </w:p>
  </w:footnote>
  <w:footnote w:type="continuationSeparator" w:id="0">
    <w:p w14:paraId="1C9FDE7E" w14:textId="77777777" w:rsidR="00B77272" w:rsidRPr="00101BD0" w:rsidRDefault="00B77272">
      <w:r w:rsidRPr="00101B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4B04675" w:rsidR="00D07A16" w:rsidRPr="00101BD0" w:rsidRDefault="00D07A16" w:rsidP="009D4C0F">
    <w:pPr>
      <w:pStyle w:val="Antet"/>
      <w:ind w:firstLine="0"/>
      <w:jc w:val="center"/>
      <w:rPr>
        <w:sz w:val="28"/>
        <w:szCs w:val="28"/>
      </w:rPr>
    </w:pPr>
    <w:r w:rsidRPr="00101BD0">
      <w:rPr>
        <w:sz w:val="28"/>
        <w:szCs w:val="28"/>
      </w:rPr>
      <w:fldChar w:fldCharType="begin"/>
    </w:r>
    <w:r w:rsidRPr="00101BD0">
      <w:rPr>
        <w:sz w:val="28"/>
        <w:szCs w:val="28"/>
      </w:rPr>
      <w:instrText>PAGE   \* MERGEFORMAT</w:instrText>
    </w:r>
    <w:r w:rsidRPr="00101BD0">
      <w:rPr>
        <w:sz w:val="28"/>
        <w:szCs w:val="28"/>
      </w:rPr>
      <w:fldChar w:fldCharType="separate"/>
    </w:r>
    <w:r w:rsidR="001962FA">
      <w:rPr>
        <w:noProof/>
        <w:sz w:val="28"/>
        <w:szCs w:val="28"/>
      </w:rPr>
      <w:t>19</w:t>
    </w:r>
    <w:r w:rsidRPr="00101BD0">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101BD0" w:rsidRDefault="00D07A16" w:rsidP="000270C0">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D92176F"/>
    <w:multiLevelType w:val="hybridMultilevel"/>
    <w:tmpl w:val="805A9514"/>
    <w:lvl w:ilvl="0" w:tplc="B886835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37C81"/>
    <w:multiLevelType w:val="multilevel"/>
    <w:tmpl w:val="7EA27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49120721">
    <w:abstractNumId w:val="34"/>
  </w:num>
  <w:num w:numId="2" w16cid:durableId="213739175">
    <w:abstractNumId w:val="36"/>
  </w:num>
  <w:num w:numId="3" w16cid:durableId="1539312731">
    <w:abstractNumId w:val="16"/>
  </w:num>
  <w:num w:numId="4" w16cid:durableId="2079596476">
    <w:abstractNumId w:val="29"/>
  </w:num>
  <w:num w:numId="5" w16cid:durableId="607394742">
    <w:abstractNumId w:val="18"/>
  </w:num>
  <w:num w:numId="6" w16cid:durableId="1544295087">
    <w:abstractNumId w:val="13"/>
  </w:num>
  <w:num w:numId="7" w16cid:durableId="707684638">
    <w:abstractNumId w:val="5"/>
  </w:num>
  <w:num w:numId="8" w16cid:durableId="632833886">
    <w:abstractNumId w:val="8"/>
  </w:num>
  <w:num w:numId="9" w16cid:durableId="246229190">
    <w:abstractNumId w:val="26"/>
  </w:num>
  <w:num w:numId="10" w16cid:durableId="2029791033">
    <w:abstractNumId w:val="3"/>
  </w:num>
  <w:num w:numId="11" w16cid:durableId="2103600688">
    <w:abstractNumId w:val="25"/>
  </w:num>
  <w:num w:numId="12" w16cid:durableId="627249924">
    <w:abstractNumId w:val="2"/>
  </w:num>
  <w:num w:numId="13" w16cid:durableId="404643914">
    <w:abstractNumId w:val="38"/>
  </w:num>
  <w:num w:numId="14" w16cid:durableId="1815218267">
    <w:abstractNumId w:val="19"/>
  </w:num>
  <w:num w:numId="15" w16cid:durableId="1997563978">
    <w:abstractNumId w:val="20"/>
  </w:num>
  <w:num w:numId="16" w16cid:durableId="1778481329">
    <w:abstractNumId w:val="33"/>
  </w:num>
  <w:num w:numId="17" w16cid:durableId="438182467">
    <w:abstractNumId w:val="30"/>
  </w:num>
  <w:num w:numId="18" w16cid:durableId="1509784623">
    <w:abstractNumId w:val="24"/>
  </w:num>
  <w:num w:numId="19" w16cid:durableId="1849709258">
    <w:abstractNumId w:val="21"/>
  </w:num>
  <w:num w:numId="20" w16cid:durableId="1527400967">
    <w:abstractNumId w:val="10"/>
  </w:num>
  <w:num w:numId="21" w16cid:durableId="900483835">
    <w:abstractNumId w:val="32"/>
  </w:num>
  <w:num w:numId="22" w16cid:durableId="1703045155">
    <w:abstractNumId w:val="4"/>
  </w:num>
  <w:num w:numId="23" w16cid:durableId="1335184185">
    <w:abstractNumId w:val="15"/>
  </w:num>
  <w:num w:numId="24" w16cid:durableId="1020277941">
    <w:abstractNumId w:val="12"/>
  </w:num>
  <w:num w:numId="25" w16cid:durableId="327221518">
    <w:abstractNumId w:val="22"/>
  </w:num>
  <w:num w:numId="26" w16cid:durableId="1746993362">
    <w:abstractNumId w:val="35"/>
  </w:num>
  <w:num w:numId="27" w16cid:durableId="1371146918">
    <w:abstractNumId w:val="27"/>
  </w:num>
  <w:num w:numId="28" w16cid:durableId="1817528811">
    <w:abstractNumId w:val="40"/>
    <w:lvlOverride w:ilvl="0">
      <w:startOverride w:val="1"/>
    </w:lvlOverride>
  </w:num>
  <w:num w:numId="29" w16cid:durableId="1793741194">
    <w:abstractNumId w:val="23"/>
  </w:num>
  <w:num w:numId="30" w16cid:durableId="1455254385">
    <w:abstractNumId w:val="9"/>
  </w:num>
  <w:num w:numId="31" w16cid:durableId="2076584526">
    <w:abstractNumId w:val="39"/>
  </w:num>
  <w:num w:numId="32" w16cid:durableId="1161656105">
    <w:abstractNumId w:val="40"/>
  </w:num>
  <w:num w:numId="33" w16cid:durableId="427314827">
    <w:abstractNumId w:val="14"/>
  </w:num>
  <w:num w:numId="34" w16cid:durableId="84353090">
    <w:abstractNumId w:val="42"/>
  </w:num>
  <w:num w:numId="35" w16cid:durableId="1589383321">
    <w:abstractNumId w:val="41"/>
  </w:num>
  <w:num w:numId="36" w16cid:durableId="358898376">
    <w:abstractNumId w:val="0"/>
  </w:num>
  <w:num w:numId="37" w16cid:durableId="387727773">
    <w:abstractNumId w:val="11"/>
  </w:num>
  <w:num w:numId="38" w16cid:durableId="336544038">
    <w:abstractNumId w:val="31"/>
  </w:num>
  <w:num w:numId="39" w16cid:durableId="1572501867">
    <w:abstractNumId w:val="17"/>
  </w:num>
  <w:num w:numId="40" w16cid:durableId="1131361990">
    <w:abstractNumId w:val="37"/>
  </w:num>
  <w:num w:numId="41" w16cid:durableId="1200127212">
    <w:abstractNumId w:val="28"/>
  </w:num>
  <w:num w:numId="42" w16cid:durableId="955982960">
    <w:abstractNumId w:val="1"/>
  </w:num>
  <w:num w:numId="43" w16cid:durableId="1668678404">
    <w:abstractNumId w:val="43"/>
  </w:num>
  <w:num w:numId="44" w16cid:durableId="2083794121">
    <w:abstractNumId w:val="6"/>
  </w:num>
  <w:num w:numId="45" w16cid:durableId="63459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515A"/>
    <w:rsid w:val="00010FE4"/>
    <w:rsid w:val="00013460"/>
    <w:rsid w:val="00013804"/>
    <w:rsid w:val="00013AC9"/>
    <w:rsid w:val="00015D21"/>
    <w:rsid w:val="0001747F"/>
    <w:rsid w:val="0002435C"/>
    <w:rsid w:val="00025A7E"/>
    <w:rsid w:val="00025F3B"/>
    <w:rsid w:val="000270C0"/>
    <w:rsid w:val="00031F36"/>
    <w:rsid w:val="00032B46"/>
    <w:rsid w:val="000361A0"/>
    <w:rsid w:val="0004289C"/>
    <w:rsid w:val="00043AC7"/>
    <w:rsid w:val="00044D19"/>
    <w:rsid w:val="00047604"/>
    <w:rsid w:val="00052045"/>
    <w:rsid w:val="00054810"/>
    <w:rsid w:val="0005662E"/>
    <w:rsid w:val="0005686D"/>
    <w:rsid w:val="0006664F"/>
    <w:rsid w:val="000672DA"/>
    <w:rsid w:val="000713DA"/>
    <w:rsid w:val="00071EAA"/>
    <w:rsid w:val="0007236F"/>
    <w:rsid w:val="00075A5F"/>
    <w:rsid w:val="00081267"/>
    <w:rsid w:val="0008224A"/>
    <w:rsid w:val="0008488E"/>
    <w:rsid w:val="00085029"/>
    <w:rsid w:val="0009704B"/>
    <w:rsid w:val="000A254D"/>
    <w:rsid w:val="000A2AF3"/>
    <w:rsid w:val="000A6BA5"/>
    <w:rsid w:val="000B3D87"/>
    <w:rsid w:val="000B4974"/>
    <w:rsid w:val="000B50EE"/>
    <w:rsid w:val="000C041B"/>
    <w:rsid w:val="000C2AB4"/>
    <w:rsid w:val="000D15B1"/>
    <w:rsid w:val="000D5C74"/>
    <w:rsid w:val="000D7E46"/>
    <w:rsid w:val="000E1D40"/>
    <w:rsid w:val="000E2800"/>
    <w:rsid w:val="000F2503"/>
    <w:rsid w:val="000F497A"/>
    <w:rsid w:val="000F582B"/>
    <w:rsid w:val="00101BD0"/>
    <w:rsid w:val="00101C83"/>
    <w:rsid w:val="00102AD8"/>
    <w:rsid w:val="001031A3"/>
    <w:rsid w:val="00106B2D"/>
    <w:rsid w:val="00113956"/>
    <w:rsid w:val="00116035"/>
    <w:rsid w:val="001211EA"/>
    <w:rsid w:val="00132AEA"/>
    <w:rsid w:val="001343B3"/>
    <w:rsid w:val="00137A5C"/>
    <w:rsid w:val="001410E1"/>
    <w:rsid w:val="00143389"/>
    <w:rsid w:val="00143CC4"/>
    <w:rsid w:val="00145343"/>
    <w:rsid w:val="0014706C"/>
    <w:rsid w:val="0015146D"/>
    <w:rsid w:val="00157D40"/>
    <w:rsid w:val="00157F74"/>
    <w:rsid w:val="00162BE7"/>
    <w:rsid w:val="0017006C"/>
    <w:rsid w:val="00173F7F"/>
    <w:rsid w:val="00174E20"/>
    <w:rsid w:val="001768A9"/>
    <w:rsid w:val="00182117"/>
    <w:rsid w:val="00184334"/>
    <w:rsid w:val="00185AC8"/>
    <w:rsid w:val="001904F2"/>
    <w:rsid w:val="00191428"/>
    <w:rsid w:val="00194CB3"/>
    <w:rsid w:val="001962FA"/>
    <w:rsid w:val="001A22EF"/>
    <w:rsid w:val="001A25C3"/>
    <w:rsid w:val="001A37C7"/>
    <w:rsid w:val="001A6C49"/>
    <w:rsid w:val="001B3716"/>
    <w:rsid w:val="001B3BE4"/>
    <w:rsid w:val="001B3D75"/>
    <w:rsid w:val="001B5818"/>
    <w:rsid w:val="001B66A4"/>
    <w:rsid w:val="001B6E6E"/>
    <w:rsid w:val="001C3275"/>
    <w:rsid w:val="001C3439"/>
    <w:rsid w:val="001C3F21"/>
    <w:rsid w:val="001C4EEE"/>
    <w:rsid w:val="001C5D56"/>
    <w:rsid w:val="001D2FA2"/>
    <w:rsid w:val="001E0D8C"/>
    <w:rsid w:val="001E4497"/>
    <w:rsid w:val="001F0570"/>
    <w:rsid w:val="001F2097"/>
    <w:rsid w:val="001F357E"/>
    <w:rsid w:val="001F46C0"/>
    <w:rsid w:val="002000EB"/>
    <w:rsid w:val="00200223"/>
    <w:rsid w:val="00200516"/>
    <w:rsid w:val="00201260"/>
    <w:rsid w:val="00204708"/>
    <w:rsid w:val="00204FA4"/>
    <w:rsid w:val="00205100"/>
    <w:rsid w:val="0020794F"/>
    <w:rsid w:val="002164C9"/>
    <w:rsid w:val="002170A5"/>
    <w:rsid w:val="00221492"/>
    <w:rsid w:val="002225AC"/>
    <w:rsid w:val="00230761"/>
    <w:rsid w:val="0023151B"/>
    <w:rsid w:val="00236E65"/>
    <w:rsid w:val="002372B8"/>
    <w:rsid w:val="00240AC0"/>
    <w:rsid w:val="00241CA7"/>
    <w:rsid w:val="002433CD"/>
    <w:rsid w:val="0024428F"/>
    <w:rsid w:val="002453BD"/>
    <w:rsid w:val="002469A1"/>
    <w:rsid w:val="0025352E"/>
    <w:rsid w:val="00255753"/>
    <w:rsid w:val="00257353"/>
    <w:rsid w:val="00270BD8"/>
    <w:rsid w:val="002721D2"/>
    <w:rsid w:val="00273374"/>
    <w:rsid w:val="0027425A"/>
    <w:rsid w:val="00274FD3"/>
    <w:rsid w:val="0028093A"/>
    <w:rsid w:val="00281C80"/>
    <w:rsid w:val="0029399C"/>
    <w:rsid w:val="002950E0"/>
    <w:rsid w:val="002954C4"/>
    <w:rsid w:val="002A00C0"/>
    <w:rsid w:val="002A2CE0"/>
    <w:rsid w:val="002A50A3"/>
    <w:rsid w:val="002B07BD"/>
    <w:rsid w:val="002B0E54"/>
    <w:rsid w:val="002B4D6A"/>
    <w:rsid w:val="002B5444"/>
    <w:rsid w:val="002B547F"/>
    <w:rsid w:val="002B59F9"/>
    <w:rsid w:val="002C21E9"/>
    <w:rsid w:val="002C26D8"/>
    <w:rsid w:val="002C5B5E"/>
    <w:rsid w:val="002D38C5"/>
    <w:rsid w:val="002E150E"/>
    <w:rsid w:val="002E4217"/>
    <w:rsid w:val="002E505B"/>
    <w:rsid w:val="002F084F"/>
    <w:rsid w:val="002F0CF3"/>
    <w:rsid w:val="002F30F7"/>
    <w:rsid w:val="002F3DAA"/>
    <w:rsid w:val="002F5F1E"/>
    <w:rsid w:val="002F7FB5"/>
    <w:rsid w:val="00301D7D"/>
    <w:rsid w:val="00304FF3"/>
    <w:rsid w:val="0031555D"/>
    <w:rsid w:val="00315655"/>
    <w:rsid w:val="00315B32"/>
    <w:rsid w:val="00315BDC"/>
    <w:rsid w:val="00324559"/>
    <w:rsid w:val="00327C88"/>
    <w:rsid w:val="00331DBE"/>
    <w:rsid w:val="0033355D"/>
    <w:rsid w:val="00334C0F"/>
    <w:rsid w:val="003358FF"/>
    <w:rsid w:val="00335FEA"/>
    <w:rsid w:val="0033742B"/>
    <w:rsid w:val="00347B79"/>
    <w:rsid w:val="003509A8"/>
    <w:rsid w:val="00354545"/>
    <w:rsid w:val="0036135C"/>
    <w:rsid w:val="00362D0C"/>
    <w:rsid w:val="0036518F"/>
    <w:rsid w:val="0036730A"/>
    <w:rsid w:val="0036768D"/>
    <w:rsid w:val="00367AF0"/>
    <w:rsid w:val="00373602"/>
    <w:rsid w:val="00374362"/>
    <w:rsid w:val="00377B12"/>
    <w:rsid w:val="00380147"/>
    <w:rsid w:val="00381C7D"/>
    <w:rsid w:val="003827A2"/>
    <w:rsid w:val="0038498F"/>
    <w:rsid w:val="00385C9B"/>
    <w:rsid w:val="00386782"/>
    <w:rsid w:val="003872BA"/>
    <w:rsid w:val="00387D77"/>
    <w:rsid w:val="003922EF"/>
    <w:rsid w:val="00394A57"/>
    <w:rsid w:val="00397415"/>
    <w:rsid w:val="003A0DB4"/>
    <w:rsid w:val="003A0FF8"/>
    <w:rsid w:val="003A2CB2"/>
    <w:rsid w:val="003A4D1C"/>
    <w:rsid w:val="003B257A"/>
    <w:rsid w:val="003B7521"/>
    <w:rsid w:val="003C0C4D"/>
    <w:rsid w:val="003C11CC"/>
    <w:rsid w:val="003C3DB4"/>
    <w:rsid w:val="003C3EB9"/>
    <w:rsid w:val="003C7A46"/>
    <w:rsid w:val="003D16A1"/>
    <w:rsid w:val="003D5E8B"/>
    <w:rsid w:val="003D77A5"/>
    <w:rsid w:val="003E1AB1"/>
    <w:rsid w:val="003E3748"/>
    <w:rsid w:val="003E4DA7"/>
    <w:rsid w:val="003E5102"/>
    <w:rsid w:val="003E52AA"/>
    <w:rsid w:val="003E5803"/>
    <w:rsid w:val="003F0CD8"/>
    <w:rsid w:val="003F332A"/>
    <w:rsid w:val="00404FA4"/>
    <w:rsid w:val="00405019"/>
    <w:rsid w:val="00406BA9"/>
    <w:rsid w:val="00410C9A"/>
    <w:rsid w:val="00421AB5"/>
    <w:rsid w:val="00424212"/>
    <w:rsid w:val="00424CF9"/>
    <w:rsid w:val="00426694"/>
    <w:rsid w:val="0043208D"/>
    <w:rsid w:val="0043241E"/>
    <w:rsid w:val="004333B4"/>
    <w:rsid w:val="00434203"/>
    <w:rsid w:val="00442352"/>
    <w:rsid w:val="00445BDB"/>
    <w:rsid w:val="00452C3E"/>
    <w:rsid w:val="00452C6C"/>
    <w:rsid w:val="0045451B"/>
    <w:rsid w:val="004552F4"/>
    <w:rsid w:val="00461A02"/>
    <w:rsid w:val="00462A35"/>
    <w:rsid w:val="00464294"/>
    <w:rsid w:val="004723D9"/>
    <w:rsid w:val="004735CE"/>
    <w:rsid w:val="00474658"/>
    <w:rsid w:val="00475E50"/>
    <w:rsid w:val="0047797E"/>
    <w:rsid w:val="00494E6B"/>
    <w:rsid w:val="00497F06"/>
    <w:rsid w:val="004A006B"/>
    <w:rsid w:val="004A0D57"/>
    <w:rsid w:val="004A3757"/>
    <w:rsid w:val="004A3EF5"/>
    <w:rsid w:val="004A44CD"/>
    <w:rsid w:val="004A5874"/>
    <w:rsid w:val="004B1283"/>
    <w:rsid w:val="004B3B1D"/>
    <w:rsid w:val="004C6034"/>
    <w:rsid w:val="004D3829"/>
    <w:rsid w:val="004D3941"/>
    <w:rsid w:val="004D5F6C"/>
    <w:rsid w:val="004E2337"/>
    <w:rsid w:val="004E2421"/>
    <w:rsid w:val="004E6489"/>
    <w:rsid w:val="004E6662"/>
    <w:rsid w:val="004F02BC"/>
    <w:rsid w:val="004F568A"/>
    <w:rsid w:val="00501AEB"/>
    <w:rsid w:val="005020EC"/>
    <w:rsid w:val="005062F0"/>
    <w:rsid w:val="00516555"/>
    <w:rsid w:val="00525532"/>
    <w:rsid w:val="005256CF"/>
    <w:rsid w:val="00531057"/>
    <w:rsid w:val="00542C43"/>
    <w:rsid w:val="00551299"/>
    <w:rsid w:val="00555DF5"/>
    <w:rsid w:val="00572006"/>
    <w:rsid w:val="00573E74"/>
    <w:rsid w:val="0057790F"/>
    <w:rsid w:val="0058115D"/>
    <w:rsid w:val="00582470"/>
    <w:rsid w:val="00586635"/>
    <w:rsid w:val="00586B1F"/>
    <w:rsid w:val="00591B9D"/>
    <w:rsid w:val="00594DE5"/>
    <w:rsid w:val="005A12D7"/>
    <w:rsid w:val="005A29D6"/>
    <w:rsid w:val="005A5FD6"/>
    <w:rsid w:val="005A60FA"/>
    <w:rsid w:val="005B0C92"/>
    <w:rsid w:val="005B12D6"/>
    <w:rsid w:val="005B16B1"/>
    <w:rsid w:val="005B56DB"/>
    <w:rsid w:val="005B7E20"/>
    <w:rsid w:val="005C1D42"/>
    <w:rsid w:val="005C2A19"/>
    <w:rsid w:val="005C412B"/>
    <w:rsid w:val="005C4835"/>
    <w:rsid w:val="005C5A53"/>
    <w:rsid w:val="005C5CE4"/>
    <w:rsid w:val="005C6A3C"/>
    <w:rsid w:val="005C7769"/>
    <w:rsid w:val="005D4D85"/>
    <w:rsid w:val="005D5F1D"/>
    <w:rsid w:val="005D6B33"/>
    <w:rsid w:val="005E37E8"/>
    <w:rsid w:val="005E6EEF"/>
    <w:rsid w:val="005F0F53"/>
    <w:rsid w:val="005F37C9"/>
    <w:rsid w:val="005F439F"/>
    <w:rsid w:val="005F584A"/>
    <w:rsid w:val="0060625D"/>
    <w:rsid w:val="0060632F"/>
    <w:rsid w:val="00611BAA"/>
    <w:rsid w:val="0061202A"/>
    <w:rsid w:val="00612D18"/>
    <w:rsid w:val="00615BB7"/>
    <w:rsid w:val="00616A16"/>
    <w:rsid w:val="00621954"/>
    <w:rsid w:val="00623361"/>
    <w:rsid w:val="0062430F"/>
    <w:rsid w:val="00624BA9"/>
    <w:rsid w:val="0062575C"/>
    <w:rsid w:val="006339EB"/>
    <w:rsid w:val="00636BC4"/>
    <w:rsid w:val="00646EEE"/>
    <w:rsid w:val="006470A7"/>
    <w:rsid w:val="006559E3"/>
    <w:rsid w:val="0065663A"/>
    <w:rsid w:val="00657577"/>
    <w:rsid w:val="00661CCC"/>
    <w:rsid w:val="006649A4"/>
    <w:rsid w:val="006660B2"/>
    <w:rsid w:val="0067056E"/>
    <w:rsid w:val="00672E93"/>
    <w:rsid w:val="006739CA"/>
    <w:rsid w:val="0068258E"/>
    <w:rsid w:val="0068512E"/>
    <w:rsid w:val="006855AC"/>
    <w:rsid w:val="006877F9"/>
    <w:rsid w:val="00691790"/>
    <w:rsid w:val="006933C3"/>
    <w:rsid w:val="006956E6"/>
    <w:rsid w:val="00697045"/>
    <w:rsid w:val="006A27BD"/>
    <w:rsid w:val="006A337B"/>
    <w:rsid w:val="006A3599"/>
    <w:rsid w:val="006A4E08"/>
    <w:rsid w:val="006A57D6"/>
    <w:rsid w:val="006A58BC"/>
    <w:rsid w:val="006A6AEA"/>
    <w:rsid w:val="006B258A"/>
    <w:rsid w:val="006B4B47"/>
    <w:rsid w:val="006C40C7"/>
    <w:rsid w:val="006C634F"/>
    <w:rsid w:val="006D3EB7"/>
    <w:rsid w:val="006D7B49"/>
    <w:rsid w:val="006E0A2E"/>
    <w:rsid w:val="006E1269"/>
    <w:rsid w:val="006E7D38"/>
    <w:rsid w:val="006F0870"/>
    <w:rsid w:val="006F43CA"/>
    <w:rsid w:val="006F5DF1"/>
    <w:rsid w:val="006F7EF4"/>
    <w:rsid w:val="007026DD"/>
    <w:rsid w:val="00702770"/>
    <w:rsid w:val="00703FCE"/>
    <w:rsid w:val="00707B68"/>
    <w:rsid w:val="00707E36"/>
    <w:rsid w:val="007126C4"/>
    <w:rsid w:val="0071352F"/>
    <w:rsid w:val="00723E41"/>
    <w:rsid w:val="007258CF"/>
    <w:rsid w:val="00735635"/>
    <w:rsid w:val="00735878"/>
    <w:rsid w:val="00735EBD"/>
    <w:rsid w:val="00737731"/>
    <w:rsid w:val="00740210"/>
    <w:rsid w:val="007411D5"/>
    <w:rsid w:val="00741A11"/>
    <w:rsid w:val="0074394D"/>
    <w:rsid w:val="00745A69"/>
    <w:rsid w:val="007510DA"/>
    <w:rsid w:val="00751445"/>
    <w:rsid w:val="00756648"/>
    <w:rsid w:val="00756D0A"/>
    <w:rsid w:val="00762294"/>
    <w:rsid w:val="007724CE"/>
    <w:rsid w:val="007737AF"/>
    <w:rsid w:val="00780C21"/>
    <w:rsid w:val="00784C00"/>
    <w:rsid w:val="0079167D"/>
    <w:rsid w:val="00793F56"/>
    <w:rsid w:val="007A0931"/>
    <w:rsid w:val="007A4309"/>
    <w:rsid w:val="007B4243"/>
    <w:rsid w:val="007B627D"/>
    <w:rsid w:val="007B6E7F"/>
    <w:rsid w:val="007C15B6"/>
    <w:rsid w:val="007C17D4"/>
    <w:rsid w:val="007C1B6D"/>
    <w:rsid w:val="007C2D17"/>
    <w:rsid w:val="007C3E72"/>
    <w:rsid w:val="007C53A1"/>
    <w:rsid w:val="007C58BD"/>
    <w:rsid w:val="007C5D4B"/>
    <w:rsid w:val="007C6B59"/>
    <w:rsid w:val="007C7E19"/>
    <w:rsid w:val="007D00B1"/>
    <w:rsid w:val="007D0E36"/>
    <w:rsid w:val="007E3F69"/>
    <w:rsid w:val="007E7735"/>
    <w:rsid w:val="007F1254"/>
    <w:rsid w:val="007F1374"/>
    <w:rsid w:val="00800EE1"/>
    <w:rsid w:val="00807FE0"/>
    <w:rsid w:val="00811CAE"/>
    <w:rsid w:val="008167D5"/>
    <w:rsid w:val="008172F0"/>
    <w:rsid w:val="008250D1"/>
    <w:rsid w:val="00825DC9"/>
    <w:rsid w:val="00831DF3"/>
    <w:rsid w:val="008326D1"/>
    <w:rsid w:val="008326E7"/>
    <w:rsid w:val="0084241F"/>
    <w:rsid w:val="0084434E"/>
    <w:rsid w:val="00845934"/>
    <w:rsid w:val="008506B1"/>
    <w:rsid w:val="008510CC"/>
    <w:rsid w:val="00851558"/>
    <w:rsid w:val="00851EC5"/>
    <w:rsid w:val="00860C47"/>
    <w:rsid w:val="00863417"/>
    <w:rsid w:val="0086343C"/>
    <w:rsid w:val="00863D76"/>
    <w:rsid w:val="00863F66"/>
    <w:rsid w:val="0086509B"/>
    <w:rsid w:val="0087296A"/>
    <w:rsid w:val="00876262"/>
    <w:rsid w:val="00891049"/>
    <w:rsid w:val="00897403"/>
    <w:rsid w:val="008979B7"/>
    <w:rsid w:val="008A40C0"/>
    <w:rsid w:val="008A48C4"/>
    <w:rsid w:val="008A5923"/>
    <w:rsid w:val="008B1120"/>
    <w:rsid w:val="008B1AA1"/>
    <w:rsid w:val="008B1BFF"/>
    <w:rsid w:val="008B4BE6"/>
    <w:rsid w:val="008C2DD5"/>
    <w:rsid w:val="008C556E"/>
    <w:rsid w:val="008D5C7A"/>
    <w:rsid w:val="008F12A1"/>
    <w:rsid w:val="008F3624"/>
    <w:rsid w:val="008F73D1"/>
    <w:rsid w:val="009002CA"/>
    <w:rsid w:val="00903450"/>
    <w:rsid w:val="00903AF9"/>
    <w:rsid w:val="0090579F"/>
    <w:rsid w:val="009143C9"/>
    <w:rsid w:val="00915A40"/>
    <w:rsid w:val="009201C9"/>
    <w:rsid w:val="00930424"/>
    <w:rsid w:val="00937685"/>
    <w:rsid w:val="0094144A"/>
    <w:rsid w:val="00942BCB"/>
    <w:rsid w:val="00942F03"/>
    <w:rsid w:val="00944EB8"/>
    <w:rsid w:val="00946BAA"/>
    <w:rsid w:val="00950776"/>
    <w:rsid w:val="009524E1"/>
    <w:rsid w:val="00953155"/>
    <w:rsid w:val="00953B37"/>
    <w:rsid w:val="009551AB"/>
    <w:rsid w:val="00961B81"/>
    <w:rsid w:val="00962ED5"/>
    <w:rsid w:val="0096788C"/>
    <w:rsid w:val="00971561"/>
    <w:rsid w:val="009726FB"/>
    <w:rsid w:val="00974910"/>
    <w:rsid w:val="00975E3A"/>
    <w:rsid w:val="009761DA"/>
    <w:rsid w:val="00977221"/>
    <w:rsid w:val="009858FE"/>
    <w:rsid w:val="009860EA"/>
    <w:rsid w:val="00990719"/>
    <w:rsid w:val="00990941"/>
    <w:rsid w:val="0099315C"/>
    <w:rsid w:val="009953E4"/>
    <w:rsid w:val="009A27A9"/>
    <w:rsid w:val="009A4E9C"/>
    <w:rsid w:val="009B16BB"/>
    <w:rsid w:val="009B4096"/>
    <w:rsid w:val="009C02E5"/>
    <w:rsid w:val="009C0E0E"/>
    <w:rsid w:val="009C26E3"/>
    <w:rsid w:val="009C6DD1"/>
    <w:rsid w:val="009C7CD6"/>
    <w:rsid w:val="009D01B2"/>
    <w:rsid w:val="009D2789"/>
    <w:rsid w:val="009D4C0F"/>
    <w:rsid w:val="009D7C44"/>
    <w:rsid w:val="009D7F74"/>
    <w:rsid w:val="009E5C02"/>
    <w:rsid w:val="009E7B86"/>
    <w:rsid w:val="009F15CC"/>
    <w:rsid w:val="009F366D"/>
    <w:rsid w:val="009F45EC"/>
    <w:rsid w:val="009F72E0"/>
    <w:rsid w:val="00A001A7"/>
    <w:rsid w:val="00A04998"/>
    <w:rsid w:val="00A06362"/>
    <w:rsid w:val="00A13D8B"/>
    <w:rsid w:val="00A16D61"/>
    <w:rsid w:val="00A22A6C"/>
    <w:rsid w:val="00A2390C"/>
    <w:rsid w:val="00A244A2"/>
    <w:rsid w:val="00A24A81"/>
    <w:rsid w:val="00A26571"/>
    <w:rsid w:val="00A32D1F"/>
    <w:rsid w:val="00A34443"/>
    <w:rsid w:val="00A345F7"/>
    <w:rsid w:val="00A37906"/>
    <w:rsid w:val="00A404F7"/>
    <w:rsid w:val="00A41CFC"/>
    <w:rsid w:val="00A42581"/>
    <w:rsid w:val="00A51447"/>
    <w:rsid w:val="00A53F34"/>
    <w:rsid w:val="00A540EB"/>
    <w:rsid w:val="00A5539A"/>
    <w:rsid w:val="00A55C3D"/>
    <w:rsid w:val="00A60B97"/>
    <w:rsid w:val="00A60F19"/>
    <w:rsid w:val="00A62615"/>
    <w:rsid w:val="00A63387"/>
    <w:rsid w:val="00A63EC7"/>
    <w:rsid w:val="00A71E51"/>
    <w:rsid w:val="00A7639A"/>
    <w:rsid w:val="00A764E4"/>
    <w:rsid w:val="00A77F56"/>
    <w:rsid w:val="00A84763"/>
    <w:rsid w:val="00A8781D"/>
    <w:rsid w:val="00A90F25"/>
    <w:rsid w:val="00A92B6A"/>
    <w:rsid w:val="00A93583"/>
    <w:rsid w:val="00A943FC"/>
    <w:rsid w:val="00A947F9"/>
    <w:rsid w:val="00A954D1"/>
    <w:rsid w:val="00A95A2D"/>
    <w:rsid w:val="00AA1611"/>
    <w:rsid w:val="00AA34B1"/>
    <w:rsid w:val="00AA719D"/>
    <w:rsid w:val="00AB06B2"/>
    <w:rsid w:val="00AB1C3D"/>
    <w:rsid w:val="00AB29A8"/>
    <w:rsid w:val="00AB3AD7"/>
    <w:rsid w:val="00AB542A"/>
    <w:rsid w:val="00AB66C2"/>
    <w:rsid w:val="00AB6BAF"/>
    <w:rsid w:val="00AB7D05"/>
    <w:rsid w:val="00AB7D22"/>
    <w:rsid w:val="00AC12C6"/>
    <w:rsid w:val="00AC22A5"/>
    <w:rsid w:val="00AC2670"/>
    <w:rsid w:val="00AD3B71"/>
    <w:rsid w:val="00AE1C50"/>
    <w:rsid w:val="00AE1F78"/>
    <w:rsid w:val="00AE5A34"/>
    <w:rsid w:val="00AF23AF"/>
    <w:rsid w:val="00AF4E3A"/>
    <w:rsid w:val="00AF6A53"/>
    <w:rsid w:val="00B00257"/>
    <w:rsid w:val="00B035BC"/>
    <w:rsid w:val="00B0376E"/>
    <w:rsid w:val="00B039D7"/>
    <w:rsid w:val="00B04AC6"/>
    <w:rsid w:val="00B07F61"/>
    <w:rsid w:val="00B1146F"/>
    <w:rsid w:val="00B11EFC"/>
    <w:rsid w:val="00B1326B"/>
    <w:rsid w:val="00B15210"/>
    <w:rsid w:val="00B1623B"/>
    <w:rsid w:val="00B24403"/>
    <w:rsid w:val="00B25206"/>
    <w:rsid w:val="00B303ED"/>
    <w:rsid w:val="00B32239"/>
    <w:rsid w:val="00B34AA2"/>
    <w:rsid w:val="00B3615C"/>
    <w:rsid w:val="00B36F2B"/>
    <w:rsid w:val="00B42DDB"/>
    <w:rsid w:val="00B4521A"/>
    <w:rsid w:val="00B472D0"/>
    <w:rsid w:val="00B53572"/>
    <w:rsid w:val="00B61002"/>
    <w:rsid w:val="00B6145A"/>
    <w:rsid w:val="00B61570"/>
    <w:rsid w:val="00B6240F"/>
    <w:rsid w:val="00B6585E"/>
    <w:rsid w:val="00B65983"/>
    <w:rsid w:val="00B65C14"/>
    <w:rsid w:val="00B72578"/>
    <w:rsid w:val="00B72FAA"/>
    <w:rsid w:val="00B73648"/>
    <w:rsid w:val="00B744FB"/>
    <w:rsid w:val="00B77272"/>
    <w:rsid w:val="00B837D7"/>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10A2"/>
    <w:rsid w:val="00BC2684"/>
    <w:rsid w:val="00BC2AA0"/>
    <w:rsid w:val="00BC35AA"/>
    <w:rsid w:val="00BC5BB3"/>
    <w:rsid w:val="00BD2F0F"/>
    <w:rsid w:val="00BD53BD"/>
    <w:rsid w:val="00BD5DEF"/>
    <w:rsid w:val="00BE4802"/>
    <w:rsid w:val="00BE4F84"/>
    <w:rsid w:val="00BF170E"/>
    <w:rsid w:val="00BF509C"/>
    <w:rsid w:val="00BF7CF6"/>
    <w:rsid w:val="00C0337C"/>
    <w:rsid w:val="00C069DB"/>
    <w:rsid w:val="00C10DC8"/>
    <w:rsid w:val="00C119D6"/>
    <w:rsid w:val="00C141D0"/>
    <w:rsid w:val="00C1505A"/>
    <w:rsid w:val="00C1544B"/>
    <w:rsid w:val="00C20F98"/>
    <w:rsid w:val="00C21848"/>
    <w:rsid w:val="00C21F77"/>
    <w:rsid w:val="00C249C9"/>
    <w:rsid w:val="00C27BEF"/>
    <w:rsid w:val="00C32A74"/>
    <w:rsid w:val="00C33BEA"/>
    <w:rsid w:val="00C33FA5"/>
    <w:rsid w:val="00C410F2"/>
    <w:rsid w:val="00C424F1"/>
    <w:rsid w:val="00C4424F"/>
    <w:rsid w:val="00C44542"/>
    <w:rsid w:val="00C445CC"/>
    <w:rsid w:val="00C4599F"/>
    <w:rsid w:val="00C45F82"/>
    <w:rsid w:val="00C46505"/>
    <w:rsid w:val="00C46FC8"/>
    <w:rsid w:val="00C475F7"/>
    <w:rsid w:val="00C53E01"/>
    <w:rsid w:val="00C63F45"/>
    <w:rsid w:val="00C737F4"/>
    <w:rsid w:val="00C81CDA"/>
    <w:rsid w:val="00C83148"/>
    <w:rsid w:val="00C846A9"/>
    <w:rsid w:val="00C86EDE"/>
    <w:rsid w:val="00C8786C"/>
    <w:rsid w:val="00C87B56"/>
    <w:rsid w:val="00C94C78"/>
    <w:rsid w:val="00C95AB1"/>
    <w:rsid w:val="00C97610"/>
    <w:rsid w:val="00CA25FC"/>
    <w:rsid w:val="00CA2822"/>
    <w:rsid w:val="00CA53B1"/>
    <w:rsid w:val="00CB128D"/>
    <w:rsid w:val="00CB6841"/>
    <w:rsid w:val="00CC058A"/>
    <w:rsid w:val="00CC7AC8"/>
    <w:rsid w:val="00CD017B"/>
    <w:rsid w:val="00CD0459"/>
    <w:rsid w:val="00CD1F68"/>
    <w:rsid w:val="00CD3E6A"/>
    <w:rsid w:val="00CE1C44"/>
    <w:rsid w:val="00CE1C4A"/>
    <w:rsid w:val="00CE224F"/>
    <w:rsid w:val="00CE7F42"/>
    <w:rsid w:val="00CF1BF6"/>
    <w:rsid w:val="00CF6CCE"/>
    <w:rsid w:val="00D00C36"/>
    <w:rsid w:val="00D0145D"/>
    <w:rsid w:val="00D02424"/>
    <w:rsid w:val="00D07A16"/>
    <w:rsid w:val="00D12DE0"/>
    <w:rsid w:val="00D13B8F"/>
    <w:rsid w:val="00D14E81"/>
    <w:rsid w:val="00D1647F"/>
    <w:rsid w:val="00D16C96"/>
    <w:rsid w:val="00D20F27"/>
    <w:rsid w:val="00D20F95"/>
    <w:rsid w:val="00D22EE0"/>
    <w:rsid w:val="00D238D8"/>
    <w:rsid w:val="00D27F69"/>
    <w:rsid w:val="00D3779C"/>
    <w:rsid w:val="00D37DCA"/>
    <w:rsid w:val="00D429A3"/>
    <w:rsid w:val="00D52DB6"/>
    <w:rsid w:val="00D54373"/>
    <w:rsid w:val="00D57870"/>
    <w:rsid w:val="00D62225"/>
    <w:rsid w:val="00D65D20"/>
    <w:rsid w:val="00D6703A"/>
    <w:rsid w:val="00D7306C"/>
    <w:rsid w:val="00D745DA"/>
    <w:rsid w:val="00D75B5D"/>
    <w:rsid w:val="00D77DA5"/>
    <w:rsid w:val="00D77F38"/>
    <w:rsid w:val="00D8028F"/>
    <w:rsid w:val="00D82575"/>
    <w:rsid w:val="00D84420"/>
    <w:rsid w:val="00D85438"/>
    <w:rsid w:val="00D8732D"/>
    <w:rsid w:val="00D874D0"/>
    <w:rsid w:val="00D927DB"/>
    <w:rsid w:val="00DA0D76"/>
    <w:rsid w:val="00DA1274"/>
    <w:rsid w:val="00DA1325"/>
    <w:rsid w:val="00DA133C"/>
    <w:rsid w:val="00DA1827"/>
    <w:rsid w:val="00DA2B1D"/>
    <w:rsid w:val="00DA30A3"/>
    <w:rsid w:val="00DA323F"/>
    <w:rsid w:val="00DA6EE5"/>
    <w:rsid w:val="00DB7EE7"/>
    <w:rsid w:val="00DC0474"/>
    <w:rsid w:val="00DC0819"/>
    <w:rsid w:val="00DC1105"/>
    <w:rsid w:val="00DC3E82"/>
    <w:rsid w:val="00DC519D"/>
    <w:rsid w:val="00DC529B"/>
    <w:rsid w:val="00DD563C"/>
    <w:rsid w:val="00DD5773"/>
    <w:rsid w:val="00DE06EE"/>
    <w:rsid w:val="00DE58F6"/>
    <w:rsid w:val="00DF0141"/>
    <w:rsid w:val="00DF0807"/>
    <w:rsid w:val="00DF1566"/>
    <w:rsid w:val="00DF513B"/>
    <w:rsid w:val="00DF71E8"/>
    <w:rsid w:val="00E0352C"/>
    <w:rsid w:val="00E07BB2"/>
    <w:rsid w:val="00E11E1A"/>
    <w:rsid w:val="00E12C95"/>
    <w:rsid w:val="00E13966"/>
    <w:rsid w:val="00E14566"/>
    <w:rsid w:val="00E14911"/>
    <w:rsid w:val="00E214F1"/>
    <w:rsid w:val="00E22660"/>
    <w:rsid w:val="00E232E0"/>
    <w:rsid w:val="00E23A5B"/>
    <w:rsid w:val="00E3030C"/>
    <w:rsid w:val="00E32EAF"/>
    <w:rsid w:val="00E33A04"/>
    <w:rsid w:val="00E34BF8"/>
    <w:rsid w:val="00E34DD3"/>
    <w:rsid w:val="00E42E57"/>
    <w:rsid w:val="00E44F7F"/>
    <w:rsid w:val="00E46078"/>
    <w:rsid w:val="00E50CC8"/>
    <w:rsid w:val="00E51FE8"/>
    <w:rsid w:val="00E5244F"/>
    <w:rsid w:val="00E53D3C"/>
    <w:rsid w:val="00E54D3A"/>
    <w:rsid w:val="00E55E57"/>
    <w:rsid w:val="00E56249"/>
    <w:rsid w:val="00E62670"/>
    <w:rsid w:val="00E67ACE"/>
    <w:rsid w:val="00E67BA7"/>
    <w:rsid w:val="00E757FD"/>
    <w:rsid w:val="00E81DE5"/>
    <w:rsid w:val="00E84140"/>
    <w:rsid w:val="00E85688"/>
    <w:rsid w:val="00E93D69"/>
    <w:rsid w:val="00E94FA8"/>
    <w:rsid w:val="00EB4FD7"/>
    <w:rsid w:val="00EC0050"/>
    <w:rsid w:val="00EC564B"/>
    <w:rsid w:val="00EC6F58"/>
    <w:rsid w:val="00ED4634"/>
    <w:rsid w:val="00ED7CB3"/>
    <w:rsid w:val="00EE1123"/>
    <w:rsid w:val="00EE1706"/>
    <w:rsid w:val="00EE3A4F"/>
    <w:rsid w:val="00EF0C91"/>
    <w:rsid w:val="00EF2660"/>
    <w:rsid w:val="00EF26A2"/>
    <w:rsid w:val="00F06892"/>
    <w:rsid w:val="00F07B69"/>
    <w:rsid w:val="00F1668A"/>
    <w:rsid w:val="00F200B8"/>
    <w:rsid w:val="00F2162F"/>
    <w:rsid w:val="00F2522B"/>
    <w:rsid w:val="00F269DE"/>
    <w:rsid w:val="00F26A4B"/>
    <w:rsid w:val="00F31636"/>
    <w:rsid w:val="00F376E3"/>
    <w:rsid w:val="00F37ED4"/>
    <w:rsid w:val="00F4027C"/>
    <w:rsid w:val="00F40A46"/>
    <w:rsid w:val="00F40BBB"/>
    <w:rsid w:val="00F41D12"/>
    <w:rsid w:val="00F43B89"/>
    <w:rsid w:val="00F45235"/>
    <w:rsid w:val="00F50B3C"/>
    <w:rsid w:val="00F50C99"/>
    <w:rsid w:val="00F54206"/>
    <w:rsid w:val="00F5592A"/>
    <w:rsid w:val="00F57E9D"/>
    <w:rsid w:val="00F66E1A"/>
    <w:rsid w:val="00F71EBB"/>
    <w:rsid w:val="00F728DA"/>
    <w:rsid w:val="00F74E71"/>
    <w:rsid w:val="00F8382E"/>
    <w:rsid w:val="00F8554D"/>
    <w:rsid w:val="00F91493"/>
    <w:rsid w:val="00FA18B5"/>
    <w:rsid w:val="00FA36B5"/>
    <w:rsid w:val="00FB0B04"/>
    <w:rsid w:val="00FB4249"/>
    <w:rsid w:val="00FB4E60"/>
    <w:rsid w:val="00FB6115"/>
    <w:rsid w:val="00FB70FB"/>
    <w:rsid w:val="00FC4ACC"/>
    <w:rsid w:val="00FC6D53"/>
    <w:rsid w:val="00FD0892"/>
    <w:rsid w:val="00FD1C53"/>
    <w:rsid w:val="00FD3446"/>
    <w:rsid w:val="00FD6782"/>
    <w:rsid w:val="00FE407A"/>
    <w:rsid w:val="00FE626C"/>
    <w:rsid w:val="00FE760C"/>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53064">
      <w:bodyDiv w:val="1"/>
      <w:marLeft w:val="0"/>
      <w:marRight w:val="0"/>
      <w:marTop w:val="0"/>
      <w:marBottom w:val="0"/>
      <w:divBdr>
        <w:top w:val="none" w:sz="0" w:space="0" w:color="auto"/>
        <w:left w:val="none" w:sz="0" w:space="0" w:color="auto"/>
        <w:bottom w:val="none" w:sz="0" w:space="0" w:color="auto"/>
        <w:right w:val="none" w:sz="0" w:space="0" w:color="auto"/>
      </w:divBdr>
    </w:div>
    <w:div w:id="546915973">
      <w:bodyDiv w:val="1"/>
      <w:marLeft w:val="0"/>
      <w:marRight w:val="0"/>
      <w:marTop w:val="0"/>
      <w:marBottom w:val="0"/>
      <w:divBdr>
        <w:top w:val="none" w:sz="0" w:space="0" w:color="auto"/>
        <w:left w:val="none" w:sz="0" w:space="0" w:color="auto"/>
        <w:bottom w:val="none" w:sz="0" w:space="0" w:color="auto"/>
        <w:right w:val="none" w:sz="0" w:space="0" w:color="auto"/>
      </w:divBdr>
    </w:div>
    <w:div w:id="864827552">
      <w:bodyDiv w:val="1"/>
      <w:marLeft w:val="0"/>
      <w:marRight w:val="0"/>
      <w:marTop w:val="0"/>
      <w:marBottom w:val="0"/>
      <w:divBdr>
        <w:top w:val="none" w:sz="0" w:space="0" w:color="auto"/>
        <w:left w:val="none" w:sz="0" w:space="0" w:color="auto"/>
        <w:bottom w:val="none" w:sz="0" w:space="0" w:color="auto"/>
        <w:right w:val="none" w:sz="0" w:space="0" w:color="auto"/>
      </w:divBdr>
    </w:div>
    <w:div w:id="117473308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AC237EF6-3C82-4C00-9A5C-6EC4F80FCF23}">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5414</Words>
  <Characters>31403</Characters>
  <Application>Microsoft Office Word</Application>
  <DocSecurity>0</DocSecurity>
  <Lines>261</Lines>
  <Paragraphs>73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tehnologiei informației și digitalizării</cp:lastModifiedBy>
  <cp:revision>3</cp:revision>
  <cp:lastPrinted>2026-02-24T13:53:00Z</cp:lastPrinted>
  <dcterms:created xsi:type="dcterms:W3CDTF">2026-03-19T13:06:00Z</dcterms:created>
  <dcterms:modified xsi:type="dcterms:W3CDTF">2026-03-19T13:06:00Z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