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9DA" w:rsidRPr="009C7945" w:rsidRDefault="00AB4056" w:rsidP="009C7945">
      <w:pPr>
        <w:tabs>
          <w:tab w:val="center" w:pos="4680"/>
          <w:tab w:val="left" w:pos="6390"/>
        </w:tabs>
        <w:spacing w:after="0" w:line="240" w:lineRule="auto"/>
        <w:ind w:firstLine="737"/>
        <w:jc w:val="center"/>
        <w:rPr>
          <w:rFonts w:ascii="Times New Roman" w:hAnsi="Times New Roman"/>
          <w:b/>
          <w:bCs/>
          <w:sz w:val="24"/>
          <w:szCs w:val="24"/>
        </w:rPr>
      </w:pPr>
      <w:r w:rsidRPr="009C7945">
        <w:rPr>
          <w:rFonts w:ascii="Times New Roman" w:hAnsi="Times New Roman"/>
          <w:b/>
          <w:bCs/>
          <w:sz w:val="24"/>
          <w:szCs w:val="24"/>
        </w:rPr>
        <w:t>NOT</w:t>
      </w:r>
      <w:r w:rsidR="00434AE5" w:rsidRPr="009C7945">
        <w:rPr>
          <w:rFonts w:ascii="Times New Roman" w:hAnsi="Times New Roman"/>
          <w:b/>
          <w:bCs/>
          <w:sz w:val="24"/>
          <w:szCs w:val="24"/>
        </w:rPr>
        <w:t>Ă</w:t>
      </w:r>
      <w:r w:rsidRPr="009C7945">
        <w:rPr>
          <w:rFonts w:ascii="Times New Roman" w:hAnsi="Times New Roman"/>
          <w:b/>
          <w:bCs/>
          <w:sz w:val="24"/>
          <w:szCs w:val="24"/>
        </w:rPr>
        <w:t xml:space="preserve"> </w:t>
      </w:r>
      <w:r w:rsidR="00434AE5" w:rsidRPr="009C7945">
        <w:rPr>
          <w:rFonts w:ascii="Times New Roman" w:hAnsi="Times New Roman"/>
          <w:b/>
          <w:bCs/>
          <w:sz w:val="24"/>
          <w:szCs w:val="24"/>
        </w:rPr>
        <w:t>DE FUNDAMENTARE</w:t>
      </w:r>
    </w:p>
    <w:p w:rsidR="002E16BA" w:rsidRPr="009C7945" w:rsidRDefault="00322634" w:rsidP="009C7945">
      <w:pPr>
        <w:spacing w:after="0" w:line="240" w:lineRule="auto"/>
        <w:ind w:firstLine="737"/>
        <w:jc w:val="center"/>
        <w:rPr>
          <w:rFonts w:ascii="Times New Roman" w:hAnsi="Times New Roman"/>
          <w:b/>
          <w:sz w:val="24"/>
          <w:szCs w:val="24"/>
        </w:rPr>
      </w:pPr>
      <w:r w:rsidRPr="009C7945">
        <w:rPr>
          <w:rFonts w:ascii="Times New Roman" w:hAnsi="Times New Roman"/>
          <w:b/>
          <w:sz w:val="24"/>
          <w:szCs w:val="24"/>
        </w:rPr>
        <w:t xml:space="preserve">la </w:t>
      </w:r>
      <w:bookmarkStart w:id="0" w:name="_Hlk199403846"/>
      <w:r w:rsidRPr="009C7945">
        <w:rPr>
          <w:rFonts w:ascii="Times New Roman" w:hAnsi="Times New Roman"/>
          <w:b/>
          <w:sz w:val="24"/>
          <w:szCs w:val="24"/>
        </w:rPr>
        <w:t xml:space="preserve">proiectul </w:t>
      </w:r>
      <w:r w:rsidR="00D46DAF" w:rsidRPr="009C7945">
        <w:rPr>
          <w:rFonts w:ascii="Times New Roman" w:hAnsi="Times New Roman"/>
          <w:b/>
          <w:sz w:val="24"/>
          <w:szCs w:val="24"/>
        </w:rPr>
        <w:t xml:space="preserve">de </w:t>
      </w:r>
      <w:r w:rsidR="0009110E" w:rsidRPr="009C7945">
        <w:rPr>
          <w:rFonts w:ascii="Times New Roman" w:hAnsi="Times New Roman"/>
          <w:b/>
          <w:sz w:val="24"/>
          <w:szCs w:val="24"/>
        </w:rPr>
        <w:t>hotărâre de Guvern cu privire la modificarea</w:t>
      </w:r>
    </w:p>
    <w:p w:rsidR="009C752D" w:rsidRPr="009C7945" w:rsidRDefault="00E1134A" w:rsidP="009C7945">
      <w:pPr>
        <w:spacing w:after="0" w:line="240" w:lineRule="auto"/>
        <w:ind w:firstLine="737"/>
        <w:jc w:val="center"/>
        <w:rPr>
          <w:rFonts w:ascii="Times New Roman" w:hAnsi="Times New Roman"/>
          <w:b/>
          <w:i/>
          <w:iCs/>
          <w:sz w:val="24"/>
          <w:szCs w:val="24"/>
        </w:rPr>
      </w:pPr>
      <w:r w:rsidRPr="009C7945">
        <w:rPr>
          <w:rFonts w:ascii="Times New Roman" w:hAnsi="Times New Roman"/>
          <w:b/>
          <w:sz w:val="24"/>
          <w:szCs w:val="24"/>
        </w:rPr>
        <w:t>Hotărârii Guvernului nr.</w:t>
      </w:r>
      <w:r w:rsidR="00C86BA1" w:rsidRPr="009C7945">
        <w:rPr>
          <w:rFonts w:ascii="Times New Roman" w:hAnsi="Times New Roman"/>
          <w:b/>
          <w:sz w:val="24"/>
          <w:szCs w:val="24"/>
        </w:rPr>
        <w:t xml:space="preserve"> 80</w:t>
      </w:r>
      <w:r w:rsidRPr="009C7945">
        <w:rPr>
          <w:rFonts w:ascii="Times New Roman" w:hAnsi="Times New Roman"/>
          <w:b/>
          <w:sz w:val="24"/>
          <w:szCs w:val="24"/>
        </w:rPr>
        <w:t>/20</w:t>
      </w:r>
      <w:bookmarkEnd w:id="0"/>
      <w:r w:rsidR="00C86BA1" w:rsidRPr="009C7945">
        <w:rPr>
          <w:rFonts w:ascii="Times New Roman" w:hAnsi="Times New Roman"/>
          <w:b/>
          <w:sz w:val="24"/>
          <w:szCs w:val="24"/>
        </w:rPr>
        <w:t>22</w:t>
      </w:r>
      <w:r w:rsidR="005105A3" w:rsidRPr="009C7945">
        <w:rPr>
          <w:rFonts w:ascii="Times New Roman" w:hAnsi="Times New Roman"/>
          <w:b/>
          <w:sz w:val="24"/>
          <w:szCs w:val="24"/>
        </w:rPr>
        <w:t xml:space="preserve"> </w:t>
      </w:r>
      <w:r w:rsidR="009C752D" w:rsidRPr="009C7945">
        <w:rPr>
          <w:rFonts w:ascii="Times New Roman" w:hAnsi="Times New Roman"/>
          <w:b/>
          <w:i/>
          <w:iCs/>
          <w:sz w:val="24"/>
          <w:szCs w:val="24"/>
        </w:rPr>
        <w:t>pentru aprobarea Regulamentului</w:t>
      </w:r>
    </w:p>
    <w:p w:rsidR="00C86BA1" w:rsidRPr="009C7945" w:rsidRDefault="009C752D" w:rsidP="009C7945">
      <w:pPr>
        <w:spacing w:after="0" w:line="240" w:lineRule="auto"/>
        <w:ind w:firstLine="737"/>
        <w:jc w:val="center"/>
        <w:rPr>
          <w:rFonts w:ascii="Times New Roman" w:hAnsi="Times New Roman"/>
          <w:b/>
          <w:i/>
          <w:iCs/>
          <w:sz w:val="24"/>
          <w:szCs w:val="24"/>
        </w:rPr>
      </w:pPr>
      <w:r w:rsidRPr="009C7945">
        <w:rPr>
          <w:rFonts w:ascii="Times New Roman" w:hAnsi="Times New Roman"/>
          <w:b/>
          <w:i/>
          <w:iCs/>
          <w:sz w:val="24"/>
          <w:szCs w:val="24"/>
        </w:rPr>
        <w:t>cu privire la organizarea și desfășurarea studiilor superioare de master – ciclul II</w:t>
      </w:r>
    </w:p>
    <w:tbl>
      <w:tblPr>
        <w:tblW w:w="5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5"/>
      </w:tblGrid>
      <w:tr w:rsidR="00AB4056" w:rsidRPr="009C7945" w:rsidTr="00DB6237">
        <w:trPr>
          <w:trHeight w:val="311"/>
        </w:trPr>
        <w:tc>
          <w:tcPr>
            <w:tcW w:w="5000" w:type="pct"/>
            <w:shd w:val="clear" w:color="auto" w:fill="D0CECE" w:themeFill="background2" w:themeFillShade="E6"/>
          </w:tcPr>
          <w:p w:rsidR="00AB4056" w:rsidRPr="009C7945" w:rsidRDefault="00A35E04" w:rsidP="009C7945">
            <w:pPr>
              <w:tabs>
                <w:tab w:val="left" w:pos="284"/>
                <w:tab w:val="left" w:pos="1196"/>
              </w:tabs>
              <w:spacing w:after="0"/>
              <w:ind w:firstLine="737"/>
              <w:jc w:val="both"/>
              <w:rPr>
                <w:rFonts w:ascii="Times New Roman" w:hAnsi="Times New Roman"/>
                <w:b/>
                <w:sz w:val="24"/>
                <w:szCs w:val="24"/>
              </w:rPr>
            </w:pPr>
            <w:r w:rsidRPr="009C7945">
              <w:rPr>
                <w:rFonts w:ascii="Times New Roman" w:hAnsi="Times New Roman"/>
                <w:b/>
                <w:sz w:val="24"/>
                <w:szCs w:val="24"/>
              </w:rPr>
              <w:t>1. Denumirea sau numele autorului și, după caz, a/al participanților la elaborarea proiectului actului normativ</w:t>
            </w:r>
          </w:p>
        </w:tc>
      </w:tr>
      <w:tr w:rsidR="00AB4056" w:rsidRPr="009C7945" w:rsidTr="00DB6237">
        <w:trPr>
          <w:trHeight w:val="588"/>
        </w:trPr>
        <w:tc>
          <w:tcPr>
            <w:tcW w:w="5000" w:type="pct"/>
          </w:tcPr>
          <w:p w:rsidR="00434AE5" w:rsidRPr="009C7945" w:rsidRDefault="0009110E" w:rsidP="009C7945">
            <w:pPr>
              <w:spacing w:after="0"/>
              <w:ind w:firstLine="737"/>
              <w:jc w:val="both"/>
              <w:rPr>
                <w:rFonts w:ascii="Times New Roman" w:hAnsi="Times New Roman"/>
                <w:sz w:val="24"/>
                <w:szCs w:val="24"/>
              </w:rPr>
            </w:pPr>
            <w:r w:rsidRPr="009C7945">
              <w:rPr>
                <w:rFonts w:ascii="Times New Roman" w:hAnsi="Times New Roman"/>
                <w:sz w:val="24"/>
                <w:szCs w:val="24"/>
              </w:rPr>
              <w:t>Proiectul de hotărâre de Guvern este elaborat de Ministerul Educației și Cercetării</w:t>
            </w:r>
            <w:r w:rsidR="005B2A50" w:rsidRPr="009C7945">
              <w:rPr>
                <w:rFonts w:ascii="Times New Roman" w:hAnsi="Times New Roman"/>
                <w:sz w:val="24"/>
                <w:szCs w:val="24"/>
              </w:rPr>
              <w:t xml:space="preserve">, urmare a analizei calitative a procesului de </w:t>
            </w:r>
            <w:r w:rsidR="00CB3849" w:rsidRPr="009C7945">
              <w:rPr>
                <w:rFonts w:ascii="Times New Roman" w:hAnsi="Times New Roman"/>
                <w:sz w:val="24"/>
                <w:szCs w:val="24"/>
              </w:rPr>
              <w:t>organizare a programelor de studii superioare de master.</w:t>
            </w:r>
          </w:p>
        </w:tc>
      </w:tr>
      <w:tr w:rsidR="00AB4056" w:rsidRPr="009C7945" w:rsidTr="00DB6237">
        <w:trPr>
          <w:trHeight w:val="422"/>
        </w:trPr>
        <w:tc>
          <w:tcPr>
            <w:tcW w:w="5000" w:type="pct"/>
            <w:shd w:val="clear" w:color="auto" w:fill="D0CECE" w:themeFill="background2" w:themeFillShade="E6"/>
          </w:tcPr>
          <w:p w:rsidR="00AB4056" w:rsidRPr="009C7945" w:rsidRDefault="00C65DE8" w:rsidP="009C7945">
            <w:pPr>
              <w:tabs>
                <w:tab w:val="left" w:pos="884"/>
                <w:tab w:val="left" w:pos="1196"/>
              </w:tabs>
              <w:spacing w:after="0"/>
              <w:ind w:firstLine="737"/>
              <w:jc w:val="both"/>
              <w:rPr>
                <w:rFonts w:ascii="Times New Roman" w:hAnsi="Times New Roman"/>
                <w:sz w:val="24"/>
                <w:szCs w:val="24"/>
              </w:rPr>
            </w:pPr>
            <w:r w:rsidRPr="009C7945">
              <w:rPr>
                <w:rFonts w:ascii="Times New Roman" w:hAnsi="Times New Roman"/>
                <w:b/>
                <w:iCs/>
                <w:sz w:val="24"/>
                <w:szCs w:val="24"/>
              </w:rPr>
              <w:t>2. Condițiile ce au impus elaborarea proiectului actului normativ</w:t>
            </w:r>
          </w:p>
        </w:tc>
      </w:tr>
      <w:tr w:rsidR="00AB4056" w:rsidRPr="009C7945" w:rsidTr="00DB6237">
        <w:trPr>
          <w:trHeight w:val="240"/>
        </w:trPr>
        <w:tc>
          <w:tcPr>
            <w:tcW w:w="5000" w:type="pct"/>
          </w:tcPr>
          <w:p w:rsidR="00AB4056" w:rsidRPr="009C7945" w:rsidRDefault="00C65DE8" w:rsidP="009C7945">
            <w:pPr>
              <w:spacing w:after="0"/>
              <w:ind w:firstLine="737"/>
              <w:jc w:val="both"/>
              <w:rPr>
                <w:rFonts w:ascii="Times New Roman" w:hAnsi="Times New Roman"/>
                <w:color w:val="000000"/>
                <w:sz w:val="24"/>
                <w:szCs w:val="24"/>
              </w:rPr>
            </w:pPr>
            <w:r w:rsidRPr="009C7945">
              <w:rPr>
                <w:rFonts w:ascii="Times New Roman" w:hAnsi="Times New Roman"/>
                <w:b/>
                <w:iCs/>
                <w:sz w:val="24"/>
                <w:szCs w:val="24"/>
              </w:rPr>
              <w:t>2.1</w:t>
            </w:r>
            <w:r w:rsidR="006A7826" w:rsidRPr="009C7945">
              <w:rPr>
                <w:rFonts w:ascii="Times New Roman" w:hAnsi="Times New Roman"/>
                <w:b/>
                <w:iCs/>
                <w:sz w:val="24"/>
                <w:szCs w:val="24"/>
              </w:rPr>
              <w:t>.</w:t>
            </w:r>
            <w:r w:rsidRPr="009C7945">
              <w:rPr>
                <w:rFonts w:ascii="Times New Roman" w:hAnsi="Times New Roman"/>
                <w:b/>
                <w:iCs/>
                <w:sz w:val="24"/>
                <w:szCs w:val="24"/>
              </w:rPr>
              <w:t xml:space="preserve"> </w:t>
            </w:r>
            <w:r w:rsidRPr="009C7945">
              <w:rPr>
                <w:rFonts w:ascii="Times New Roman" w:hAnsi="Times New Roman"/>
                <w:sz w:val="24"/>
                <w:szCs w:val="24"/>
              </w:rPr>
              <w:t>Temeiul legal sau, după caz, sursa proiectului actului normativ</w:t>
            </w:r>
          </w:p>
        </w:tc>
      </w:tr>
      <w:tr w:rsidR="00C65DE8" w:rsidRPr="009C7945" w:rsidTr="00FF208D">
        <w:trPr>
          <w:trHeight w:val="1594"/>
        </w:trPr>
        <w:tc>
          <w:tcPr>
            <w:tcW w:w="5000" w:type="pct"/>
          </w:tcPr>
          <w:p w:rsidR="006A7826" w:rsidRPr="009C7945" w:rsidRDefault="0009110E" w:rsidP="009C7945">
            <w:pPr>
              <w:spacing w:after="0"/>
              <w:ind w:firstLine="737"/>
              <w:jc w:val="both"/>
              <w:rPr>
                <w:rFonts w:ascii="Times New Roman" w:hAnsi="Times New Roman"/>
                <w:color w:val="000000"/>
                <w:sz w:val="24"/>
                <w:szCs w:val="24"/>
              </w:rPr>
            </w:pPr>
            <w:r w:rsidRPr="009C7945">
              <w:rPr>
                <w:rFonts w:ascii="Times New Roman" w:hAnsi="Times New Roman"/>
                <w:color w:val="000000"/>
                <w:sz w:val="24"/>
                <w:szCs w:val="24"/>
              </w:rPr>
              <w:t xml:space="preserve">Proiectul este elaborat în temeiul </w:t>
            </w:r>
            <w:r w:rsidR="002D329A" w:rsidRPr="009C7945">
              <w:rPr>
                <w:rFonts w:ascii="Times New Roman" w:hAnsi="Times New Roman"/>
                <w:color w:val="000000"/>
                <w:sz w:val="24"/>
                <w:szCs w:val="24"/>
              </w:rPr>
              <w:t>ar</w:t>
            </w:r>
            <w:r w:rsidR="009462FA" w:rsidRPr="009C7945">
              <w:rPr>
                <w:rFonts w:ascii="Times New Roman" w:hAnsi="Times New Roman"/>
                <w:color w:val="000000"/>
                <w:sz w:val="24"/>
                <w:szCs w:val="24"/>
              </w:rPr>
              <w:t xml:space="preserve">t. </w:t>
            </w:r>
            <w:r w:rsidR="005462E7" w:rsidRPr="009C7945">
              <w:rPr>
                <w:rFonts w:ascii="Times New Roman" w:hAnsi="Times New Roman"/>
                <w:color w:val="000000"/>
                <w:sz w:val="24"/>
                <w:szCs w:val="24"/>
              </w:rPr>
              <w:t xml:space="preserve">90 și </w:t>
            </w:r>
            <w:r w:rsidR="002D329A" w:rsidRPr="009C7945">
              <w:rPr>
                <w:rFonts w:ascii="Times New Roman" w:hAnsi="Times New Roman"/>
                <w:color w:val="000000"/>
                <w:sz w:val="24"/>
                <w:szCs w:val="24"/>
              </w:rPr>
              <w:t>1</w:t>
            </w:r>
            <w:r w:rsidR="00FB74A7" w:rsidRPr="009C7945">
              <w:rPr>
                <w:rFonts w:ascii="Times New Roman" w:hAnsi="Times New Roman"/>
                <w:color w:val="000000"/>
                <w:sz w:val="24"/>
                <w:szCs w:val="24"/>
              </w:rPr>
              <w:t>40</w:t>
            </w:r>
            <w:r w:rsidR="002D329A" w:rsidRPr="009C7945">
              <w:rPr>
                <w:rFonts w:ascii="Times New Roman" w:hAnsi="Times New Roman"/>
                <w:color w:val="000000"/>
                <w:sz w:val="24"/>
                <w:szCs w:val="24"/>
              </w:rPr>
              <w:t xml:space="preserve"> alin. (1) lit. </w:t>
            </w:r>
            <w:r w:rsidR="0037025B" w:rsidRPr="009C7945">
              <w:rPr>
                <w:rFonts w:ascii="Times New Roman" w:hAnsi="Times New Roman"/>
                <w:color w:val="000000"/>
                <w:sz w:val="24"/>
                <w:szCs w:val="24"/>
              </w:rPr>
              <w:t>b</w:t>
            </w:r>
            <w:r w:rsidR="002D329A" w:rsidRPr="009C7945">
              <w:rPr>
                <w:rFonts w:ascii="Times New Roman" w:hAnsi="Times New Roman"/>
                <w:color w:val="000000"/>
                <w:sz w:val="24"/>
                <w:szCs w:val="24"/>
              </w:rPr>
              <w:t>) din Codul educației al Republicii Moldova nr.152/2014 (Monitorul Oficial al Republicii Moldova, 2014, nr. 319-324, art. 634), cu modificările ulterioare</w:t>
            </w:r>
            <w:r w:rsidRPr="009C7945">
              <w:rPr>
                <w:rFonts w:ascii="Times New Roman" w:hAnsi="Times New Roman"/>
                <w:color w:val="000000"/>
                <w:sz w:val="24"/>
                <w:szCs w:val="24"/>
              </w:rPr>
              <w:t xml:space="preserve">, care statuează </w:t>
            </w:r>
            <w:r w:rsidR="00770BE5" w:rsidRPr="009C7945">
              <w:rPr>
                <w:rFonts w:ascii="Times New Roman" w:hAnsi="Times New Roman"/>
                <w:color w:val="000000"/>
                <w:sz w:val="24"/>
                <w:szCs w:val="24"/>
              </w:rPr>
              <w:t>esența, misiunea</w:t>
            </w:r>
            <w:r w:rsidR="00543E40" w:rsidRPr="009C7945">
              <w:rPr>
                <w:rFonts w:ascii="Times New Roman" w:hAnsi="Times New Roman"/>
                <w:color w:val="000000"/>
                <w:sz w:val="24"/>
                <w:szCs w:val="24"/>
              </w:rPr>
              <w:t xml:space="preserve">, </w:t>
            </w:r>
            <w:r w:rsidR="00770BE5" w:rsidRPr="009C7945">
              <w:rPr>
                <w:rFonts w:ascii="Times New Roman" w:hAnsi="Times New Roman"/>
                <w:color w:val="000000"/>
                <w:sz w:val="24"/>
                <w:szCs w:val="24"/>
              </w:rPr>
              <w:t xml:space="preserve">obiectivele </w:t>
            </w:r>
            <w:r w:rsidR="00543E40" w:rsidRPr="009C7945">
              <w:rPr>
                <w:rFonts w:ascii="Times New Roman" w:hAnsi="Times New Roman"/>
                <w:color w:val="000000"/>
                <w:sz w:val="24"/>
                <w:szCs w:val="24"/>
              </w:rPr>
              <w:t xml:space="preserve">și funcționalitatea </w:t>
            </w:r>
            <w:r w:rsidR="00770BE5" w:rsidRPr="009C7945">
              <w:rPr>
                <w:rFonts w:ascii="Times New Roman" w:hAnsi="Times New Roman"/>
                <w:color w:val="000000"/>
                <w:sz w:val="24"/>
                <w:szCs w:val="24"/>
              </w:rPr>
              <w:t xml:space="preserve">ciclului II al studiilor superioare, precum și faptul </w:t>
            </w:r>
            <w:r w:rsidRPr="009C7945">
              <w:rPr>
                <w:rFonts w:ascii="Times New Roman" w:hAnsi="Times New Roman"/>
                <w:color w:val="000000"/>
                <w:sz w:val="24"/>
                <w:szCs w:val="24"/>
              </w:rPr>
              <w:t>că</w:t>
            </w:r>
            <w:r w:rsidR="0037025B" w:rsidRPr="009C7945">
              <w:rPr>
                <w:rFonts w:ascii="Times New Roman" w:hAnsi="Times New Roman"/>
                <w:sz w:val="24"/>
                <w:szCs w:val="24"/>
              </w:rPr>
              <w:t xml:space="preserve"> </w:t>
            </w:r>
            <w:r w:rsidR="00770BE5" w:rsidRPr="009C7945">
              <w:rPr>
                <w:rFonts w:ascii="Times New Roman" w:hAnsi="Times New Roman"/>
                <w:sz w:val="24"/>
                <w:szCs w:val="24"/>
              </w:rPr>
              <w:t xml:space="preserve">anume </w:t>
            </w:r>
            <w:r w:rsidR="0037025B" w:rsidRPr="009C7945">
              <w:rPr>
                <w:rFonts w:ascii="Times New Roman" w:hAnsi="Times New Roman"/>
                <w:sz w:val="24"/>
                <w:szCs w:val="24"/>
              </w:rPr>
              <w:t xml:space="preserve">Ministerul Educației și Cercetării </w:t>
            </w:r>
            <w:r w:rsidR="0037025B" w:rsidRPr="009C7945">
              <w:rPr>
                <w:rFonts w:ascii="Times New Roman" w:hAnsi="Times New Roman"/>
                <w:color w:val="000000"/>
                <w:sz w:val="24"/>
                <w:szCs w:val="24"/>
              </w:rPr>
              <w:t xml:space="preserve">elaborează proiecte de alte acte normative în domeniul educației </w:t>
            </w:r>
            <w:r w:rsidR="00AA5842" w:rsidRPr="009C7945">
              <w:rPr>
                <w:rFonts w:ascii="Times New Roman" w:hAnsi="Times New Roman"/>
                <w:color w:val="000000"/>
                <w:sz w:val="24"/>
                <w:szCs w:val="24"/>
              </w:rPr>
              <w:t>și</w:t>
            </w:r>
            <w:r w:rsidR="0037025B" w:rsidRPr="009C7945">
              <w:rPr>
                <w:rFonts w:ascii="Times New Roman" w:hAnsi="Times New Roman"/>
                <w:color w:val="000000"/>
                <w:sz w:val="24"/>
                <w:szCs w:val="24"/>
              </w:rPr>
              <w:t xml:space="preserve"> cercetării în învățământul superior </w:t>
            </w:r>
            <w:r w:rsidR="00AA5842" w:rsidRPr="009C7945">
              <w:rPr>
                <w:rFonts w:ascii="Times New Roman" w:hAnsi="Times New Roman"/>
                <w:color w:val="000000"/>
                <w:sz w:val="24"/>
                <w:szCs w:val="24"/>
              </w:rPr>
              <w:t>și</w:t>
            </w:r>
            <w:r w:rsidR="0037025B" w:rsidRPr="009C7945">
              <w:rPr>
                <w:rFonts w:ascii="Times New Roman" w:hAnsi="Times New Roman"/>
                <w:color w:val="000000"/>
                <w:sz w:val="24"/>
                <w:szCs w:val="24"/>
              </w:rPr>
              <w:t xml:space="preserve"> exercită controlul de stat asupra respectării acestora</w:t>
            </w:r>
            <w:r w:rsidR="009462FA" w:rsidRPr="009C7945">
              <w:rPr>
                <w:rFonts w:ascii="Times New Roman" w:hAnsi="Times New Roman"/>
                <w:color w:val="000000"/>
                <w:sz w:val="24"/>
                <w:szCs w:val="24"/>
              </w:rPr>
              <w:t>.</w:t>
            </w:r>
            <w:r w:rsidR="00AA5842" w:rsidRPr="009C7945">
              <w:rPr>
                <w:rFonts w:ascii="Times New Roman" w:hAnsi="Times New Roman"/>
                <w:color w:val="000000"/>
                <w:sz w:val="24"/>
                <w:szCs w:val="24"/>
              </w:rPr>
              <w:t xml:space="preserve"> </w:t>
            </w:r>
          </w:p>
        </w:tc>
      </w:tr>
      <w:tr w:rsidR="006A7826" w:rsidRPr="009C7945" w:rsidTr="00DB6237">
        <w:trPr>
          <w:trHeight w:val="272"/>
        </w:trPr>
        <w:tc>
          <w:tcPr>
            <w:tcW w:w="5000" w:type="pct"/>
          </w:tcPr>
          <w:p w:rsidR="006A7826" w:rsidRPr="009C7945" w:rsidRDefault="006A7826" w:rsidP="009C7945">
            <w:pPr>
              <w:spacing w:after="0"/>
              <w:ind w:firstLine="737"/>
              <w:jc w:val="both"/>
              <w:rPr>
                <w:rFonts w:ascii="Times New Roman" w:hAnsi="Times New Roman"/>
                <w:color w:val="000000"/>
                <w:sz w:val="24"/>
                <w:szCs w:val="24"/>
              </w:rPr>
            </w:pPr>
            <w:r w:rsidRPr="009C7945">
              <w:rPr>
                <w:rFonts w:ascii="Times New Roman" w:hAnsi="Times New Roman"/>
                <w:b/>
                <w:bCs/>
                <w:color w:val="000000"/>
                <w:sz w:val="24"/>
                <w:szCs w:val="24"/>
              </w:rPr>
              <w:t>2.2.</w:t>
            </w:r>
            <w:r w:rsidRPr="009C7945">
              <w:rPr>
                <w:rFonts w:ascii="Times New Roman" w:hAnsi="Times New Roman"/>
                <w:color w:val="000000"/>
                <w:sz w:val="24"/>
                <w:szCs w:val="24"/>
              </w:rPr>
              <w:t xml:space="preserve"> Descrierea situației actuale și a problemelor care impun intervenția, inclusiv a cadrului normativ aplicabil și a deficiențelor/lacunelor normative.</w:t>
            </w:r>
          </w:p>
        </w:tc>
      </w:tr>
      <w:tr w:rsidR="00AB4056" w:rsidRPr="009C7945" w:rsidTr="00DB6237">
        <w:tc>
          <w:tcPr>
            <w:tcW w:w="5000" w:type="pct"/>
          </w:tcPr>
          <w:p w:rsidR="00332015" w:rsidRPr="009C7945" w:rsidRDefault="00FF208D" w:rsidP="009C7945">
            <w:pPr>
              <w:tabs>
                <w:tab w:val="left" w:pos="884"/>
                <w:tab w:val="left" w:pos="1196"/>
              </w:tabs>
              <w:spacing w:after="0"/>
              <w:ind w:firstLine="737"/>
              <w:jc w:val="both"/>
              <w:rPr>
                <w:rFonts w:ascii="Times New Roman" w:hAnsi="Times New Roman"/>
                <w:sz w:val="24"/>
                <w:szCs w:val="24"/>
              </w:rPr>
            </w:pPr>
            <w:r w:rsidRPr="009C7945">
              <w:rPr>
                <w:rFonts w:ascii="Times New Roman" w:hAnsi="Times New Roman"/>
                <w:sz w:val="24"/>
                <w:szCs w:val="24"/>
              </w:rPr>
              <w:t>Master</w:t>
            </w:r>
            <w:r w:rsidR="00656532" w:rsidRPr="009C7945">
              <w:rPr>
                <w:rFonts w:ascii="Times New Roman" w:hAnsi="Times New Roman"/>
                <w:sz w:val="24"/>
                <w:szCs w:val="24"/>
              </w:rPr>
              <w:t>atul</w:t>
            </w:r>
            <w:r w:rsidRPr="009C7945">
              <w:rPr>
                <w:rFonts w:ascii="Times New Roman" w:hAnsi="Times New Roman"/>
                <w:sz w:val="24"/>
                <w:szCs w:val="24"/>
              </w:rPr>
              <w:t xml:space="preserve"> este al doilea ciclu de studii superioare, destinat aprofundării cunoștințelor într-un domeniu specific sau pentru dezvoltarea unor competențe transversale/ capacităților de cercetare științifică sau de creare artistică. </w:t>
            </w:r>
            <w:r w:rsidR="00F2663E" w:rsidRPr="009C7945">
              <w:rPr>
                <w:rFonts w:ascii="Times New Roman" w:hAnsi="Times New Roman"/>
                <w:sz w:val="24"/>
                <w:szCs w:val="24"/>
              </w:rPr>
              <w:t xml:space="preserve">La moment, instituțiile de învățământ superior </w:t>
            </w:r>
            <w:r w:rsidR="00A4049C" w:rsidRPr="009C7945">
              <w:rPr>
                <w:rFonts w:ascii="Times New Roman" w:hAnsi="Times New Roman"/>
                <w:sz w:val="24"/>
                <w:szCs w:val="24"/>
              </w:rPr>
              <w:t xml:space="preserve">din țara noastră </w:t>
            </w:r>
            <w:r w:rsidR="00F2663E" w:rsidRPr="009C7945">
              <w:rPr>
                <w:rFonts w:ascii="Times New Roman" w:hAnsi="Times New Roman"/>
                <w:sz w:val="24"/>
                <w:szCs w:val="24"/>
              </w:rPr>
              <w:t xml:space="preserve">organizează cca 300 de programe de master, autorizate provizoriu sau acreditate. </w:t>
            </w:r>
            <w:r w:rsidRPr="009C7945">
              <w:rPr>
                <w:rFonts w:ascii="Times New Roman" w:hAnsi="Times New Roman"/>
                <w:sz w:val="24"/>
                <w:szCs w:val="24"/>
              </w:rPr>
              <w:t xml:space="preserve">Necesitatea modificării Regulamentului de organizare și desfășurare a studiilor superioare de master rezultă din evoluțiile curente din învățământul superior, </w:t>
            </w:r>
            <w:r w:rsidR="006A5C53" w:rsidRPr="009C7945">
              <w:rPr>
                <w:rFonts w:ascii="Times New Roman" w:hAnsi="Times New Roman"/>
                <w:sz w:val="24"/>
                <w:szCs w:val="24"/>
              </w:rPr>
              <w:t xml:space="preserve">elaborarea/modificarea actelor normative în domeniu, </w:t>
            </w:r>
            <w:r w:rsidRPr="009C7945">
              <w:rPr>
                <w:rFonts w:ascii="Times New Roman" w:hAnsi="Times New Roman"/>
                <w:sz w:val="24"/>
                <w:szCs w:val="24"/>
              </w:rPr>
              <w:t>cerințele pieței muncii și necesitatea creșterii calității, relevanței și atractivității programelor de master.</w:t>
            </w:r>
            <w:r w:rsidR="0058137E" w:rsidRPr="009C7945">
              <w:rPr>
                <w:rFonts w:ascii="Times New Roman" w:hAnsi="Times New Roman"/>
                <w:sz w:val="24"/>
                <w:szCs w:val="24"/>
              </w:rPr>
              <w:t xml:space="preserve"> </w:t>
            </w:r>
            <w:r w:rsidR="00FA588C" w:rsidRPr="009C7945">
              <w:rPr>
                <w:rFonts w:ascii="Times New Roman" w:hAnsi="Times New Roman"/>
                <w:sz w:val="24"/>
                <w:szCs w:val="24"/>
              </w:rPr>
              <w:t xml:space="preserve">În esență, actualizarea este imperativă pentru a asigura coerența juridică, calitatea academică și funcționalitatea optimă a programelor de master. Printre problemele care impun intervenția </w:t>
            </w:r>
            <w:r w:rsidR="00332015" w:rsidRPr="009C7945">
              <w:rPr>
                <w:rFonts w:ascii="Times New Roman" w:hAnsi="Times New Roman"/>
                <w:sz w:val="24"/>
                <w:szCs w:val="24"/>
              </w:rPr>
              <w:t>în Regulamentul actual</w:t>
            </w:r>
            <w:r w:rsidR="00682DE1" w:rsidRPr="009C7945">
              <w:rPr>
                <w:rFonts w:ascii="Times New Roman" w:hAnsi="Times New Roman"/>
                <w:sz w:val="24"/>
                <w:szCs w:val="24"/>
              </w:rPr>
              <w:t xml:space="preserve">, </w:t>
            </w:r>
            <w:r w:rsidR="00E14593" w:rsidRPr="009C7945">
              <w:rPr>
                <w:rFonts w:ascii="Times New Roman" w:hAnsi="Times New Roman"/>
                <w:sz w:val="24"/>
                <w:szCs w:val="24"/>
              </w:rPr>
              <w:t>se evidențiază</w:t>
            </w:r>
            <w:r w:rsidR="00332015" w:rsidRPr="009C7945">
              <w:rPr>
                <w:rFonts w:ascii="Times New Roman" w:hAnsi="Times New Roman"/>
                <w:sz w:val="24"/>
                <w:szCs w:val="24"/>
              </w:rPr>
              <w:t xml:space="preserve"> următoarelor aspecte</w:t>
            </w:r>
            <w:r w:rsidR="00656532" w:rsidRPr="009C7945">
              <w:rPr>
                <w:rFonts w:ascii="Times New Roman" w:hAnsi="Times New Roman"/>
                <w:sz w:val="24"/>
                <w:szCs w:val="24"/>
              </w:rPr>
              <w:t>-</w:t>
            </w:r>
            <w:r w:rsidR="00332015" w:rsidRPr="009C7945">
              <w:rPr>
                <w:rFonts w:ascii="Times New Roman" w:hAnsi="Times New Roman"/>
                <w:sz w:val="24"/>
                <w:szCs w:val="24"/>
              </w:rPr>
              <w:t>cheie:</w:t>
            </w:r>
          </w:p>
          <w:p w:rsidR="00332015" w:rsidRPr="009C7945" w:rsidRDefault="00332015" w:rsidP="009C7945">
            <w:pPr>
              <w:pStyle w:val="Listparagraf"/>
              <w:numPr>
                <w:ilvl w:val="0"/>
                <w:numId w:val="18"/>
              </w:numPr>
              <w:tabs>
                <w:tab w:val="left" w:pos="884"/>
                <w:tab w:val="left" w:pos="1196"/>
              </w:tabs>
              <w:spacing w:after="0" w:line="276" w:lineRule="auto"/>
              <w:ind w:left="0" w:firstLine="0"/>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Deficiențe de corelare între prevederile actuale și criteriile de admitere</w:t>
            </w:r>
            <w:r w:rsidR="00E14593" w:rsidRPr="009C7945">
              <w:rPr>
                <w:rFonts w:ascii="Times New Roman" w:hAnsi="Times New Roman" w:cs="Times New Roman"/>
                <w:sz w:val="24"/>
                <w:szCs w:val="24"/>
                <w:lang w:val="ro-RO"/>
              </w:rPr>
              <w:t xml:space="preserve"> </w:t>
            </w:r>
            <w:r w:rsidRPr="009C7945">
              <w:rPr>
                <w:rFonts w:ascii="Times New Roman" w:hAnsi="Times New Roman" w:cs="Times New Roman"/>
                <w:sz w:val="24"/>
                <w:szCs w:val="24"/>
                <w:lang w:val="ro-RO"/>
              </w:rPr>
              <w:t xml:space="preserve">și </w:t>
            </w:r>
            <w:r w:rsidR="00E14593" w:rsidRPr="009C7945">
              <w:rPr>
                <w:rFonts w:ascii="Times New Roman" w:hAnsi="Times New Roman" w:cs="Times New Roman"/>
                <w:sz w:val="24"/>
                <w:szCs w:val="24"/>
                <w:lang w:val="ro-RO"/>
              </w:rPr>
              <w:t xml:space="preserve">de </w:t>
            </w:r>
            <w:r w:rsidRPr="009C7945">
              <w:rPr>
                <w:rFonts w:ascii="Times New Roman" w:hAnsi="Times New Roman" w:cs="Times New Roman"/>
                <w:sz w:val="24"/>
                <w:szCs w:val="24"/>
                <w:lang w:val="ro-RO"/>
              </w:rPr>
              <w:t>finalizare specifice programelor de master;</w:t>
            </w:r>
          </w:p>
          <w:p w:rsidR="00504421" w:rsidRPr="009C7945" w:rsidRDefault="00332015" w:rsidP="009C7945">
            <w:pPr>
              <w:pStyle w:val="Listparagraf"/>
              <w:numPr>
                <w:ilvl w:val="0"/>
                <w:numId w:val="18"/>
              </w:numPr>
              <w:tabs>
                <w:tab w:val="left" w:pos="884"/>
                <w:tab w:val="left" w:pos="1196"/>
              </w:tabs>
              <w:spacing w:after="0" w:line="276" w:lineRule="auto"/>
              <w:ind w:left="0" w:firstLine="0"/>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Probleme în implementare</w:t>
            </w:r>
            <w:r w:rsidR="00656532" w:rsidRPr="009C7945">
              <w:rPr>
                <w:rFonts w:ascii="Times New Roman" w:hAnsi="Times New Roman" w:cs="Times New Roman"/>
                <w:sz w:val="24"/>
                <w:szCs w:val="24"/>
                <w:lang w:val="ro-RO"/>
              </w:rPr>
              <w:t>a</w:t>
            </w:r>
            <w:r w:rsidRPr="009C7945">
              <w:rPr>
                <w:rFonts w:ascii="Times New Roman" w:hAnsi="Times New Roman" w:cs="Times New Roman"/>
                <w:sz w:val="24"/>
                <w:szCs w:val="24"/>
                <w:lang w:val="ro-RO"/>
              </w:rPr>
              <w:t xml:space="preserve"> sau ambiguitatea în ceea ce privește organizarea procesului didactic (ex: credite, discipline, practică) și standardele de evaluare la nivel de master;</w:t>
            </w:r>
          </w:p>
          <w:p w:rsidR="006A5C53" w:rsidRPr="009C7945" w:rsidRDefault="00332015" w:rsidP="009C7945">
            <w:pPr>
              <w:pStyle w:val="Listparagraf"/>
              <w:numPr>
                <w:ilvl w:val="0"/>
                <w:numId w:val="18"/>
              </w:numPr>
              <w:tabs>
                <w:tab w:val="left" w:pos="884"/>
                <w:tab w:val="left" w:pos="1196"/>
              </w:tabs>
              <w:spacing w:after="0" w:line="276" w:lineRule="auto"/>
              <w:ind w:left="0" w:firstLine="0"/>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Necesitatea de integrare a bunelor practici și a cerințelor naționale/europene privind asigurarea calității în învățământul superior la acest nivel de calificare</w:t>
            </w:r>
            <w:r w:rsidR="00A4049C" w:rsidRPr="009C7945">
              <w:rPr>
                <w:rFonts w:ascii="Times New Roman" w:hAnsi="Times New Roman" w:cs="Times New Roman"/>
                <w:sz w:val="24"/>
                <w:szCs w:val="24"/>
                <w:lang w:val="ro-RO"/>
              </w:rPr>
              <w:t xml:space="preserve"> etc</w:t>
            </w:r>
            <w:r w:rsidRPr="009C7945">
              <w:rPr>
                <w:rFonts w:ascii="Times New Roman" w:hAnsi="Times New Roman" w:cs="Times New Roman"/>
                <w:sz w:val="24"/>
                <w:szCs w:val="24"/>
                <w:lang w:val="ro-RO"/>
              </w:rPr>
              <w:t>.</w:t>
            </w:r>
          </w:p>
          <w:p w:rsidR="00FF208D" w:rsidRPr="009C7945" w:rsidRDefault="00B62DB8" w:rsidP="009C7945">
            <w:pPr>
              <w:tabs>
                <w:tab w:val="left" w:pos="884"/>
                <w:tab w:val="left" w:pos="1196"/>
              </w:tabs>
              <w:spacing w:after="0"/>
              <w:ind w:firstLine="737"/>
              <w:jc w:val="both"/>
              <w:rPr>
                <w:rFonts w:ascii="Times New Roman" w:hAnsi="Times New Roman"/>
                <w:sz w:val="24"/>
                <w:szCs w:val="24"/>
              </w:rPr>
            </w:pPr>
            <w:r w:rsidRPr="009C7945">
              <w:rPr>
                <w:rFonts w:ascii="Times New Roman" w:hAnsi="Times New Roman"/>
                <w:sz w:val="24"/>
                <w:szCs w:val="24"/>
              </w:rPr>
              <w:t xml:space="preserve">Astfel, în contextul elaborării/modificării cadrului normativ aplicabil la nivelul studiilor superioare, implicit, programelor de master, se impune necesitatea racordării la următoarele acte normative: </w:t>
            </w:r>
          </w:p>
          <w:p w:rsidR="00552613" w:rsidRPr="009C7945" w:rsidRDefault="00FF4CC9" w:rsidP="009C7945">
            <w:pPr>
              <w:tabs>
                <w:tab w:val="left" w:pos="884"/>
                <w:tab w:val="left" w:pos="1196"/>
              </w:tabs>
              <w:spacing w:after="0"/>
              <w:jc w:val="both"/>
              <w:rPr>
                <w:rFonts w:ascii="Times New Roman" w:hAnsi="Times New Roman"/>
                <w:sz w:val="24"/>
                <w:szCs w:val="24"/>
              </w:rPr>
            </w:pPr>
            <w:r w:rsidRPr="009C7945">
              <w:rPr>
                <w:rFonts w:ascii="Times New Roman" w:hAnsi="Times New Roman"/>
                <w:sz w:val="24"/>
                <w:szCs w:val="24"/>
              </w:rPr>
              <w:t xml:space="preserve"> </w:t>
            </w:r>
            <w:r w:rsidR="006E0653" w:rsidRPr="009C7945">
              <w:rPr>
                <w:rFonts w:ascii="Times New Roman" w:hAnsi="Times New Roman"/>
                <w:sz w:val="24"/>
                <w:szCs w:val="24"/>
              </w:rPr>
              <w:t xml:space="preserve">- </w:t>
            </w:r>
            <w:r w:rsidR="00656532" w:rsidRPr="009C7945">
              <w:rPr>
                <w:rFonts w:ascii="Times New Roman" w:hAnsi="Times New Roman"/>
                <w:sz w:val="24"/>
                <w:szCs w:val="24"/>
              </w:rPr>
              <w:t>Noile m</w:t>
            </w:r>
            <w:r w:rsidR="00552613" w:rsidRPr="009C7945">
              <w:rPr>
                <w:rFonts w:ascii="Times New Roman" w:hAnsi="Times New Roman"/>
                <w:sz w:val="24"/>
                <w:szCs w:val="24"/>
              </w:rPr>
              <w:t xml:space="preserve">odificări la Codul educației </w:t>
            </w:r>
            <w:r w:rsidR="00E9797A" w:rsidRPr="009C7945">
              <w:rPr>
                <w:rFonts w:ascii="Times New Roman" w:hAnsi="Times New Roman"/>
                <w:sz w:val="24"/>
                <w:szCs w:val="24"/>
              </w:rPr>
              <w:t xml:space="preserve">nr.152/2014 </w:t>
            </w:r>
            <w:r w:rsidR="00552613" w:rsidRPr="009C7945">
              <w:rPr>
                <w:rFonts w:ascii="Times New Roman" w:hAnsi="Times New Roman"/>
                <w:sz w:val="24"/>
                <w:szCs w:val="24"/>
              </w:rPr>
              <w:t xml:space="preserve">cu privire la cadrele didactice și </w:t>
            </w:r>
            <w:proofErr w:type="spellStart"/>
            <w:r w:rsidR="00552613" w:rsidRPr="009C7945">
              <w:rPr>
                <w:rFonts w:ascii="Times New Roman" w:hAnsi="Times New Roman"/>
                <w:sz w:val="24"/>
                <w:szCs w:val="24"/>
              </w:rPr>
              <w:t>științifico</w:t>
            </w:r>
            <w:proofErr w:type="spellEnd"/>
            <w:r w:rsidR="00552613" w:rsidRPr="009C7945">
              <w:rPr>
                <w:rFonts w:ascii="Times New Roman" w:hAnsi="Times New Roman"/>
                <w:sz w:val="24"/>
                <w:szCs w:val="24"/>
              </w:rPr>
              <w:t>-didactice încadrate în sistemul universitar (</w:t>
            </w:r>
            <w:r w:rsidR="007F6CE0" w:rsidRPr="009C7945">
              <w:rPr>
                <w:rFonts w:ascii="Times New Roman" w:hAnsi="Times New Roman"/>
                <w:sz w:val="24"/>
                <w:szCs w:val="24"/>
              </w:rPr>
              <w:t>LP 108/</w:t>
            </w:r>
            <w:r w:rsidR="00656532" w:rsidRPr="009C7945">
              <w:rPr>
                <w:rFonts w:ascii="Times New Roman" w:hAnsi="Times New Roman"/>
                <w:sz w:val="24"/>
                <w:szCs w:val="24"/>
              </w:rPr>
              <w:t>20</w:t>
            </w:r>
            <w:r w:rsidR="007F6CE0" w:rsidRPr="009C7945">
              <w:rPr>
                <w:rFonts w:ascii="Times New Roman" w:hAnsi="Times New Roman"/>
                <w:sz w:val="24"/>
                <w:szCs w:val="24"/>
              </w:rPr>
              <w:t>24);</w:t>
            </w:r>
          </w:p>
          <w:p w:rsidR="00795007" w:rsidRPr="009C7945" w:rsidRDefault="00552613" w:rsidP="009C7945">
            <w:pPr>
              <w:tabs>
                <w:tab w:val="left" w:pos="884"/>
                <w:tab w:val="left" w:pos="1196"/>
              </w:tabs>
              <w:spacing w:after="0"/>
              <w:jc w:val="both"/>
              <w:rPr>
                <w:rFonts w:ascii="Times New Roman" w:hAnsi="Times New Roman"/>
                <w:sz w:val="24"/>
                <w:szCs w:val="24"/>
              </w:rPr>
            </w:pPr>
            <w:r w:rsidRPr="009C7945">
              <w:rPr>
                <w:rFonts w:ascii="Times New Roman" w:hAnsi="Times New Roman"/>
                <w:sz w:val="24"/>
                <w:szCs w:val="24"/>
              </w:rPr>
              <w:t xml:space="preserve"> - </w:t>
            </w:r>
            <w:r w:rsidR="006E0653" w:rsidRPr="009C7945">
              <w:rPr>
                <w:rFonts w:ascii="Times New Roman" w:hAnsi="Times New Roman"/>
                <w:sz w:val="24"/>
                <w:szCs w:val="24"/>
              </w:rPr>
              <w:t>Aprobarea prin HG 164/2025 a noului Regulament-cadru de organizare și desfășurare a învățământului la distanță și cu frecvență redusă</w:t>
            </w:r>
            <w:r w:rsidR="00795007" w:rsidRPr="009C7945">
              <w:rPr>
                <w:rFonts w:ascii="Times New Roman" w:hAnsi="Times New Roman"/>
                <w:sz w:val="24"/>
                <w:szCs w:val="24"/>
              </w:rPr>
              <w:t>,</w:t>
            </w:r>
            <w:r w:rsidR="00083A65" w:rsidRPr="009C7945">
              <w:rPr>
                <w:rFonts w:ascii="Times New Roman" w:hAnsi="Times New Roman"/>
                <w:sz w:val="24"/>
                <w:szCs w:val="24"/>
              </w:rPr>
              <w:t xml:space="preserve"> </w:t>
            </w:r>
            <w:r w:rsidR="00795007" w:rsidRPr="009C7945">
              <w:rPr>
                <w:rFonts w:ascii="Times New Roman" w:hAnsi="Times New Roman"/>
                <w:sz w:val="24"/>
                <w:szCs w:val="24"/>
              </w:rPr>
              <w:t>în scopul diversificării ofertei educaționale a modalităților de instruire, dezvoltării programe de studii flexibile;</w:t>
            </w:r>
          </w:p>
          <w:p w:rsidR="00574B0F" w:rsidRPr="009C7945" w:rsidRDefault="00FF4CC9" w:rsidP="009C7945">
            <w:pPr>
              <w:tabs>
                <w:tab w:val="left" w:pos="884"/>
                <w:tab w:val="left" w:pos="1196"/>
              </w:tabs>
              <w:spacing w:after="0"/>
              <w:jc w:val="both"/>
              <w:rPr>
                <w:rFonts w:ascii="Times New Roman" w:hAnsi="Times New Roman"/>
                <w:sz w:val="24"/>
                <w:szCs w:val="24"/>
              </w:rPr>
            </w:pPr>
            <w:r w:rsidRPr="009C7945">
              <w:rPr>
                <w:rFonts w:ascii="Times New Roman" w:hAnsi="Times New Roman"/>
                <w:sz w:val="24"/>
                <w:szCs w:val="24"/>
              </w:rPr>
              <w:t xml:space="preserve"> </w:t>
            </w:r>
            <w:r w:rsidR="00795007" w:rsidRPr="009C7945">
              <w:rPr>
                <w:rFonts w:ascii="Times New Roman" w:hAnsi="Times New Roman"/>
                <w:sz w:val="24"/>
                <w:szCs w:val="24"/>
              </w:rPr>
              <w:t xml:space="preserve">- </w:t>
            </w:r>
            <w:r w:rsidR="005F7971" w:rsidRPr="009C7945">
              <w:rPr>
                <w:rFonts w:ascii="Times New Roman" w:hAnsi="Times New Roman"/>
                <w:sz w:val="24"/>
                <w:szCs w:val="24"/>
              </w:rPr>
              <w:t xml:space="preserve">Aprobarea unui nou Plan-cadru pentru studii superioare de licență, master și integrate, aprobat prin Ordinul Ministrului educației și cercetării nr. 510/2025 </w:t>
            </w:r>
            <w:r w:rsidR="005A37EB" w:rsidRPr="009C7945">
              <w:rPr>
                <w:rFonts w:ascii="Times New Roman" w:hAnsi="Times New Roman"/>
                <w:sz w:val="24"/>
                <w:szCs w:val="24"/>
              </w:rPr>
              <w:t>(Monitorul Oficial</w:t>
            </w:r>
            <w:r w:rsidR="006E0653" w:rsidRPr="009C7945">
              <w:rPr>
                <w:rFonts w:ascii="Times New Roman" w:hAnsi="Times New Roman"/>
                <w:sz w:val="24"/>
                <w:szCs w:val="24"/>
              </w:rPr>
              <w:t>, 2025,</w:t>
            </w:r>
            <w:r w:rsidR="005A37EB" w:rsidRPr="009C7945">
              <w:rPr>
                <w:rFonts w:ascii="Times New Roman" w:hAnsi="Times New Roman"/>
                <w:sz w:val="24"/>
                <w:szCs w:val="24"/>
              </w:rPr>
              <w:t xml:space="preserve"> Nr. 193-194 art. 275</w:t>
            </w:r>
            <w:r w:rsidR="00AA402E" w:rsidRPr="009C7945">
              <w:rPr>
                <w:rFonts w:ascii="Times New Roman" w:hAnsi="Times New Roman"/>
                <w:sz w:val="24"/>
                <w:szCs w:val="24"/>
              </w:rPr>
              <w:t>), care stipulează criteriile de inițiere, aprobare și organizare a programelor de studii</w:t>
            </w:r>
            <w:r w:rsidR="00A4049C" w:rsidRPr="009C7945">
              <w:rPr>
                <w:rFonts w:ascii="Times New Roman" w:hAnsi="Times New Roman"/>
                <w:sz w:val="24"/>
                <w:szCs w:val="24"/>
              </w:rPr>
              <w:t xml:space="preserve"> superioare</w:t>
            </w:r>
            <w:r w:rsidR="00AA402E" w:rsidRPr="009C7945">
              <w:rPr>
                <w:rFonts w:ascii="Times New Roman" w:hAnsi="Times New Roman"/>
                <w:sz w:val="24"/>
                <w:szCs w:val="24"/>
              </w:rPr>
              <w:t>;</w:t>
            </w:r>
          </w:p>
          <w:p w:rsidR="00AA402E" w:rsidRPr="009C7945" w:rsidRDefault="00FF4CC9" w:rsidP="009C7945">
            <w:pPr>
              <w:tabs>
                <w:tab w:val="left" w:pos="884"/>
                <w:tab w:val="left" w:pos="1196"/>
              </w:tabs>
              <w:spacing w:after="0"/>
              <w:jc w:val="both"/>
              <w:rPr>
                <w:rFonts w:ascii="Times New Roman" w:hAnsi="Times New Roman"/>
                <w:sz w:val="24"/>
                <w:szCs w:val="24"/>
              </w:rPr>
            </w:pPr>
            <w:r w:rsidRPr="009C7945">
              <w:rPr>
                <w:rFonts w:ascii="Times New Roman" w:hAnsi="Times New Roman"/>
                <w:sz w:val="24"/>
                <w:szCs w:val="24"/>
              </w:rPr>
              <w:lastRenderedPageBreak/>
              <w:t xml:space="preserve"> </w:t>
            </w:r>
            <w:r w:rsidR="00AA402E" w:rsidRPr="009C7945">
              <w:rPr>
                <w:rFonts w:ascii="Times New Roman" w:hAnsi="Times New Roman"/>
                <w:sz w:val="24"/>
                <w:szCs w:val="24"/>
              </w:rPr>
              <w:t xml:space="preserve">- </w:t>
            </w:r>
            <w:r w:rsidR="00312215" w:rsidRPr="009C7945">
              <w:rPr>
                <w:rFonts w:ascii="Times New Roman" w:hAnsi="Times New Roman"/>
                <w:sz w:val="24"/>
                <w:szCs w:val="24"/>
              </w:rPr>
              <w:t>Aprobarea unui nou Nomenclator al domeniilor si specialităților în învățământul superior (</w:t>
            </w:r>
            <w:r w:rsidR="00A4049C" w:rsidRPr="009C7945">
              <w:rPr>
                <w:rFonts w:ascii="Times New Roman" w:hAnsi="Times New Roman"/>
                <w:sz w:val="24"/>
                <w:szCs w:val="24"/>
              </w:rPr>
              <w:t xml:space="preserve">HG </w:t>
            </w:r>
            <w:r w:rsidR="00312215" w:rsidRPr="009C7945">
              <w:rPr>
                <w:rFonts w:ascii="Times New Roman" w:hAnsi="Times New Roman"/>
                <w:sz w:val="24"/>
                <w:szCs w:val="24"/>
              </w:rPr>
              <w:t>nr. 412/2024</w:t>
            </w:r>
            <w:r w:rsidR="00A4049C" w:rsidRPr="009C7945">
              <w:rPr>
                <w:rFonts w:ascii="Times New Roman" w:hAnsi="Times New Roman"/>
                <w:sz w:val="24"/>
                <w:szCs w:val="24"/>
              </w:rPr>
              <w:t>, cu modificările ulterioare</w:t>
            </w:r>
            <w:r w:rsidR="00312215" w:rsidRPr="009C7945">
              <w:rPr>
                <w:rFonts w:ascii="Times New Roman" w:hAnsi="Times New Roman"/>
                <w:sz w:val="24"/>
                <w:szCs w:val="24"/>
              </w:rPr>
              <w:t>)</w:t>
            </w:r>
            <w:r w:rsidR="007E3CDC" w:rsidRPr="009C7945">
              <w:rPr>
                <w:rFonts w:ascii="Times New Roman" w:hAnsi="Times New Roman"/>
                <w:sz w:val="24"/>
                <w:szCs w:val="24"/>
              </w:rPr>
              <w:t xml:space="preserve"> cu domenii </w:t>
            </w:r>
            <w:r w:rsidR="00A4049C" w:rsidRPr="009C7945">
              <w:rPr>
                <w:rFonts w:ascii="Times New Roman" w:hAnsi="Times New Roman"/>
                <w:sz w:val="24"/>
                <w:szCs w:val="24"/>
              </w:rPr>
              <w:t>ș</w:t>
            </w:r>
            <w:r w:rsidR="007E3CDC" w:rsidRPr="009C7945">
              <w:rPr>
                <w:rFonts w:ascii="Times New Roman" w:hAnsi="Times New Roman"/>
                <w:sz w:val="24"/>
                <w:szCs w:val="24"/>
              </w:rPr>
              <w:t xml:space="preserve">i specialități noi; </w:t>
            </w:r>
          </w:p>
          <w:p w:rsidR="007E3CDC" w:rsidRPr="009C7945" w:rsidRDefault="00FF4CC9" w:rsidP="009C7945">
            <w:pPr>
              <w:tabs>
                <w:tab w:val="left" w:pos="884"/>
                <w:tab w:val="left" w:pos="1196"/>
              </w:tabs>
              <w:spacing w:after="0"/>
              <w:jc w:val="both"/>
              <w:rPr>
                <w:rFonts w:ascii="Times New Roman" w:hAnsi="Times New Roman"/>
                <w:sz w:val="24"/>
                <w:szCs w:val="24"/>
              </w:rPr>
            </w:pPr>
            <w:r w:rsidRPr="009C7945">
              <w:rPr>
                <w:rFonts w:ascii="Times New Roman" w:hAnsi="Times New Roman"/>
                <w:sz w:val="24"/>
                <w:szCs w:val="24"/>
              </w:rPr>
              <w:t xml:space="preserve"> </w:t>
            </w:r>
            <w:r w:rsidR="007E3CDC" w:rsidRPr="009C7945">
              <w:rPr>
                <w:rFonts w:ascii="Times New Roman" w:hAnsi="Times New Roman"/>
                <w:sz w:val="24"/>
                <w:szCs w:val="24"/>
              </w:rPr>
              <w:t xml:space="preserve">- Organizarea admiterii la studii superioare </w:t>
            </w:r>
            <w:r w:rsidR="007E3CDC" w:rsidRPr="009C7945">
              <w:rPr>
                <w:rFonts w:ascii="Times New Roman" w:hAnsi="Times New Roman"/>
                <w:b/>
                <w:bCs/>
                <w:sz w:val="24"/>
                <w:szCs w:val="24"/>
              </w:rPr>
              <w:t>doar online</w:t>
            </w:r>
            <w:r w:rsidR="007E3CDC" w:rsidRPr="009C7945">
              <w:rPr>
                <w:rFonts w:ascii="Times New Roman" w:hAnsi="Times New Roman"/>
                <w:sz w:val="24"/>
                <w:szCs w:val="24"/>
              </w:rPr>
              <w:t xml:space="preserve">, utilizând sistemul informațional </w:t>
            </w:r>
            <w:proofErr w:type="spellStart"/>
            <w:r w:rsidR="007E3CDC" w:rsidRPr="009C7945">
              <w:rPr>
                <w:rFonts w:ascii="Times New Roman" w:hAnsi="Times New Roman"/>
                <w:b/>
                <w:bCs/>
                <w:sz w:val="24"/>
                <w:szCs w:val="24"/>
              </w:rPr>
              <w:t>eAdmitere</w:t>
            </w:r>
            <w:proofErr w:type="spellEnd"/>
            <w:r w:rsidR="00E45AD4" w:rsidRPr="009C7945">
              <w:rPr>
                <w:rFonts w:ascii="Times New Roman" w:hAnsi="Times New Roman"/>
                <w:sz w:val="24"/>
                <w:szCs w:val="24"/>
              </w:rPr>
              <w:t xml:space="preserve">, în baza Conceptului Sistemului informațional „e-Admitere” în învățământul superior </w:t>
            </w:r>
            <w:r w:rsidR="00A4049C" w:rsidRPr="009C7945">
              <w:rPr>
                <w:rFonts w:ascii="Times New Roman" w:hAnsi="Times New Roman"/>
                <w:sz w:val="24"/>
                <w:szCs w:val="24"/>
              </w:rPr>
              <w:t xml:space="preserve">(HG </w:t>
            </w:r>
            <w:r w:rsidR="00E45AD4" w:rsidRPr="009C7945">
              <w:rPr>
                <w:rFonts w:ascii="Times New Roman" w:hAnsi="Times New Roman"/>
                <w:sz w:val="24"/>
                <w:szCs w:val="24"/>
              </w:rPr>
              <w:t>nr. 680/2023</w:t>
            </w:r>
            <w:r w:rsidR="00A4049C" w:rsidRPr="009C7945">
              <w:rPr>
                <w:rFonts w:ascii="Times New Roman" w:hAnsi="Times New Roman"/>
                <w:sz w:val="24"/>
                <w:szCs w:val="24"/>
              </w:rPr>
              <w:t>)</w:t>
            </w:r>
            <w:r w:rsidR="00E45AD4" w:rsidRPr="009C7945">
              <w:rPr>
                <w:rFonts w:ascii="Times New Roman" w:hAnsi="Times New Roman"/>
                <w:sz w:val="24"/>
                <w:szCs w:val="24"/>
              </w:rPr>
              <w:t>, cu sprijinul Băncii Mondiale prin intermediul Proiectului „Învățământul Superior din Moldova”</w:t>
            </w:r>
            <w:r w:rsidRPr="009C7945">
              <w:rPr>
                <w:rFonts w:ascii="Times New Roman" w:hAnsi="Times New Roman"/>
                <w:sz w:val="24"/>
                <w:szCs w:val="24"/>
              </w:rPr>
              <w:t xml:space="preserve">; </w:t>
            </w:r>
          </w:p>
          <w:p w:rsidR="00FF4CC9" w:rsidRPr="009C7945" w:rsidRDefault="00FF4CC9" w:rsidP="009C7945">
            <w:pPr>
              <w:tabs>
                <w:tab w:val="left" w:pos="884"/>
                <w:tab w:val="left" w:pos="1196"/>
              </w:tabs>
              <w:spacing w:after="0"/>
              <w:jc w:val="both"/>
              <w:rPr>
                <w:rFonts w:ascii="Times New Roman" w:hAnsi="Times New Roman"/>
                <w:sz w:val="24"/>
                <w:szCs w:val="24"/>
              </w:rPr>
            </w:pPr>
            <w:r w:rsidRPr="009C7945">
              <w:rPr>
                <w:rFonts w:ascii="Times New Roman" w:hAnsi="Times New Roman"/>
                <w:sz w:val="24"/>
                <w:szCs w:val="24"/>
              </w:rPr>
              <w:t xml:space="preserve"> - Desfășurarea procesului de reorganizare a rețelei instituiților de învățământ superior, urmare a fuziunilor, aprobate prin </w:t>
            </w:r>
            <w:r w:rsidR="00970F63" w:rsidRPr="009C7945">
              <w:rPr>
                <w:rFonts w:ascii="Times New Roman" w:hAnsi="Times New Roman"/>
                <w:sz w:val="24"/>
                <w:szCs w:val="24"/>
              </w:rPr>
              <w:t xml:space="preserve">HG 485/2022, HG </w:t>
            </w:r>
            <w:r w:rsidR="00E33735" w:rsidRPr="009C7945">
              <w:rPr>
                <w:rFonts w:ascii="Times New Roman" w:hAnsi="Times New Roman"/>
                <w:sz w:val="24"/>
                <w:szCs w:val="24"/>
              </w:rPr>
              <w:t>nr. 1080/2023</w:t>
            </w:r>
            <w:r w:rsidR="00552613" w:rsidRPr="009C7945">
              <w:rPr>
                <w:rFonts w:ascii="Times New Roman" w:hAnsi="Times New Roman"/>
                <w:sz w:val="24"/>
                <w:szCs w:val="24"/>
              </w:rPr>
              <w:t>; HG nr. 167/2025;</w:t>
            </w:r>
          </w:p>
          <w:p w:rsidR="00BD3979" w:rsidRPr="009C7945" w:rsidRDefault="00552613" w:rsidP="009C7945">
            <w:pPr>
              <w:tabs>
                <w:tab w:val="left" w:pos="884"/>
                <w:tab w:val="left" w:pos="1196"/>
              </w:tabs>
              <w:spacing w:after="0"/>
              <w:jc w:val="both"/>
              <w:rPr>
                <w:rFonts w:ascii="Times New Roman" w:hAnsi="Times New Roman"/>
                <w:sz w:val="24"/>
                <w:szCs w:val="24"/>
              </w:rPr>
            </w:pPr>
            <w:r w:rsidRPr="009C7945">
              <w:rPr>
                <w:rFonts w:ascii="Times New Roman" w:hAnsi="Times New Roman"/>
                <w:sz w:val="24"/>
                <w:szCs w:val="24"/>
              </w:rPr>
              <w:t xml:space="preserve"> - Modificări la procedurile de acordare a burselor de studii în învățământul superior (HG 100</w:t>
            </w:r>
            <w:r w:rsidR="00FA588C" w:rsidRPr="009C7945">
              <w:rPr>
                <w:rFonts w:ascii="Times New Roman" w:hAnsi="Times New Roman"/>
                <w:sz w:val="24"/>
                <w:szCs w:val="24"/>
              </w:rPr>
              <w:t>9</w:t>
            </w:r>
            <w:r w:rsidRPr="009C7945">
              <w:rPr>
                <w:rFonts w:ascii="Times New Roman" w:hAnsi="Times New Roman"/>
                <w:sz w:val="24"/>
                <w:szCs w:val="24"/>
              </w:rPr>
              <w:t>/2006, cu modificările ulterioare</w:t>
            </w:r>
            <w:r w:rsidR="00FA588C" w:rsidRPr="009C7945">
              <w:rPr>
                <w:rFonts w:ascii="Times New Roman" w:hAnsi="Times New Roman"/>
                <w:sz w:val="24"/>
                <w:szCs w:val="24"/>
              </w:rPr>
              <w:t xml:space="preserve"> – HG 656/2025</w:t>
            </w:r>
            <w:r w:rsidRPr="009C7945">
              <w:rPr>
                <w:rFonts w:ascii="Times New Roman" w:hAnsi="Times New Roman"/>
                <w:sz w:val="24"/>
                <w:szCs w:val="24"/>
              </w:rPr>
              <w:t>) etc.</w:t>
            </w:r>
          </w:p>
          <w:p w:rsidR="00CD55F6" w:rsidRPr="009C7945" w:rsidRDefault="009C7945" w:rsidP="009C7945">
            <w:pPr>
              <w:tabs>
                <w:tab w:val="left" w:pos="884"/>
                <w:tab w:val="left" w:pos="1196"/>
              </w:tabs>
              <w:spacing w:after="0"/>
              <w:ind w:firstLine="737"/>
              <w:jc w:val="both"/>
              <w:rPr>
                <w:rFonts w:ascii="Times New Roman" w:hAnsi="Times New Roman"/>
                <w:sz w:val="24"/>
                <w:szCs w:val="24"/>
              </w:rPr>
            </w:pPr>
            <w:r w:rsidRPr="009C7945">
              <w:rPr>
                <w:rFonts w:ascii="Times New Roman" w:hAnsi="Times New Roman"/>
                <w:sz w:val="24"/>
                <w:szCs w:val="24"/>
              </w:rPr>
              <w:t>Proiectul de hotărâre de Guvern sus-numit se solicită să intre în vigoare la data publicării în Monitorul Oficial al Republicii Moldova, în condițiile statuate de art. 56, alin.(1), din Legea nr. 100/2017, potrivit căreia, actele normative intră în vigoare peste o lună de la data publicării în Monitorul Oficial al Republicii Moldova sau la data indicată în textul actului normativ, care nu poate fi anterioară datei publicării. Această urgență este justificată de circumstanțe obiective: necesitatea de a</w:t>
            </w:r>
            <w:r w:rsidRPr="009C7945">
              <w:rPr>
                <w:rFonts w:ascii="Times New Roman" w:hAnsi="Times New Roman"/>
                <w:sz w:val="24"/>
                <w:szCs w:val="24"/>
              </w:rPr>
              <w:t xml:space="preserve"> elabora/actualiza programele de master, de a efectua evaluarea internă/externa a calității programelor pentru autorizarea sau acreditare,</w:t>
            </w:r>
            <w:r w:rsidRPr="009C7945">
              <w:rPr>
                <w:rFonts w:ascii="Times New Roman" w:hAnsi="Times New Roman"/>
                <w:sz w:val="24"/>
                <w:szCs w:val="24"/>
              </w:rPr>
              <w:t xml:space="preserve"> de a planifica Comanda de Stat pentru anul 2026/27 la studii superioare </w:t>
            </w:r>
            <w:r w:rsidRPr="009C7945">
              <w:rPr>
                <w:rFonts w:ascii="Times New Roman" w:hAnsi="Times New Roman"/>
                <w:sz w:val="24"/>
                <w:szCs w:val="24"/>
              </w:rPr>
              <w:t>de a desfășura evaluările semestriale și finale conform noilor prevederi, inclusiv, calcularea mediei de master etc.</w:t>
            </w:r>
          </w:p>
        </w:tc>
      </w:tr>
      <w:tr w:rsidR="00AB4056" w:rsidRPr="009C7945" w:rsidTr="00DB6237">
        <w:tc>
          <w:tcPr>
            <w:tcW w:w="5000" w:type="pct"/>
            <w:shd w:val="clear" w:color="auto" w:fill="D0CECE" w:themeFill="background2" w:themeFillShade="E6"/>
          </w:tcPr>
          <w:p w:rsidR="00434AE5" w:rsidRPr="009C7945" w:rsidRDefault="00435CE6" w:rsidP="009C7945">
            <w:pPr>
              <w:tabs>
                <w:tab w:val="left" w:pos="884"/>
                <w:tab w:val="left" w:pos="1196"/>
              </w:tabs>
              <w:spacing w:after="0"/>
              <w:ind w:firstLine="737"/>
              <w:jc w:val="both"/>
              <w:rPr>
                <w:rFonts w:ascii="Times New Roman" w:hAnsi="Times New Roman"/>
                <w:b/>
                <w:bCs/>
                <w:sz w:val="24"/>
                <w:szCs w:val="24"/>
              </w:rPr>
            </w:pPr>
            <w:r w:rsidRPr="009C7945">
              <w:rPr>
                <w:rFonts w:ascii="Times New Roman" w:hAnsi="Times New Roman"/>
                <w:b/>
                <w:bCs/>
                <w:sz w:val="24"/>
                <w:szCs w:val="24"/>
              </w:rPr>
              <w:lastRenderedPageBreak/>
              <w:t>3. Obiectivele urmărite și soluțiile propuse</w:t>
            </w:r>
          </w:p>
        </w:tc>
      </w:tr>
      <w:tr w:rsidR="00AB4056" w:rsidRPr="009C7945" w:rsidTr="00DB6237">
        <w:tc>
          <w:tcPr>
            <w:tcW w:w="5000" w:type="pct"/>
          </w:tcPr>
          <w:p w:rsidR="00BD2E66" w:rsidRPr="009C7945" w:rsidRDefault="00435CE6" w:rsidP="009C7945">
            <w:pPr>
              <w:tabs>
                <w:tab w:val="left" w:pos="884"/>
                <w:tab w:val="left" w:pos="1196"/>
              </w:tabs>
              <w:spacing w:after="0"/>
              <w:ind w:firstLine="737"/>
              <w:jc w:val="both"/>
              <w:rPr>
                <w:rFonts w:ascii="Times New Roman" w:hAnsi="Times New Roman"/>
                <w:sz w:val="24"/>
                <w:szCs w:val="24"/>
              </w:rPr>
            </w:pPr>
            <w:bookmarkStart w:id="1" w:name="_Hlk215838719"/>
            <w:r w:rsidRPr="009C7945">
              <w:rPr>
                <w:rFonts w:ascii="Times New Roman" w:hAnsi="Times New Roman"/>
                <w:sz w:val="24"/>
                <w:szCs w:val="24"/>
              </w:rPr>
              <w:t xml:space="preserve">Principalele prevederi ale proiectului și </w:t>
            </w:r>
            <w:r w:rsidRPr="009C7945">
              <w:rPr>
                <w:rFonts w:ascii="Times New Roman" w:hAnsi="Times New Roman"/>
                <w:b/>
                <w:bCs/>
                <w:sz w:val="24"/>
                <w:szCs w:val="24"/>
              </w:rPr>
              <w:t>evidențierea elementelor noi</w:t>
            </w:r>
            <w:r w:rsidR="00BD2E66" w:rsidRPr="009C7945">
              <w:rPr>
                <w:rFonts w:ascii="Times New Roman" w:hAnsi="Times New Roman"/>
                <w:b/>
                <w:bCs/>
                <w:sz w:val="24"/>
                <w:szCs w:val="24"/>
              </w:rPr>
              <w:t>:</w:t>
            </w:r>
            <w:bookmarkEnd w:id="1"/>
          </w:p>
          <w:p w:rsidR="00A50DD1" w:rsidRPr="009C7945" w:rsidRDefault="00A50DD1" w:rsidP="009C7945">
            <w:pPr>
              <w:tabs>
                <w:tab w:val="left" w:pos="884"/>
                <w:tab w:val="left" w:pos="1196"/>
              </w:tabs>
              <w:spacing w:after="0"/>
              <w:ind w:firstLine="737"/>
              <w:jc w:val="both"/>
              <w:rPr>
                <w:rFonts w:ascii="Times New Roman" w:hAnsi="Times New Roman"/>
                <w:sz w:val="24"/>
                <w:szCs w:val="24"/>
              </w:rPr>
            </w:pPr>
            <w:r w:rsidRPr="009C7945">
              <w:rPr>
                <w:rFonts w:ascii="Times New Roman" w:hAnsi="Times New Roman"/>
                <w:sz w:val="24"/>
                <w:szCs w:val="24"/>
              </w:rPr>
              <w:t>Regulamentul de organizare și desfășurare a studiilor superioare de master necesită armonizare terminologică și corelare funcțională cu politicile educaționale aprobate recent, precum și cu documentele strategice în domeniu. Intervențiile propuse prin proiectul de hotărâre de Guvern sunt determinate de următoarele raționamente:</w:t>
            </w:r>
          </w:p>
          <w:p w:rsidR="00A50DD1" w:rsidRPr="009C7945" w:rsidRDefault="00A50DD1"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 xml:space="preserve">În proiectul de modificare a </w:t>
            </w:r>
            <w:r w:rsidR="002020B9" w:rsidRPr="009C7945">
              <w:rPr>
                <w:rFonts w:ascii="Times New Roman" w:hAnsi="Times New Roman" w:cs="Times New Roman"/>
                <w:sz w:val="24"/>
                <w:szCs w:val="24"/>
                <w:lang w:val="ro-RO"/>
              </w:rPr>
              <w:t xml:space="preserve">Hotărârii Guvernului nr. 80/2022 </w:t>
            </w:r>
            <w:r w:rsidRPr="009C7945">
              <w:rPr>
                <w:rFonts w:ascii="Times New Roman" w:hAnsi="Times New Roman" w:cs="Times New Roman"/>
                <w:sz w:val="24"/>
                <w:szCs w:val="24"/>
                <w:lang w:val="ro-RO"/>
              </w:rPr>
              <w:t xml:space="preserve">(pct. 2 și 3) au fost actualizate informațiile referitoare la Academia de Administrare Publică, care, actualmente, este Institut Național de Administrație și Management Public (INAMP), în subordinea Guvernului, prin reorganizarea Universității de Stat din Moldova și separarea Institutului de Administrație Publică (HG nr. 167/2025). Conform statutului, </w:t>
            </w:r>
            <w:r w:rsidRPr="009C7945">
              <w:rPr>
                <w:rFonts w:ascii="Times New Roman" w:hAnsi="Times New Roman" w:cs="Times New Roman"/>
                <w:b/>
                <w:bCs/>
                <w:sz w:val="24"/>
                <w:szCs w:val="24"/>
                <w:lang w:val="ro-RO"/>
              </w:rPr>
              <w:t>INAMP</w:t>
            </w:r>
            <w:r w:rsidRPr="009C7945">
              <w:rPr>
                <w:rFonts w:ascii="Times New Roman" w:hAnsi="Times New Roman" w:cs="Times New Roman"/>
                <w:sz w:val="24"/>
                <w:szCs w:val="24"/>
                <w:lang w:val="ro-RO"/>
              </w:rPr>
              <w:t xml:space="preserve"> </w:t>
            </w:r>
            <w:r w:rsidRPr="009C7945">
              <w:rPr>
                <w:rFonts w:ascii="Times New Roman" w:hAnsi="Times New Roman" w:cs="Times New Roman"/>
                <w:b/>
                <w:bCs/>
                <w:sz w:val="24"/>
                <w:szCs w:val="24"/>
                <w:lang w:val="ro-RO"/>
              </w:rPr>
              <w:t>nu organizează studii superioare de master</w:t>
            </w:r>
            <w:r w:rsidRPr="009C7945">
              <w:rPr>
                <w:rFonts w:ascii="Times New Roman" w:hAnsi="Times New Roman" w:cs="Times New Roman"/>
                <w:sz w:val="24"/>
                <w:szCs w:val="24"/>
                <w:lang w:val="ro-RO"/>
              </w:rPr>
              <w:t>, prin urmare, nu poate fi obiectul prezentei hotărâri de Guvern. La fel, în contextul reorganizărilor din învățământul superior, Universitatea Agrară, care era în subordinea Ministerului Agriculturii și Industriei Alimentare, a fost fuzionată cu Universitatea Tehnică a Moldovei, astfel în pct. 3 a fost actualizată lista ministerelor care au în subordine universități.</w:t>
            </w:r>
          </w:p>
          <w:p w:rsidR="001312AE" w:rsidRPr="009C7945" w:rsidRDefault="00A50DD1"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b/>
                <w:bCs/>
                <w:sz w:val="24"/>
                <w:szCs w:val="24"/>
                <w:lang w:val="ro-RO"/>
              </w:rPr>
            </w:pPr>
            <w:r w:rsidRPr="009C7945">
              <w:rPr>
                <w:rFonts w:ascii="Times New Roman" w:hAnsi="Times New Roman" w:cs="Times New Roman"/>
                <w:sz w:val="24"/>
                <w:szCs w:val="24"/>
                <w:lang w:val="ro-RO"/>
              </w:rPr>
              <w:t>Luând în considerare elaborarea și implementarea unui nou Nomenclator al domeniilor de studii și al specialităților în învățământul superior, aprobat prin Hotărârea Guvernului nr. 412/2024, și anume faptul că în noul nomenclator au fost definite distinct domeniile de formare pentru ciclul I-licență, II-master și ciclul III-doctorat, a apărut necesitatea de a stabili expres domeniul de master în Regulamentul respectiv (pct.3), precum și norma legală c</w:t>
            </w:r>
            <w:r w:rsidR="002339C1" w:rsidRPr="009C7945">
              <w:rPr>
                <w:rFonts w:ascii="Times New Roman" w:hAnsi="Times New Roman" w:cs="Times New Roman"/>
                <w:sz w:val="24"/>
                <w:szCs w:val="24"/>
                <w:lang w:val="ro-RO"/>
              </w:rPr>
              <w:t>ă</w:t>
            </w:r>
            <w:r w:rsidRPr="009C7945">
              <w:rPr>
                <w:rFonts w:ascii="Times New Roman" w:hAnsi="Times New Roman" w:cs="Times New Roman"/>
                <w:sz w:val="24"/>
                <w:szCs w:val="24"/>
                <w:lang w:val="ro-RO"/>
              </w:rPr>
              <w:t xml:space="preserve"> </w:t>
            </w:r>
            <w:r w:rsidRPr="009C7945">
              <w:rPr>
                <w:rFonts w:ascii="Times New Roman" w:hAnsi="Times New Roman" w:cs="Times New Roman"/>
                <w:b/>
                <w:bCs/>
                <w:sz w:val="24"/>
                <w:szCs w:val="24"/>
                <w:lang w:val="ro-RO"/>
              </w:rPr>
              <w:t>toate programele de master trebuie imperativ să fie autorizate provizoriu sau acreditate.</w:t>
            </w:r>
          </w:p>
          <w:p w:rsidR="002304AE" w:rsidRPr="009C7945" w:rsidRDefault="00A50DD1"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 xml:space="preserve">În contextul consolidării relațiilor universităților cu angajatorii </w:t>
            </w:r>
            <w:r w:rsidR="002339C1" w:rsidRPr="009C7945">
              <w:rPr>
                <w:rFonts w:ascii="Times New Roman" w:hAnsi="Times New Roman" w:cs="Times New Roman"/>
                <w:sz w:val="24"/>
                <w:szCs w:val="24"/>
                <w:lang w:val="ro-RO"/>
              </w:rPr>
              <w:t>ș</w:t>
            </w:r>
            <w:r w:rsidRPr="009C7945">
              <w:rPr>
                <w:rFonts w:ascii="Times New Roman" w:hAnsi="Times New Roman" w:cs="Times New Roman"/>
                <w:sz w:val="24"/>
                <w:szCs w:val="24"/>
                <w:lang w:val="ro-RO"/>
              </w:rPr>
              <w:t xml:space="preserve">i </w:t>
            </w:r>
            <w:r w:rsidRPr="009C7945">
              <w:rPr>
                <w:rFonts w:ascii="Times New Roman" w:hAnsi="Times New Roman" w:cs="Times New Roman"/>
                <w:b/>
                <w:bCs/>
                <w:sz w:val="24"/>
                <w:szCs w:val="24"/>
                <w:lang w:val="ro-RO"/>
              </w:rPr>
              <w:t xml:space="preserve">asigurării relevanței studiilor superioare </w:t>
            </w:r>
            <w:r w:rsidRPr="009C7945">
              <w:rPr>
                <w:rFonts w:ascii="Times New Roman" w:hAnsi="Times New Roman" w:cs="Times New Roman"/>
                <w:sz w:val="24"/>
                <w:szCs w:val="24"/>
                <w:lang w:val="ro-RO"/>
              </w:rPr>
              <w:t>conform cerințelor pieței muncii, în pct. 8 este stabilită o normă legală care le oferă instituțiilor posibilitatea</w:t>
            </w:r>
            <w:r w:rsidR="002339C1" w:rsidRPr="009C7945">
              <w:rPr>
                <w:rFonts w:ascii="Times New Roman" w:hAnsi="Times New Roman" w:cs="Times New Roman"/>
                <w:sz w:val="24"/>
                <w:szCs w:val="24"/>
                <w:lang w:val="ro-RO"/>
              </w:rPr>
              <w:t xml:space="preserve"> </w:t>
            </w:r>
            <w:r w:rsidRPr="009C7945">
              <w:rPr>
                <w:rFonts w:ascii="Times New Roman" w:hAnsi="Times New Roman" w:cs="Times New Roman"/>
                <w:sz w:val="24"/>
                <w:szCs w:val="24"/>
                <w:lang w:val="ro-RO"/>
              </w:rPr>
              <w:t>să deschidă programe de master la solicitarea și în parteneriat cu instituții/organizații publice/private interesate, cu condiția ca acestea să asigure finanțarea programelor respective din surse proprii.</w:t>
            </w:r>
          </w:p>
          <w:p w:rsidR="009C752D" w:rsidRPr="002851AC" w:rsidRDefault="002304AE" w:rsidP="002851AC">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Conform ultimelor modificări la Metodologia de evaluare externă a calității în învățământul superior, profesional tehnic și formarea profesională a adulților, aprobată prin HG 616 (pct.62 alin. (3)</w:t>
            </w:r>
            <w:r w:rsidR="00BA3AA0" w:rsidRPr="009C7945">
              <w:rPr>
                <w:rFonts w:ascii="Times New Roman" w:hAnsi="Times New Roman" w:cs="Times New Roman"/>
                <w:sz w:val="24"/>
                <w:szCs w:val="24"/>
                <w:lang w:val="ro-RO"/>
              </w:rPr>
              <w:t>)</w:t>
            </w:r>
            <w:r w:rsidRPr="009C7945">
              <w:rPr>
                <w:rFonts w:ascii="Times New Roman" w:hAnsi="Times New Roman" w:cs="Times New Roman"/>
                <w:sz w:val="24"/>
                <w:szCs w:val="24"/>
                <w:lang w:val="ro-RO"/>
              </w:rPr>
              <w:t xml:space="preserve">, în </w:t>
            </w:r>
            <w:r w:rsidRPr="009C7945">
              <w:rPr>
                <w:rFonts w:ascii="Times New Roman" w:hAnsi="Times New Roman" w:cs="Times New Roman"/>
                <w:sz w:val="24"/>
                <w:szCs w:val="24"/>
                <w:lang w:val="ro-RO"/>
              </w:rPr>
              <w:lastRenderedPageBreak/>
              <w:t xml:space="preserve">anumite condiții (realizarea standardelor de acreditare peste 92%), instituția de învățământ superior poate obține acreditare </w:t>
            </w:r>
            <w:r w:rsidRPr="009C7945">
              <w:rPr>
                <w:rFonts w:ascii="Times New Roman" w:hAnsi="Times New Roman" w:cs="Times New Roman"/>
                <w:b/>
                <w:bCs/>
                <w:sz w:val="24"/>
                <w:szCs w:val="24"/>
                <w:lang w:val="ro-RO"/>
              </w:rPr>
              <w:t>nu doar pe 5 ani</w:t>
            </w:r>
            <w:r w:rsidRPr="009C7945">
              <w:rPr>
                <w:rFonts w:ascii="Times New Roman" w:hAnsi="Times New Roman" w:cs="Times New Roman"/>
                <w:sz w:val="24"/>
                <w:szCs w:val="24"/>
                <w:lang w:val="ro-RO"/>
              </w:rPr>
              <w:t xml:space="preserve">, cum a fost anterior, dar pentru o </w:t>
            </w:r>
            <w:r w:rsidRPr="009C7945">
              <w:rPr>
                <w:rFonts w:ascii="Times New Roman" w:hAnsi="Times New Roman" w:cs="Times New Roman"/>
                <w:b/>
                <w:bCs/>
                <w:sz w:val="24"/>
                <w:szCs w:val="24"/>
                <w:lang w:val="ro-RO"/>
              </w:rPr>
              <w:t>perioadă de șapte ani</w:t>
            </w:r>
            <w:r w:rsidRPr="009C7945">
              <w:rPr>
                <w:rFonts w:ascii="Times New Roman" w:hAnsi="Times New Roman" w:cs="Times New Roman"/>
                <w:sz w:val="24"/>
                <w:szCs w:val="24"/>
                <w:lang w:val="ro-RO"/>
              </w:rPr>
              <w:t>, punctul respectiv fiind modificat și în proiectul Regulamentului în cauză.</w:t>
            </w:r>
          </w:p>
          <w:p w:rsidR="00AE22D5" w:rsidRPr="009C7945" w:rsidRDefault="00540CFA" w:rsidP="009C7945">
            <w:pPr>
              <w:pStyle w:val="Listparagraf"/>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 xml:space="preserve">La fel, în baza Metodologiei sus-numite, </w:t>
            </w:r>
            <w:r w:rsidR="00AE22D5" w:rsidRPr="009C7945">
              <w:rPr>
                <w:rFonts w:ascii="Times New Roman" w:hAnsi="Times New Roman" w:cs="Times New Roman"/>
                <w:sz w:val="24"/>
                <w:szCs w:val="24"/>
                <w:lang w:val="ro-RO"/>
              </w:rPr>
              <w:t>a</w:t>
            </w:r>
            <w:r w:rsidRPr="009C7945">
              <w:rPr>
                <w:rFonts w:ascii="Times New Roman" w:hAnsi="Times New Roman" w:cs="Times New Roman"/>
                <w:sz w:val="24"/>
                <w:szCs w:val="24"/>
                <w:lang w:val="ro-RO"/>
              </w:rPr>
              <w:t xml:space="preserve">u fost specificate anumite prevederi pentru ca instituția să aibă dreptul de a autoriza provizoriu un program nou de master la nivel de senat, fără a cere evaluarea externă Agenției Naționale de </w:t>
            </w:r>
            <w:r w:rsidR="009E7ED2" w:rsidRPr="009C7945">
              <w:rPr>
                <w:rFonts w:ascii="Times New Roman" w:hAnsi="Times New Roman" w:cs="Times New Roman"/>
                <w:sz w:val="24"/>
                <w:szCs w:val="24"/>
                <w:lang w:val="ro-RO"/>
              </w:rPr>
              <w:t>Asigurare a Calității în Educație și Cercetare.</w:t>
            </w:r>
          </w:p>
          <w:p w:rsidR="009E7ED2" w:rsidRPr="009C7945" w:rsidRDefault="00AE22D5"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 xml:space="preserve">Pe parcursul ultimilor doi ani, înscrierea la concursul de admitere pentru candidații la studii superioare, inclusiv, de master a avut loc </w:t>
            </w:r>
            <w:r w:rsidRPr="009C7945">
              <w:rPr>
                <w:rFonts w:ascii="Times New Roman" w:hAnsi="Times New Roman" w:cs="Times New Roman"/>
                <w:b/>
                <w:bCs/>
                <w:sz w:val="24"/>
                <w:szCs w:val="24"/>
                <w:lang w:val="ro-RO"/>
              </w:rPr>
              <w:t>online</w:t>
            </w:r>
            <w:r w:rsidRPr="009C7945">
              <w:rPr>
                <w:rFonts w:ascii="Times New Roman" w:hAnsi="Times New Roman" w:cs="Times New Roman"/>
                <w:sz w:val="24"/>
                <w:szCs w:val="24"/>
                <w:lang w:val="ro-RO"/>
              </w:rPr>
              <w:t xml:space="preserve">, utilizând sistemul informațional </w:t>
            </w:r>
            <w:proofErr w:type="spellStart"/>
            <w:r w:rsidRPr="009C7945">
              <w:rPr>
                <w:rFonts w:ascii="Times New Roman" w:hAnsi="Times New Roman" w:cs="Times New Roman"/>
                <w:b/>
                <w:bCs/>
                <w:sz w:val="24"/>
                <w:szCs w:val="24"/>
                <w:lang w:val="ro-RO"/>
              </w:rPr>
              <w:t>eAdmitere</w:t>
            </w:r>
            <w:proofErr w:type="spellEnd"/>
            <w:r w:rsidRPr="009C7945">
              <w:rPr>
                <w:rFonts w:ascii="Times New Roman" w:hAnsi="Times New Roman" w:cs="Times New Roman"/>
                <w:sz w:val="24"/>
                <w:szCs w:val="24"/>
                <w:lang w:val="ro-RO"/>
              </w:rPr>
              <w:t xml:space="preserve">, accesând pagina web </w:t>
            </w:r>
            <w:r w:rsidRPr="009C7945">
              <w:rPr>
                <w:rFonts w:ascii="Times New Roman" w:hAnsi="Times New Roman" w:cs="Times New Roman"/>
                <w:b/>
                <w:bCs/>
                <w:sz w:val="24"/>
                <w:szCs w:val="24"/>
                <w:lang w:val="ro-RO"/>
              </w:rPr>
              <w:t>eadmitere.gov.md</w:t>
            </w:r>
            <w:r w:rsidRPr="009C7945">
              <w:rPr>
                <w:rFonts w:ascii="Times New Roman" w:hAnsi="Times New Roman" w:cs="Times New Roman"/>
                <w:sz w:val="24"/>
                <w:szCs w:val="24"/>
                <w:lang w:val="ro-RO"/>
              </w:rPr>
              <w:t xml:space="preserve"> cu semnătura electronică. În acest context, au fost modificate prevederile care țin de procesul de înscriere la concursul de admitere, </w:t>
            </w:r>
            <w:r w:rsidR="006A7A87" w:rsidRPr="009C7945">
              <w:rPr>
                <w:rFonts w:ascii="Times New Roman" w:hAnsi="Times New Roman" w:cs="Times New Roman"/>
                <w:sz w:val="24"/>
                <w:szCs w:val="24"/>
                <w:lang w:val="ro-RO"/>
              </w:rPr>
              <w:t>informația obligatorie care trebuie adusă la cunoștința candidaților, componentele mediei generale de admitere, criteriile de selecție și înmatriculare la studii.</w:t>
            </w:r>
            <w:r w:rsidR="00C64F51" w:rsidRPr="009C7945">
              <w:rPr>
                <w:rFonts w:ascii="Times New Roman" w:hAnsi="Times New Roman" w:cs="Times New Roman"/>
                <w:sz w:val="24"/>
                <w:szCs w:val="24"/>
                <w:lang w:val="ro-RO"/>
              </w:rPr>
              <w:t xml:space="preserve"> </w:t>
            </w:r>
            <w:r w:rsidR="00655A57" w:rsidRPr="009C7945">
              <w:rPr>
                <w:rFonts w:ascii="Times New Roman" w:hAnsi="Times New Roman" w:cs="Times New Roman"/>
                <w:sz w:val="24"/>
                <w:szCs w:val="24"/>
                <w:lang w:val="ro-RO"/>
              </w:rPr>
              <w:t xml:space="preserve">În contextul implementării sistemului informațional </w:t>
            </w:r>
            <w:proofErr w:type="spellStart"/>
            <w:r w:rsidR="00655A57" w:rsidRPr="009C7945">
              <w:rPr>
                <w:rFonts w:ascii="Times New Roman" w:hAnsi="Times New Roman" w:cs="Times New Roman"/>
                <w:b/>
                <w:bCs/>
                <w:sz w:val="24"/>
                <w:szCs w:val="24"/>
                <w:lang w:val="ro-RO"/>
              </w:rPr>
              <w:t>eAdmitere</w:t>
            </w:r>
            <w:proofErr w:type="spellEnd"/>
            <w:r w:rsidR="00655A57" w:rsidRPr="009C7945">
              <w:rPr>
                <w:rFonts w:ascii="Times New Roman" w:hAnsi="Times New Roman" w:cs="Times New Roman"/>
                <w:sz w:val="24"/>
                <w:szCs w:val="24"/>
                <w:lang w:val="ro-RO"/>
              </w:rPr>
              <w:t xml:space="preserve">, s-a decis ca candidații să se înscrie la concursul de admitere concomitent la maximum </w:t>
            </w:r>
            <w:r w:rsidR="00655A57" w:rsidRPr="009C7945">
              <w:rPr>
                <w:rFonts w:ascii="Times New Roman" w:hAnsi="Times New Roman" w:cs="Times New Roman"/>
                <w:b/>
                <w:bCs/>
                <w:sz w:val="24"/>
                <w:szCs w:val="24"/>
                <w:lang w:val="ro-RO"/>
              </w:rPr>
              <w:t>3 instituții de învățământ superior</w:t>
            </w:r>
            <w:r w:rsidR="00655A57" w:rsidRPr="009C7945">
              <w:rPr>
                <w:rFonts w:ascii="Times New Roman" w:hAnsi="Times New Roman" w:cs="Times New Roman"/>
                <w:sz w:val="24"/>
                <w:szCs w:val="24"/>
                <w:lang w:val="ro-RO"/>
              </w:rPr>
              <w:t xml:space="preserve">, unde pot selecta cel mult </w:t>
            </w:r>
            <w:r w:rsidR="00655A57" w:rsidRPr="009C7945">
              <w:rPr>
                <w:rFonts w:ascii="Times New Roman" w:hAnsi="Times New Roman" w:cs="Times New Roman"/>
                <w:b/>
                <w:bCs/>
                <w:sz w:val="24"/>
                <w:szCs w:val="24"/>
                <w:lang w:val="ro-RO"/>
              </w:rPr>
              <w:t>3 programe de studii</w:t>
            </w:r>
            <w:r w:rsidR="00655A57" w:rsidRPr="009C7945">
              <w:rPr>
                <w:rFonts w:ascii="Times New Roman" w:hAnsi="Times New Roman" w:cs="Times New Roman"/>
                <w:sz w:val="24"/>
                <w:szCs w:val="24"/>
                <w:lang w:val="ro-RO"/>
              </w:rPr>
              <w:t xml:space="preserve"> în ordinea priorității personale</w:t>
            </w:r>
            <w:r w:rsidR="00527FCD" w:rsidRPr="009C7945">
              <w:rPr>
                <w:rFonts w:ascii="Times New Roman" w:hAnsi="Times New Roman" w:cs="Times New Roman"/>
                <w:sz w:val="24"/>
                <w:szCs w:val="24"/>
                <w:lang w:val="ro-RO"/>
              </w:rPr>
              <w:t>.</w:t>
            </w:r>
          </w:p>
          <w:p w:rsidR="006A7A87" w:rsidRPr="009C7945" w:rsidRDefault="006A7A87"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b/>
                <w:bCs/>
                <w:sz w:val="24"/>
                <w:szCs w:val="24"/>
                <w:lang w:val="ro-RO"/>
              </w:rPr>
            </w:pPr>
            <w:r w:rsidRPr="009C7945">
              <w:rPr>
                <w:rFonts w:ascii="Times New Roman" w:hAnsi="Times New Roman" w:cs="Times New Roman"/>
                <w:sz w:val="24"/>
                <w:szCs w:val="24"/>
                <w:lang w:val="ro-RO"/>
              </w:rPr>
              <w:t xml:space="preserve">Luând în considerare practica </w:t>
            </w:r>
            <w:r w:rsidR="00B80B75" w:rsidRPr="009C7945">
              <w:rPr>
                <w:rFonts w:ascii="Times New Roman" w:hAnsi="Times New Roman" w:cs="Times New Roman"/>
                <w:sz w:val="24"/>
                <w:szCs w:val="24"/>
                <w:lang w:val="ro-RO"/>
              </w:rPr>
              <w:t xml:space="preserve">defectuoasă </w:t>
            </w:r>
            <w:r w:rsidRPr="009C7945">
              <w:rPr>
                <w:rFonts w:ascii="Times New Roman" w:hAnsi="Times New Roman" w:cs="Times New Roman"/>
                <w:sz w:val="24"/>
                <w:szCs w:val="24"/>
                <w:lang w:val="ro-RO"/>
              </w:rPr>
              <w:t xml:space="preserve">existentă privind susținerea minimului curricular de către absolvenții altor domenii, </w:t>
            </w:r>
            <w:r w:rsidR="00B80B75" w:rsidRPr="009C7945">
              <w:rPr>
                <w:rFonts w:ascii="Times New Roman" w:hAnsi="Times New Roman" w:cs="Times New Roman"/>
                <w:sz w:val="24"/>
                <w:szCs w:val="24"/>
                <w:lang w:val="ro-RO"/>
              </w:rPr>
              <w:t xml:space="preserve">inclusiv, abordarea formală a acestei prevederi legale, </w:t>
            </w:r>
            <w:r w:rsidRPr="009C7945">
              <w:rPr>
                <w:rFonts w:ascii="Times New Roman" w:hAnsi="Times New Roman" w:cs="Times New Roman"/>
                <w:sz w:val="24"/>
                <w:szCs w:val="24"/>
                <w:lang w:val="ro-RO"/>
              </w:rPr>
              <w:t>se oferă studenților respectivi, pe lângă cele două obținui (</w:t>
            </w:r>
            <w:r w:rsidR="007A1C76" w:rsidRPr="009C7945">
              <w:rPr>
                <w:rFonts w:ascii="Times New Roman" w:hAnsi="Times New Roman" w:cs="Times New Roman"/>
                <w:sz w:val="24"/>
                <w:szCs w:val="24"/>
                <w:lang w:val="ro-RO"/>
              </w:rPr>
              <w:t xml:space="preserve">30 ECTS </w:t>
            </w:r>
            <w:r w:rsidR="00B80B75" w:rsidRPr="009C7945">
              <w:rPr>
                <w:rFonts w:ascii="Times New Roman" w:hAnsi="Times New Roman" w:cs="Times New Roman"/>
                <w:sz w:val="24"/>
                <w:szCs w:val="24"/>
                <w:lang w:val="ro-RO"/>
              </w:rPr>
              <w:t xml:space="preserve">acumulate </w:t>
            </w:r>
            <w:r w:rsidRPr="009C7945">
              <w:rPr>
                <w:rFonts w:ascii="Times New Roman" w:hAnsi="Times New Roman" w:cs="Times New Roman"/>
                <w:sz w:val="24"/>
                <w:szCs w:val="24"/>
                <w:lang w:val="ro-RO"/>
              </w:rPr>
              <w:t>în timpul studiilor superioare de licență</w:t>
            </w:r>
            <w:r w:rsidR="00B80B75" w:rsidRPr="009C7945">
              <w:rPr>
                <w:rFonts w:ascii="Times New Roman" w:hAnsi="Times New Roman" w:cs="Times New Roman"/>
                <w:sz w:val="24"/>
                <w:szCs w:val="24"/>
                <w:lang w:val="ro-RO"/>
              </w:rPr>
              <w:t>, sau</w:t>
            </w:r>
            <w:r w:rsidRPr="009C7945">
              <w:rPr>
                <w:rFonts w:ascii="Times New Roman" w:hAnsi="Times New Roman" w:cs="Times New Roman"/>
                <w:sz w:val="24"/>
                <w:szCs w:val="24"/>
                <w:lang w:val="ro-RO"/>
              </w:rPr>
              <w:t xml:space="preserve"> </w:t>
            </w:r>
            <w:r w:rsidR="00B80B75" w:rsidRPr="009C7945">
              <w:rPr>
                <w:rFonts w:ascii="Times New Roman" w:hAnsi="Times New Roman" w:cs="Times New Roman"/>
                <w:sz w:val="24"/>
                <w:szCs w:val="24"/>
                <w:lang w:val="ro-RO"/>
              </w:rPr>
              <w:t>recunoașterea</w:t>
            </w:r>
            <w:r w:rsidR="00147DCB" w:rsidRPr="009C7945">
              <w:rPr>
                <w:rFonts w:ascii="Times New Roman" w:hAnsi="Times New Roman" w:cs="Times New Roman"/>
                <w:sz w:val="24"/>
                <w:szCs w:val="24"/>
                <w:lang w:val="ro-RO"/>
              </w:rPr>
              <w:t xml:space="preserve"> </w:t>
            </w:r>
            <w:r w:rsidR="00B80B75" w:rsidRPr="009C7945">
              <w:rPr>
                <w:rFonts w:ascii="Times New Roman" w:hAnsi="Times New Roman" w:cs="Times New Roman"/>
                <w:sz w:val="24"/>
                <w:szCs w:val="24"/>
                <w:lang w:val="ro-RO"/>
              </w:rPr>
              <w:t xml:space="preserve">creditelor din domeniul dat acumulate la unitățile de curs/modulele relevante programului de master), </w:t>
            </w:r>
            <w:r w:rsidR="00B80B75" w:rsidRPr="009C7945">
              <w:rPr>
                <w:rFonts w:ascii="Times New Roman" w:hAnsi="Times New Roman" w:cs="Times New Roman"/>
                <w:b/>
                <w:bCs/>
                <w:sz w:val="24"/>
                <w:szCs w:val="24"/>
                <w:lang w:val="ro-RO"/>
              </w:rPr>
              <w:t>posibilitatea de a parcurge minimul curricular în timpul primului an academic de master.</w:t>
            </w:r>
          </w:p>
          <w:p w:rsidR="007A1C76" w:rsidRPr="009C7945" w:rsidRDefault="00BC7D0D"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 xml:space="preserve">Pentru programele de studii superioare de master, sunt stabilite detaliat </w:t>
            </w:r>
            <w:r w:rsidRPr="009C7945">
              <w:rPr>
                <w:rFonts w:ascii="Times New Roman" w:hAnsi="Times New Roman" w:cs="Times New Roman"/>
                <w:b/>
                <w:bCs/>
                <w:sz w:val="24"/>
                <w:szCs w:val="24"/>
                <w:lang w:val="ro-RO"/>
              </w:rPr>
              <w:t>etapele de elaborare</w:t>
            </w:r>
            <w:r w:rsidRPr="009C7945">
              <w:rPr>
                <w:rFonts w:ascii="Times New Roman" w:hAnsi="Times New Roman" w:cs="Times New Roman"/>
                <w:sz w:val="24"/>
                <w:szCs w:val="24"/>
                <w:lang w:val="ro-RO"/>
              </w:rPr>
              <w:t xml:space="preserve"> a acestora de către catedre, avizare la consiliul facultății, aprobare la senat și coordonare cu Ministerul Educației și Cercetării, după caz, și cu ministerul de resort.</w:t>
            </w:r>
          </w:p>
          <w:p w:rsidR="00BC7D0D" w:rsidRPr="009C7945" w:rsidRDefault="000A039E"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 xml:space="preserve">Sunt stabilite distinct domeniile/specialitățile ca care se interzice </w:t>
            </w:r>
            <w:r w:rsidRPr="009C7945">
              <w:rPr>
                <w:rFonts w:ascii="Times New Roman" w:hAnsi="Times New Roman" w:cs="Times New Roman"/>
                <w:b/>
                <w:bCs/>
                <w:sz w:val="24"/>
                <w:szCs w:val="24"/>
                <w:lang w:val="ro-RO"/>
              </w:rPr>
              <w:t>învățământul cu frecvență redusă și la distanță.</w:t>
            </w:r>
            <w:r w:rsidRPr="009C7945">
              <w:rPr>
                <w:rFonts w:ascii="Times New Roman" w:hAnsi="Times New Roman" w:cs="Times New Roman"/>
                <w:sz w:val="24"/>
                <w:szCs w:val="24"/>
                <w:lang w:val="ro-RO"/>
              </w:rPr>
              <w:t xml:space="preserve"> Această restricție este impusă în principal pentru a asigura calitatea formării profesionale și pentru că anumite domenii necesită în mod obligatoriu o componentă practică semnificativă și contact direct cu echipamente, pacienți, materiale sau situații care nu pot fi replicate eficient în mediul online sau prin frecvență redusă. De ex., anumite specialități necesită lucrul în ateliere, studiouri și laboratoare specializate (modelaj, desen, utilizarea de echipamente specifice), interacțiunea directă și evaluarea fizică a lucrărilor, sau activități practice pe șantier, lucrări de laborator complexe și utilizarea unor echipamente și instrumente care necesită prezență fizică și îndrumare directă etc.</w:t>
            </w:r>
          </w:p>
          <w:p w:rsidR="003E6985" w:rsidRPr="009C7945" w:rsidRDefault="003E6985"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Având în vedere riscurile de copiat, plagiat și utilizarea masivă a tehnologiilor de inteligență artificială, se stabilește prioritară organizarea examinării orale (sau în format combinat) drept modalitate de referință în evaluarea semestrială. Această măsură vizează validarea directă a competențelor dobândite și garantarea integrității academice.</w:t>
            </w:r>
          </w:p>
          <w:p w:rsidR="00BA3AA0" w:rsidRPr="009C7945" w:rsidRDefault="002C5981"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 xml:space="preserve">La fel, având în vedere multiplele cereri din partea studenților, care au </w:t>
            </w:r>
            <w:r w:rsidR="00BA3AA0" w:rsidRPr="009C7945">
              <w:rPr>
                <w:rFonts w:ascii="Times New Roman" w:hAnsi="Times New Roman" w:cs="Times New Roman"/>
                <w:sz w:val="24"/>
                <w:szCs w:val="24"/>
                <w:lang w:val="ro-RO"/>
              </w:rPr>
              <w:t>ajuns la concluzia</w:t>
            </w:r>
            <w:r w:rsidRPr="009C7945">
              <w:rPr>
                <w:rFonts w:ascii="Times New Roman" w:hAnsi="Times New Roman" w:cs="Times New Roman"/>
                <w:sz w:val="24"/>
                <w:szCs w:val="24"/>
                <w:lang w:val="ro-RO"/>
              </w:rPr>
              <w:t xml:space="preserve"> ca au făcut o alegere greșită la admitere, Regulamentul a fost completat cu prevederi clare cu privire la </w:t>
            </w:r>
            <w:r w:rsidR="004124B0" w:rsidRPr="009C7945">
              <w:rPr>
                <w:rFonts w:ascii="Times New Roman" w:hAnsi="Times New Roman" w:cs="Times New Roman"/>
                <w:b/>
                <w:bCs/>
                <w:sz w:val="24"/>
                <w:szCs w:val="24"/>
                <w:lang w:val="ro-RO"/>
              </w:rPr>
              <w:t xml:space="preserve">promovarea și </w:t>
            </w:r>
            <w:r w:rsidRPr="009C7945">
              <w:rPr>
                <w:rFonts w:ascii="Times New Roman" w:hAnsi="Times New Roman" w:cs="Times New Roman"/>
                <w:b/>
                <w:bCs/>
                <w:sz w:val="24"/>
                <w:szCs w:val="24"/>
                <w:lang w:val="ro-RO"/>
              </w:rPr>
              <w:t>transferul studenților</w:t>
            </w:r>
            <w:r w:rsidRPr="009C7945">
              <w:rPr>
                <w:rFonts w:ascii="Times New Roman" w:hAnsi="Times New Roman" w:cs="Times New Roman"/>
                <w:sz w:val="24"/>
                <w:szCs w:val="24"/>
                <w:lang w:val="ro-RO"/>
              </w:rPr>
              <w:t xml:space="preserve">, perioada, condițiile și, respectiv, anumite restricții, pentru asigurarea </w:t>
            </w:r>
            <w:r w:rsidR="00095CB1" w:rsidRPr="009C7945">
              <w:rPr>
                <w:rFonts w:ascii="Times New Roman" w:hAnsi="Times New Roman" w:cs="Times New Roman"/>
                <w:sz w:val="24"/>
                <w:szCs w:val="24"/>
                <w:lang w:val="ro-RO"/>
              </w:rPr>
              <w:t xml:space="preserve">calității și ordinii în procesul de rezolvare a cestor situații. </w:t>
            </w:r>
          </w:p>
          <w:p w:rsidR="00BA3AA0" w:rsidRPr="009C7945" w:rsidRDefault="00BA3AA0"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 xml:space="preserve">Luând în considerare concluziile făcute în urma desfășurării </w:t>
            </w:r>
            <w:r w:rsidRPr="009C7945">
              <w:rPr>
                <w:rFonts w:ascii="Times New Roman" w:hAnsi="Times New Roman" w:cs="Times New Roman"/>
                <w:b/>
                <w:bCs/>
                <w:i/>
                <w:iCs/>
                <w:sz w:val="24"/>
                <w:szCs w:val="24"/>
                <w:lang w:val="ro-RO"/>
              </w:rPr>
              <w:t>Studiului privind nivelul de integritate academică în universitățile din Republica Moldova,</w:t>
            </w:r>
            <w:r w:rsidRPr="009C7945">
              <w:rPr>
                <w:rFonts w:ascii="Times New Roman" w:hAnsi="Times New Roman" w:cs="Times New Roman"/>
                <w:sz w:val="24"/>
                <w:szCs w:val="24"/>
                <w:lang w:val="ro-RO"/>
              </w:rPr>
              <w:t xml:space="preserve"> organizat pe parcursul a doi ani (2024, 2025), implicit, </w:t>
            </w:r>
            <w:r w:rsidRPr="009C7945">
              <w:rPr>
                <w:rFonts w:ascii="Times New Roman" w:hAnsi="Times New Roman" w:cs="Times New Roman"/>
                <w:i/>
                <w:iCs/>
                <w:sz w:val="24"/>
                <w:szCs w:val="24"/>
                <w:lang w:val="ro-RO"/>
              </w:rPr>
              <w:t>percepțiile și experiențele studenților privind plagiatul, frauda și corupția în învățământul superior</w:t>
            </w:r>
            <w:r w:rsidRPr="009C7945">
              <w:rPr>
                <w:rFonts w:ascii="Times New Roman" w:hAnsi="Times New Roman" w:cs="Times New Roman"/>
                <w:sz w:val="24"/>
                <w:szCs w:val="24"/>
                <w:lang w:val="ro-RO"/>
              </w:rPr>
              <w:t>, și anume faptul ca cca 20% din respondenți nu considera grav copiatul la examene și plagiatul, la fel, nu considera a fi mare problemă cca 23% din respondenți, iar oferirea mitei pentru note și cumpărarea tezei nu reprezintă o încălcare gravă</w:t>
            </w:r>
            <w:r w:rsidRPr="009C7945">
              <w:rPr>
                <w:rFonts w:ascii="Times New Roman" w:hAnsi="Times New Roman" w:cs="Times New Roman"/>
                <w:sz w:val="24"/>
                <w:szCs w:val="24"/>
              </w:rPr>
              <w:t xml:space="preserve"> pentru cca 6% din studenției intervievați, a fost introdusă </w:t>
            </w:r>
            <w:r w:rsidRPr="009C7945">
              <w:rPr>
                <w:rFonts w:ascii="Times New Roman" w:hAnsi="Times New Roman" w:cs="Times New Roman"/>
                <w:sz w:val="24"/>
                <w:szCs w:val="24"/>
              </w:rPr>
              <w:lastRenderedPageBreak/>
              <w:t>o normă distinctă privind interzicerea restabilirii la studii a persoanelor care s-au manifestat prin încălcări grave ale codului de etică universitară (fraudă, plagiat, violență, hărțuire, corupție etc.).</w:t>
            </w:r>
          </w:p>
          <w:p w:rsidR="00497028" w:rsidRPr="009C7945" w:rsidRDefault="00A1641B"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 xml:space="preserve">Luând în considerare prevederea legală care statuează că durata totală cumulată a studiilor la ciclul I – licență și ciclul II – master trebuie să fie de </w:t>
            </w:r>
            <w:r w:rsidRPr="009C7945">
              <w:rPr>
                <w:rFonts w:ascii="Times New Roman" w:hAnsi="Times New Roman" w:cs="Times New Roman"/>
                <w:b/>
                <w:bCs/>
                <w:sz w:val="24"/>
                <w:szCs w:val="24"/>
                <w:lang w:val="ro-RO"/>
              </w:rPr>
              <w:t>cel puțin</w:t>
            </w:r>
            <w:r w:rsidRPr="009C7945">
              <w:rPr>
                <w:rFonts w:ascii="Times New Roman" w:hAnsi="Times New Roman" w:cs="Times New Roman"/>
                <w:sz w:val="24"/>
                <w:szCs w:val="24"/>
                <w:lang w:val="ro-RO"/>
              </w:rPr>
              <w:t xml:space="preserve"> </w:t>
            </w:r>
            <w:r w:rsidRPr="009C7945">
              <w:rPr>
                <w:rFonts w:ascii="Times New Roman" w:hAnsi="Times New Roman" w:cs="Times New Roman"/>
                <w:b/>
                <w:bCs/>
                <w:sz w:val="24"/>
                <w:szCs w:val="24"/>
                <w:lang w:val="ro-RO"/>
              </w:rPr>
              <w:t>300 de credite ECTS</w:t>
            </w:r>
            <w:r w:rsidRPr="009C7945">
              <w:rPr>
                <w:rFonts w:ascii="Times New Roman" w:hAnsi="Times New Roman" w:cs="Times New Roman"/>
                <w:sz w:val="24"/>
                <w:szCs w:val="24"/>
                <w:lang w:val="ro-RO"/>
              </w:rPr>
              <w:t xml:space="preserve">, precum și faptul că candidații la studii, tradițional, încearcă să ocolească această normă, este stabilit </w:t>
            </w:r>
            <w:r w:rsidR="00AB7996" w:rsidRPr="009C7945">
              <w:rPr>
                <w:rFonts w:ascii="Times New Roman" w:hAnsi="Times New Roman" w:cs="Times New Roman"/>
                <w:sz w:val="24"/>
                <w:szCs w:val="24"/>
                <w:lang w:val="ro-RO"/>
              </w:rPr>
              <w:t>expres</w:t>
            </w:r>
            <w:r w:rsidRPr="009C7945">
              <w:rPr>
                <w:rFonts w:ascii="Times New Roman" w:hAnsi="Times New Roman" w:cs="Times New Roman"/>
                <w:sz w:val="24"/>
                <w:szCs w:val="24"/>
                <w:lang w:val="ro-RO"/>
              </w:rPr>
              <w:t xml:space="preserve"> că dreptul de înscriere la studii de masterat este condiționat de numărul de credite ECTS acumulate la ciclul de licență, astfel: absolvenții programelor de licență de 180 de credite ECTS sunt eligibili pentru masteratele de 120 de credite ECTS; absolvenții programelor de licență de 240 de credite ECTS sunt eligibili pentru masteratele de 90 sau 120 de credite ECTS.</w:t>
            </w:r>
          </w:p>
          <w:p w:rsidR="00A901F8" w:rsidRPr="009C7945" w:rsidRDefault="00C47119"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shd w:val="clear" w:color="auto" w:fill="FFFFFF" w:themeFill="background1"/>
                <w:lang w:val="ro-RO"/>
              </w:rPr>
              <w:t>Având</w:t>
            </w:r>
            <w:r w:rsidRPr="009C7945">
              <w:rPr>
                <w:rFonts w:ascii="Times New Roman" w:hAnsi="Times New Roman" w:cs="Times New Roman"/>
                <w:sz w:val="24"/>
                <w:szCs w:val="24"/>
                <w:lang w:val="ro-RO"/>
              </w:rPr>
              <w:t xml:space="preserve"> în vedere multiplele</w:t>
            </w:r>
            <w:r w:rsidRPr="009C7945">
              <w:rPr>
                <w:rFonts w:ascii="Times New Roman" w:hAnsi="Times New Roman" w:cs="Times New Roman"/>
                <w:sz w:val="24"/>
                <w:szCs w:val="24"/>
              </w:rPr>
              <w:t xml:space="preserve"> solicitări </w:t>
            </w:r>
            <w:r w:rsidR="003300A1" w:rsidRPr="009C7945">
              <w:rPr>
                <w:rFonts w:ascii="Times New Roman" w:hAnsi="Times New Roman" w:cs="Times New Roman"/>
                <w:sz w:val="24"/>
                <w:szCs w:val="24"/>
              </w:rPr>
              <w:t xml:space="preserve">din partea studenților </w:t>
            </w:r>
            <w:r w:rsidRPr="009C7945">
              <w:rPr>
                <w:rFonts w:ascii="Times New Roman" w:hAnsi="Times New Roman" w:cs="Times New Roman"/>
                <w:sz w:val="24"/>
                <w:szCs w:val="24"/>
              </w:rPr>
              <w:t xml:space="preserve">apărute pe parcursul sesiunii de admitere referitoare la posibilitatea de a urma studii în paralel la o a doua specializare/program de studii, pe modelul reglementărilor aplicabile ciclului de licență, se impune următoarea reglementare oficială pentru programele de master: luând în considerare ciclul scurt de studii de master, durata redusă a acestui ciclu de </w:t>
            </w:r>
            <w:r w:rsidR="003300A1" w:rsidRPr="009C7945">
              <w:rPr>
                <w:rFonts w:ascii="Times New Roman" w:hAnsi="Times New Roman" w:cs="Times New Roman"/>
                <w:sz w:val="24"/>
                <w:szCs w:val="24"/>
              </w:rPr>
              <w:t>formare profesională</w:t>
            </w:r>
            <w:r w:rsidRPr="009C7945">
              <w:rPr>
                <w:rFonts w:ascii="Times New Roman" w:hAnsi="Times New Roman" w:cs="Times New Roman"/>
                <w:sz w:val="24"/>
                <w:szCs w:val="24"/>
              </w:rPr>
              <w:t xml:space="preserve">, gradul înalt de dificultate, complexitatea și nivelul academic avansat al programelor de master, se interzic în mod oficial studiile în paralel </w:t>
            </w:r>
            <w:r w:rsidR="003300A1" w:rsidRPr="009C7945">
              <w:rPr>
                <w:rFonts w:ascii="Times New Roman" w:hAnsi="Times New Roman" w:cs="Times New Roman"/>
                <w:sz w:val="24"/>
                <w:szCs w:val="24"/>
              </w:rPr>
              <w:t xml:space="preserve">la alte programe </w:t>
            </w:r>
            <w:r w:rsidRPr="009C7945">
              <w:rPr>
                <w:rFonts w:ascii="Times New Roman" w:hAnsi="Times New Roman" w:cs="Times New Roman"/>
                <w:sz w:val="24"/>
                <w:szCs w:val="24"/>
              </w:rPr>
              <w:t>și reducerea duratei studiilor. Această măsură asigură menținerea calității procesului de instruire și de cercetare, dar și absolvirea cu succes a programelor de master în condițiile academice optime.</w:t>
            </w:r>
          </w:p>
          <w:p w:rsidR="00A47CD6" w:rsidRPr="009C7945" w:rsidRDefault="00F735FD"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 xml:space="preserve">Conform modificărilor la Codul educației (LP 108/2024), sunt actualizate punctele ce vizează cadrele didactice care au dreptul să predea la master, și anume, în cazul învățământului </w:t>
            </w:r>
            <w:r w:rsidRPr="009C7945">
              <w:rPr>
                <w:rFonts w:ascii="Times New Roman" w:hAnsi="Times New Roman" w:cs="Times New Roman"/>
                <w:i/>
                <w:iCs/>
                <w:sz w:val="24"/>
                <w:szCs w:val="24"/>
                <w:lang w:val="ro-RO"/>
              </w:rPr>
              <w:t>artistic și sportiv</w:t>
            </w:r>
            <w:r w:rsidRPr="009C7945">
              <w:rPr>
                <w:rFonts w:ascii="Times New Roman" w:hAnsi="Times New Roman" w:cs="Times New Roman"/>
                <w:sz w:val="24"/>
                <w:szCs w:val="24"/>
                <w:lang w:val="ro-RO"/>
              </w:rPr>
              <w:t xml:space="preserve">, precum și în domeniile </w:t>
            </w:r>
            <w:r w:rsidRPr="009C7945">
              <w:rPr>
                <w:rFonts w:ascii="Times New Roman" w:hAnsi="Times New Roman" w:cs="Times New Roman"/>
                <w:i/>
                <w:iCs/>
                <w:sz w:val="24"/>
                <w:szCs w:val="24"/>
                <w:lang w:val="ro-RO"/>
              </w:rPr>
              <w:t>tehnologiilor informaționale și comunicaționale, jurnalismului și comunicării, tehnicilor audiovizuale și producției media</w:t>
            </w:r>
            <w:r w:rsidRPr="009C7945">
              <w:rPr>
                <w:rFonts w:ascii="Times New Roman" w:hAnsi="Times New Roman" w:cs="Times New Roman"/>
                <w:sz w:val="24"/>
                <w:szCs w:val="24"/>
                <w:lang w:val="ro-RO"/>
              </w:rPr>
              <w:t xml:space="preserve">, instituțiile de învățământ superior pot încadra în activitatea didactică cercetători și practicieni consacrați din țară sau din străinătate cu o experiență valoroasă în domeniu, iar în domeniile </w:t>
            </w:r>
            <w:r w:rsidRPr="009C7945">
              <w:rPr>
                <w:rFonts w:ascii="Times New Roman" w:hAnsi="Times New Roman" w:cs="Times New Roman"/>
                <w:i/>
                <w:iCs/>
                <w:sz w:val="24"/>
                <w:szCs w:val="24"/>
                <w:lang w:val="ro-RO"/>
              </w:rPr>
              <w:t>milităriei, securității și ordinii publice,</w:t>
            </w:r>
            <w:r w:rsidRPr="009C7945">
              <w:rPr>
                <w:rFonts w:ascii="Times New Roman" w:hAnsi="Times New Roman" w:cs="Times New Roman"/>
                <w:sz w:val="24"/>
                <w:szCs w:val="24"/>
                <w:lang w:val="ro-RO"/>
              </w:rPr>
              <w:t xml:space="preserve"> instituțiile de învățământ superior pot încadra în activitatea didactică personalități care dețin grade militare/speciale superioare și supreme.</w:t>
            </w:r>
          </w:p>
          <w:p w:rsidR="00F735FD" w:rsidRPr="009C7945" w:rsidRDefault="00F735FD"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Sunt prevederi distincte care vizează conducătorul de teză de master și perioada concretă de stabilire a temei tezei de master.</w:t>
            </w:r>
          </w:p>
          <w:p w:rsidR="00A50DD1" w:rsidRPr="009C7945" w:rsidRDefault="00F735FD" w:rsidP="009C7945">
            <w:pPr>
              <w:pStyle w:val="Listparagraf"/>
              <w:numPr>
                <w:ilvl w:val="0"/>
                <w:numId w:val="16"/>
              </w:numPr>
              <w:tabs>
                <w:tab w:val="left" w:pos="884"/>
                <w:tab w:val="left" w:pos="1196"/>
              </w:tabs>
              <w:spacing w:after="0" w:line="276" w:lineRule="auto"/>
              <w:ind w:left="0" w:firstLine="737"/>
              <w:jc w:val="both"/>
              <w:rPr>
                <w:rFonts w:ascii="Times New Roman" w:hAnsi="Times New Roman" w:cs="Times New Roman"/>
                <w:sz w:val="24"/>
                <w:szCs w:val="24"/>
                <w:lang w:val="ro-RO"/>
              </w:rPr>
            </w:pPr>
            <w:r w:rsidRPr="009C7945">
              <w:rPr>
                <w:rFonts w:ascii="Times New Roman" w:hAnsi="Times New Roman" w:cs="Times New Roman"/>
                <w:sz w:val="24"/>
                <w:szCs w:val="24"/>
                <w:lang w:val="ro-RO"/>
              </w:rPr>
              <w:t xml:space="preserve">Pentru asigurarea corectitudinii </w:t>
            </w:r>
            <w:r w:rsidR="00E27DEC" w:rsidRPr="009C7945">
              <w:rPr>
                <w:rFonts w:ascii="Times New Roman" w:hAnsi="Times New Roman" w:cs="Times New Roman"/>
                <w:sz w:val="24"/>
                <w:szCs w:val="24"/>
                <w:lang w:val="ro-RO"/>
              </w:rPr>
              <w:t xml:space="preserve">și echități în aprecierea reușitei academice a studenților, în contextul utilizării masive a IA, </w:t>
            </w:r>
            <w:r w:rsidR="00E71AAA" w:rsidRPr="009C7945">
              <w:rPr>
                <w:rFonts w:ascii="Times New Roman" w:hAnsi="Times New Roman" w:cs="Times New Roman"/>
                <w:sz w:val="24"/>
                <w:szCs w:val="24"/>
                <w:lang w:val="ro-RO"/>
              </w:rPr>
              <w:t>dar și reieșind din n</w:t>
            </w:r>
            <w:r w:rsidR="003E4D54" w:rsidRPr="009C7945">
              <w:rPr>
                <w:rFonts w:ascii="Times New Roman" w:hAnsi="Times New Roman" w:cs="Times New Roman"/>
                <w:sz w:val="24"/>
                <w:szCs w:val="24"/>
                <w:lang w:val="ro-RO"/>
              </w:rPr>
              <w:t>umărul</w:t>
            </w:r>
            <w:r w:rsidR="00E71AAA" w:rsidRPr="009C7945">
              <w:rPr>
                <w:rFonts w:ascii="Times New Roman" w:hAnsi="Times New Roman" w:cs="Times New Roman"/>
                <w:sz w:val="24"/>
                <w:szCs w:val="24"/>
                <w:lang w:val="ro-RO"/>
              </w:rPr>
              <w:t xml:space="preserve"> de credite ECTS, </w:t>
            </w:r>
            <w:r w:rsidR="00E27DEC" w:rsidRPr="009C7945">
              <w:rPr>
                <w:rFonts w:ascii="Times New Roman" w:hAnsi="Times New Roman" w:cs="Times New Roman"/>
                <w:sz w:val="24"/>
                <w:szCs w:val="24"/>
                <w:lang w:val="ro-RO"/>
              </w:rPr>
              <w:t xml:space="preserve">se propune modificarea formulei pentru stabilirea </w:t>
            </w:r>
            <w:r w:rsidR="00E27DEC" w:rsidRPr="009C7945">
              <w:rPr>
                <w:rFonts w:ascii="Times New Roman" w:hAnsi="Times New Roman" w:cs="Times New Roman"/>
                <w:b/>
                <w:bCs/>
                <w:sz w:val="24"/>
                <w:szCs w:val="24"/>
                <w:lang w:val="ro-RO"/>
              </w:rPr>
              <w:t>notei medii generale de master</w:t>
            </w:r>
            <w:r w:rsidR="00E71AAA" w:rsidRPr="009C7945">
              <w:rPr>
                <w:rFonts w:ascii="Times New Roman" w:hAnsi="Times New Roman" w:cs="Times New Roman"/>
                <w:b/>
                <w:bCs/>
                <w:sz w:val="24"/>
                <w:szCs w:val="24"/>
                <w:lang w:val="ro-RO"/>
              </w:rPr>
              <w:t>,</w:t>
            </w:r>
            <w:r w:rsidR="00E27DEC" w:rsidRPr="009C7945">
              <w:rPr>
                <w:rFonts w:ascii="Times New Roman" w:hAnsi="Times New Roman" w:cs="Times New Roman"/>
                <w:sz w:val="24"/>
                <w:szCs w:val="24"/>
                <w:lang w:val="ro-RO"/>
              </w:rPr>
              <w:t xml:space="preserve"> și anume </w:t>
            </w:r>
            <w:r w:rsidR="00E71AAA" w:rsidRPr="009C7945">
              <w:rPr>
                <w:rFonts w:ascii="Times New Roman" w:hAnsi="Times New Roman" w:cs="Times New Roman"/>
                <w:sz w:val="24"/>
                <w:szCs w:val="24"/>
                <w:lang w:val="ro-RO"/>
              </w:rPr>
              <w:t>ca medi</w:t>
            </w:r>
            <w:r w:rsidR="003E4D54" w:rsidRPr="009C7945">
              <w:rPr>
                <w:rFonts w:ascii="Times New Roman" w:hAnsi="Times New Roman" w:cs="Times New Roman"/>
                <w:sz w:val="24"/>
                <w:szCs w:val="24"/>
                <w:lang w:val="ro-RO"/>
              </w:rPr>
              <w:t>e</w:t>
            </w:r>
            <w:r w:rsidR="00E71AAA" w:rsidRPr="009C7945">
              <w:rPr>
                <w:rFonts w:ascii="Times New Roman" w:hAnsi="Times New Roman" w:cs="Times New Roman"/>
                <w:sz w:val="24"/>
                <w:szCs w:val="24"/>
                <w:lang w:val="ro-RO"/>
              </w:rPr>
              <w:t xml:space="preserve"> aritmetică a notei obținute la susținerea tezei de master și a mediilor semestrelor de studii.</w:t>
            </w:r>
          </w:p>
        </w:tc>
      </w:tr>
      <w:tr w:rsidR="00FB7AF5" w:rsidRPr="009C7945" w:rsidTr="00DB6237">
        <w:trPr>
          <w:trHeight w:val="210"/>
        </w:trPr>
        <w:tc>
          <w:tcPr>
            <w:tcW w:w="5000" w:type="pct"/>
            <w:shd w:val="clear" w:color="auto" w:fill="F2F2F2" w:themeFill="background1" w:themeFillShade="F2"/>
          </w:tcPr>
          <w:p w:rsidR="00FB7AF5" w:rsidRPr="009C7945" w:rsidRDefault="00FB7AF5" w:rsidP="009C7945">
            <w:pPr>
              <w:spacing w:after="0"/>
              <w:ind w:firstLine="737"/>
              <w:jc w:val="both"/>
              <w:rPr>
                <w:rFonts w:ascii="Times New Roman" w:hAnsi="Times New Roman"/>
                <w:sz w:val="24"/>
                <w:szCs w:val="24"/>
              </w:rPr>
            </w:pPr>
            <w:r w:rsidRPr="009C7945">
              <w:rPr>
                <w:rFonts w:ascii="Times New Roman" w:hAnsi="Times New Roman"/>
                <w:b/>
                <w:bCs/>
                <w:sz w:val="24"/>
                <w:szCs w:val="24"/>
              </w:rPr>
              <w:lastRenderedPageBreak/>
              <w:t>3.2.</w:t>
            </w:r>
            <w:r w:rsidRPr="009C7945">
              <w:rPr>
                <w:rFonts w:ascii="Times New Roman" w:hAnsi="Times New Roman"/>
                <w:sz w:val="24"/>
                <w:szCs w:val="24"/>
              </w:rPr>
              <w:t xml:space="preserve"> Opțiunile alternative analizate și motivele pentru care acestea nu au fost luate în considerare</w:t>
            </w:r>
          </w:p>
        </w:tc>
      </w:tr>
      <w:tr w:rsidR="00FB7AF5" w:rsidRPr="009C7945" w:rsidTr="00DB6237">
        <w:trPr>
          <w:trHeight w:val="285"/>
        </w:trPr>
        <w:tc>
          <w:tcPr>
            <w:tcW w:w="5000" w:type="pct"/>
          </w:tcPr>
          <w:p w:rsidR="00FB7AF5" w:rsidRPr="009C7945" w:rsidRDefault="00FB7AF5" w:rsidP="009C7945">
            <w:pPr>
              <w:spacing w:after="0"/>
              <w:ind w:firstLine="737"/>
              <w:jc w:val="both"/>
              <w:rPr>
                <w:rFonts w:ascii="Times New Roman" w:hAnsi="Times New Roman"/>
                <w:sz w:val="24"/>
                <w:szCs w:val="24"/>
              </w:rPr>
            </w:pPr>
            <w:r w:rsidRPr="009C7945">
              <w:rPr>
                <w:rFonts w:ascii="Times New Roman" w:hAnsi="Times New Roman"/>
                <w:sz w:val="24"/>
                <w:szCs w:val="24"/>
              </w:rPr>
              <w:t>Opțiuni alternative nu există.</w:t>
            </w:r>
          </w:p>
        </w:tc>
      </w:tr>
      <w:tr w:rsidR="00FB7AF5" w:rsidRPr="009C7945" w:rsidTr="00DB6237">
        <w:trPr>
          <w:trHeight w:val="150"/>
        </w:trPr>
        <w:tc>
          <w:tcPr>
            <w:tcW w:w="5000" w:type="pct"/>
            <w:shd w:val="clear" w:color="auto" w:fill="BFBFBF" w:themeFill="background1" w:themeFillShade="BF"/>
          </w:tcPr>
          <w:p w:rsidR="00434AE5" w:rsidRPr="009C7945" w:rsidRDefault="00FB7AF5" w:rsidP="009C7945">
            <w:pPr>
              <w:tabs>
                <w:tab w:val="left" w:pos="884"/>
                <w:tab w:val="left" w:pos="1196"/>
              </w:tabs>
              <w:spacing w:after="0"/>
              <w:ind w:firstLine="737"/>
              <w:jc w:val="both"/>
              <w:rPr>
                <w:rFonts w:ascii="Times New Roman" w:hAnsi="Times New Roman"/>
                <w:b/>
                <w:iCs/>
                <w:sz w:val="24"/>
                <w:szCs w:val="24"/>
              </w:rPr>
            </w:pPr>
            <w:r w:rsidRPr="009C7945">
              <w:rPr>
                <w:rFonts w:ascii="Times New Roman" w:hAnsi="Times New Roman"/>
                <w:b/>
                <w:iCs/>
                <w:sz w:val="24"/>
                <w:szCs w:val="24"/>
              </w:rPr>
              <w:t>4. Analiza impactului de reglementare</w:t>
            </w:r>
          </w:p>
        </w:tc>
      </w:tr>
      <w:tr w:rsidR="00FB7AF5" w:rsidRPr="009C7945" w:rsidTr="00DB6237">
        <w:trPr>
          <w:trHeight w:val="180"/>
        </w:trPr>
        <w:tc>
          <w:tcPr>
            <w:tcW w:w="5000" w:type="pct"/>
            <w:shd w:val="clear" w:color="auto" w:fill="F2F2F2" w:themeFill="background1" w:themeFillShade="F2"/>
          </w:tcPr>
          <w:p w:rsidR="00FB7AF5" w:rsidRPr="009C7945" w:rsidRDefault="00FB7AF5" w:rsidP="009C7945">
            <w:pPr>
              <w:tabs>
                <w:tab w:val="left" w:pos="884"/>
                <w:tab w:val="left" w:pos="1196"/>
              </w:tabs>
              <w:spacing w:after="0"/>
              <w:ind w:firstLine="737"/>
              <w:jc w:val="both"/>
              <w:rPr>
                <w:rFonts w:ascii="Times New Roman" w:hAnsi="Times New Roman"/>
                <w:bCs/>
                <w:iCs/>
                <w:sz w:val="24"/>
                <w:szCs w:val="24"/>
              </w:rPr>
            </w:pPr>
            <w:r w:rsidRPr="009C7945">
              <w:rPr>
                <w:rFonts w:ascii="Times New Roman" w:hAnsi="Times New Roman"/>
                <w:b/>
                <w:iCs/>
                <w:sz w:val="24"/>
                <w:szCs w:val="24"/>
              </w:rPr>
              <w:t>4.1.</w:t>
            </w:r>
            <w:r w:rsidRPr="009C7945">
              <w:rPr>
                <w:rFonts w:ascii="Times New Roman" w:hAnsi="Times New Roman"/>
                <w:bCs/>
                <w:iCs/>
                <w:sz w:val="24"/>
                <w:szCs w:val="24"/>
              </w:rPr>
              <w:t xml:space="preserve"> Impactul asupra sectorului public</w:t>
            </w:r>
          </w:p>
        </w:tc>
      </w:tr>
      <w:tr w:rsidR="00FB7AF5" w:rsidRPr="009C7945" w:rsidTr="00DB6237">
        <w:trPr>
          <w:trHeight w:val="1230"/>
        </w:trPr>
        <w:tc>
          <w:tcPr>
            <w:tcW w:w="5000" w:type="pct"/>
          </w:tcPr>
          <w:p w:rsidR="002D7D59" w:rsidRPr="009C7945" w:rsidRDefault="00FD5D22" w:rsidP="002851AC">
            <w:pPr>
              <w:spacing w:after="0" w:line="240" w:lineRule="auto"/>
              <w:ind w:firstLine="737"/>
              <w:jc w:val="both"/>
              <w:rPr>
                <w:rFonts w:ascii="Times New Roman" w:hAnsi="Times New Roman"/>
                <w:sz w:val="24"/>
                <w:szCs w:val="24"/>
              </w:rPr>
            </w:pPr>
            <w:r w:rsidRPr="009C7945">
              <w:rPr>
                <w:rFonts w:ascii="Times New Roman" w:hAnsi="Times New Roman"/>
                <w:sz w:val="24"/>
                <w:szCs w:val="24"/>
              </w:rPr>
              <w:t xml:space="preserve">Regulamentul stabilește criterii mai riguroase privind admiterea, metodologia didactică, evaluarea tezei de master și corpul profesoral. Aceasta conduce la creșterea credibilității și a recunoașterii diplomelor de master, </w:t>
            </w:r>
            <w:r w:rsidR="005800CD" w:rsidRPr="009C7945">
              <w:rPr>
                <w:rFonts w:ascii="Times New Roman" w:hAnsi="Times New Roman"/>
                <w:sz w:val="24"/>
                <w:szCs w:val="24"/>
              </w:rPr>
              <w:t>contribuind la formarea unei forțe de muncă înalt calificate și la dezvoltarea societății în ansamblul său.</w:t>
            </w:r>
          </w:p>
        </w:tc>
      </w:tr>
      <w:tr w:rsidR="00043F21" w:rsidRPr="009C7945" w:rsidTr="00DB6237">
        <w:trPr>
          <w:trHeight w:val="105"/>
        </w:trPr>
        <w:tc>
          <w:tcPr>
            <w:tcW w:w="5000" w:type="pct"/>
          </w:tcPr>
          <w:p w:rsidR="00043F21" w:rsidRPr="009C7945" w:rsidRDefault="00043F21" w:rsidP="009C7945">
            <w:pPr>
              <w:spacing w:after="0"/>
              <w:ind w:firstLine="737"/>
              <w:jc w:val="both"/>
              <w:rPr>
                <w:rFonts w:ascii="Times New Roman" w:hAnsi="Times New Roman"/>
                <w:sz w:val="24"/>
                <w:szCs w:val="24"/>
              </w:rPr>
            </w:pPr>
            <w:r w:rsidRPr="009C7945">
              <w:rPr>
                <w:rFonts w:ascii="Times New Roman" w:eastAsia="Times New Roman" w:hAnsi="Times New Roman"/>
                <w:b/>
                <w:bCs/>
                <w:sz w:val="24"/>
                <w:szCs w:val="24"/>
                <w:lang w:eastAsia="en-US"/>
              </w:rPr>
              <w:t>4.2.</w:t>
            </w:r>
            <w:r w:rsidRPr="009C7945">
              <w:rPr>
                <w:rFonts w:ascii="Times New Roman" w:eastAsia="Times New Roman" w:hAnsi="Times New Roman"/>
                <w:sz w:val="24"/>
                <w:szCs w:val="24"/>
                <w:lang w:eastAsia="en-US"/>
              </w:rPr>
              <w:t xml:space="preserve"> Impactul financiar și argumentarea costurilor estimative</w:t>
            </w:r>
          </w:p>
        </w:tc>
      </w:tr>
      <w:tr w:rsidR="00043F21" w:rsidRPr="009C7945" w:rsidTr="00DB6237">
        <w:trPr>
          <w:trHeight w:val="255"/>
        </w:trPr>
        <w:tc>
          <w:tcPr>
            <w:tcW w:w="5000" w:type="pct"/>
          </w:tcPr>
          <w:p w:rsidR="004453AE" w:rsidRPr="009C7945" w:rsidRDefault="00D97C05" w:rsidP="002851AC">
            <w:pPr>
              <w:spacing w:after="0"/>
              <w:ind w:firstLine="737"/>
              <w:jc w:val="both"/>
              <w:rPr>
                <w:rFonts w:ascii="Times New Roman" w:hAnsi="Times New Roman"/>
                <w:bCs/>
                <w:i/>
                <w:sz w:val="24"/>
                <w:szCs w:val="24"/>
              </w:rPr>
            </w:pPr>
            <w:r w:rsidRPr="009C7945">
              <w:rPr>
                <w:rFonts w:ascii="Times New Roman" w:hAnsi="Times New Roman"/>
                <w:bCs/>
                <w:sz w:val="24"/>
                <w:szCs w:val="24"/>
              </w:rPr>
              <w:t xml:space="preserve">Programele de </w:t>
            </w:r>
            <w:r w:rsidR="004453AE" w:rsidRPr="009C7945">
              <w:rPr>
                <w:rFonts w:ascii="Times New Roman" w:hAnsi="Times New Roman"/>
                <w:bCs/>
                <w:sz w:val="24"/>
                <w:szCs w:val="24"/>
              </w:rPr>
              <w:t xml:space="preserve">studii superioare de master </w:t>
            </w:r>
            <w:r w:rsidR="005A0C20" w:rsidRPr="009C7945">
              <w:rPr>
                <w:rFonts w:ascii="Times New Roman" w:hAnsi="Times New Roman"/>
                <w:bCs/>
                <w:sz w:val="24"/>
                <w:szCs w:val="24"/>
              </w:rPr>
              <w:t>sunt</w:t>
            </w:r>
            <w:r w:rsidR="0014200A" w:rsidRPr="009C7945">
              <w:rPr>
                <w:rFonts w:ascii="Times New Roman" w:hAnsi="Times New Roman"/>
                <w:bCs/>
                <w:sz w:val="24"/>
                <w:szCs w:val="24"/>
              </w:rPr>
              <w:t xml:space="preserve"> </w:t>
            </w:r>
            <w:r w:rsidR="005F11F1" w:rsidRPr="009C7945">
              <w:rPr>
                <w:rFonts w:ascii="Times New Roman" w:hAnsi="Times New Roman"/>
                <w:bCs/>
                <w:sz w:val="24"/>
                <w:szCs w:val="24"/>
              </w:rPr>
              <w:t>finanțat</w:t>
            </w:r>
            <w:r w:rsidR="005A0C20" w:rsidRPr="009C7945">
              <w:rPr>
                <w:rFonts w:ascii="Times New Roman" w:hAnsi="Times New Roman"/>
                <w:bCs/>
                <w:sz w:val="24"/>
                <w:szCs w:val="24"/>
              </w:rPr>
              <w:t>e</w:t>
            </w:r>
            <w:r w:rsidR="0014200A" w:rsidRPr="009C7945">
              <w:rPr>
                <w:rFonts w:ascii="Times New Roman" w:hAnsi="Times New Roman"/>
                <w:bCs/>
                <w:sz w:val="24"/>
                <w:szCs w:val="24"/>
              </w:rPr>
              <w:t xml:space="preserve"> în limita bugetelor aprobate anual, </w:t>
            </w:r>
            <w:r w:rsidR="008452EB" w:rsidRPr="009C7945">
              <w:rPr>
                <w:rFonts w:ascii="Times New Roman" w:hAnsi="Times New Roman"/>
                <w:bCs/>
                <w:sz w:val="24"/>
                <w:szCs w:val="24"/>
              </w:rPr>
              <w:t xml:space="preserve">la </w:t>
            </w:r>
            <w:r w:rsidR="0014200A" w:rsidRPr="009C7945">
              <w:rPr>
                <w:rFonts w:ascii="Times New Roman" w:hAnsi="Times New Roman"/>
                <w:bCs/>
                <w:i/>
                <w:sz w:val="24"/>
                <w:szCs w:val="24"/>
              </w:rPr>
              <w:t>Program</w:t>
            </w:r>
            <w:r w:rsidR="008452EB" w:rsidRPr="009C7945">
              <w:rPr>
                <w:rFonts w:ascii="Times New Roman" w:hAnsi="Times New Roman"/>
                <w:bCs/>
                <w:i/>
                <w:sz w:val="24"/>
                <w:szCs w:val="24"/>
              </w:rPr>
              <w:t>ul</w:t>
            </w:r>
            <w:r w:rsidR="0014200A" w:rsidRPr="009C7945">
              <w:rPr>
                <w:rFonts w:ascii="Times New Roman" w:hAnsi="Times New Roman"/>
                <w:bCs/>
                <w:i/>
                <w:sz w:val="24"/>
                <w:szCs w:val="24"/>
              </w:rPr>
              <w:t>/Subprogram</w:t>
            </w:r>
            <w:r w:rsidR="008452EB" w:rsidRPr="009C7945">
              <w:rPr>
                <w:rFonts w:ascii="Times New Roman" w:hAnsi="Times New Roman"/>
                <w:bCs/>
                <w:i/>
                <w:sz w:val="24"/>
                <w:szCs w:val="24"/>
              </w:rPr>
              <w:t>ul</w:t>
            </w:r>
            <w:r w:rsidR="0014200A" w:rsidRPr="009C7945">
              <w:rPr>
                <w:rFonts w:ascii="Times New Roman" w:hAnsi="Times New Roman"/>
                <w:bCs/>
                <w:i/>
                <w:sz w:val="24"/>
                <w:szCs w:val="24"/>
              </w:rPr>
              <w:t xml:space="preserve"> 8810 Învățământ superior</w:t>
            </w:r>
            <w:r w:rsidR="004453AE" w:rsidRPr="009C7945">
              <w:rPr>
                <w:rFonts w:ascii="Times New Roman" w:hAnsi="Times New Roman"/>
                <w:bCs/>
                <w:i/>
                <w:sz w:val="24"/>
                <w:szCs w:val="24"/>
              </w:rPr>
              <w:t>.</w:t>
            </w:r>
            <w:r w:rsidR="005A0C20" w:rsidRPr="009C7945">
              <w:rPr>
                <w:rFonts w:ascii="Times New Roman" w:hAnsi="Times New Roman"/>
                <w:bCs/>
                <w:i/>
                <w:sz w:val="24"/>
                <w:szCs w:val="24"/>
              </w:rPr>
              <w:t xml:space="preserve"> </w:t>
            </w:r>
            <w:bookmarkStart w:id="2" w:name="_Hlk218603506"/>
            <w:r w:rsidR="003E4D54" w:rsidRPr="009C7945">
              <w:rPr>
                <w:rFonts w:ascii="Times New Roman" w:hAnsi="Times New Roman"/>
                <w:bCs/>
                <w:iCs/>
                <w:sz w:val="24"/>
                <w:szCs w:val="24"/>
              </w:rPr>
              <w:t>Astfel,</w:t>
            </w:r>
            <w:r w:rsidR="003E4D54" w:rsidRPr="009C7945">
              <w:rPr>
                <w:rFonts w:ascii="Times New Roman" w:hAnsi="Times New Roman"/>
                <w:bCs/>
                <w:i/>
                <w:sz w:val="24"/>
                <w:szCs w:val="24"/>
              </w:rPr>
              <w:t xml:space="preserve"> </w:t>
            </w:r>
            <w:r w:rsidR="00E5363D" w:rsidRPr="009C7945">
              <w:rPr>
                <w:rFonts w:ascii="Times New Roman" w:hAnsi="Times New Roman"/>
                <w:bCs/>
                <w:iCs/>
                <w:sz w:val="24"/>
                <w:szCs w:val="24"/>
              </w:rPr>
              <w:t xml:space="preserve">conform Legii bugetului nr. 322/2025, </w:t>
            </w:r>
            <w:r w:rsidR="00D54D3B" w:rsidRPr="009C7945">
              <w:rPr>
                <w:rFonts w:ascii="Times New Roman" w:hAnsi="Times New Roman"/>
                <w:bCs/>
                <w:iCs/>
                <w:sz w:val="24"/>
                <w:szCs w:val="24"/>
              </w:rPr>
              <w:t>pentru anul 2026</w:t>
            </w:r>
            <w:bookmarkEnd w:id="2"/>
            <w:r w:rsidR="00E5363D" w:rsidRPr="009C7945">
              <w:rPr>
                <w:rFonts w:ascii="Times New Roman" w:hAnsi="Times New Roman"/>
                <w:bCs/>
                <w:iCs/>
                <w:sz w:val="24"/>
                <w:szCs w:val="24"/>
              </w:rPr>
              <w:t>, pentru ciclul II-master sun</w:t>
            </w:r>
            <w:r w:rsidR="00555A5E" w:rsidRPr="009C7945">
              <w:rPr>
                <w:rFonts w:ascii="Times New Roman" w:hAnsi="Times New Roman"/>
                <w:bCs/>
                <w:iCs/>
                <w:sz w:val="24"/>
                <w:szCs w:val="24"/>
              </w:rPr>
              <w:t>t</w:t>
            </w:r>
            <w:r w:rsidR="00E5363D" w:rsidRPr="009C7945">
              <w:rPr>
                <w:rFonts w:ascii="Times New Roman" w:hAnsi="Times New Roman"/>
                <w:bCs/>
                <w:iCs/>
                <w:sz w:val="24"/>
                <w:szCs w:val="24"/>
              </w:rPr>
              <w:t xml:space="preserve"> planificate </w:t>
            </w:r>
            <w:r w:rsidR="00E5363D" w:rsidRPr="009C7945">
              <w:rPr>
                <w:rFonts w:ascii="Times New Roman" w:hAnsi="Times New Roman"/>
                <w:b/>
                <w:iCs/>
                <w:sz w:val="24"/>
                <w:szCs w:val="24"/>
              </w:rPr>
              <w:t>284.</w:t>
            </w:r>
            <w:r w:rsidR="00555A5E" w:rsidRPr="009C7945">
              <w:rPr>
                <w:rFonts w:ascii="Times New Roman" w:hAnsi="Times New Roman"/>
                <w:b/>
                <w:iCs/>
                <w:sz w:val="24"/>
                <w:szCs w:val="24"/>
              </w:rPr>
              <w:t>792,0 mii lei.</w:t>
            </w:r>
          </w:p>
        </w:tc>
      </w:tr>
      <w:tr w:rsidR="002D7D59" w:rsidRPr="009C7945" w:rsidTr="00DB6237">
        <w:trPr>
          <w:trHeight w:val="270"/>
        </w:trPr>
        <w:tc>
          <w:tcPr>
            <w:tcW w:w="5000" w:type="pct"/>
          </w:tcPr>
          <w:p w:rsidR="002D7D59" w:rsidRPr="009C7945" w:rsidRDefault="00043F21" w:rsidP="009C7945">
            <w:pPr>
              <w:spacing w:after="0"/>
              <w:ind w:firstLine="737"/>
              <w:jc w:val="both"/>
              <w:rPr>
                <w:rFonts w:ascii="Times New Roman" w:hAnsi="Times New Roman"/>
                <w:sz w:val="24"/>
                <w:szCs w:val="24"/>
              </w:rPr>
            </w:pPr>
            <w:r w:rsidRPr="009C7945">
              <w:rPr>
                <w:rFonts w:ascii="Times New Roman" w:hAnsi="Times New Roman"/>
                <w:b/>
                <w:bCs/>
                <w:sz w:val="24"/>
                <w:szCs w:val="24"/>
              </w:rPr>
              <w:t>4.3.</w:t>
            </w:r>
            <w:r w:rsidRPr="009C7945">
              <w:rPr>
                <w:rFonts w:ascii="Times New Roman" w:hAnsi="Times New Roman"/>
                <w:sz w:val="24"/>
                <w:szCs w:val="24"/>
              </w:rPr>
              <w:t xml:space="preserve"> Impactul asupra sectorului privat</w:t>
            </w:r>
          </w:p>
        </w:tc>
      </w:tr>
      <w:tr w:rsidR="002D7D59" w:rsidRPr="009C7945" w:rsidTr="00DB6237">
        <w:tc>
          <w:tcPr>
            <w:tcW w:w="5000" w:type="pct"/>
          </w:tcPr>
          <w:p w:rsidR="002D7D59" w:rsidRPr="009C7945" w:rsidRDefault="00043F21" w:rsidP="009C7945">
            <w:pPr>
              <w:tabs>
                <w:tab w:val="left" w:pos="884"/>
                <w:tab w:val="left" w:pos="1196"/>
              </w:tabs>
              <w:spacing w:after="0"/>
              <w:ind w:firstLine="737"/>
              <w:jc w:val="both"/>
              <w:rPr>
                <w:rFonts w:ascii="Times New Roman" w:hAnsi="Times New Roman"/>
                <w:sz w:val="24"/>
                <w:szCs w:val="24"/>
              </w:rPr>
            </w:pPr>
            <w:r w:rsidRPr="009C7945">
              <w:rPr>
                <w:rFonts w:ascii="Times New Roman" w:hAnsi="Times New Roman"/>
                <w:sz w:val="24"/>
                <w:szCs w:val="24"/>
              </w:rPr>
              <w:t xml:space="preserve"> Acțiuni de impact suplimentare nu există.</w:t>
            </w:r>
          </w:p>
        </w:tc>
      </w:tr>
      <w:tr w:rsidR="00B660FD" w:rsidRPr="009C7945" w:rsidTr="00DB6237">
        <w:trPr>
          <w:trHeight w:val="165"/>
        </w:trPr>
        <w:tc>
          <w:tcPr>
            <w:tcW w:w="5000" w:type="pct"/>
            <w:shd w:val="clear" w:color="auto" w:fill="F2F2F2" w:themeFill="background1" w:themeFillShade="F2"/>
          </w:tcPr>
          <w:p w:rsidR="005D1312" w:rsidRPr="009C7945" w:rsidRDefault="00B660FD" w:rsidP="009C7945">
            <w:pPr>
              <w:spacing w:after="0"/>
              <w:ind w:firstLine="737"/>
              <w:jc w:val="both"/>
              <w:rPr>
                <w:rFonts w:ascii="Times New Roman" w:hAnsi="Times New Roman"/>
                <w:sz w:val="24"/>
                <w:szCs w:val="24"/>
              </w:rPr>
            </w:pPr>
            <w:r w:rsidRPr="009C7945">
              <w:rPr>
                <w:rFonts w:ascii="Times New Roman" w:hAnsi="Times New Roman"/>
                <w:b/>
                <w:bCs/>
                <w:sz w:val="24"/>
                <w:szCs w:val="24"/>
              </w:rPr>
              <w:t>4.4.</w:t>
            </w:r>
            <w:r w:rsidRPr="009C7945">
              <w:rPr>
                <w:rFonts w:ascii="Times New Roman" w:hAnsi="Times New Roman"/>
                <w:sz w:val="24"/>
                <w:szCs w:val="24"/>
              </w:rPr>
              <w:t xml:space="preserve"> Impactul social</w:t>
            </w:r>
          </w:p>
        </w:tc>
      </w:tr>
      <w:tr w:rsidR="00B660FD" w:rsidRPr="009C7945" w:rsidTr="00DB6237">
        <w:trPr>
          <w:trHeight w:val="180"/>
        </w:trPr>
        <w:tc>
          <w:tcPr>
            <w:tcW w:w="5000" w:type="pct"/>
            <w:shd w:val="clear" w:color="auto" w:fill="F2F2F2" w:themeFill="background1" w:themeFillShade="F2"/>
          </w:tcPr>
          <w:p w:rsidR="00B660FD" w:rsidRPr="009C7945" w:rsidRDefault="00B660FD" w:rsidP="009C7945">
            <w:pPr>
              <w:spacing w:after="0"/>
              <w:ind w:firstLine="737"/>
              <w:jc w:val="both"/>
              <w:rPr>
                <w:rFonts w:ascii="Times New Roman" w:hAnsi="Times New Roman"/>
                <w:sz w:val="24"/>
                <w:szCs w:val="24"/>
              </w:rPr>
            </w:pPr>
            <w:r w:rsidRPr="009C7945">
              <w:rPr>
                <w:rFonts w:ascii="Times New Roman" w:hAnsi="Times New Roman"/>
                <w:b/>
                <w:bCs/>
                <w:sz w:val="24"/>
                <w:szCs w:val="24"/>
              </w:rPr>
              <w:lastRenderedPageBreak/>
              <w:t>4.4.1.</w:t>
            </w:r>
            <w:r w:rsidRPr="009C7945">
              <w:rPr>
                <w:rFonts w:ascii="Times New Roman" w:hAnsi="Times New Roman"/>
                <w:sz w:val="24"/>
                <w:szCs w:val="24"/>
              </w:rPr>
              <w:t xml:space="preserve"> Impactul asupra datelor cu caracter personal</w:t>
            </w:r>
          </w:p>
        </w:tc>
      </w:tr>
      <w:tr w:rsidR="00B660FD" w:rsidRPr="009C7945" w:rsidTr="00DB6237">
        <w:trPr>
          <w:trHeight w:val="195"/>
        </w:trPr>
        <w:tc>
          <w:tcPr>
            <w:tcW w:w="5000" w:type="pct"/>
            <w:shd w:val="clear" w:color="auto" w:fill="FFFFFF" w:themeFill="background1"/>
          </w:tcPr>
          <w:p w:rsidR="00B660FD" w:rsidRPr="009C7945" w:rsidRDefault="00B660FD" w:rsidP="009C7945">
            <w:pPr>
              <w:spacing w:after="0"/>
              <w:ind w:firstLine="737"/>
              <w:jc w:val="both"/>
              <w:rPr>
                <w:rFonts w:ascii="Times New Roman" w:hAnsi="Times New Roman"/>
                <w:sz w:val="24"/>
                <w:szCs w:val="24"/>
              </w:rPr>
            </w:pPr>
            <w:r w:rsidRPr="009C7945">
              <w:rPr>
                <w:rFonts w:ascii="Times New Roman" w:hAnsi="Times New Roman"/>
                <w:sz w:val="24"/>
                <w:szCs w:val="24"/>
              </w:rPr>
              <w:t>Proiectul asigură protecția datelor cu caracter personal.</w:t>
            </w:r>
          </w:p>
        </w:tc>
      </w:tr>
      <w:tr w:rsidR="00B660FD" w:rsidRPr="009C7945" w:rsidTr="00DB6237">
        <w:trPr>
          <w:trHeight w:val="122"/>
        </w:trPr>
        <w:tc>
          <w:tcPr>
            <w:tcW w:w="5000" w:type="pct"/>
            <w:shd w:val="clear" w:color="auto" w:fill="F2F2F2" w:themeFill="background1" w:themeFillShade="F2"/>
          </w:tcPr>
          <w:p w:rsidR="00B660FD" w:rsidRPr="009C7945" w:rsidRDefault="00B660FD" w:rsidP="009C7945">
            <w:pPr>
              <w:spacing w:after="0"/>
              <w:ind w:firstLine="737"/>
              <w:jc w:val="both"/>
              <w:rPr>
                <w:rFonts w:ascii="Times New Roman" w:hAnsi="Times New Roman"/>
                <w:sz w:val="24"/>
                <w:szCs w:val="24"/>
              </w:rPr>
            </w:pPr>
            <w:r w:rsidRPr="009C7945">
              <w:rPr>
                <w:rFonts w:ascii="Times New Roman" w:hAnsi="Times New Roman"/>
                <w:b/>
                <w:bCs/>
                <w:sz w:val="24"/>
                <w:szCs w:val="24"/>
              </w:rPr>
              <w:t>4.4.2.</w:t>
            </w:r>
            <w:r w:rsidRPr="009C7945">
              <w:rPr>
                <w:rFonts w:ascii="Times New Roman" w:hAnsi="Times New Roman"/>
                <w:sz w:val="24"/>
                <w:szCs w:val="24"/>
              </w:rPr>
              <w:t xml:space="preserve"> Impactul asupra echității și egalității de gen</w:t>
            </w:r>
          </w:p>
        </w:tc>
      </w:tr>
      <w:tr w:rsidR="00B660FD" w:rsidRPr="009C7945" w:rsidTr="00DB6237">
        <w:trPr>
          <w:trHeight w:val="150"/>
        </w:trPr>
        <w:tc>
          <w:tcPr>
            <w:tcW w:w="5000" w:type="pct"/>
          </w:tcPr>
          <w:p w:rsidR="00B660FD" w:rsidRPr="009C7945" w:rsidRDefault="00B660FD" w:rsidP="009C7945">
            <w:pPr>
              <w:spacing w:after="0"/>
              <w:ind w:firstLine="737"/>
              <w:jc w:val="both"/>
              <w:rPr>
                <w:rFonts w:ascii="Times New Roman" w:hAnsi="Times New Roman"/>
                <w:sz w:val="24"/>
                <w:szCs w:val="24"/>
              </w:rPr>
            </w:pPr>
            <w:r w:rsidRPr="009C7945">
              <w:rPr>
                <w:rFonts w:ascii="Times New Roman" w:hAnsi="Times New Roman"/>
                <w:sz w:val="24"/>
                <w:szCs w:val="24"/>
              </w:rPr>
              <w:t xml:space="preserve">Proiectul nu prezintă riscuri de discriminare după criterii de gen, apartenență etnică etc. </w:t>
            </w:r>
          </w:p>
        </w:tc>
      </w:tr>
      <w:tr w:rsidR="00B660FD" w:rsidRPr="009C7945" w:rsidTr="00DB6237">
        <w:trPr>
          <w:trHeight w:val="165"/>
        </w:trPr>
        <w:tc>
          <w:tcPr>
            <w:tcW w:w="5000" w:type="pct"/>
            <w:shd w:val="clear" w:color="auto" w:fill="F2F2F2" w:themeFill="background1" w:themeFillShade="F2"/>
          </w:tcPr>
          <w:p w:rsidR="00B660FD" w:rsidRPr="009C7945" w:rsidRDefault="00B660FD" w:rsidP="009C7945">
            <w:pPr>
              <w:spacing w:after="0"/>
              <w:ind w:firstLine="737"/>
              <w:jc w:val="both"/>
              <w:rPr>
                <w:rFonts w:ascii="Times New Roman" w:hAnsi="Times New Roman"/>
                <w:sz w:val="24"/>
                <w:szCs w:val="24"/>
              </w:rPr>
            </w:pPr>
            <w:r w:rsidRPr="009C7945">
              <w:rPr>
                <w:rFonts w:ascii="Times New Roman" w:hAnsi="Times New Roman"/>
                <w:b/>
                <w:bCs/>
                <w:sz w:val="24"/>
                <w:szCs w:val="24"/>
              </w:rPr>
              <w:t>4.5.</w:t>
            </w:r>
            <w:r w:rsidRPr="009C7945">
              <w:rPr>
                <w:rFonts w:ascii="Times New Roman" w:hAnsi="Times New Roman"/>
                <w:sz w:val="24"/>
                <w:szCs w:val="24"/>
              </w:rPr>
              <w:t xml:space="preserve"> Impactul asupra mediului</w:t>
            </w:r>
          </w:p>
        </w:tc>
      </w:tr>
      <w:tr w:rsidR="00B660FD" w:rsidRPr="009C7945" w:rsidTr="00DB6237">
        <w:trPr>
          <w:trHeight w:val="137"/>
        </w:trPr>
        <w:tc>
          <w:tcPr>
            <w:tcW w:w="5000" w:type="pct"/>
            <w:shd w:val="clear" w:color="auto" w:fill="FFFFFF" w:themeFill="background1"/>
          </w:tcPr>
          <w:p w:rsidR="00B660FD" w:rsidRPr="009C7945" w:rsidRDefault="00B660FD" w:rsidP="009C7945">
            <w:pPr>
              <w:spacing w:after="0"/>
              <w:ind w:firstLine="737"/>
              <w:jc w:val="both"/>
              <w:rPr>
                <w:rFonts w:ascii="Times New Roman" w:hAnsi="Times New Roman"/>
                <w:sz w:val="24"/>
                <w:szCs w:val="24"/>
              </w:rPr>
            </w:pPr>
            <w:r w:rsidRPr="009C7945">
              <w:rPr>
                <w:rFonts w:ascii="Times New Roman" w:hAnsi="Times New Roman"/>
                <w:sz w:val="24"/>
                <w:szCs w:val="24"/>
              </w:rPr>
              <w:t>Proiectul nu are impact asupra mediului.</w:t>
            </w:r>
          </w:p>
        </w:tc>
      </w:tr>
      <w:tr w:rsidR="00B660FD" w:rsidRPr="009C7945" w:rsidTr="00DB6237">
        <w:tc>
          <w:tcPr>
            <w:tcW w:w="5000" w:type="pct"/>
            <w:shd w:val="clear" w:color="auto" w:fill="F2F2F2" w:themeFill="background1" w:themeFillShade="F2"/>
          </w:tcPr>
          <w:p w:rsidR="00B660FD" w:rsidRPr="009C7945" w:rsidRDefault="00B660FD" w:rsidP="009C7945">
            <w:pPr>
              <w:spacing w:after="0"/>
              <w:ind w:firstLine="737"/>
              <w:jc w:val="both"/>
              <w:rPr>
                <w:rFonts w:ascii="Times New Roman" w:hAnsi="Times New Roman"/>
                <w:sz w:val="24"/>
                <w:szCs w:val="24"/>
              </w:rPr>
            </w:pPr>
            <w:r w:rsidRPr="009C7945">
              <w:rPr>
                <w:rFonts w:ascii="Times New Roman" w:hAnsi="Times New Roman"/>
                <w:b/>
                <w:bCs/>
                <w:sz w:val="24"/>
                <w:szCs w:val="24"/>
              </w:rPr>
              <w:t>4.6.</w:t>
            </w:r>
            <w:r w:rsidRPr="009C7945">
              <w:rPr>
                <w:rFonts w:ascii="Times New Roman" w:hAnsi="Times New Roman"/>
                <w:sz w:val="24"/>
                <w:szCs w:val="24"/>
              </w:rPr>
              <w:t xml:space="preserve"> Alte impacturi și informații relevante</w:t>
            </w:r>
          </w:p>
        </w:tc>
      </w:tr>
      <w:tr w:rsidR="00B660FD" w:rsidRPr="009C7945" w:rsidTr="00DB6237">
        <w:tc>
          <w:tcPr>
            <w:tcW w:w="5000" w:type="pct"/>
            <w:shd w:val="clear" w:color="auto" w:fill="FFFFFF" w:themeFill="background1"/>
          </w:tcPr>
          <w:p w:rsidR="005E11D3" w:rsidRPr="009C7945" w:rsidRDefault="00B660FD" w:rsidP="009C7945">
            <w:pPr>
              <w:spacing w:after="0"/>
              <w:ind w:firstLine="737"/>
              <w:jc w:val="both"/>
              <w:rPr>
                <w:rFonts w:ascii="Times New Roman" w:hAnsi="Times New Roman"/>
                <w:sz w:val="24"/>
                <w:szCs w:val="24"/>
              </w:rPr>
            </w:pPr>
            <w:r w:rsidRPr="009C7945">
              <w:rPr>
                <w:rFonts w:ascii="Times New Roman" w:hAnsi="Times New Roman"/>
                <w:sz w:val="24"/>
                <w:szCs w:val="24"/>
              </w:rPr>
              <w:t>Proiectul nu are impacturi și informații relevante.</w:t>
            </w:r>
          </w:p>
        </w:tc>
      </w:tr>
      <w:tr w:rsidR="00B660FD" w:rsidRPr="009C7945" w:rsidTr="00DB6237">
        <w:tc>
          <w:tcPr>
            <w:tcW w:w="5000" w:type="pct"/>
            <w:shd w:val="clear" w:color="auto" w:fill="BFBFBF" w:themeFill="background1" w:themeFillShade="BF"/>
          </w:tcPr>
          <w:p w:rsidR="00B660FD" w:rsidRPr="009C7945" w:rsidRDefault="00B660FD" w:rsidP="009C7945">
            <w:pPr>
              <w:tabs>
                <w:tab w:val="left" w:pos="884"/>
                <w:tab w:val="left" w:pos="1196"/>
              </w:tabs>
              <w:spacing w:after="0"/>
              <w:ind w:firstLine="737"/>
              <w:jc w:val="both"/>
              <w:rPr>
                <w:rFonts w:ascii="Times New Roman" w:hAnsi="Times New Roman"/>
                <w:b/>
                <w:iCs/>
                <w:sz w:val="24"/>
                <w:szCs w:val="24"/>
              </w:rPr>
            </w:pPr>
            <w:r w:rsidRPr="009C7945">
              <w:rPr>
                <w:rFonts w:ascii="Times New Roman" w:hAnsi="Times New Roman"/>
                <w:b/>
                <w:iCs/>
                <w:sz w:val="24"/>
                <w:szCs w:val="24"/>
              </w:rPr>
              <w:t>5. Compatibilitatea proiectului actului normativ cu legislația UE</w:t>
            </w:r>
            <w:r w:rsidRPr="009C7945" w:rsidDel="003F742C">
              <w:rPr>
                <w:rFonts w:ascii="Times New Roman" w:hAnsi="Times New Roman"/>
                <w:b/>
                <w:iCs/>
                <w:sz w:val="24"/>
                <w:szCs w:val="24"/>
              </w:rPr>
              <w:t xml:space="preserve"> </w:t>
            </w:r>
          </w:p>
        </w:tc>
      </w:tr>
      <w:tr w:rsidR="00B660FD" w:rsidRPr="009C7945" w:rsidTr="00DB6237">
        <w:tc>
          <w:tcPr>
            <w:tcW w:w="5000" w:type="pct"/>
            <w:shd w:val="clear" w:color="auto" w:fill="F2F2F2" w:themeFill="background1" w:themeFillShade="F2"/>
          </w:tcPr>
          <w:p w:rsidR="00B660FD" w:rsidRPr="009C7945" w:rsidRDefault="00B660FD" w:rsidP="009C7945">
            <w:pPr>
              <w:spacing w:after="0"/>
              <w:ind w:firstLine="737"/>
              <w:jc w:val="both"/>
              <w:rPr>
                <w:rFonts w:ascii="Times New Roman" w:hAnsi="Times New Roman"/>
                <w:sz w:val="24"/>
                <w:szCs w:val="24"/>
              </w:rPr>
            </w:pPr>
            <w:r w:rsidRPr="009C7945">
              <w:rPr>
                <w:rFonts w:ascii="Times New Roman" w:hAnsi="Times New Roman"/>
                <w:b/>
                <w:bCs/>
                <w:sz w:val="24"/>
                <w:szCs w:val="24"/>
              </w:rPr>
              <w:t>5.1.</w:t>
            </w:r>
            <w:r w:rsidRPr="009C7945">
              <w:rPr>
                <w:rFonts w:ascii="Times New Roman" w:hAnsi="Times New Roman"/>
                <w:sz w:val="24"/>
                <w:szCs w:val="24"/>
              </w:rPr>
              <w:t xml:space="preserve"> Măsuri normative necesare pentru transpunerea actelor juridice ale UE în legislația națională</w:t>
            </w:r>
          </w:p>
        </w:tc>
      </w:tr>
      <w:tr w:rsidR="00B660FD" w:rsidRPr="009C7945" w:rsidTr="00DB6237">
        <w:trPr>
          <w:trHeight w:val="285"/>
        </w:trPr>
        <w:tc>
          <w:tcPr>
            <w:tcW w:w="5000" w:type="pct"/>
          </w:tcPr>
          <w:p w:rsidR="00B660FD" w:rsidRPr="009C7945" w:rsidRDefault="00B660FD" w:rsidP="009C7945">
            <w:pPr>
              <w:spacing w:after="0"/>
              <w:ind w:firstLine="737"/>
              <w:jc w:val="both"/>
              <w:rPr>
                <w:rFonts w:ascii="Times New Roman" w:hAnsi="Times New Roman"/>
                <w:sz w:val="24"/>
                <w:szCs w:val="24"/>
              </w:rPr>
            </w:pPr>
            <w:r w:rsidRPr="009C7945">
              <w:rPr>
                <w:rFonts w:ascii="Times New Roman" w:hAnsi="Times New Roman"/>
                <w:sz w:val="24"/>
                <w:szCs w:val="24"/>
              </w:rPr>
              <w:t xml:space="preserve">Nu </w:t>
            </w:r>
            <w:r w:rsidR="00C73D30" w:rsidRPr="009C7945">
              <w:rPr>
                <w:rFonts w:ascii="Times New Roman" w:hAnsi="Times New Roman"/>
                <w:sz w:val="24"/>
                <w:szCs w:val="24"/>
              </w:rPr>
              <w:t>sunt necesare masuri normative suplimentare.</w:t>
            </w:r>
          </w:p>
        </w:tc>
      </w:tr>
      <w:tr w:rsidR="00B660FD" w:rsidRPr="009C7945" w:rsidTr="00DB6237">
        <w:trPr>
          <w:trHeight w:val="210"/>
        </w:trPr>
        <w:tc>
          <w:tcPr>
            <w:tcW w:w="5000" w:type="pct"/>
            <w:shd w:val="clear" w:color="auto" w:fill="F2F2F2" w:themeFill="background1" w:themeFillShade="F2"/>
          </w:tcPr>
          <w:p w:rsidR="00B660FD" w:rsidRPr="009C7945" w:rsidRDefault="00B660FD" w:rsidP="009C7945">
            <w:pPr>
              <w:spacing w:after="0"/>
              <w:ind w:firstLine="737"/>
              <w:jc w:val="both"/>
              <w:rPr>
                <w:rFonts w:ascii="Times New Roman" w:hAnsi="Times New Roman"/>
                <w:sz w:val="24"/>
                <w:szCs w:val="24"/>
              </w:rPr>
            </w:pPr>
            <w:r w:rsidRPr="009C7945">
              <w:rPr>
                <w:rFonts w:ascii="Times New Roman" w:hAnsi="Times New Roman"/>
                <w:b/>
                <w:bCs/>
                <w:sz w:val="24"/>
                <w:szCs w:val="24"/>
              </w:rPr>
              <w:t>5.2.</w:t>
            </w:r>
            <w:r w:rsidRPr="009C7945">
              <w:rPr>
                <w:rFonts w:ascii="Times New Roman" w:hAnsi="Times New Roman"/>
                <w:sz w:val="24"/>
                <w:szCs w:val="24"/>
              </w:rPr>
              <w:t xml:space="preserve"> Măsuri normative care urmăresc crearea cadrului juridic intern necesar pentru implementarea legislației UE</w:t>
            </w:r>
          </w:p>
        </w:tc>
      </w:tr>
      <w:tr w:rsidR="00B660FD" w:rsidRPr="009C7945" w:rsidTr="00DB6237">
        <w:trPr>
          <w:trHeight w:val="225"/>
        </w:trPr>
        <w:tc>
          <w:tcPr>
            <w:tcW w:w="5000" w:type="pct"/>
          </w:tcPr>
          <w:p w:rsidR="00B660FD" w:rsidRPr="009C7945" w:rsidRDefault="00655FCF" w:rsidP="009C7945">
            <w:pPr>
              <w:spacing w:after="0"/>
              <w:ind w:firstLine="737"/>
              <w:jc w:val="both"/>
              <w:rPr>
                <w:rFonts w:ascii="Times New Roman" w:hAnsi="Times New Roman"/>
                <w:sz w:val="24"/>
                <w:szCs w:val="24"/>
              </w:rPr>
            </w:pPr>
            <w:r w:rsidRPr="009C7945">
              <w:rPr>
                <w:rFonts w:ascii="Times New Roman" w:hAnsi="Times New Roman"/>
                <w:sz w:val="24"/>
                <w:szCs w:val="24"/>
              </w:rPr>
              <w:t>Nu este aplicabil.</w:t>
            </w:r>
          </w:p>
        </w:tc>
      </w:tr>
      <w:tr w:rsidR="00B660FD" w:rsidRPr="009C7945" w:rsidTr="00DB6237">
        <w:trPr>
          <w:trHeight w:val="195"/>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660FD" w:rsidRPr="009C7945" w:rsidRDefault="00B660FD" w:rsidP="009C7945">
            <w:pPr>
              <w:pStyle w:val="NormalWeb"/>
              <w:spacing w:before="0" w:beforeAutospacing="0" w:after="0" w:afterAutospacing="0" w:line="276" w:lineRule="auto"/>
              <w:ind w:firstLine="737"/>
              <w:jc w:val="both"/>
              <w:textAlignment w:val="baseline"/>
              <w:rPr>
                <w:b/>
                <w:lang w:val="ro-RO"/>
              </w:rPr>
            </w:pPr>
            <w:r w:rsidRPr="009C7945">
              <w:rPr>
                <w:b/>
                <w:lang w:val="ro-RO"/>
              </w:rPr>
              <w:t>6. Avizarea și consultarea publică a proiectului actului normativ</w:t>
            </w:r>
          </w:p>
        </w:tc>
      </w:tr>
      <w:tr w:rsidR="00B660FD" w:rsidRPr="009C7945" w:rsidTr="00DB6237">
        <w:trPr>
          <w:trHeight w:val="274"/>
        </w:trPr>
        <w:tc>
          <w:tcPr>
            <w:tcW w:w="5000" w:type="pct"/>
            <w:tcBorders>
              <w:top w:val="single" w:sz="4" w:space="0" w:color="auto"/>
              <w:left w:val="single" w:sz="4" w:space="0" w:color="auto"/>
              <w:bottom w:val="single" w:sz="4" w:space="0" w:color="auto"/>
              <w:right w:val="single" w:sz="4" w:space="0" w:color="auto"/>
            </w:tcBorders>
          </w:tcPr>
          <w:p w:rsidR="00DB6237" w:rsidRPr="009C7945" w:rsidRDefault="00B660FD" w:rsidP="009C7945">
            <w:pPr>
              <w:pStyle w:val="NormalWeb"/>
              <w:spacing w:before="0" w:beforeAutospacing="0" w:after="0" w:afterAutospacing="0" w:line="276" w:lineRule="auto"/>
              <w:ind w:firstLine="737"/>
              <w:jc w:val="both"/>
              <w:textAlignment w:val="baseline"/>
              <w:rPr>
                <w:lang w:val="ro-RO"/>
              </w:rPr>
            </w:pPr>
            <w:r w:rsidRPr="009C7945">
              <w:rPr>
                <w:lang w:val="ro-RO"/>
              </w:rPr>
              <w:t>Conform prevederilor Legii 239/2008 privind transparența în procesul decizional și ale Legii nr. 100/2017 cu privire la actele normative, anunțul privind inițiativa de elaborare a actului normativ menționat a fost plasat pe pagina web a Ministerului Educației și Cercetării în rubrica: Transparența decizională/</w:t>
            </w:r>
            <w:hyperlink r:id="rId6" w:history="1">
              <w:r w:rsidRPr="009C7945">
                <w:rPr>
                  <w:rStyle w:val="Hyperlink"/>
                  <w:rFonts w:eastAsia="Calibri"/>
                  <w:color w:val="000000" w:themeColor="text1"/>
                  <w:lang w:val="ro-RO"/>
                </w:rPr>
                <w:t>Anunțuri privind inițierea elaborării deciziilor</w:t>
              </w:r>
            </w:hyperlink>
            <w:r w:rsidR="00C73D30" w:rsidRPr="009C7945">
              <w:rPr>
                <w:lang w:val="ro-RO"/>
              </w:rPr>
              <w:t>:</w:t>
            </w:r>
            <w:r w:rsidR="00BD2E66" w:rsidRPr="009C7945">
              <w:rPr>
                <w:lang w:val="ro-RO"/>
              </w:rPr>
              <w:t xml:space="preserve"> </w:t>
            </w:r>
            <w:hyperlink r:id="rId7" w:history="1">
              <w:r w:rsidR="005E5F6F" w:rsidRPr="009C7945">
                <w:rPr>
                  <w:rStyle w:val="Hyperlink"/>
                  <w:lang w:val="ro-RO"/>
                </w:rPr>
                <w:t>https://particip.gov.md/ro/document/stages/*/15402</w:t>
              </w:r>
            </w:hyperlink>
            <w:r w:rsidR="005E5F6F" w:rsidRPr="009C7945">
              <w:rPr>
                <w:lang w:val="ro-RO"/>
              </w:rPr>
              <w:t xml:space="preserve"> </w:t>
            </w:r>
          </w:p>
          <w:p w:rsidR="000C2BF2" w:rsidRPr="009C7945" w:rsidRDefault="000C2BF2" w:rsidP="009C7945">
            <w:pPr>
              <w:pStyle w:val="NormalWeb"/>
              <w:spacing w:before="0" w:beforeAutospacing="0" w:after="0" w:afterAutospacing="0" w:line="276" w:lineRule="auto"/>
              <w:ind w:firstLine="737"/>
              <w:jc w:val="both"/>
              <w:textAlignment w:val="baseline"/>
              <w:rPr>
                <w:lang w:val="ro-RO"/>
              </w:rPr>
            </w:pPr>
          </w:p>
        </w:tc>
      </w:tr>
      <w:tr w:rsidR="00B660FD" w:rsidRPr="009C7945" w:rsidTr="00DB6237">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660FD" w:rsidRPr="009C7945" w:rsidRDefault="00B660FD" w:rsidP="009C7945">
            <w:pPr>
              <w:pStyle w:val="NormalWeb"/>
              <w:spacing w:before="0" w:beforeAutospacing="0" w:after="0" w:afterAutospacing="0" w:line="276" w:lineRule="auto"/>
              <w:ind w:firstLine="737"/>
              <w:jc w:val="both"/>
              <w:textAlignment w:val="baseline"/>
              <w:rPr>
                <w:iCs/>
                <w:lang w:val="ro-RO"/>
              </w:rPr>
            </w:pPr>
            <w:r w:rsidRPr="009C7945">
              <w:rPr>
                <w:b/>
                <w:iCs/>
                <w:lang w:val="ro-RO"/>
              </w:rPr>
              <w:t>7. Concluziile expertizelor</w:t>
            </w:r>
          </w:p>
        </w:tc>
      </w:tr>
      <w:tr w:rsidR="00B660FD" w:rsidRPr="009C7945" w:rsidTr="00DB6237">
        <w:trPr>
          <w:trHeight w:val="180"/>
        </w:trPr>
        <w:tc>
          <w:tcPr>
            <w:tcW w:w="5000" w:type="pct"/>
            <w:tcBorders>
              <w:top w:val="single" w:sz="4" w:space="0" w:color="auto"/>
              <w:left w:val="single" w:sz="4" w:space="0" w:color="auto"/>
              <w:bottom w:val="single" w:sz="4" w:space="0" w:color="auto"/>
              <w:right w:val="single" w:sz="4" w:space="0" w:color="auto"/>
            </w:tcBorders>
          </w:tcPr>
          <w:p w:rsidR="00A3127E" w:rsidRPr="009C7945" w:rsidRDefault="00A3127E" w:rsidP="009C7945">
            <w:pPr>
              <w:spacing w:after="0"/>
              <w:ind w:firstLine="737"/>
              <w:jc w:val="both"/>
              <w:rPr>
                <w:rFonts w:ascii="Times New Roman" w:hAnsi="Times New Roman"/>
                <w:sz w:val="24"/>
                <w:szCs w:val="24"/>
              </w:rPr>
            </w:pPr>
            <w:r w:rsidRPr="009C7945">
              <w:rPr>
                <w:rFonts w:ascii="Times New Roman" w:hAnsi="Times New Roman"/>
                <w:sz w:val="24"/>
                <w:szCs w:val="24"/>
              </w:rPr>
              <w:t xml:space="preserve">   </w:t>
            </w:r>
            <w:r w:rsidR="00B660FD" w:rsidRPr="009C7945">
              <w:rPr>
                <w:rFonts w:ascii="Times New Roman" w:hAnsi="Times New Roman"/>
                <w:sz w:val="24"/>
                <w:szCs w:val="24"/>
              </w:rPr>
              <w:t>Proiectul</w:t>
            </w:r>
            <w:r w:rsidR="00626C90" w:rsidRPr="009C7945">
              <w:rPr>
                <w:rFonts w:ascii="Times New Roman" w:hAnsi="Times New Roman"/>
                <w:sz w:val="24"/>
                <w:szCs w:val="24"/>
              </w:rPr>
              <w:t xml:space="preserve"> </w:t>
            </w:r>
            <w:r w:rsidR="00AC38BB" w:rsidRPr="009C7945">
              <w:rPr>
                <w:rFonts w:ascii="Times New Roman" w:hAnsi="Times New Roman"/>
                <w:sz w:val="24"/>
                <w:szCs w:val="24"/>
              </w:rPr>
              <w:t xml:space="preserve">va fi avizat de ministere și </w:t>
            </w:r>
            <w:r w:rsidR="00B660FD" w:rsidRPr="009C7945">
              <w:rPr>
                <w:rFonts w:ascii="Times New Roman" w:hAnsi="Times New Roman"/>
                <w:sz w:val="24"/>
                <w:szCs w:val="24"/>
              </w:rPr>
              <w:t>expertiz</w:t>
            </w:r>
            <w:r w:rsidR="001D4A07" w:rsidRPr="009C7945">
              <w:rPr>
                <w:rFonts w:ascii="Times New Roman" w:hAnsi="Times New Roman"/>
                <w:sz w:val="24"/>
                <w:szCs w:val="24"/>
              </w:rPr>
              <w:t>at de către C</w:t>
            </w:r>
            <w:r w:rsidR="005E3136" w:rsidRPr="009C7945">
              <w:rPr>
                <w:rFonts w:ascii="Times New Roman" w:hAnsi="Times New Roman"/>
                <w:sz w:val="24"/>
                <w:szCs w:val="24"/>
              </w:rPr>
              <w:t xml:space="preserve">entrul </w:t>
            </w:r>
            <w:r w:rsidR="001D4A07" w:rsidRPr="009C7945">
              <w:rPr>
                <w:rFonts w:ascii="Times New Roman" w:hAnsi="Times New Roman"/>
                <w:sz w:val="24"/>
                <w:szCs w:val="24"/>
              </w:rPr>
              <w:t>N</w:t>
            </w:r>
            <w:r w:rsidR="005E3136" w:rsidRPr="009C7945">
              <w:rPr>
                <w:rFonts w:ascii="Times New Roman" w:hAnsi="Times New Roman"/>
                <w:sz w:val="24"/>
                <w:szCs w:val="24"/>
              </w:rPr>
              <w:t xml:space="preserve">ațional </w:t>
            </w:r>
            <w:r w:rsidR="001D4A07" w:rsidRPr="009C7945">
              <w:rPr>
                <w:rFonts w:ascii="Times New Roman" w:hAnsi="Times New Roman"/>
                <w:sz w:val="24"/>
                <w:szCs w:val="24"/>
              </w:rPr>
              <w:t>A</w:t>
            </w:r>
            <w:r w:rsidR="005E3136" w:rsidRPr="009C7945">
              <w:rPr>
                <w:rFonts w:ascii="Times New Roman" w:hAnsi="Times New Roman"/>
                <w:sz w:val="24"/>
                <w:szCs w:val="24"/>
              </w:rPr>
              <w:t>nticorupție</w:t>
            </w:r>
            <w:r w:rsidR="000C2BF2" w:rsidRPr="009C7945">
              <w:rPr>
                <w:rFonts w:ascii="Times New Roman" w:hAnsi="Times New Roman"/>
                <w:sz w:val="24"/>
                <w:szCs w:val="24"/>
              </w:rPr>
              <w:t xml:space="preserve"> și</w:t>
            </w:r>
            <w:r w:rsidRPr="009C7945">
              <w:rPr>
                <w:rFonts w:ascii="Times New Roman" w:hAnsi="Times New Roman"/>
                <w:sz w:val="24"/>
                <w:szCs w:val="24"/>
              </w:rPr>
              <w:t xml:space="preserve"> Ministerul Justiției. </w:t>
            </w:r>
          </w:p>
        </w:tc>
      </w:tr>
      <w:tr w:rsidR="00B660FD" w:rsidRPr="009C7945" w:rsidTr="00DB6237">
        <w:trPr>
          <w:trHeight w:val="210"/>
        </w:trPr>
        <w:tc>
          <w:tcPr>
            <w:tcW w:w="5000" w:type="pct"/>
            <w:shd w:val="clear" w:color="auto" w:fill="BFBFBF" w:themeFill="background1" w:themeFillShade="BF"/>
          </w:tcPr>
          <w:p w:rsidR="00B660FD" w:rsidRPr="009C7945" w:rsidRDefault="00B660FD" w:rsidP="009C7945">
            <w:pPr>
              <w:tabs>
                <w:tab w:val="left" w:pos="884"/>
                <w:tab w:val="left" w:pos="1196"/>
              </w:tabs>
              <w:spacing w:after="0"/>
              <w:ind w:firstLine="737"/>
              <w:jc w:val="both"/>
              <w:rPr>
                <w:rFonts w:ascii="Times New Roman" w:hAnsi="Times New Roman"/>
                <w:b/>
                <w:iCs/>
                <w:sz w:val="24"/>
                <w:szCs w:val="24"/>
              </w:rPr>
            </w:pPr>
            <w:r w:rsidRPr="009C7945">
              <w:rPr>
                <w:rFonts w:ascii="Times New Roman" w:hAnsi="Times New Roman"/>
                <w:b/>
                <w:iCs/>
                <w:sz w:val="24"/>
                <w:szCs w:val="24"/>
              </w:rPr>
              <w:t>8. Modul de încorporare a actului în cadrul normativ existent</w:t>
            </w:r>
          </w:p>
        </w:tc>
      </w:tr>
      <w:tr w:rsidR="00B660FD" w:rsidRPr="009C7945" w:rsidTr="00DB6237">
        <w:trPr>
          <w:trHeight w:val="120"/>
        </w:trPr>
        <w:tc>
          <w:tcPr>
            <w:tcW w:w="5000" w:type="pct"/>
          </w:tcPr>
          <w:p w:rsidR="00B660FD" w:rsidRPr="009C7945" w:rsidRDefault="00BD2E66" w:rsidP="009C7945">
            <w:pPr>
              <w:tabs>
                <w:tab w:val="left" w:pos="884"/>
                <w:tab w:val="left" w:pos="1196"/>
              </w:tabs>
              <w:spacing w:after="0"/>
              <w:ind w:firstLine="737"/>
              <w:jc w:val="both"/>
              <w:rPr>
                <w:rFonts w:ascii="Times New Roman" w:hAnsi="Times New Roman"/>
                <w:sz w:val="24"/>
                <w:szCs w:val="24"/>
              </w:rPr>
            </w:pPr>
            <w:r w:rsidRPr="009C7945">
              <w:rPr>
                <w:rFonts w:ascii="Times New Roman" w:hAnsi="Times New Roman"/>
                <w:sz w:val="24"/>
                <w:szCs w:val="24"/>
              </w:rPr>
              <w:t>Proiectul respectiv este compatibil și respectă cadrul normativ existent.</w:t>
            </w:r>
          </w:p>
        </w:tc>
      </w:tr>
      <w:tr w:rsidR="00B660FD" w:rsidRPr="009C7945" w:rsidTr="00DB6237">
        <w:trPr>
          <w:trHeight w:val="133"/>
        </w:trPr>
        <w:tc>
          <w:tcPr>
            <w:tcW w:w="5000" w:type="pct"/>
            <w:shd w:val="clear" w:color="auto" w:fill="BFBFBF" w:themeFill="background1" w:themeFillShade="BF"/>
          </w:tcPr>
          <w:p w:rsidR="00B660FD" w:rsidRPr="009C7945" w:rsidRDefault="00B660FD" w:rsidP="009C7945">
            <w:pPr>
              <w:tabs>
                <w:tab w:val="left" w:pos="884"/>
                <w:tab w:val="left" w:pos="1196"/>
              </w:tabs>
              <w:spacing w:after="0"/>
              <w:ind w:firstLine="737"/>
              <w:jc w:val="both"/>
              <w:rPr>
                <w:rFonts w:ascii="Times New Roman" w:hAnsi="Times New Roman"/>
                <w:b/>
                <w:iCs/>
                <w:sz w:val="24"/>
                <w:szCs w:val="24"/>
              </w:rPr>
            </w:pPr>
            <w:r w:rsidRPr="009C7945">
              <w:rPr>
                <w:rFonts w:ascii="Times New Roman" w:hAnsi="Times New Roman"/>
                <w:b/>
                <w:iCs/>
                <w:sz w:val="24"/>
                <w:szCs w:val="24"/>
              </w:rPr>
              <w:t>9. Măsuri necesare pentru implementarea prevederilor proiectului actului normativ</w:t>
            </w:r>
          </w:p>
        </w:tc>
      </w:tr>
      <w:tr w:rsidR="00B660FD" w:rsidRPr="009C7945" w:rsidTr="00DB6237">
        <w:trPr>
          <w:trHeight w:val="150"/>
        </w:trPr>
        <w:tc>
          <w:tcPr>
            <w:tcW w:w="5000" w:type="pct"/>
          </w:tcPr>
          <w:p w:rsidR="00B660FD" w:rsidRPr="009C7945" w:rsidRDefault="00B660FD" w:rsidP="009C7945">
            <w:pPr>
              <w:tabs>
                <w:tab w:val="left" w:pos="884"/>
                <w:tab w:val="left" w:pos="1196"/>
              </w:tabs>
              <w:spacing w:after="0"/>
              <w:ind w:firstLine="737"/>
              <w:jc w:val="both"/>
              <w:rPr>
                <w:rFonts w:ascii="Times New Roman" w:hAnsi="Times New Roman"/>
                <w:sz w:val="24"/>
                <w:szCs w:val="24"/>
              </w:rPr>
            </w:pPr>
            <w:r w:rsidRPr="009C7945">
              <w:rPr>
                <w:rFonts w:ascii="Times New Roman" w:hAnsi="Times New Roman"/>
                <w:sz w:val="24"/>
                <w:szCs w:val="24"/>
              </w:rPr>
              <w:t xml:space="preserve">Proiectul nu necesită măsuri </w:t>
            </w:r>
            <w:r w:rsidR="00BD2E66" w:rsidRPr="009C7945">
              <w:rPr>
                <w:rFonts w:ascii="Times New Roman" w:hAnsi="Times New Roman"/>
                <w:sz w:val="24"/>
                <w:szCs w:val="24"/>
              </w:rPr>
              <w:t xml:space="preserve">speciale </w:t>
            </w:r>
            <w:r w:rsidRPr="009C7945">
              <w:rPr>
                <w:rFonts w:ascii="Times New Roman" w:hAnsi="Times New Roman"/>
                <w:sz w:val="24"/>
                <w:szCs w:val="24"/>
              </w:rPr>
              <w:t xml:space="preserve">pentru a fi implementat. </w:t>
            </w:r>
          </w:p>
        </w:tc>
      </w:tr>
    </w:tbl>
    <w:p w:rsidR="009336AD" w:rsidRPr="009C7945" w:rsidRDefault="009336AD" w:rsidP="009C7945">
      <w:pPr>
        <w:spacing w:after="0"/>
        <w:ind w:firstLine="737"/>
        <w:jc w:val="both"/>
        <w:rPr>
          <w:rFonts w:ascii="Times New Roman" w:hAnsi="Times New Roman"/>
          <w:b/>
          <w:color w:val="000000" w:themeColor="text1"/>
          <w:sz w:val="24"/>
          <w:szCs w:val="24"/>
        </w:rPr>
      </w:pPr>
    </w:p>
    <w:p w:rsidR="00315B2F" w:rsidRPr="009C7945" w:rsidRDefault="00315B2F" w:rsidP="009C7945">
      <w:pPr>
        <w:spacing w:after="0"/>
        <w:ind w:firstLine="737"/>
        <w:jc w:val="both"/>
        <w:rPr>
          <w:rFonts w:ascii="Times New Roman" w:hAnsi="Times New Roman"/>
          <w:b/>
          <w:color w:val="000000" w:themeColor="text1"/>
          <w:sz w:val="24"/>
          <w:szCs w:val="24"/>
        </w:rPr>
      </w:pPr>
    </w:p>
    <w:p w:rsidR="006A0337" w:rsidRPr="009C7945" w:rsidRDefault="006A0337" w:rsidP="009C7945">
      <w:pPr>
        <w:spacing w:after="0"/>
        <w:ind w:firstLine="737"/>
        <w:jc w:val="both"/>
        <w:rPr>
          <w:rFonts w:ascii="Times New Roman" w:hAnsi="Times New Roman"/>
          <w:b/>
          <w:color w:val="000000" w:themeColor="text1"/>
          <w:sz w:val="24"/>
          <w:szCs w:val="24"/>
        </w:rPr>
      </w:pPr>
    </w:p>
    <w:p w:rsidR="00825EC7" w:rsidRPr="009C7945" w:rsidRDefault="00BC0BDD" w:rsidP="002851AC">
      <w:pPr>
        <w:spacing w:after="0"/>
        <w:ind w:firstLine="737"/>
        <w:jc w:val="center"/>
        <w:rPr>
          <w:rFonts w:ascii="Times New Roman" w:hAnsi="Times New Roman"/>
          <w:b/>
          <w:color w:val="000000" w:themeColor="text1"/>
          <w:sz w:val="24"/>
          <w:szCs w:val="24"/>
        </w:rPr>
      </w:pPr>
      <w:r w:rsidRPr="009C7945">
        <w:rPr>
          <w:rFonts w:ascii="Times New Roman" w:hAnsi="Times New Roman"/>
          <w:b/>
          <w:color w:val="000000" w:themeColor="text1"/>
          <w:sz w:val="24"/>
          <w:szCs w:val="24"/>
        </w:rPr>
        <w:t>Ministru</w:t>
      </w:r>
      <w:r w:rsidRPr="009C7945">
        <w:rPr>
          <w:rFonts w:ascii="Times New Roman" w:hAnsi="Times New Roman"/>
          <w:b/>
          <w:color w:val="000000" w:themeColor="text1"/>
          <w:sz w:val="24"/>
          <w:szCs w:val="24"/>
        </w:rPr>
        <w:tab/>
      </w:r>
      <w:r w:rsidRPr="009C7945">
        <w:rPr>
          <w:rFonts w:ascii="Times New Roman" w:hAnsi="Times New Roman"/>
          <w:b/>
          <w:color w:val="000000" w:themeColor="text1"/>
          <w:sz w:val="24"/>
          <w:szCs w:val="24"/>
        </w:rPr>
        <w:tab/>
      </w:r>
      <w:r w:rsidRPr="009C7945">
        <w:rPr>
          <w:rFonts w:ascii="Times New Roman" w:hAnsi="Times New Roman"/>
          <w:b/>
          <w:color w:val="000000" w:themeColor="text1"/>
          <w:sz w:val="24"/>
          <w:szCs w:val="24"/>
        </w:rPr>
        <w:tab/>
      </w:r>
      <w:r w:rsidRPr="009C7945">
        <w:rPr>
          <w:rFonts w:ascii="Times New Roman" w:hAnsi="Times New Roman"/>
          <w:b/>
          <w:color w:val="000000" w:themeColor="text1"/>
          <w:sz w:val="24"/>
          <w:szCs w:val="24"/>
        </w:rPr>
        <w:tab/>
      </w:r>
      <w:r w:rsidR="006A0337" w:rsidRPr="009C7945">
        <w:rPr>
          <w:rFonts w:ascii="Times New Roman" w:hAnsi="Times New Roman"/>
          <w:b/>
          <w:color w:val="000000" w:themeColor="text1"/>
          <w:sz w:val="24"/>
          <w:szCs w:val="24"/>
        </w:rPr>
        <w:t>Dan PERCIUN</w:t>
      </w:r>
    </w:p>
    <w:p w:rsidR="00E77121" w:rsidRPr="009C7945" w:rsidRDefault="00E77121" w:rsidP="009C7945">
      <w:pPr>
        <w:spacing w:after="0"/>
        <w:ind w:firstLine="737"/>
        <w:jc w:val="both"/>
        <w:rPr>
          <w:rFonts w:ascii="Times New Roman" w:hAnsi="Times New Roman"/>
          <w:sz w:val="24"/>
          <w:szCs w:val="24"/>
        </w:rPr>
      </w:pPr>
    </w:p>
    <w:p w:rsidR="00315B2F" w:rsidRPr="009C7945" w:rsidRDefault="00315B2F" w:rsidP="009C7945">
      <w:pPr>
        <w:spacing w:after="0"/>
        <w:ind w:firstLine="737"/>
        <w:jc w:val="both"/>
        <w:rPr>
          <w:rFonts w:ascii="Times New Roman" w:hAnsi="Times New Roman"/>
          <w:sz w:val="24"/>
          <w:szCs w:val="24"/>
        </w:rPr>
      </w:pPr>
    </w:p>
    <w:p w:rsidR="001B5700" w:rsidRPr="009C7945" w:rsidRDefault="001B5700" w:rsidP="009C7945">
      <w:pPr>
        <w:spacing w:after="0"/>
        <w:ind w:firstLine="737"/>
        <w:jc w:val="both"/>
        <w:rPr>
          <w:rFonts w:ascii="Times New Roman" w:hAnsi="Times New Roman"/>
          <w:sz w:val="24"/>
          <w:szCs w:val="24"/>
        </w:rPr>
      </w:pPr>
    </w:p>
    <w:p w:rsidR="001B5700" w:rsidRPr="009C7945" w:rsidRDefault="001B5700" w:rsidP="009C7945">
      <w:pPr>
        <w:spacing w:after="0"/>
        <w:ind w:firstLine="737"/>
        <w:jc w:val="both"/>
        <w:rPr>
          <w:rFonts w:ascii="Times New Roman" w:hAnsi="Times New Roman"/>
          <w:sz w:val="24"/>
          <w:szCs w:val="24"/>
        </w:rPr>
      </w:pPr>
    </w:p>
    <w:p w:rsidR="001B5700" w:rsidRPr="009C7945" w:rsidRDefault="001B5700" w:rsidP="009C7945">
      <w:pPr>
        <w:spacing w:after="0"/>
        <w:ind w:firstLine="737"/>
        <w:jc w:val="both"/>
        <w:rPr>
          <w:rFonts w:ascii="Times New Roman" w:hAnsi="Times New Roman"/>
          <w:sz w:val="24"/>
          <w:szCs w:val="24"/>
        </w:rPr>
      </w:pPr>
    </w:p>
    <w:p w:rsidR="001B5700" w:rsidRPr="009C7945" w:rsidRDefault="001B5700" w:rsidP="009C7945">
      <w:pPr>
        <w:spacing w:after="0"/>
        <w:ind w:firstLine="737"/>
        <w:jc w:val="both"/>
        <w:rPr>
          <w:rFonts w:ascii="Times New Roman" w:hAnsi="Times New Roman"/>
          <w:sz w:val="24"/>
          <w:szCs w:val="24"/>
        </w:rPr>
      </w:pPr>
    </w:p>
    <w:p w:rsidR="001B5700" w:rsidRPr="009C7945" w:rsidRDefault="001B5700" w:rsidP="009C7945">
      <w:pPr>
        <w:spacing w:after="0"/>
        <w:ind w:firstLine="737"/>
        <w:jc w:val="both"/>
        <w:rPr>
          <w:rFonts w:ascii="Times New Roman" w:hAnsi="Times New Roman"/>
          <w:sz w:val="24"/>
          <w:szCs w:val="24"/>
        </w:rPr>
      </w:pPr>
    </w:p>
    <w:p w:rsidR="001B5700" w:rsidRPr="009C7945" w:rsidRDefault="001B5700" w:rsidP="009C7945">
      <w:pPr>
        <w:spacing w:after="0"/>
        <w:ind w:firstLine="737"/>
        <w:jc w:val="both"/>
        <w:rPr>
          <w:rFonts w:ascii="Times New Roman" w:hAnsi="Times New Roman"/>
          <w:sz w:val="24"/>
          <w:szCs w:val="24"/>
        </w:rPr>
      </w:pPr>
    </w:p>
    <w:p w:rsidR="001B5700" w:rsidRPr="009C7945" w:rsidRDefault="001B5700" w:rsidP="009C7945">
      <w:pPr>
        <w:spacing w:after="0"/>
        <w:ind w:firstLine="737"/>
        <w:jc w:val="both"/>
        <w:rPr>
          <w:rFonts w:ascii="Times New Roman" w:hAnsi="Times New Roman"/>
          <w:sz w:val="24"/>
          <w:szCs w:val="24"/>
        </w:rPr>
      </w:pPr>
    </w:p>
    <w:p w:rsidR="001B5700" w:rsidRPr="009C7945" w:rsidRDefault="001B5700" w:rsidP="009C7945">
      <w:pPr>
        <w:spacing w:after="0"/>
        <w:ind w:firstLine="737"/>
        <w:jc w:val="both"/>
        <w:rPr>
          <w:rFonts w:ascii="Times New Roman" w:hAnsi="Times New Roman"/>
          <w:sz w:val="24"/>
          <w:szCs w:val="24"/>
        </w:rPr>
      </w:pPr>
    </w:p>
    <w:p w:rsidR="001B5700" w:rsidRPr="009C7945" w:rsidRDefault="001B5700" w:rsidP="009C7945">
      <w:pPr>
        <w:spacing w:after="0"/>
        <w:ind w:firstLine="737"/>
        <w:jc w:val="both"/>
        <w:rPr>
          <w:rFonts w:ascii="Times New Roman" w:hAnsi="Times New Roman"/>
          <w:sz w:val="16"/>
          <w:szCs w:val="16"/>
        </w:rPr>
      </w:pPr>
    </w:p>
    <w:p w:rsidR="000A7E26" w:rsidRPr="009C7945" w:rsidRDefault="001047B9" w:rsidP="009C7945">
      <w:pPr>
        <w:spacing w:after="0"/>
        <w:ind w:firstLine="737"/>
        <w:jc w:val="both"/>
        <w:rPr>
          <w:rFonts w:ascii="Times New Roman" w:hAnsi="Times New Roman"/>
          <w:sz w:val="16"/>
          <w:szCs w:val="16"/>
        </w:rPr>
      </w:pPr>
      <w:bookmarkStart w:id="3" w:name="_Hlk191912029"/>
      <w:r w:rsidRPr="009C7945">
        <w:rPr>
          <w:rFonts w:ascii="Times New Roman" w:hAnsi="Times New Roman"/>
          <w:sz w:val="16"/>
          <w:szCs w:val="16"/>
        </w:rPr>
        <w:t xml:space="preserve">Doina </w:t>
      </w:r>
      <w:proofErr w:type="spellStart"/>
      <w:r w:rsidRPr="009C7945">
        <w:rPr>
          <w:rFonts w:ascii="Times New Roman" w:hAnsi="Times New Roman"/>
          <w:sz w:val="16"/>
          <w:szCs w:val="16"/>
        </w:rPr>
        <w:t>Usaci</w:t>
      </w:r>
      <w:proofErr w:type="spellEnd"/>
      <w:r w:rsidRPr="009C7945">
        <w:rPr>
          <w:rFonts w:ascii="Times New Roman" w:hAnsi="Times New Roman"/>
          <w:sz w:val="16"/>
          <w:szCs w:val="16"/>
        </w:rPr>
        <w:t>, tel.: 022 233213</w:t>
      </w:r>
    </w:p>
    <w:p w:rsidR="006A6529" w:rsidRPr="002851AC" w:rsidRDefault="00315B2F" w:rsidP="002851AC">
      <w:pPr>
        <w:spacing w:after="0"/>
        <w:ind w:firstLine="737"/>
        <w:jc w:val="both"/>
        <w:rPr>
          <w:rFonts w:ascii="Times New Roman" w:hAnsi="Times New Roman"/>
          <w:sz w:val="16"/>
          <w:szCs w:val="16"/>
        </w:rPr>
      </w:pPr>
      <w:r w:rsidRPr="009C7945">
        <w:rPr>
          <w:rFonts w:ascii="Times New Roman" w:hAnsi="Times New Roman"/>
          <w:sz w:val="16"/>
          <w:szCs w:val="16"/>
        </w:rPr>
        <w:t xml:space="preserve">Email: </w:t>
      </w:r>
      <w:hyperlink r:id="rId8" w:history="1">
        <w:r w:rsidR="005E5F6F" w:rsidRPr="009C7945">
          <w:rPr>
            <w:rStyle w:val="Hyperlink"/>
            <w:rFonts w:ascii="Times New Roman" w:hAnsi="Times New Roman"/>
            <w:sz w:val="16"/>
            <w:szCs w:val="16"/>
          </w:rPr>
          <w:t>doina.usaci@mec.gov.md</w:t>
        </w:r>
      </w:hyperlink>
      <w:r w:rsidRPr="009C7945">
        <w:rPr>
          <w:rFonts w:ascii="Times New Roman" w:hAnsi="Times New Roman"/>
          <w:sz w:val="16"/>
          <w:szCs w:val="16"/>
        </w:rPr>
        <w:t xml:space="preserve"> </w:t>
      </w:r>
      <w:bookmarkEnd w:id="3"/>
    </w:p>
    <w:sectPr w:rsidR="006A6529" w:rsidRPr="002851AC" w:rsidSect="009336AD">
      <w:pgSz w:w="12240" w:h="15840"/>
      <w:pgMar w:top="72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jaVuSerifCondensed">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29D"/>
    <w:multiLevelType w:val="multilevel"/>
    <w:tmpl w:val="AD622E92"/>
    <w:lvl w:ilvl="0">
      <w:start w:val="1"/>
      <w:numFmt w:val="decimal"/>
      <w:lvlText w:val="%1."/>
      <w:lvlJc w:val="left"/>
      <w:pPr>
        <w:ind w:left="360" w:hanging="360"/>
      </w:pPr>
      <w:rPr>
        <w:rFonts w:ascii="Times New Roman" w:eastAsiaTheme="minorHAnsi" w:hAnsi="Times New Roman" w:cs="Times New Roman"/>
        <w:b w:val="0"/>
        <w:color w:val="auto"/>
      </w:rPr>
    </w:lvl>
    <w:lvl w:ilvl="1">
      <w:start w:val="1"/>
      <w:numFmt w:val="decimal"/>
      <w:lvlText w:val="%1.%2."/>
      <w:lvlJc w:val="left"/>
      <w:pPr>
        <w:ind w:left="83" w:hanging="432"/>
      </w:pPr>
    </w:lvl>
    <w:lvl w:ilvl="2">
      <w:start w:val="1"/>
      <w:numFmt w:val="decimal"/>
      <w:lvlText w:val="%1.%2.%3."/>
      <w:lvlJc w:val="left"/>
      <w:pPr>
        <w:ind w:left="515" w:hanging="504"/>
      </w:pPr>
    </w:lvl>
    <w:lvl w:ilvl="3">
      <w:start w:val="1"/>
      <w:numFmt w:val="decimal"/>
      <w:lvlText w:val="%1.%2.%3.%4."/>
      <w:lvlJc w:val="left"/>
      <w:pPr>
        <w:ind w:left="1019" w:hanging="648"/>
      </w:pPr>
    </w:lvl>
    <w:lvl w:ilvl="4">
      <w:start w:val="1"/>
      <w:numFmt w:val="decimal"/>
      <w:lvlText w:val="%1.%2.%3.%4.%5."/>
      <w:lvlJc w:val="left"/>
      <w:pPr>
        <w:ind w:left="1523" w:hanging="792"/>
      </w:pPr>
    </w:lvl>
    <w:lvl w:ilvl="5">
      <w:start w:val="1"/>
      <w:numFmt w:val="decimal"/>
      <w:lvlText w:val="%1.%2.%3.%4.%5.%6."/>
      <w:lvlJc w:val="left"/>
      <w:pPr>
        <w:ind w:left="2027" w:hanging="936"/>
      </w:pPr>
    </w:lvl>
    <w:lvl w:ilvl="6">
      <w:start w:val="1"/>
      <w:numFmt w:val="decimal"/>
      <w:lvlText w:val="%1.%2.%3.%4.%5.%6.%7."/>
      <w:lvlJc w:val="left"/>
      <w:pPr>
        <w:ind w:left="2531" w:hanging="1080"/>
      </w:pPr>
    </w:lvl>
    <w:lvl w:ilvl="7">
      <w:start w:val="1"/>
      <w:numFmt w:val="decimal"/>
      <w:lvlText w:val="%1.%2.%3.%4.%5.%6.%7.%8."/>
      <w:lvlJc w:val="left"/>
      <w:pPr>
        <w:ind w:left="3035" w:hanging="1224"/>
      </w:pPr>
    </w:lvl>
    <w:lvl w:ilvl="8">
      <w:start w:val="1"/>
      <w:numFmt w:val="decimal"/>
      <w:lvlText w:val="%1.%2.%3.%4.%5.%6.%7.%8.%9."/>
      <w:lvlJc w:val="left"/>
      <w:pPr>
        <w:ind w:left="3611" w:hanging="1440"/>
      </w:pPr>
    </w:lvl>
  </w:abstractNum>
  <w:abstractNum w:abstractNumId="1" w15:restartNumberingAfterBreak="0">
    <w:nsid w:val="0A3679D9"/>
    <w:multiLevelType w:val="hybridMultilevel"/>
    <w:tmpl w:val="06B49244"/>
    <w:lvl w:ilvl="0" w:tplc="E7A0A89C">
      <w:start w:val="1"/>
      <w:numFmt w:val="decimal"/>
      <w:lvlText w:val="%1."/>
      <w:lvlJc w:val="left"/>
      <w:pPr>
        <w:ind w:left="1211" w:hanging="360"/>
      </w:pPr>
      <w:rPr>
        <w:rFonts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2" w15:restartNumberingAfterBreak="0">
    <w:nsid w:val="0CAA192A"/>
    <w:multiLevelType w:val="multilevel"/>
    <w:tmpl w:val="2AAA11D0"/>
    <w:lvl w:ilvl="0">
      <w:start w:val="1"/>
      <w:numFmt w:val="decimal"/>
      <w:lvlText w:val="%1."/>
      <w:lvlJc w:val="left"/>
      <w:pPr>
        <w:ind w:left="1211" w:hanging="360"/>
      </w:pPr>
      <w:rPr>
        <w:rFonts w:ascii="Times New Roman" w:eastAsia="Calibri" w:hAnsi="Times New Roman" w:cs="Calibri"/>
      </w:rPr>
    </w:lvl>
    <w:lvl w:ilvl="1">
      <w:start w:val="1"/>
      <w:numFmt w:val="decimal"/>
      <w:isLgl/>
      <w:lvlText w:val="%1.%2."/>
      <w:lvlJc w:val="left"/>
      <w:pPr>
        <w:ind w:left="1271" w:hanging="4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3" w15:restartNumberingAfterBreak="0">
    <w:nsid w:val="147D3AC8"/>
    <w:multiLevelType w:val="hybridMultilevel"/>
    <w:tmpl w:val="696811B6"/>
    <w:lvl w:ilvl="0" w:tplc="DA9E582E">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2D1F3EF7"/>
    <w:multiLevelType w:val="hybridMultilevel"/>
    <w:tmpl w:val="90DA925C"/>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2FD70452"/>
    <w:multiLevelType w:val="hybridMultilevel"/>
    <w:tmpl w:val="D166E2A8"/>
    <w:lvl w:ilvl="0" w:tplc="710C5C28">
      <w:start w:val="1"/>
      <w:numFmt w:val="decimal"/>
      <w:lvlText w:val="%1."/>
      <w:lvlJc w:val="left"/>
      <w:pPr>
        <w:ind w:left="1245" w:hanging="88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330D4791"/>
    <w:multiLevelType w:val="hybridMultilevel"/>
    <w:tmpl w:val="B02AD1A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3EEA4B35"/>
    <w:multiLevelType w:val="hybridMultilevel"/>
    <w:tmpl w:val="FAAE9098"/>
    <w:lvl w:ilvl="0" w:tplc="0818000F">
      <w:start w:val="1"/>
      <w:numFmt w:val="decimal"/>
      <w:lvlText w:val="%1."/>
      <w:lvlJc w:val="left"/>
      <w:pPr>
        <w:ind w:left="1571" w:hanging="360"/>
      </w:p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8" w15:restartNumberingAfterBreak="0">
    <w:nsid w:val="40DF5E3F"/>
    <w:multiLevelType w:val="hybridMultilevel"/>
    <w:tmpl w:val="B3E4D586"/>
    <w:lvl w:ilvl="0" w:tplc="CFE41CEA">
      <w:start w:val="2"/>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43990E3C"/>
    <w:multiLevelType w:val="hybridMultilevel"/>
    <w:tmpl w:val="905CB702"/>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0" w15:restartNumberingAfterBreak="0">
    <w:nsid w:val="503D78A1"/>
    <w:multiLevelType w:val="hybridMultilevel"/>
    <w:tmpl w:val="4F04B86E"/>
    <w:lvl w:ilvl="0" w:tplc="D2105B3E">
      <w:start w:val="1"/>
      <w:numFmt w:val="decimal"/>
      <w:lvlText w:val="%1."/>
      <w:lvlJc w:val="left"/>
      <w:pPr>
        <w:ind w:left="720" w:hanging="360"/>
      </w:pPr>
      <w:rPr>
        <w:rFonts w:hint="default"/>
        <w:b w:val="0"/>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5C3F2E16"/>
    <w:multiLevelType w:val="multilevel"/>
    <w:tmpl w:val="2AAA11D0"/>
    <w:lvl w:ilvl="0">
      <w:start w:val="1"/>
      <w:numFmt w:val="decimal"/>
      <w:lvlText w:val="%1."/>
      <w:lvlJc w:val="left"/>
      <w:pPr>
        <w:ind w:left="1211" w:hanging="360"/>
      </w:pPr>
      <w:rPr>
        <w:rFonts w:ascii="Times New Roman" w:eastAsia="Calibri" w:hAnsi="Times New Roman" w:cs="Calibri"/>
      </w:rPr>
    </w:lvl>
    <w:lvl w:ilvl="1">
      <w:start w:val="1"/>
      <w:numFmt w:val="decimal"/>
      <w:isLgl/>
      <w:lvlText w:val="%1.%2."/>
      <w:lvlJc w:val="left"/>
      <w:pPr>
        <w:ind w:left="1271" w:hanging="4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2" w15:restartNumberingAfterBreak="0">
    <w:nsid w:val="5DF1243D"/>
    <w:multiLevelType w:val="hybridMultilevel"/>
    <w:tmpl w:val="E2F458E2"/>
    <w:lvl w:ilvl="0" w:tplc="18D283FC">
      <w:start w:val="1"/>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71FC23B0"/>
    <w:multiLevelType w:val="hybridMultilevel"/>
    <w:tmpl w:val="941A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34F82"/>
    <w:multiLevelType w:val="hybridMultilevel"/>
    <w:tmpl w:val="94DEA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C6A55"/>
    <w:multiLevelType w:val="hybridMultilevel"/>
    <w:tmpl w:val="1BC48AA8"/>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79BA2591"/>
    <w:multiLevelType w:val="hybridMultilevel"/>
    <w:tmpl w:val="2D22D3D6"/>
    <w:lvl w:ilvl="0" w:tplc="B1F827FA">
      <w:start w:val="1"/>
      <w:numFmt w:val="decimal"/>
      <w:lvlText w:val="%1."/>
      <w:lvlJc w:val="left"/>
      <w:pPr>
        <w:ind w:left="1245" w:hanging="360"/>
      </w:pPr>
      <w:rPr>
        <w:rFonts w:hint="default"/>
      </w:rPr>
    </w:lvl>
    <w:lvl w:ilvl="1" w:tplc="08180019" w:tentative="1">
      <w:start w:val="1"/>
      <w:numFmt w:val="lowerLetter"/>
      <w:lvlText w:val="%2."/>
      <w:lvlJc w:val="left"/>
      <w:pPr>
        <w:ind w:left="1965" w:hanging="360"/>
      </w:pPr>
    </w:lvl>
    <w:lvl w:ilvl="2" w:tplc="0818001B" w:tentative="1">
      <w:start w:val="1"/>
      <w:numFmt w:val="lowerRoman"/>
      <w:lvlText w:val="%3."/>
      <w:lvlJc w:val="right"/>
      <w:pPr>
        <w:ind w:left="2685" w:hanging="180"/>
      </w:pPr>
    </w:lvl>
    <w:lvl w:ilvl="3" w:tplc="0818000F" w:tentative="1">
      <w:start w:val="1"/>
      <w:numFmt w:val="decimal"/>
      <w:lvlText w:val="%4."/>
      <w:lvlJc w:val="left"/>
      <w:pPr>
        <w:ind w:left="3405" w:hanging="360"/>
      </w:pPr>
    </w:lvl>
    <w:lvl w:ilvl="4" w:tplc="08180019" w:tentative="1">
      <w:start w:val="1"/>
      <w:numFmt w:val="lowerLetter"/>
      <w:lvlText w:val="%5."/>
      <w:lvlJc w:val="left"/>
      <w:pPr>
        <w:ind w:left="4125" w:hanging="360"/>
      </w:pPr>
    </w:lvl>
    <w:lvl w:ilvl="5" w:tplc="0818001B" w:tentative="1">
      <w:start w:val="1"/>
      <w:numFmt w:val="lowerRoman"/>
      <w:lvlText w:val="%6."/>
      <w:lvlJc w:val="right"/>
      <w:pPr>
        <w:ind w:left="4845" w:hanging="180"/>
      </w:pPr>
    </w:lvl>
    <w:lvl w:ilvl="6" w:tplc="0818000F" w:tentative="1">
      <w:start w:val="1"/>
      <w:numFmt w:val="decimal"/>
      <w:lvlText w:val="%7."/>
      <w:lvlJc w:val="left"/>
      <w:pPr>
        <w:ind w:left="5565" w:hanging="360"/>
      </w:pPr>
    </w:lvl>
    <w:lvl w:ilvl="7" w:tplc="08180019" w:tentative="1">
      <w:start w:val="1"/>
      <w:numFmt w:val="lowerLetter"/>
      <w:lvlText w:val="%8."/>
      <w:lvlJc w:val="left"/>
      <w:pPr>
        <w:ind w:left="6285" w:hanging="360"/>
      </w:pPr>
    </w:lvl>
    <w:lvl w:ilvl="8" w:tplc="0818001B" w:tentative="1">
      <w:start w:val="1"/>
      <w:numFmt w:val="lowerRoman"/>
      <w:lvlText w:val="%9."/>
      <w:lvlJc w:val="right"/>
      <w:pPr>
        <w:ind w:left="7005" w:hanging="180"/>
      </w:pPr>
    </w:lvl>
  </w:abstractNum>
  <w:abstractNum w:abstractNumId="18" w15:restartNumberingAfterBreak="0">
    <w:nsid w:val="7A567C66"/>
    <w:multiLevelType w:val="hybridMultilevel"/>
    <w:tmpl w:val="15EEA506"/>
    <w:lvl w:ilvl="0" w:tplc="04190017">
      <w:start w:val="2"/>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660570223">
    <w:abstractNumId w:val="13"/>
  </w:num>
  <w:num w:numId="2" w16cid:durableId="1345209171">
    <w:abstractNumId w:val="9"/>
  </w:num>
  <w:num w:numId="3" w16cid:durableId="1574730260">
    <w:abstractNumId w:val="18"/>
  </w:num>
  <w:num w:numId="4" w16cid:durableId="214199977">
    <w:abstractNumId w:val="0"/>
  </w:num>
  <w:num w:numId="5" w16cid:durableId="888029089">
    <w:abstractNumId w:val="16"/>
  </w:num>
  <w:num w:numId="6" w16cid:durableId="525366964">
    <w:abstractNumId w:val="14"/>
  </w:num>
  <w:num w:numId="7" w16cid:durableId="2146312209">
    <w:abstractNumId w:val="8"/>
  </w:num>
  <w:num w:numId="8" w16cid:durableId="1730420475">
    <w:abstractNumId w:val="7"/>
  </w:num>
  <w:num w:numId="9" w16cid:durableId="75370417">
    <w:abstractNumId w:val="15"/>
  </w:num>
  <w:num w:numId="10" w16cid:durableId="1595282188">
    <w:abstractNumId w:val="2"/>
  </w:num>
  <w:num w:numId="11" w16cid:durableId="488449539">
    <w:abstractNumId w:val="12"/>
  </w:num>
  <w:num w:numId="12" w16cid:durableId="1546673571">
    <w:abstractNumId w:val="1"/>
  </w:num>
  <w:num w:numId="13" w16cid:durableId="1480464691">
    <w:abstractNumId w:val="10"/>
  </w:num>
  <w:num w:numId="14" w16cid:durableId="840513835">
    <w:abstractNumId w:val="17"/>
  </w:num>
  <w:num w:numId="15" w16cid:durableId="1152873311">
    <w:abstractNumId w:val="11"/>
  </w:num>
  <w:num w:numId="16" w16cid:durableId="2026442365">
    <w:abstractNumId w:val="3"/>
  </w:num>
  <w:num w:numId="17" w16cid:durableId="1982731272">
    <w:abstractNumId w:val="5"/>
  </w:num>
  <w:num w:numId="18" w16cid:durableId="1390420010">
    <w:abstractNumId w:val="4"/>
  </w:num>
  <w:num w:numId="19" w16cid:durableId="633828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4056"/>
    <w:rsid w:val="000048E0"/>
    <w:rsid w:val="00005BD3"/>
    <w:rsid w:val="00022697"/>
    <w:rsid w:val="00040F76"/>
    <w:rsid w:val="00042421"/>
    <w:rsid w:val="00043F21"/>
    <w:rsid w:val="0004406C"/>
    <w:rsid w:val="00053C34"/>
    <w:rsid w:val="00057BC9"/>
    <w:rsid w:val="00066020"/>
    <w:rsid w:val="000817A4"/>
    <w:rsid w:val="00082F4F"/>
    <w:rsid w:val="00083A65"/>
    <w:rsid w:val="0009110E"/>
    <w:rsid w:val="00091E19"/>
    <w:rsid w:val="00095CB1"/>
    <w:rsid w:val="000A039E"/>
    <w:rsid w:val="000A7E26"/>
    <w:rsid w:val="000B33BD"/>
    <w:rsid w:val="000C2BF2"/>
    <w:rsid w:val="000C5CDF"/>
    <w:rsid w:val="000D33F6"/>
    <w:rsid w:val="001047B9"/>
    <w:rsid w:val="00107ECA"/>
    <w:rsid w:val="00123F5E"/>
    <w:rsid w:val="001309FA"/>
    <w:rsid w:val="001312AE"/>
    <w:rsid w:val="0014200A"/>
    <w:rsid w:val="00147DCB"/>
    <w:rsid w:val="00154302"/>
    <w:rsid w:val="001608C9"/>
    <w:rsid w:val="00170706"/>
    <w:rsid w:val="00183384"/>
    <w:rsid w:val="001865E8"/>
    <w:rsid w:val="00187360"/>
    <w:rsid w:val="0019057B"/>
    <w:rsid w:val="001B5700"/>
    <w:rsid w:val="001C7B1E"/>
    <w:rsid w:val="001D4A07"/>
    <w:rsid w:val="001D5BFB"/>
    <w:rsid w:val="001D7285"/>
    <w:rsid w:val="001E3F9B"/>
    <w:rsid w:val="001F2E8A"/>
    <w:rsid w:val="001F354C"/>
    <w:rsid w:val="001F4747"/>
    <w:rsid w:val="002020B9"/>
    <w:rsid w:val="00210ECD"/>
    <w:rsid w:val="002174A0"/>
    <w:rsid w:val="00222B11"/>
    <w:rsid w:val="002304AE"/>
    <w:rsid w:val="002339C1"/>
    <w:rsid w:val="00237445"/>
    <w:rsid w:val="00252E71"/>
    <w:rsid w:val="00260BFE"/>
    <w:rsid w:val="0028070A"/>
    <w:rsid w:val="002851AC"/>
    <w:rsid w:val="00285943"/>
    <w:rsid w:val="00297228"/>
    <w:rsid w:val="002A0F02"/>
    <w:rsid w:val="002A28A2"/>
    <w:rsid w:val="002B27E2"/>
    <w:rsid w:val="002C5981"/>
    <w:rsid w:val="002D329A"/>
    <w:rsid w:val="002D5241"/>
    <w:rsid w:val="002D7D59"/>
    <w:rsid w:val="002E16BA"/>
    <w:rsid w:val="002E4985"/>
    <w:rsid w:val="00301710"/>
    <w:rsid w:val="0030434A"/>
    <w:rsid w:val="00312215"/>
    <w:rsid w:val="00314A48"/>
    <w:rsid w:val="003150E0"/>
    <w:rsid w:val="00315B2F"/>
    <w:rsid w:val="00322634"/>
    <w:rsid w:val="003300A1"/>
    <w:rsid w:val="00332015"/>
    <w:rsid w:val="003348B2"/>
    <w:rsid w:val="0034424F"/>
    <w:rsid w:val="003450CE"/>
    <w:rsid w:val="00364BF2"/>
    <w:rsid w:val="0037025B"/>
    <w:rsid w:val="00373967"/>
    <w:rsid w:val="00380CB4"/>
    <w:rsid w:val="00381FF1"/>
    <w:rsid w:val="003A2D9B"/>
    <w:rsid w:val="003A4288"/>
    <w:rsid w:val="003A787A"/>
    <w:rsid w:val="003D07B5"/>
    <w:rsid w:val="003E05EB"/>
    <w:rsid w:val="003E4D54"/>
    <w:rsid w:val="003E6985"/>
    <w:rsid w:val="003F1844"/>
    <w:rsid w:val="003F67C0"/>
    <w:rsid w:val="00400313"/>
    <w:rsid w:val="0040236C"/>
    <w:rsid w:val="00404DEF"/>
    <w:rsid w:val="004124B0"/>
    <w:rsid w:val="0041384B"/>
    <w:rsid w:val="00413B3C"/>
    <w:rsid w:val="00413CCF"/>
    <w:rsid w:val="00417D7F"/>
    <w:rsid w:val="00420136"/>
    <w:rsid w:val="00430045"/>
    <w:rsid w:val="00434AE5"/>
    <w:rsid w:val="00435CE6"/>
    <w:rsid w:val="004453AE"/>
    <w:rsid w:val="00446EFF"/>
    <w:rsid w:val="004606FA"/>
    <w:rsid w:val="00497028"/>
    <w:rsid w:val="004A20AA"/>
    <w:rsid w:val="004A37CF"/>
    <w:rsid w:val="004D77A2"/>
    <w:rsid w:val="0050411C"/>
    <w:rsid w:val="00504421"/>
    <w:rsid w:val="00505611"/>
    <w:rsid w:val="005105A3"/>
    <w:rsid w:val="005268CE"/>
    <w:rsid w:val="005279E4"/>
    <w:rsid w:val="00527FCD"/>
    <w:rsid w:val="00530667"/>
    <w:rsid w:val="00540CFA"/>
    <w:rsid w:val="00543E40"/>
    <w:rsid w:val="005462E7"/>
    <w:rsid w:val="00547FD5"/>
    <w:rsid w:val="00552613"/>
    <w:rsid w:val="005551AE"/>
    <w:rsid w:val="00555A5E"/>
    <w:rsid w:val="0056360A"/>
    <w:rsid w:val="00574B0F"/>
    <w:rsid w:val="005800CD"/>
    <w:rsid w:val="0058137E"/>
    <w:rsid w:val="005878E7"/>
    <w:rsid w:val="00597628"/>
    <w:rsid w:val="005A0C20"/>
    <w:rsid w:val="005A37EB"/>
    <w:rsid w:val="005B2A50"/>
    <w:rsid w:val="005D02AE"/>
    <w:rsid w:val="005D1312"/>
    <w:rsid w:val="005D66CB"/>
    <w:rsid w:val="005E0679"/>
    <w:rsid w:val="005E11D3"/>
    <w:rsid w:val="005E3136"/>
    <w:rsid w:val="005E5F6F"/>
    <w:rsid w:val="005E625E"/>
    <w:rsid w:val="005F1167"/>
    <w:rsid w:val="005F11F1"/>
    <w:rsid w:val="005F1E5C"/>
    <w:rsid w:val="005F7971"/>
    <w:rsid w:val="00605C12"/>
    <w:rsid w:val="00623AF7"/>
    <w:rsid w:val="00626761"/>
    <w:rsid w:val="00626C90"/>
    <w:rsid w:val="00647C65"/>
    <w:rsid w:val="00650292"/>
    <w:rsid w:val="00655A57"/>
    <w:rsid w:val="00655FCF"/>
    <w:rsid w:val="00656532"/>
    <w:rsid w:val="00656ED0"/>
    <w:rsid w:val="006705A3"/>
    <w:rsid w:val="006779BF"/>
    <w:rsid w:val="00680FE4"/>
    <w:rsid w:val="00682DE1"/>
    <w:rsid w:val="006A0337"/>
    <w:rsid w:val="006A5C53"/>
    <w:rsid w:val="006A6529"/>
    <w:rsid w:val="006A7826"/>
    <w:rsid w:val="006A7A87"/>
    <w:rsid w:val="006B3CEB"/>
    <w:rsid w:val="006E0653"/>
    <w:rsid w:val="006E2A00"/>
    <w:rsid w:val="00706005"/>
    <w:rsid w:val="007212A5"/>
    <w:rsid w:val="00743DF7"/>
    <w:rsid w:val="0075452D"/>
    <w:rsid w:val="0076345E"/>
    <w:rsid w:val="00770BE5"/>
    <w:rsid w:val="00791CF5"/>
    <w:rsid w:val="00795007"/>
    <w:rsid w:val="007A1C76"/>
    <w:rsid w:val="007B7360"/>
    <w:rsid w:val="007B7B17"/>
    <w:rsid w:val="007C4DCE"/>
    <w:rsid w:val="007E2AB8"/>
    <w:rsid w:val="007E3CDC"/>
    <w:rsid w:val="007F6CE0"/>
    <w:rsid w:val="00802302"/>
    <w:rsid w:val="00824185"/>
    <w:rsid w:val="00825EC7"/>
    <w:rsid w:val="008452EB"/>
    <w:rsid w:val="00860D00"/>
    <w:rsid w:val="0088157F"/>
    <w:rsid w:val="008A2827"/>
    <w:rsid w:val="008D4DD7"/>
    <w:rsid w:val="009159C3"/>
    <w:rsid w:val="009206A5"/>
    <w:rsid w:val="009336AD"/>
    <w:rsid w:val="009462FA"/>
    <w:rsid w:val="00946DFC"/>
    <w:rsid w:val="00961A5F"/>
    <w:rsid w:val="00961AF7"/>
    <w:rsid w:val="00966BAA"/>
    <w:rsid w:val="00970F63"/>
    <w:rsid w:val="00985F81"/>
    <w:rsid w:val="00993C73"/>
    <w:rsid w:val="00994033"/>
    <w:rsid w:val="00994587"/>
    <w:rsid w:val="009B0892"/>
    <w:rsid w:val="009C6641"/>
    <w:rsid w:val="009C752D"/>
    <w:rsid w:val="009C7945"/>
    <w:rsid w:val="009E410D"/>
    <w:rsid w:val="009E43F5"/>
    <w:rsid w:val="009E5986"/>
    <w:rsid w:val="009E7ED2"/>
    <w:rsid w:val="00A0068B"/>
    <w:rsid w:val="00A1641B"/>
    <w:rsid w:val="00A23C41"/>
    <w:rsid w:val="00A3127E"/>
    <w:rsid w:val="00A35E04"/>
    <w:rsid w:val="00A4049C"/>
    <w:rsid w:val="00A40E2D"/>
    <w:rsid w:val="00A430CD"/>
    <w:rsid w:val="00A47CD6"/>
    <w:rsid w:val="00A50DD1"/>
    <w:rsid w:val="00A52C25"/>
    <w:rsid w:val="00A639BF"/>
    <w:rsid w:val="00A707BD"/>
    <w:rsid w:val="00A75C09"/>
    <w:rsid w:val="00A8485C"/>
    <w:rsid w:val="00A86184"/>
    <w:rsid w:val="00A8671A"/>
    <w:rsid w:val="00A901F8"/>
    <w:rsid w:val="00A90820"/>
    <w:rsid w:val="00A94E15"/>
    <w:rsid w:val="00AA3B2E"/>
    <w:rsid w:val="00AA402E"/>
    <w:rsid w:val="00AA5842"/>
    <w:rsid w:val="00AA58B6"/>
    <w:rsid w:val="00AB4056"/>
    <w:rsid w:val="00AB7474"/>
    <w:rsid w:val="00AB7996"/>
    <w:rsid w:val="00AC38BB"/>
    <w:rsid w:val="00AE22D5"/>
    <w:rsid w:val="00AE2DDD"/>
    <w:rsid w:val="00B013D7"/>
    <w:rsid w:val="00B27926"/>
    <w:rsid w:val="00B31952"/>
    <w:rsid w:val="00B32387"/>
    <w:rsid w:val="00B33DE8"/>
    <w:rsid w:val="00B41978"/>
    <w:rsid w:val="00B57878"/>
    <w:rsid w:val="00B619E7"/>
    <w:rsid w:val="00B62DB8"/>
    <w:rsid w:val="00B660FD"/>
    <w:rsid w:val="00B80130"/>
    <w:rsid w:val="00B80B75"/>
    <w:rsid w:val="00B827E0"/>
    <w:rsid w:val="00B87E85"/>
    <w:rsid w:val="00BA3AA0"/>
    <w:rsid w:val="00BB7717"/>
    <w:rsid w:val="00BC0BDD"/>
    <w:rsid w:val="00BC1C33"/>
    <w:rsid w:val="00BC7D0D"/>
    <w:rsid w:val="00BD2E66"/>
    <w:rsid w:val="00BD3979"/>
    <w:rsid w:val="00BD5112"/>
    <w:rsid w:val="00BE1545"/>
    <w:rsid w:val="00BE64F5"/>
    <w:rsid w:val="00BE6B35"/>
    <w:rsid w:val="00C12935"/>
    <w:rsid w:val="00C15AA9"/>
    <w:rsid w:val="00C47119"/>
    <w:rsid w:val="00C61D45"/>
    <w:rsid w:val="00C62A60"/>
    <w:rsid w:val="00C64F51"/>
    <w:rsid w:val="00C65DE8"/>
    <w:rsid w:val="00C711F1"/>
    <w:rsid w:val="00C73D30"/>
    <w:rsid w:val="00C86BA1"/>
    <w:rsid w:val="00C96644"/>
    <w:rsid w:val="00CA5C3C"/>
    <w:rsid w:val="00CB3849"/>
    <w:rsid w:val="00CD3142"/>
    <w:rsid w:val="00CD55F6"/>
    <w:rsid w:val="00CE59D5"/>
    <w:rsid w:val="00CF492D"/>
    <w:rsid w:val="00D1205E"/>
    <w:rsid w:val="00D12695"/>
    <w:rsid w:val="00D13C71"/>
    <w:rsid w:val="00D2447E"/>
    <w:rsid w:val="00D308B5"/>
    <w:rsid w:val="00D3460C"/>
    <w:rsid w:val="00D46DAF"/>
    <w:rsid w:val="00D505AC"/>
    <w:rsid w:val="00D52BEE"/>
    <w:rsid w:val="00D54D3B"/>
    <w:rsid w:val="00D758F6"/>
    <w:rsid w:val="00D77DDD"/>
    <w:rsid w:val="00D82AFF"/>
    <w:rsid w:val="00D83027"/>
    <w:rsid w:val="00D86EC6"/>
    <w:rsid w:val="00D91783"/>
    <w:rsid w:val="00D97C05"/>
    <w:rsid w:val="00DB2F7C"/>
    <w:rsid w:val="00DB59DA"/>
    <w:rsid w:val="00DB6237"/>
    <w:rsid w:val="00DB784C"/>
    <w:rsid w:val="00DE1563"/>
    <w:rsid w:val="00DE53C7"/>
    <w:rsid w:val="00DE6AB5"/>
    <w:rsid w:val="00E01028"/>
    <w:rsid w:val="00E01AA4"/>
    <w:rsid w:val="00E02514"/>
    <w:rsid w:val="00E029E8"/>
    <w:rsid w:val="00E1134A"/>
    <w:rsid w:val="00E14593"/>
    <w:rsid w:val="00E14F16"/>
    <w:rsid w:val="00E27DEC"/>
    <w:rsid w:val="00E33735"/>
    <w:rsid w:val="00E3393F"/>
    <w:rsid w:val="00E45AD4"/>
    <w:rsid w:val="00E5363D"/>
    <w:rsid w:val="00E6721F"/>
    <w:rsid w:val="00E71AAA"/>
    <w:rsid w:val="00E77121"/>
    <w:rsid w:val="00E95489"/>
    <w:rsid w:val="00E9797A"/>
    <w:rsid w:val="00EC2B49"/>
    <w:rsid w:val="00ED7FFD"/>
    <w:rsid w:val="00EF12A7"/>
    <w:rsid w:val="00EF344C"/>
    <w:rsid w:val="00F02512"/>
    <w:rsid w:val="00F07624"/>
    <w:rsid w:val="00F11C1E"/>
    <w:rsid w:val="00F148DF"/>
    <w:rsid w:val="00F21FAC"/>
    <w:rsid w:val="00F2663E"/>
    <w:rsid w:val="00F36C5C"/>
    <w:rsid w:val="00F61476"/>
    <w:rsid w:val="00F726AC"/>
    <w:rsid w:val="00F72C90"/>
    <w:rsid w:val="00F735FD"/>
    <w:rsid w:val="00F73F11"/>
    <w:rsid w:val="00F74E1A"/>
    <w:rsid w:val="00F93C21"/>
    <w:rsid w:val="00FA05BB"/>
    <w:rsid w:val="00FA588C"/>
    <w:rsid w:val="00FB0688"/>
    <w:rsid w:val="00FB577C"/>
    <w:rsid w:val="00FB74A7"/>
    <w:rsid w:val="00FB7AF5"/>
    <w:rsid w:val="00FC3C5C"/>
    <w:rsid w:val="00FD5D22"/>
    <w:rsid w:val="00FE1753"/>
    <w:rsid w:val="00FE3833"/>
    <w:rsid w:val="00FE4399"/>
    <w:rsid w:val="00FE61A0"/>
    <w:rsid w:val="00FF208D"/>
    <w:rsid w:val="00FF4CC9"/>
    <w:rsid w:val="00FF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1714"/>
  <w15:docId w15:val="{15C4BFCC-0CC0-4765-814E-B7DC5C90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56"/>
    <w:pPr>
      <w:spacing w:after="200" w:line="276" w:lineRule="auto"/>
    </w:pPr>
    <w:rPr>
      <w:rFonts w:ascii="Calibri" w:eastAsia="Calibri" w:hAnsi="Calibri" w:cs="Times New Roman"/>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AB4056"/>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Listparagraf">
    <w:name w:val="List Paragraph"/>
    <w:basedOn w:val="Normal"/>
    <w:uiPriority w:val="34"/>
    <w:qFormat/>
    <w:rsid w:val="00AB4056"/>
    <w:pPr>
      <w:spacing w:after="160" w:line="259" w:lineRule="auto"/>
      <w:ind w:left="720"/>
      <w:contextualSpacing/>
    </w:pPr>
    <w:rPr>
      <w:rFonts w:cs="Calibri"/>
      <w:lang w:val="en-US" w:eastAsia="en-US"/>
    </w:rPr>
  </w:style>
  <w:style w:type="paragraph" w:styleId="TextnBalon">
    <w:name w:val="Balloon Text"/>
    <w:basedOn w:val="Normal"/>
    <w:link w:val="TextnBalonCaracter"/>
    <w:uiPriority w:val="99"/>
    <w:semiHidden/>
    <w:unhideWhenUsed/>
    <w:rsid w:val="001F35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F354C"/>
    <w:rPr>
      <w:rFonts w:ascii="Segoe UI" w:eastAsia="Calibri" w:hAnsi="Segoe UI" w:cs="Segoe UI"/>
      <w:sz w:val="18"/>
      <w:szCs w:val="18"/>
      <w:lang w:eastAsia="ru-RU"/>
    </w:rPr>
  </w:style>
  <w:style w:type="character" w:customStyle="1" w:styleId="fontstyle01">
    <w:name w:val="fontstyle01"/>
    <w:basedOn w:val="Fontdeparagrafimplicit"/>
    <w:rsid w:val="00F148DF"/>
    <w:rPr>
      <w:rFonts w:ascii="DejaVuSerifCondensed" w:hAnsi="DejaVuSerifCondensed" w:hint="default"/>
      <w:b w:val="0"/>
      <w:bCs w:val="0"/>
      <w:i w:val="0"/>
      <w:iCs w:val="0"/>
      <w:color w:val="000000"/>
      <w:sz w:val="22"/>
      <w:szCs w:val="22"/>
    </w:rPr>
  </w:style>
  <w:style w:type="character" w:styleId="Hyperlink">
    <w:name w:val="Hyperlink"/>
    <w:basedOn w:val="Fontdeparagrafimplicit"/>
    <w:unhideWhenUsed/>
    <w:rsid w:val="00F148DF"/>
    <w:rPr>
      <w:color w:val="0563C1" w:themeColor="hyperlink"/>
      <w:u w:val="single"/>
    </w:rPr>
  </w:style>
  <w:style w:type="character" w:customStyle="1" w:styleId="fontstyle21">
    <w:name w:val="fontstyle21"/>
    <w:basedOn w:val="Fontdeparagrafimplicit"/>
    <w:rsid w:val="00F148DF"/>
    <w:rPr>
      <w:rFonts w:ascii="Tahoma" w:hAnsi="Tahoma" w:cs="Tahoma" w:hint="default"/>
      <w:b w:val="0"/>
      <w:bCs w:val="0"/>
      <w:i w:val="0"/>
      <w:iCs w:val="0"/>
      <w:color w:val="000000"/>
      <w:sz w:val="24"/>
      <w:szCs w:val="24"/>
    </w:rPr>
  </w:style>
  <w:style w:type="character" w:customStyle="1" w:styleId="fontstyle31">
    <w:name w:val="fontstyle31"/>
    <w:basedOn w:val="Fontdeparagrafimplicit"/>
    <w:rsid w:val="00F148DF"/>
    <w:rPr>
      <w:rFonts w:ascii="TimesNewRomanPS-ItalicMT" w:hAnsi="TimesNewRomanPS-ItalicMT" w:hint="default"/>
      <w:b w:val="0"/>
      <w:bCs w:val="0"/>
      <w:i/>
      <w:iCs/>
      <w:color w:val="000000"/>
      <w:sz w:val="24"/>
      <w:szCs w:val="24"/>
    </w:rPr>
  </w:style>
  <w:style w:type="character" w:styleId="MeniuneNerezolvat">
    <w:name w:val="Unresolved Mention"/>
    <w:basedOn w:val="Fontdeparagrafimplicit"/>
    <w:uiPriority w:val="99"/>
    <w:semiHidden/>
    <w:unhideWhenUsed/>
    <w:rsid w:val="00315B2F"/>
    <w:rPr>
      <w:color w:val="605E5C"/>
      <w:shd w:val="clear" w:color="auto" w:fill="E1DFDD"/>
    </w:rPr>
  </w:style>
  <w:style w:type="character" w:customStyle="1" w:styleId="docbody1">
    <w:name w:val="doc_body1"/>
    <w:uiPriority w:val="99"/>
    <w:rsid w:val="005268CE"/>
    <w:rPr>
      <w:rFonts w:ascii="Times New Roman" w:hAnsi="Times New Roman" w:cs="Times New Roman" w:hint="default"/>
      <w:color w:val="000000"/>
      <w:sz w:val="24"/>
      <w:szCs w:val="24"/>
    </w:rPr>
  </w:style>
  <w:style w:type="paragraph" w:styleId="Frspaiere">
    <w:name w:val="No Spacing"/>
    <w:uiPriority w:val="1"/>
    <w:qFormat/>
    <w:rsid w:val="00A23C41"/>
    <w:pPr>
      <w:spacing w:after="0" w:line="240" w:lineRule="auto"/>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ina.usaci@mec.gov.md" TargetMode="External"/><Relationship Id="rId3" Type="http://schemas.openxmlformats.org/officeDocument/2006/relationships/styles" Target="styles.xml"/><Relationship Id="rId7" Type="http://schemas.openxmlformats.org/officeDocument/2006/relationships/hyperlink" Target="https://particip.gov.md/ro/document/stages/*/154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c.gov.md/ro/content/anunturi-privind-initierea-elaborarii-deciziil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4E42B-B381-48F7-862F-9EED8BAA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3099</TotalTime>
  <Pages>5</Pages>
  <Words>2651</Words>
  <Characters>15376</Characters>
  <Application>Microsoft Office Word</Application>
  <DocSecurity>0</DocSecurity>
  <Lines>128</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Velisco</dc:creator>
  <cp:keywords/>
  <dc:description/>
  <cp:lastModifiedBy>Utilizator</cp:lastModifiedBy>
  <cp:revision>19</cp:revision>
  <cp:lastPrinted>2026-01-06T13:43:00Z</cp:lastPrinted>
  <dcterms:created xsi:type="dcterms:W3CDTF">2020-10-28T11:45:00Z</dcterms:created>
  <dcterms:modified xsi:type="dcterms:W3CDTF">2026-01-06T13:44:00Z</dcterms:modified>
</cp:coreProperties>
</file>