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2F5F" w14:textId="5FF9204F" w:rsidR="00FA26BD" w:rsidRPr="0046108E" w:rsidRDefault="0092689B" w:rsidP="00845051">
      <w:pPr>
        <w:tabs>
          <w:tab w:val="left" w:pos="884"/>
          <w:tab w:val="left" w:pos="1196"/>
        </w:tabs>
        <w:spacing w:after="0" w:line="240" w:lineRule="auto"/>
        <w:contextualSpacing/>
        <w:jc w:val="center"/>
        <w:rPr>
          <w:rFonts w:ascii="Times New Roman" w:hAnsi="Times New Roman"/>
          <w:b/>
          <w:sz w:val="24"/>
          <w:szCs w:val="24"/>
          <w:lang w:val="ro-MD"/>
        </w:rPr>
      </w:pPr>
      <w:r w:rsidRPr="0046108E">
        <w:rPr>
          <w:rFonts w:ascii="Times New Roman" w:hAnsi="Times New Roman"/>
          <w:b/>
          <w:sz w:val="24"/>
          <w:szCs w:val="24"/>
          <w:lang w:val="ro-MD"/>
        </w:rPr>
        <w:t>SINTEZA</w:t>
      </w:r>
    </w:p>
    <w:p w14:paraId="2BB85B9F" w14:textId="77777777" w:rsidR="00E0404D" w:rsidRPr="0046108E" w:rsidRDefault="005F4416" w:rsidP="00845051">
      <w:pPr>
        <w:pStyle w:val="Titlu4"/>
        <w:shd w:val="clear" w:color="auto" w:fill="FFFFFF"/>
        <w:spacing w:before="0" w:after="0" w:line="240" w:lineRule="auto"/>
        <w:contextualSpacing/>
        <w:jc w:val="center"/>
        <w:rPr>
          <w:rFonts w:ascii="Times New Roman" w:eastAsiaTheme="minorHAnsi" w:hAnsi="Times New Roman"/>
          <w:lang w:val="ro-MD"/>
        </w:rPr>
      </w:pPr>
      <w:r w:rsidRPr="0046108E">
        <w:rPr>
          <w:rFonts w:ascii="Times New Roman" w:hAnsi="Times New Roman"/>
          <w:lang w:val="ro-MD"/>
        </w:rPr>
        <w:t xml:space="preserve">la proiectul Hotărârii Guvernului </w:t>
      </w:r>
      <w:r w:rsidR="007B22D6" w:rsidRPr="0046108E">
        <w:rPr>
          <w:rFonts w:ascii="Times New Roman" w:eastAsiaTheme="minorHAnsi" w:hAnsi="Times New Roman"/>
          <w:lang w:val="ro-MD"/>
        </w:rPr>
        <w:t xml:space="preserve">privind modificarea Hotărârii Guvernului nr. 679/2024 pentru aprobarea </w:t>
      </w:r>
    </w:p>
    <w:p w14:paraId="75C20621" w14:textId="5A9FA06D" w:rsidR="007B22D6" w:rsidRPr="0046108E" w:rsidRDefault="007B22D6" w:rsidP="00845051">
      <w:pPr>
        <w:pStyle w:val="Titlu4"/>
        <w:shd w:val="clear" w:color="auto" w:fill="FFFFFF"/>
        <w:spacing w:before="0" w:after="0" w:line="240" w:lineRule="auto"/>
        <w:contextualSpacing/>
        <w:jc w:val="center"/>
        <w:rPr>
          <w:rFonts w:ascii="Times New Roman" w:eastAsiaTheme="minorHAnsi" w:hAnsi="Times New Roman"/>
          <w:b w:val="0"/>
          <w:i/>
          <w:iCs/>
          <w:lang w:val="ro-MD"/>
        </w:rPr>
      </w:pPr>
      <w:r w:rsidRPr="0046108E">
        <w:rPr>
          <w:rFonts w:ascii="Times New Roman" w:eastAsiaTheme="minorHAnsi" w:hAnsi="Times New Roman"/>
          <w:lang w:val="ro-MD"/>
        </w:rPr>
        <w:t>Regulamentului privind aplicarea măsurilor de protecție împotriva organismelor dăunătoare plantelor</w:t>
      </w:r>
    </w:p>
    <w:p w14:paraId="2279220B" w14:textId="7EBBD97E" w:rsidR="00A024C9" w:rsidRPr="0046108E" w:rsidRDefault="001C0F59" w:rsidP="00845051">
      <w:pPr>
        <w:pStyle w:val="tt"/>
        <w:spacing w:before="0" w:beforeAutospacing="0" w:after="0" w:afterAutospacing="0"/>
        <w:contextualSpacing/>
        <w:jc w:val="center"/>
        <w:rPr>
          <w:b/>
          <w:lang w:val="ro-MD"/>
        </w:rPr>
      </w:pPr>
      <w:r w:rsidRPr="0046108E">
        <w:rPr>
          <w:b/>
          <w:lang w:val="ro-MD"/>
        </w:rPr>
        <w:t>(num</w:t>
      </w:r>
      <w:r w:rsidR="00D60A6F" w:rsidRPr="0046108E">
        <w:rPr>
          <w:b/>
          <w:lang w:val="ro-MD"/>
        </w:rPr>
        <w:t>ă</w:t>
      </w:r>
      <w:r w:rsidRPr="0046108E">
        <w:rPr>
          <w:b/>
          <w:lang w:val="ro-MD"/>
        </w:rPr>
        <w:t xml:space="preserve">r unic </w:t>
      </w:r>
      <w:r w:rsidR="007B22D6" w:rsidRPr="0046108E">
        <w:rPr>
          <w:b/>
          <w:lang w:val="ro-MD"/>
        </w:rPr>
        <w:t>790</w:t>
      </w:r>
      <w:r w:rsidRPr="0046108E">
        <w:rPr>
          <w:b/>
          <w:lang w:val="ro-MD"/>
        </w:rPr>
        <w:t>/MAIA/202</w:t>
      </w:r>
      <w:r w:rsidR="000152EE" w:rsidRPr="0046108E">
        <w:rPr>
          <w:b/>
          <w:lang w:val="ro-MD"/>
        </w:rPr>
        <w:t>5</w:t>
      </w:r>
      <w:r w:rsidRPr="0046108E">
        <w:rPr>
          <w:b/>
          <w:lang w:val="ro-MD"/>
        </w:rPr>
        <w:t>)</w:t>
      </w:r>
    </w:p>
    <w:tbl>
      <w:tblPr>
        <w:tblStyle w:val="1"/>
        <w:tblW w:w="145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271"/>
        <w:gridCol w:w="6804"/>
        <w:gridCol w:w="3123"/>
      </w:tblGrid>
      <w:tr w:rsidR="000A4B3B" w:rsidRPr="0046108E" w14:paraId="31F1C9E4" w14:textId="77777777" w:rsidTr="00BF2676">
        <w:trPr>
          <w:trHeight w:val="567"/>
        </w:trPr>
        <w:tc>
          <w:tcPr>
            <w:tcW w:w="3397" w:type="dxa"/>
            <w:shd w:val="clear" w:color="auto" w:fill="FFFFFF"/>
            <w:vAlign w:val="center"/>
          </w:tcPr>
          <w:p w14:paraId="07B41C04" w14:textId="7139909B" w:rsidR="00770CD4" w:rsidRPr="0046108E" w:rsidRDefault="00770CD4" w:rsidP="00845051">
            <w:pPr>
              <w:tabs>
                <w:tab w:val="left" w:pos="884"/>
                <w:tab w:val="left" w:pos="1196"/>
              </w:tabs>
              <w:spacing w:after="0" w:line="240" w:lineRule="auto"/>
              <w:contextualSpacing/>
              <w:jc w:val="center"/>
              <w:rPr>
                <w:rFonts w:ascii="Times New Roman" w:hAnsi="Times New Roman"/>
                <w:b/>
                <w:sz w:val="24"/>
                <w:szCs w:val="24"/>
                <w:lang w:val="ro-MD"/>
              </w:rPr>
            </w:pPr>
            <w:r w:rsidRPr="0046108E">
              <w:rPr>
                <w:rFonts w:ascii="Times New Roman" w:hAnsi="Times New Roman"/>
                <w:b/>
                <w:sz w:val="24"/>
                <w:szCs w:val="24"/>
                <w:lang w:val="ro-MD"/>
              </w:rPr>
              <w:t>Participantul la avizare, consultare publică, expertizare</w:t>
            </w:r>
          </w:p>
        </w:tc>
        <w:tc>
          <w:tcPr>
            <w:tcW w:w="1271" w:type="dxa"/>
            <w:shd w:val="clear" w:color="auto" w:fill="FFFFFF"/>
            <w:vAlign w:val="center"/>
          </w:tcPr>
          <w:p w14:paraId="23A37F73" w14:textId="02D7F8C5" w:rsidR="00770CD4" w:rsidRPr="0046108E" w:rsidRDefault="00770CD4" w:rsidP="00845051">
            <w:pPr>
              <w:tabs>
                <w:tab w:val="left" w:pos="884"/>
                <w:tab w:val="left" w:pos="1196"/>
              </w:tabs>
              <w:spacing w:after="0" w:line="240" w:lineRule="auto"/>
              <w:contextualSpacing/>
              <w:jc w:val="center"/>
              <w:rPr>
                <w:rFonts w:ascii="Times New Roman" w:hAnsi="Times New Roman"/>
                <w:b/>
                <w:sz w:val="24"/>
                <w:szCs w:val="24"/>
                <w:lang w:val="ro-MD"/>
              </w:rPr>
            </w:pPr>
            <w:r w:rsidRPr="0046108E">
              <w:rPr>
                <w:rFonts w:ascii="Times New Roman" w:hAnsi="Times New Roman"/>
                <w:b/>
                <w:sz w:val="24"/>
                <w:szCs w:val="24"/>
                <w:lang w:val="ro-MD"/>
              </w:rPr>
              <w:t>Nr. crt.</w:t>
            </w:r>
          </w:p>
        </w:tc>
        <w:tc>
          <w:tcPr>
            <w:tcW w:w="6804" w:type="dxa"/>
            <w:shd w:val="clear" w:color="auto" w:fill="FFFFFF"/>
            <w:vAlign w:val="center"/>
          </w:tcPr>
          <w:p w14:paraId="74457C01" w14:textId="77777777" w:rsidR="00770CD4" w:rsidRPr="0046108E" w:rsidRDefault="00770CD4" w:rsidP="0084505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contextualSpacing/>
              <w:jc w:val="center"/>
              <w:rPr>
                <w:rFonts w:ascii="Times New Roman" w:hAnsi="Times New Roman"/>
                <w:sz w:val="24"/>
                <w:szCs w:val="24"/>
                <w:lang w:val="ro-MD"/>
              </w:rPr>
            </w:pPr>
            <w:r w:rsidRPr="0046108E">
              <w:rPr>
                <w:rFonts w:ascii="Times New Roman" w:hAnsi="Times New Roman"/>
                <w:b/>
                <w:sz w:val="24"/>
                <w:szCs w:val="24"/>
                <w:lang w:val="ro-MD"/>
              </w:rPr>
              <w:t>Conținutul obiecției,</w:t>
            </w:r>
          </w:p>
          <w:p w14:paraId="72C4DC80" w14:textId="28B31B31" w:rsidR="00770CD4" w:rsidRPr="0046108E" w:rsidRDefault="00770CD4" w:rsidP="00845051">
            <w:pPr>
              <w:tabs>
                <w:tab w:val="left" w:pos="884"/>
                <w:tab w:val="left" w:pos="1196"/>
              </w:tabs>
              <w:spacing w:after="0" w:line="240" w:lineRule="auto"/>
              <w:contextualSpacing/>
              <w:jc w:val="center"/>
              <w:rPr>
                <w:rFonts w:ascii="Times New Roman" w:hAnsi="Times New Roman"/>
                <w:b/>
                <w:sz w:val="24"/>
                <w:szCs w:val="24"/>
                <w:lang w:val="ro-MD"/>
              </w:rPr>
            </w:pPr>
            <w:r w:rsidRPr="0046108E">
              <w:rPr>
                <w:rFonts w:ascii="Times New Roman" w:hAnsi="Times New Roman"/>
                <w:b/>
                <w:sz w:val="24"/>
                <w:szCs w:val="24"/>
                <w:lang w:val="ro-MD"/>
              </w:rPr>
              <w:t>propunerii, recomandării, concluziei</w:t>
            </w:r>
          </w:p>
        </w:tc>
        <w:tc>
          <w:tcPr>
            <w:tcW w:w="3123" w:type="dxa"/>
            <w:shd w:val="clear" w:color="auto" w:fill="FFFFFF"/>
            <w:vAlign w:val="center"/>
          </w:tcPr>
          <w:p w14:paraId="403D1FB5" w14:textId="77777777" w:rsidR="00770CD4" w:rsidRPr="0046108E" w:rsidRDefault="00770CD4" w:rsidP="0084505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contextualSpacing/>
              <w:jc w:val="center"/>
              <w:rPr>
                <w:rFonts w:ascii="Times New Roman" w:hAnsi="Times New Roman"/>
                <w:sz w:val="24"/>
                <w:szCs w:val="24"/>
                <w:lang w:val="ro-MD"/>
              </w:rPr>
            </w:pPr>
            <w:r w:rsidRPr="0046108E">
              <w:rPr>
                <w:rFonts w:ascii="Times New Roman" w:hAnsi="Times New Roman"/>
                <w:b/>
                <w:sz w:val="24"/>
                <w:szCs w:val="24"/>
                <w:lang w:val="ro-MD"/>
              </w:rPr>
              <w:t>Argumentarea</w:t>
            </w:r>
          </w:p>
          <w:p w14:paraId="5AF6323A" w14:textId="03F62B37" w:rsidR="00770CD4" w:rsidRPr="0046108E" w:rsidRDefault="00770CD4" w:rsidP="00845051">
            <w:pPr>
              <w:tabs>
                <w:tab w:val="left" w:pos="884"/>
                <w:tab w:val="left" w:pos="1196"/>
              </w:tabs>
              <w:spacing w:after="0" w:line="240" w:lineRule="auto"/>
              <w:contextualSpacing/>
              <w:jc w:val="center"/>
              <w:rPr>
                <w:rFonts w:ascii="Times New Roman" w:hAnsi="Times New Roman"/>
                <w:b/>
                <w:sz w:val="24"/>
                <w:szCs w:val="24"/>
                <w:lang w:val="ro-MD"/>
              </w:rPr>
            </w:pPr>
            <w:r w:rsidRPr="0046108E">
              <w:rPr>
                <w:rFonts w:ascii="Times New Roman" w:hAnsi="Times New Roman"/>
                <w:b/>
                <w:sz w:val="24"/>
                <w:szCs w:val="24"/>
                <w:lang w:val="ro-MD"/>
              </w:rPr>
              <w:t>autorului proiectului</w:t>
            </w:r>
          </w:p>
        </w:tc>
      </w:tr>
      <w:tr w:rsidR="000A4B3B" w:rsidRPr="0046108E" w14:paraId="6BEE504B" w14:textId="77777777" w:rsidTr="00BF2676">
        <w:trPr>
          <w:trHeight w:val="567"/>
        </w:trPr>
        <w:tc>
          <w:tcPr>
            <w:tcW w:w="14595" w:type="dxa"/>
            <w:gridSpan w:val="4"/>
            <w:shd w:val="clear" w:color="auto" w:fill="FFFFFF"/>
            <w:vAlign w:val="center"/>
          </w:tcPr>
          <w:p w14:paraId="06545284" w14:textId="5D30062F" w:rsidR="007D3CC6" w:rsidRPr="0046108E" w:rsidRDefault="007D3CC6" w:rsidP="0084505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contextualSpacing/>
              <w:jc w:val="center"/>
              <w:rPr>
                <w:rFonts w:ascii="Times New Roman" w:hAnsi="Times New Roman"/>
                <w:b/>
                <w:sz w:val="24"/>
                <w:szCs w:val="24"/>
                <w:lang w:val="ro-MD"/>
              </w:rPr>
            </w:pPr>
            <w:r w:rsidRPr="0046108E">
              <w:rPr>
                <w:rFonts w:ascii="Times New Roman" w:hAnsi="Times New Roman"/>
                <w:b/>
                <w:sz w:val="24"/>
                <w:szCs w:val="24"/>
                <w:lang w:val="ro-MD"/>
              </w:rPr>
              <w:t>Avizare și consultare publică</w:t>
            </w:r>
          </w:p>
        </w:tc>
      </w:tr>
      <w:tr w:rsidR="000A4B3B" w:rsidRPr="0046108E" w14:paraId="5E002EB0" w14:textId="77777777" w:rsidTr="00BF2676">
        <w:trPr>
          <w:trHeight w:val="567"/>
        </w:trPr>
        <w:tc>
          <w:tcPr>
            <w:tcW w:w="3397" w:type="dxa"/>
            <w:shd w:val="clear" w:color="auto" w:fill="FFFFFF"/>
            <w:vAlign w:val="center"/>
          </w:tcPr>
          <w:p w14:paraId="578B70D2" w14:textId="5025AB2D" w:rsidR="00671082" w:rsidRPr="0046108E" w:rsidRDefault="00BC173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Aviz Ministerul Mediului, scrisoarea nr. </w:t>
            </w:r>
            <w:r w:rsidR="00371B62" w:rsidRPr="0046108E">
              <w:rPr>
                <w:rFonts w:ascii="Times New Roman" w:hAnsi="Times New Roman"/>
                <w:sz w:val="24"/>
                <w:szCs w:val="24"/>
                <w:lang w:val="ro-MD"/>
              </w:rPr>
              <w:t>13-05/2909</w:t>
            </w:r>
            <w:r w:rsidR="000152EE" w:rsidRPr="0046108E">
              <w:rPr>
                <w:rFonts w:ascii="Times New Roman" w:hAnsi="Times New Roman"/>
                <w:sz w:val="24"/>
                <w:szCs w:val="24"/>
                <w:lang w:val="ro-MD"/>
              </w:rPr>
              <w:t xml:space="preserve"> din </w:t>
            </w:r>
            <w:r w:rsidR="00371B62" w:rsidRPr="0046108E">
              <w:rPr>
                <w:rFonts w:ascii="Times New Roman" w:hAnsi="Times New Roman"/>
                <w:sz w:val="24"/>
                <w:szCs w:val="24"/>
                <w:lang w:val="ro-MD"/>
              </w:rPr>
              <w:t>31</w:t>
            </w:r>
            <w:r w:rsidR="000152EE" w:rsidRPr="0046108E">
              <w:rPr>
                <w:rFonts w:ascii="Times New Roman" w:hAnsi="Times New Roman"/>
                <w:sz w:val="24"/>
                <w:szCs w:val="24"/>
                <w:lang w:val="ro-MD"/>
              </w:rPr>
              <w:t>.</w:t>
            </w:r>
            <w:r w:rsidR="00371B62" w:rsidRPr="0046108E">
              <w:rPr>
                <w:rFonts w:ascii="Times New Roman" w:hAnsi="Times New Roman"/>
                <w:sz w:val="24"/>
                <w:szCs w:val="24"/>
                <w:lang w:val="ro-MD"/>
              </w:rPr>
              <w:t>10</w:t>
            </w:r>
            <w:r w:rsidR="000152EE" w:rsidRPr="0046108E">
              <w:rPr>
                <w:rFonts w:ascii="Times New Roman" w:hAnsi="Times New Roman"/>
                <w:sz w:val="24"/>
                <w:szCs w:val="24"/>
                <w:lang w:val="ro-MD"/>
              </w:rPr>
              <w:t>.2025</w:t>
            </w:r>
          </w:p>
        </w:tc>
        <w:tc>
          <w:tcPr>
            <w:tcW w:w="1271" w:type="dxa"/>
            <w:shd w:val="clear" w:color="auto" w:fill="FFFFFF"/>
            <w:vAlign w:val="center"/>
          </w:tcPr>
          <w:p w14:paraId="1B740E1F" w14:textId="2F04A822" w:rsidR="00671082" w:rsidRPr="0046108E" w:rsidRDefault="007B22D6"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1</w:t>
            </w:r>
            <w:r w:rsidR="001515B9" w:rsidRPr="0046108E">
              <w:rPr>
                <w:rFonts w:ascii="Times New Roman" w:hAnsi="Times New Roman"/>
                <w:sz w:val="24"/>
                <w:szCs w:val="24"/>
                <w:lang w:val="ro-MD"/>
              </w:rPr>
              <w:t xml:space="preserve">. </w:t>
            </w:r>
          </w:p>
        </w:tc>
        <w:tc>
          <w:tcPr>
            <w:tcW w:w="6804" w:type="dxa"/>
            <w:shd w:val="clear" w:color="auto" w:fill="FFFFFF"/>
            <w:vAlign w:val="center"/>
          </w:tcPr>
          <w:p w14:paraId="4E4E68F8" w14:textId="7B8293DF" w:rsidR="00671082" w:rsidRPr="0046108E" w:rsidRDefault="001515B9"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Lipsă de obiecții și propuneri.</w:t>
            </w:r>
          </w:p>
        </w:tc>
        <w:tc>
          <w:tcPr>
            <w:tcW w:w="3123" w:type="dxa"/>
            <w:shd w:val="clear" w:color="auto" w:fill="FFFFFF"/>
            <w:vAlign w:val="center"/>
          </w:tcPr>
          <w:p w14:paraId="311DC44B" w14:textId="5B6FC4BA" w:rsidR="00671082" w:rsidRPr="0046108E" w:rsidRDefault="001515B9"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A4B3B" w:rsidRPr="0046108E" w14:paraId="3E25B460" w14:textId="77777777" w:rsidTr="00BF2676">
        <w:trPr>
          <w:trHeight w:val="567"/>
        </w:trPr>
        <w:tc>
          <w:tcPr>
            <w:tcW w:w="3397" w:type="dxa"/>
            <w:vMerge w:val="restart"/>
            <w:shd w:val="clear" w:color="auto" w:fill="FFFFFF"/>
            <w:vAlign w:val="center"/>
          </w:tcPr>
          <w:p w14:paraId="68AF6528" w14:textId="071EDFEB"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Aviz Ministerul Dezvoltării Economice și Digitalizării, scrisoarea nr. 16-3073 din 28.10.2025</w:t>
            </w:r>
          </w:p>
        </w:tc>
        <w:tc>
          <w:tcPr>
            <w:tcW w:w="1271" w:type="dxa"/>
            <w:shd w:val="clear" w:color="auto" w:fill="FFFFFF"/>
            <w:vAlign w:val="center"/>
          </w:tcPr>
          <w:p w14:paraId="2BC8A7A5" w14:textId="60B2F77E"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2.</w:t>
            </w:r>
          </w:p>
        </w:tc>
        <w:tc>
          <w:tcPr>
            <w:tcW w:w="6804" w:type="dxa"/>
            <w:shd w:val="clear" w:color="auto" w:fill="FFFFFF"/>
            <w:vAlign w:val="center"/>
          </w:tcPr>
          <w:p w14:paraId="4BD41EEF" w14:textId="7F47A112"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Cu referire la demersul nr. 18-69-10445 din 13.10.2025 privind avizarea proiectului privind modificarea H</w:t>
            </w:r>
            <w:r w:rsidR="00E0404D" w:rsidRPr="0046108E">
              <w:rPr>
                <w:rFonts w:ascii="Times New Roman" w:hAnsi="Times New Roman"/>
                <w:sz w:val="24"/>
                <w:szCs w:val="24"/>
                <w:lang w:val="ro-MD"/>
              </w:rPr>
              <w:t xml:space="preserve"> </w:t>
            </w:r>
            <w:r w:rsidRPr="0046108E">
              <w:rPr>
                <w:rFonts w:ascii="Times New Roman" w:hAnsi="Times New Roman"/>
                <w:sz w:val="24"/>
                <w:szCs w:val="24"/>
                <w:lang w:val="ro-MD"/>
              </w:rPr>
              <w:t>otărârii Guvernului nr. 679/2024 pentru aprobarea Regulamentului privind aplicarea măsurilor de protecție împotriva organismelor dăunătoare plantelor (număr unic 790/MAIA/2025), în limita atribuțiilor funcționale, comunicăm următoarele obiecții și propuneri.</w:t>
            </w:r>
          </w:p>
        </w:tc>
        <w:tc>
          <w:tcPr>
            <w:tcW w:w="3123" w:type="dxa"/>
            <w:shd w:val="clear" w:color="auto" w:fill="FFFFFF"/>
            <w:vAlign w:val="center"/>
          </w:tcPr>
          <w:p w14:paraId="23B3A74B" w14:textId="19138F6F"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A4B3B" w:rsidRPr="0046108E" w14:paraId="458BF656" w14:textId="77777777" w:rsidTr="00BF2676">
        <w:trPr>
          <w:trHeight w:val="567"/>
        </w:trPr>
        <w:tc>
          <w:tcPr>
            <w:tcW w:w="3397" w:type="dxa"/>
            <w:vMerge/>
            <w:shd w:val="clear" w:color="auto" w:fill="FFFFFF"/>
            <w:vAlign w:val="center"/>
          </w:tcPr>
          <w:p w14:paraId="426D62DD" w14:textId="77777777"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shd w:val="clear" w:color="auto" w:fill="FFFFFF"/>
            <w:vAlign w:val="center"/>
          </w:tcPr>
          <w:p w14:paraId="7976866F" w14:textId="310AE42A"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3.</w:t>
            </w:r>
          </w:p>
        </w:tc>
        <w:tc>
          <w:tcPr>
            <w:tcW w:w="6804" w:type="dxa"/>
            <w:shd w:val="clear" w:color="auto" w:fill="FFFFFF"/>
            <w:vAlign w:val="center"/>
          </w:tcPr>
          <w:p w14:paraId="53103B79" w14:textId="62967CAE"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Proiectul de hotărâre conține norme incerte, cum ar fi „condiții adecvate”, „indicatori adecvați”, „intervale potrivite”, „intervale corespunzătoare”, „perioada corespunzătoare”, „măsuri corespunzătoare”, „lotului (loturilor) corespunzător (corespunzătoare)”, „conservate în mod corespunzător”, etc. (spre exemplu, pct. pct.1.2.3.5.8 (61 - 63), 1.2.3.5.9, 1.2.3.14, 1.2.3.17 (anexa nr. 17), anexa nr. 21 și anexa nr. 22 (cerințele legislației privind sănătatea plantelor). Lipsa de claritate și previzibilitate a normelor va crea situații de interpretări discreționare și abuzive la etapa de aplicare a actului normativ în cauză. Pentru a evita astfel de situații, se recomandă, după caz, excluderea unor astfel de sintagme, sau concretizarea acestora.</w:t>
            </w:r>
          </w:p>
        </w:tc>
        <w:tc>
          <w:tcPr>
            <w:tcW w:w="3123" w:type="dxa"/>
            <w:shd w:val="clear" w:color="auto" w:fill="FFFFFF"/>
            <w:vAlign w:val="center"/>
          </w:tcPr>
          <w:p w14:paraId="30C66135" w14:textId="38841DD2" w:rsidR="00A90C8C" w:rsidRPr="0046108E" w:rsidRDefault="000A4B3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0A4B3B" w:rsidRPr="00753414" w14:paraId="1BB5C45D" w14:textId="77777777" w:rsidTr="00BF2676">
        <w:trPr>
          <w:trHeight w:val="567"/>
        </w:trPr>
        <w:tc>
          <w:tcPr>
            <w:tcW w:w="3397" w:type="dxa"/>
            <w:vMerge/>
            <w:shd w:val="clear" w:color="auto" w:fill="FFFFFF"/>
            <w:vAlign w:val="center"/>
          </w:tcPr>
          <w:p w14:paraId="06A1A8CE" w14:textId="77777777"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shd w:val="clear" w:color="auto" w:fill="FFFFFF"/>
            <w:vAlign w:val="center"/>
          </w:tcPr>
          <w:p w14:paraId="02D59F90" w14:textId="0786C458" w:rsidR="00A90C8C" w:rsidRPr="0046108E" w:rsidRDefault="002B5E6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4.</w:t>
            </w:r>
          </w:p>
        </w:tc>
        <w:tc>
          <w:tcPr>
            <w:tcW w:w="6804" w:type="dxa"/>
            <w:shd w:val="clear" w:color="auto" w:fill="FFFFFF"/>
            <w:vAlign w:val="center"/>
          </w:tcPr>
          <w:p w14:paraId="5856F7AE" w14:textId="48E5B1D4"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La pct. 1.2.3.5.14, 1.2.3.5.15 și anexa nr. 22 sunt utilizate cuvintele „cerințele fitosanitare ale Uniunii” respectiv, se recomandă verificarea relevanței cuvintelor respective, din punct de vedere integrării acestora în actul normativ național.</w:t>
            </w:r>
          </w:p>
        </w:tc>
        <w:tc>
          <w:tcPr>
            <w:tcW w:w="3123" w:type="dxa"/>
            <w:shd w:val="clear" w:color="auto" w:fill="FFFFFF"/>
            <w:vAlign w:val="center"/>
          </w:tcPr>
          <w:p w14:paraId="281429AC" w14:textId="77777777" w:rsidR="00A62B9B" w:rsidRPr="0046108E" w:rsidRDefault="00A62B9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 xml:space="preserve">Se acceptă. </w:t>
            </w:r>
          </w:p>
          <w:p w14:paraId="1B68BA0A" w14:textId="288F7956" w:rsidR="00A90C8C" w:rsidRPr="0046108E" w:rsidRDefault="00A62B9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Au fost efectuate modificări.</w:t>
            </w:r>
          </w:p>
        </w:tc>
      </w:tr>
      <w:tr w:rsidR="000A4B3B" w:rsidRPr="00753414" w14:paraId="19EBA97B" w14:textId="77777777" w:rsidTr="00BF2676">
        <w:trPr>
          <w:trHeight w:val="567"/>
        </w:trPr>
        <w:tc>
          <w:tcPr>
            <w:tcW w:w="3397" w:type="dxa"/>
            <w:vMerge/>
            <w:shd w:val="clear" w:color="auto" w:fill="FFFFFF"/>
            <w:vAlign w:val="center"/>
          </w:tcPr>
          <w:p w14:paraId="2F658EE7" w14:textId="77777777"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shd w:val="clear" w:color="auto" w:fill="FFFFFF"/>
            <w:vAlign w:val="center"/>
          </w:tcPr>
          <w:p w14:paraId="6628054A" w14:textId="582721EF" w:rsidR="00A90C8C" w:rsidRPr="0046108E" w:rsidRDefault="002B5E6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5.</w:t>
            </w:r>
          </w:p>
        </w:tc>
        <w:tc>
          <w:tcPr>
            <w:tcW w:w="6804" w:type="dxa"/>
            <w:shd w:val="clear" w:color="auto" w:fill="FFFFFF"/>
            <w:vAlign w:val="center"/>
          </w:tcPr>
          <w:p w14:paraId="285FCBC4" w14:textId="7FE960A1"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La pct. 1.2.3.5.10 este menționat certificatul fitosanitar, astfel se recomandă de prevăzut Legea, care prevede acest act permisiv. Totodată, la pct. pct. 1.2.3.5.13, 1.2.3.11, 1.2.3.14, anexa nr. 21 (pct. 6.2), anexa nr. 22 (pct.6.2) este menționat pașaport fitosanitar. În acest context, atragem atenție că un act permisiv poate fi aplicat doar după includerea sa în Nomenclatorul actelor permisive, potrivit art. 4 alin. (3) din Legea nr. 160/2011 privind reglementarea prin autorizare a activității de întreprinzător.</w:t>
            </w:r>
          </w:p>
        </w:tc>
        <w:tc>
          <w:tcPr>
            <w:tcW w:w="3123" w:type="dxa"/>
            <w:shd w:val="clear" w:color="auto" w:fill="FFFFFF"/>
            <w:vAlign w:val="center"/>
          </w:tcPr>
          <w:p w14:paraId="30B59B25" w14:textId="77777777" w:rsidR="00A90C8C" w:rsidRPr="0046108E" w:rsidRDefault="007E28A4"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08C94387" w14:textId="3AB6F324" w:rsidR="00736C5A" w:rsidRPr="0046108E" w:rsidRDefault="00736C5A"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Referitor la certificatul fitosanitar și pașaportul fitosanitar, au fost </w:t>
            </w:r>
            <w:r w:rsidR="005106E0" w:rsidRPr="0046108E">
              <w:rPr>
                <w:rFonts w:ascii="Times New Roman" w:hAnsi="Times New Roman"/>
                <w:sz w:val="24"/>
                <w:szCs w:val="24"/>
                <w:lang w:val="ro-MD"/>
              </w:rPr>
              <w:t>făcute</w:t>
            </w:r>
            <w:r w:rsidRPr="0046108E">
              <w:rPr>
                <w:rFonts w:ascii="Times New Roman" w:hAnsi="Times New Roman"/>
                <w:sz w:val="24"/>
                <w:szCs w:val="24"/>
                <w:lang w:val="ro-MD"/>
              </w:rPr>
              <w:t xml:space="preserve"> referințe la Legea nr. 422/2023. </w:t>
            </w:r>
          </w:p>
          <w:p w14:paraId="5D9D98B4" w14:textId="77777777" w:rsidR="00C248BE" w:rsidRPr="0046108E" w:rsidRDefault="00C248BE" w:rsidP="00845051">
            <w:pPr>
              <w:shd w:val="clear" w:color="auto" w:fill="FFFFFF"/>
              <w:spacing w:after="0" w:line="240" w:lineRule="auto"/>
              <w:ind w:right="110" w:firstLine="142"/>
              <w:contextualSpacing/>
              <w:rPr>
                <w:rFonts w:ascii="Times New Roman" w:hAnsi="Times New Roman"/>
                <w:bCs/>
                <w:sz w:val="24"/>
                <w:szCs w:val="24"/>
                <w:lang w:val="ro-MD" w:eastAsia="en-US"/>
              </w:rPr>
            </w:pPr>
            <w:r w:rsidRPr="0046108E">
              <w:rPr>
                <w:rFonts w:ascii="Times New Roman" w:hAnsi="Times New Roman"/>
                <w:sz w:val="24"/>
                <w:szCs w:val="24"/>
                <w:lang w:val="ro-MD"/>
              </w:rPr>
              <w:t>Totodată, la subpct. 2.3. din HG nr. 679/2024, noțiunea „</w:t>
            </w:r>
            <w:r w:rsidRPr="0046108E">
              <w:rPr>
                <w:rStyle w:val="Accentuat"/>
                <w:rFonts w:ascii="Times New Roman" w:hAnsi="Times New Roman"/>
                <w:sz w:val="24"/>
                <w:szCs w:val="24"/>
                <w:shd w:val="clear" w:color="auto" w:fill="FFFFFF"/>
                <w:lang w:val="en-US"/>
              </w:rPr>
              <w:t>declarație oficială</w:t>
            </w:r>
            <w:r w:rsidRPr="0046108E">
              <w:rPr>
                <w:rFonts w:ascii="Times New Roman" w:hAnsi="Times New Roman"/>
                <w:sz w:val="24"/>
                <w:szCs w:val="24"/>
                <w:shd w:val="clear" w:color="auto" w:fill="FFFFFF"/>
                <w:lang w:val="en-US"/>
              </w:rPr>
              <w:t>” specifică despre certificatul fitosanitar, astfel cum este prevăzut la art.71; și pașaportul fitosanitar, astfel cum este prevăzut la art.78 din Legea nr. 422/2023 privind măsurile de protecție împotriva organismelor dăunătoare plantelor.</w:t>
            </w:r>
            <w:r w:rsidRPr="0046108E">
              <w:rPr>
                <w:rFonts w:ascii="Times New Roman" w:hAnsi="Times New Roman"/>
                <w:bCs/>
                <w:sz w:val="24"/>
                <w:szCs w:val="24"/>
                <w:lang w:val="ro-MD" w:eastAsia="en-US"/>
              </w:rPr>
              <w:t xml:space="preserve"> </w:t>
            </w:r>
          </w:p>
          <w:p w14:paraId="7E18D68C" w14:textId="6FB935C3" w:rsidR="00C248BE" w:rsidRPr="0046108E" w:rsidRDefault="00C248BE"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bCs/>
                <w:sz w:val="24"/>
                <w:szCs w:val="24"/>
                <w:lang w:val="ro-MD" w:eastAsia="en-US"/>
              </w:rPr>
              <w:t>Subsecvent, în conformitate cu a</w:t>
            </w:r>
            <w:r w:rsidRPr="0046108E">
              <w:rPr>
                <w:rFonts w:ascii="Times New Roman" w:hAnsi="Times New Roman"/>
                <w:bCs/>
                <w:sz w:val="24"/>
                <w:szCs w:val="24"/>
                <w:lang w:val="en-US" w:eastAsia="en-US"/>
              </w:rPr>
              <w:t>rticolul 78 din aceeași lege, „</w:t>
            </w:r>
            <w:r w:rsidRPr="0046108E">
              <w:rPr>
                <w:rFonts w:ascii="Times New Roman" w:hAnsi="Times New Roman"/>
                <w:sz w:val="24"/>
                <w:szCs w:val="24"/>
                <w:lang w:val="en-US" w:eastAsia="en-US"/>
              </w:rPr>
              <w:t>Un pașaport fitosanitar reprezintă o etichetă oficială pentru circulația plantelor, a produselor vegetale și a altor obiecte pe teritoriul Republicii Moldova” și nu constituie un act permisiv, motiv pentru care nu este inclus în Legea nr. 160/2011.</w:t>
            </w:r>
          </w:p>
        </w:tc>
      </w:tr>
      <w:tr w:rsidR="000A4B3B" w:rsidRPr="00753414" w14:paraId="1C3C4CE2" w14:textId="77777777" w:rsidTr="00BF2676">
        <w:trPr>
          <w:trHeight w:val="567"/>
        </w:trPr>
        <w:tc>
          <w:tcPr>
            <w:tcW w:w="3397" w:type="dxa"/>
            <w:vMerge/>
            <w:shd w:val="clear" w:color="auto" w:fill="FFFFFF"/>
            <w:vAlign w:val="center"/>
          </w:tcPr>
          <w:p w14:paraId="3AA875E4" w14:textId="420DAA51"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shd w:val="clear" w:color="auto" w:fill="FFFFFF"/>
            <w:vAlign w:val="center"/>
          </w:tcPr>
          <w:p w14:paraId="6BBF9074" w14:textId="704DAFFA" w:rsidR="00A90C8C" w:rsidRPr="0046108E" w:rsidRDefault="002B5E6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6.</w:t>
            </w:r>
          </w:p>
        </w:tc>
        <w:tc>
          <w:tcPr>
            <w:tcW w:w="6804" w:type="dxa"/>
            <w:shd w:val="clear" w:color="auto" w:fill="FFFFFF"/>
            <w:vAlign w:val="center"/>
          </w:tcPr>
          <w:p w14:paraId="2F15B02C" w14:textId="361409BD"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ro-MD"/>
              </w:rPr>
              <w:t xml:space="preserve">Cu referire la nota de fundamentare anexată la proiectului hotărîrii Guvernului, atenționăm că în compartimentul 4.3 este </w:t>
            </w:r>
            <w:r w:rsidRPr="0046108E">
              <w:rPr>
                <w:rFonts w:ascii="Times New Roman" w:hAnsi="Times New Roman"/>
                <w:sz w:val="24"/>
                <w:szCs w:val="24"/>
                <w:lang w:val="ro-MD"/>
              </w:rPr>
              <w:lastRenderedPageBreak/>
              <w:t>prevăzut că proiectul nu presupune careva costuri de conformare din partea operatorilor economici, totuși la compartimentul 4.2 este prevăzut că „Operatorii care practică activități de import/export a mărfurilor de origine vegetală trebuie să fie conștienți despre obligativitatea respectării cerințelor fitosanitare, cerințe care sunt impuse la nivel european și internațional, întru neadmiterea introducerii și răspândirii organismelor dăunătoare pe teritoriul țării”. În acest, context se recomandă prezentarea informației referitor la costurile care vor fi suportate de către operatori economici pentru respectarea cerințelor fitosanitare. Totodată, menționăm că impactul asupra mediului privat a fost descris insuficient. Astfel, se recomandă de a completa compartimentul „impactul asupra sectorului privat”, după grupuri relevante, precum genuri de activități economice, mărimea afacerii, amplasamentul regional și alte caracteristici, impacturile asupra IMMurilor, prin care se determină pe cât de disproporționat ar putea fi afectate diferite tipuri de IMM-uri, inclusiv în comparație cu întreprinderile mari, impacturile asupra concurenței sau să fie explicat motivul de ce nu a fost analizat acest impact.</w:t>
            </w:r>
          </w:p>
        </w:tc>
        <w:tc>
          <w:tcPr>
            <w:tcW w:w="3123" w:type="dxa"/>
            <w:shd w:val="clear" w:color="auto" w:fill="FFFFFF"/>
            <w:vAlign w:val="center"/>
          </w:tcPr>
          <w:p w14:paraId="3713B016" w14:textId="77777777" w:rsidR="00977E07" w:rsidRPr="0046108E" w:rsidRDefault="00977E07" w:rsidP="00845051">
            <w:pPr>
              <w:pStyle w:val="Listparagraf"/>
              <w:tabs>
                <w:tab w:val="left" w:pos="426"/>
              </w:tabs>
              <w:spacing w:after="0" w:line="240" w:lineRule="auto"/>
              <w:ind w:left="0" w:right="110" w:firstLine="142"/>
              <w:rPr>
                <w:b/>
                <w:sz w:val="24"/>
                <w:szCs w:val="24"/>
                <w:lang w:val="ro-MD"/>
              </w:rPr>
            </w:pPr>
            <w:r w:rsidRPr="0046108E">
              <w:rPr>
                <w:b/>
                <w:sz w:val="24"/>
                <w:szCs w:val="24"/>
                <w:lang w:val="ro-MD"/>
              </w:rPr>
              <w:lastRenderedPageBreak/>
              <w:t>Se acceptă parțial.</w:t>
            </w:r>
          </w:p>
          <w:p w14:paraId="6E144F8A" w14:textId="095710E4" w:rsidR="00A90C8C" w:rsidRPr="0046108E" w:rsidRDefault="00977E07"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lastRenderedPageBreak/>
              <w:t>Careva costuri exacte care pot fi suportate de către agenții economici pentru respectarea cerințelor fitosanitare nu sunt reale de a fi prezentate, deoarece, acestea pot fi alocate pentru combaterea integrată, care se bazează pe elemente, precum: evidența dăunătorilor; dinamica dezvoltării lor; prevederea sau prognoza evoluţiei lor; avertizarea stropirilor biologice sau chimice la timp și eficiente, condițiile climaterice și stabilirea corectă a pragului economic de dăunare, acestea fiind diferite de la o plantă la alta și de la un an la altul.</w:t>
            </w:r>
          </w:p>
        </w:tc>
      </w:tr>
      <w:tr w:rsidR="000A4B3B" w:rsidRPr="0046108E" w14:paraId="433928A4" w14:textId="77777777" w:rsidTr="00BF2676">
        <w:trPr>
          <w:trHeight w:val="567"/>
        </w:trPr>
        <w:tc>
          <w:tcPr>
            <w:tcW w:w="3397" w:type="dxa"/>
            <w:vMerge/>
            <w:shd w:val="clear" w:color="auto" w:fill="FFFFFF"/>
            <w:vAlign w:val="center"/>
          </w:tcPr>
          <w:p w14:paraId="7204FC15" w14:textId="77777777" w:rsidR="00A90C8C" w:rsidRPr="0046108E" w:rsidRDefault="00A90C8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shd w:val="clear" w:color="auto" w:fill="FFFFFF"/>
            <w:vAlign w:val="center"/>
          </w:tcPr>
          <w:p w14:paraId="4447A6BE" w14:textId="6F650812" w:rsidR="00A90C8C" w:rsidRPr="0046108E" w:rsidRDefault="002B5E6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7.</w:t>
            </w:r>
          </w:p>
        </w:tc>
        <w:tc>
          <w:tcPr>
            <w:tcW w:w="6804" w:type="dxa"/>
            <w:shd w:val="clear" w:color="auto" w:fill="FFFFFF"/>
            <w:vAlign w:val="center"/>
          </w:tcPr>
          <w:p w14:paraId="0BD49D45" w14:textId="2A8AC6DC" w:rsidR="00A90C8C"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Suplimentar, se recomandă revizuirea proiectului de hotărâre supus avizării prin prisma regulilor de tehnică legislative, care rezultă din Legea nr. 100/2017 cu privire la actele normative.</w:t>
            </w:r>
          </w:p>
        </w:tc>
        <w:tc>
          <w:tcPr>
            <w:tcW w:w="3123" w:type="dxa"/>
            <w:shd w:val="clear" w:color="auto" w:fill="FFFFFF"/>
            <w:vAlign w:val="center"/>
          </w:tcPr>
          <w:p w14:paraId="76A21629" w14:textId="1AAFB680" w:rsidR="00A90C8C" w:rsidRPr="0046108E" w:rsidRDefault="00653EB4"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0A4B3B" w:rsidRPr="0046108E" w14:paraId="0BEC4792" w14:textId="77777777" w:rsidTr="00BF2676">
        <w:trPr>
          <w:trHeight w:val="567"/>
        </w:trPr>
        <w:tc>
          <w:tcPr>
            <w:tcW w:w="3397" w:type="dxa"/>
            <w:shd w:val="clear" w:color="auto" w:fill="FFFFFF"/>
            <w:vAlign w:val="center"/>
          </w:tcPr>
          <w:p w14:paraId="4AB0DBBA" w14:textId="6DAABB04" w:rsidR="00727355" w:rsidRPr="0046108E" w:rsidRDefault="00727355"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Aviz Ministerul </w:t>
            </w:r>
            <w:r w:rsidR="000152EE" w:rsidRPr="0046108E">
              <w:rPr>
                <w:rFonts w:ascii="Times New Roman" w:hAnsi="Times New Roman"/>
                <w:sz w:val="24"/>
                <w:szCs w:val="24"/>
                <w:lang w:val="ro-MD"/>
              </w:rPr>
              <w:t>Afacerilor Externe</w:t>
            </w:r>
            <w:r w:rsidRPr="0046108E">
              <w:rPr>
                <w:rFonts w:ascii="Times New Roman" w:hAnsi="Times New Roman"/>
                <w:sz w:val="24"/>
                <w:szCs w:val="24"/>
                <w:lang w:val="ro-MD"/>
              </w:rPr>
              <w:t xml:space="preserve">, scrisoarea nr. </w:t>
            </w:r>
            <w:r w:rsidR="000152EE" w:rsidRPr="0046108E">
              <w:rPr>
                <w:rFonts w:ascii="Times New Roman" w:hAnsi="Times New Roman"/>
                <w:sz w:val="24"/>
                <w:szCs w:val="24"/>
                <w:lang w:val="ro-MD"/>
              </w:rPr>
              <w:t>DI/3/041-</w:t>
            </w:r>
            <w:r w:rsidR="00371B62" w:rsidRPr="0046108E">
              <w:rPr>
                <w:rFonts w:ascii="Times New Roman" w:hAnsi="Times New Roman"/>
                <w:sz w:val="24"/>
                <w:szCs w:val="24"/>
                <w:lang w:val="ro-MD"/>
              </w:rPr>
              <w:t>10980</w:t>
            </w:r>
            <w:r w:rsidRPr="0046108E">
              <w:rPr>
                <w:rFonts w:ascii="Times New Roman" w:hAnsi="Times New Roman"/>
                <w:sz w:val="24"/>
                <w:szCs w:val="24"/>
                <w:lang w:val="ro-MD"/>
              </w:rPr>
              <w:t xml:space="preserve"> din 2</w:t>
            </w:r>
            <w:r w:rsidR="00371B62" w:rsidRPr="0046108E">
              <w:rPr>
                <w:rFonts w:ascii="Times New Roman" w:hAnsi="Times New Roman"/>
                <w:sz w:val="24"/>
                <w:szCs w:val="24"/>
                <w:lang w:val="ro-MD"/>
              </w:rPr>
              <w:t>7</w:t>
            </w:r>
            <w:r w:rsidRPr="0046108E">
              <w:rPr>
                <w:rFonts w:ascii="Times New Roman" w:hAnsi="Times New Roman"/>
                <w:sz w:val="24"/>
                <w:szCs w:val="24"/>
                <w:lang w:val="ro-MD"/>
              </w:rPr>
              <w:t>.</w:t>
            </w:r>
            <w:r w:rsidR="00371B62" w:rsidRPr="0046108E">
              <w:rPr>
                <w:rFonts w:ascii="Times New Roman" w:hAnsi="Times New Roman"/>
                <w:sz w:val="24"/>
                <w:szCs w:val="24"/>
                <w:lang w:val="ro-MD"/>
              </w:rPr>
              <w:t>10</w:t>
            </w:r>
            <w:r w:rsidRPr="0046108E">
              <w:rPr>
                <w:rFonts w:ascii="Times New Roman" w:hAnsi="Times New Roman"/>
                <w:sz w:val="24"/>
                <w:szCs w:val="24"/>
                <w:lang w:val="ro-MD"/>
              </w:rPr>
              <w:t>.202</w:t>
            </w:r>
            <w:r w:rsidR="000152EE" w:rsidRPr="0046108E">
              <w:rPr>
                <w:rFonts w:ascii="Times New Roman" w:hAnsi="Times New Roman"/>
                <w:sz w:val="24"/>
                <w:szCs w:val="24"/>
                <w:lang w:val="ro-MD"/>
              </w:rPr>
              <w:t>5</w:t>
            </w:r>
          </w:p>
        </w:tc>
        <w:tc>
          <w:tcPr>
            <w:tcW w:w="1271" w:type="dxa"/>
            <w:shd w:val="clear" w:color="auto" w:fill="FFFFFF"/>
            <w:vAlign w:val="center"/>
          </w:tcPr>
          <w:p w14:paraId="7DEA4628" w14:textId="0D1ABAC9" w:rsidR="00727355" w:rsidRPr="0046108E" w:rsidRDefault="00092832"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8</w:t>
            </w:r>
            <w:r w:rsidR="00727355" w:rsidRPr="0046108E">
              <w:rPr>
                <w:rFonts w:ascii="Times New Roman" w:hAnsi="Times New Roman"/>
                <w:sz w:val="24"/>
                <w:szCs w:val="24"/>
                <w:lang w:val="ro-MD"/>
              </w:rPr>
              <w:t>.</w:t>
            </w:r>
          </w:p>
        </w:tc>
        <w:tc>
          <w:tcPr>
            <w:tcW w:w="6804" w:type="dxa"/>
            <w:shd w:val="clear" w:color="auto" w:fill="FFFFFF"/>
            <w:vAlign w:val="center"/>
          </w:tcPr>
          <w:p w14:paraId="1F9279B3" w14:textId="0132781B" w:rsidR="00727355" w:rsidRPr="0046108E" w:rsidRDefault="009F219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Lipsă de obiecții și propuneri.</w:t>
            </w:r>
          </w:p>
        </w:tc>
        <w:tc>
          <w:tcPr>
            <w:tcW w:w="3123" w:type="dxa"/>
            <w:shd w:val="clear" w:color="auto" w:fill="FFFFFF"/>
            <w:vAlign w:val="center"/>
          </w:tcPr>
          <w:p w14:paraId="51538398" w14:textId="0E9A0604" w:rsidR="00727355" w:rsidRPr="0046108E" w:rsidRDefault="00727355"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A4B3B" w:rsidRPr="0046108E" w14:paraId="6D87B86A" w14:textId="77777777" w:rsidTr="00BF2676">
        <w:trPr>
          <w:trHeight w:val="567"/>
        </w:trPr>
        <w:tc>
          <w:tcPr>
            <w:tcW w:w="3397" w:type="dxa"/>
            <w:shd w:val="clear" w:color="auto" w:fill="FFFFFF"/>
            <w:vAlign w:val="center"/>
          </w:tcPr>
          <w:p w14:paraId="2D33CA2D" w14:textId="7F0324DF" w:rsidR="007B22D6" w:rsidRPr="0046108E" w:rsidRDefault="007B22D6"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Aviz Ministerul Finanțelor, scrisoarea nr. </w:t>
            </w:r>
            <w:r w:rsidR="00371B62" w:rsidRPr="0046108E">
              <w:rPr>
                <w:rFonts w:ascii="Times New Roman" w:hAnsi="Times New Roman"/>
                <w:sz w:val="24"/>
                <w:szCs w:val="24"/>
                <w:lang w:val="ro-MD"/>
              </w:rPr>
              <w:t>09/2-03/506/1523</w:t>
            </w:r>
            <w:r w:rsidRPr="0046108E">
              <w:rPr>
                <w:rFonts w:ascii="Times New Roman" w:hAnsi="Times New Roman"/>
                <w:sz w:val="24"/>
                <w:szCs w:val="24"/>
                <w:lang w:val="ro-MD"/>
              </w:rPr>
              <w:t xml:space="preserve"> din </w:t>
            </w:r>
            <w:r w:rsidR="00371B62" w:rsidRPr="0046108E">
              <w:rPr>
                <w:rFonts w:ascii="Times New Roman" w:hAnsi="Times New Roman"/>
                <w:sz w:val="24"/>
                <w:szCs w:val="24"/>
                <w:lang w:val="ro-MD"/>
              </w:rPr>
              <w:t>30.10</w:t>
            </w:r>
            <w:r w:rsidRPr="0046108E">
              <w:rPr>
                <w:rFonts w:ascii="Times New Roman" w:hAnsi="Times New Roman"/>
                <w:sz w:val="24"/>
                <w:szCs w:val="24"/>
                <w:lang w:val="ro-MD"/>
              </w:rPr>
              <w:t>.2025</w:t>
            </w:r>
          </w:p>
        </w:tc>
        <w:tc>
          <w:tcPr>
            <w:tcW w:w="1271" w:type="dxa"/>
            <w:shd w:val="clear" w:color="auto" w:fill="FFFFFF"/>
            <w:vAlign w:val="center"/>
          </w:tcPr>
          <w:p w14:paraId="36DFEC1A" w14:textId="557C7342" w:rsidR="007B22D6" w:rsidRPr="0046108E" w:rsidRDefault="00092832"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9.</w:t>
            </w:r>
          </w:p>
        </w:tc>
        <w:tc>
          <w:tcPr>
            <w:tcW w:w="6804" w:type="dxa"/>
            <w:shd w:val="clear" w:color="auto" w:fill="FFFFFF"/>
            <w:vAlign w:val="center"/>
          </w:tcPr>
          <w:p w14:paraId="47716D6C" w14:textId="026A0FF9" w:rsidR="007B22D6" w:rsidRPr="0046108E" w:rsidRDefault="009F219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Lipsă de obiecții și propuneri.</w:t>
            </w:r>
          </w:p>
        </w:tc>
        <w:tc>
          <w:tcPr>
            <w:tcW w:w="3123" w:type="dxa"/>
            <w:shd w:val="clear" w:color="auto" w:fill="FFFFFF"/>
            <w:vAlign w:val="center"/>
          </w:tcPr>
          <w:p w14:paraId="657FA91D" w14:textId="25E412BC" w:rsidR="007B22D6" w:rsidRPr="0046108E" w:rsidRDefault="009F219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A4B3B" w:rsidRPr="0046108E" w14:paraId="5FB26AAC" w14:textId="77777777" w:rsidTr="00BF2676">
        <w:trPr>
          <w:trHeight w:val="817"/>
        </w:trPr>
        <w:tc>
          <w:tcPr>
            <w:tcW w:w="3397" w:type="dxa"/>
            <w:vMerge w:val="restart"/>
            <w:shd w:val="clear" w:color="auto" w:fill="FFFFFF"/>
            <w:vAlign w:val="center"/>
          </w:tcPr>
          <w:p w14:paraId="37D061D1" w14:textId="3B0A9E2F" w:rsidR="00DA67B4" w:rsidRPr="0046108E" w:rsidRDefault="00DA67B4"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Aviz Agenția Națională pentru Siguranța Alimentelor, scrisoarea nr. </w:t>
            </w:r>
            <w:r w:rsidR="00371B62" w:rsidRPr="0046108E">
              <w:rPr>
                <w:rFonts w:ascii="Times New Roman" w:hAnsi="Times New Roman"/>
                <w:sz w:val="24"/>
                <w:szCs w:val="24"/>
                <w:lang w:val="ro-MD"/>
              </w:rPr>
              <w:t>1</w:t>
            </w:r>
            <w:r w:rsidRPr="0046108E">
              <w:rPr>
                <w:rFonts w:ascii="Times New Roman" w:hAnsi="Times New Roman"/>
                <w:sz w:val="24"/>
                <w:szCs w:val="24"/>
                <w:lang w:val="ro-MD"/>
              </w:rPr>
              <w:t>1-</w:t>
            </w:r>
            <w:r w:rsidR="00371B62" w:rsidRPr="0046108E">
              <w:rPr>
                <w:rFonts w:ascii="Times New Roman" w:hAnsi="Times New Roman"/>
                <w:sz w:val="24"/>
                <w:szCs w:val="24"/>
                <w:lang w:val="ro-MD"/>
              </w:rPr>
              <w:t>5877</w:t>
            </w:r>
            <w:r w:rsidRPr="0046108E">
              <w:rPr>
                <w:rFonts w:ascii="Times New Roman" w:hAnsi="Times New Roman"/>
                <w:sz w:val="24"/>
                <w:szCs w:val="24"/>
                <w:lang w:val="ro-MD"/>
              </w:rPr>
              <w:t xml:space="preserve"> din </w:t>
            </w:r>
            <w:r w:rsidR="00371B62" w:rsidRPr="0046108E">
              <w:rPr>
                <w:rFonts w:ascii="Times New Roman" w:hAnsi="Times New Roman"/>
                <w:sz w:val="24"/>
                <w:szCs w:val="24"/>
                <w:lang w:val="ro-MD"/>
              </w:rPr>
              <w:t>3</w:t>
            </w:r>
            <w:r w:rsidRPr="0046108E">
              <w:rPr>
                <w:rFonts w:ascii="Times New Roman" w:hAnsi="Times New Roman"/>
                <w:sz w:val="24"/>
                <w:szCs w:val="24"/>
                <w:lang w:val="ro-MD"/>
              </w:rPr>
              <w:t>0.1</w:t>
            </w:r>
            <w:r w:rsidR="00371B62" w:rsidRPr="0046108E">
              <w:rPr>
                <w:rFonts w:ascii="Times New Roman" w:hAnsi="Times New Roman"/>
                <w:sz w:val="24"/>
                <w:szCs w:val="24"/>
                <w:lang w:val="ro-MD"/>
              </w:rPr>
              <w:t>0</w:t>
            </w:r>
            <w:r w:rsidRPr="0046108E">
              <w:rPr>
                <w:rFonts w:ascii="Times New Roman" w:hAnsi="Times New Roman"/>
                <w:sz w:val="24"/>
                <w:szCs w:val="24"/>
                <w:lang w:val="ro-MD"/>
              </w:rPr>
              <w:t>.202</w:t>
            </w:r>
            <w:r w:rsidR="00371B62" w:rsidRPr="0046108E">
              <w:rPr>
                <w:rFonts w:ascii="Times New Roman" w:hAnsi="Times New Roman"/>
                <w:sz w:val="24"/>
                <w:szCs w:val="24"/>
                <w:lang w:val="ro-MD"/>
              </w:rPr>
              <w:t>5</w:t>
            </w:r>
          </w:p>
        </w:tc>
        <w:tc>
          <w:tcPr>
            <w:tcW w:w="1271" w:type="dxa"/>
            <w:vMerge w:val="restart"/>
            <w:shd w:val="clear" w:color="auto" w:fill="FFFFFF"/>
            <w:vAlign w:val="center"/>
          </w:tcPr>
          <w:p w14:paraId="504569F7" w14:textId="21BF102E" w:rsidR="00DA67B4" w:rsidRPr="0046108E" w:rsidRDefault="00092832"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10</w:t>
            </w:r>
            <w:r w:rsidR="00DA67B4" w:rsidRPr="0046108E">
              <w:rPr>
                <w:rFonts w:ascii="Times New Roman" w:hAnsi="Times New Roman"/>
                <w:sz w:val="24"/>
                <w:szCs w:val="24"/>
                <w:lang w:val="ro-MD"/>
              </w:rPr>
              <w:t xml:space="preserve">. </w:t>
            </w:r>
          </w:p>
        </w:tc>
        <w:tc>
          <w:tcPr>
            <w:tcW w:w="6804" w:type="dxa"/>
            <w:shd w:val="clear" w:color="auto" w:fill="FFFFFF"/>
            <w:vAlign w:val="center"/>
          </w:tcPr>
          <w:p w14:paraId="11FEF6CF" w14:textId="171B9FFF" w:rsidR="00DA67B4"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 xml:space="preserve">Prin prezenta, ca urmare a examinării scrisorii Cancelariei de Stat nr.18-69 10445 din 13.10.2025 cu privire la avizarea proiectului de hotărâre privind modificarea Hotărârii Guvernului nr. 679/2024 pentru aprobarea Regulamentului privind aplicarea măsurilor de </w:t>
            </w:r>
            <w:r w:rsidRPr="0046108E">
              <w:rPr>
                <w:rFonts w:ascii="Times New Roman" w:hAnsi="Times New Roman"/>
                <w:sz w:val="24"/>
                <w:szCs w:val="24"/>
                <w:lang w:val="ro-MD"/>
              </w:rPr>
              <w:lastRenderedPageBreak/>
              <w:t>protecție împotriva organismelor dăunătoare plantelor (număr unic 790/MAIA/2025), în limita competențelor funcționale, Agenția Națională pentru Siguranța Alimentelor, comunică ordinea argumentelor ce succed.</w:t>
            </w:r>
          </w:p>
        </w:tc>
        <w:tc>
          <w:tcPr>
            <w:tcW w:w="3123" w:type="dxa"/>
            <w:shd w:val="clear" w:color="auto" w:fill="FFFFFF"/>
            <w:vAlign w:val="center"/>
          </w:tcPr>
          <w:p w14:paraId="7D4F2103" w14:textId="39B7ABD8" w:rsidR="00DA67B4" w:rsidRPr="0046108E" w:rsidRDefault="0009719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w:t>
            </w:r>
          </w:p>
        </w:tc>
      </w:tr>
      <w:tr w:rsidR="000A4B3B" w:rsidRPr="0046108E" w14:paraId="30B7DFE1" w14:textId="77777777" w:rsidTr="00BF2676">
        <w:trPr>
          <w:trHeight w:val="814"/>
        </w:trPr>
        <w:tc>
          <w:tcPr>
            <w:tcW w:w="3397" w:type="dxa"/>
            <w:vMerge/>
            <w:shd w:val="clear" w:color="auto" w:fill="FFFFFF"/>
            <w:vAlign w:val="center"/>
          </w:tcPr>
          <w:p w14:paraId="5A986942" w14:textId="77777777" w:rsidR="00DA67B4" w:rsidRPr="0046108E" w:rsidRDefault="00DA67B4"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Merge/>
            <w:shd w:val="clear" w:color="auto" w:fill="FFFFFF"/>
            <w:vAlign w:val="center"/>
          </w:tcPr>
          <w:p w14:paraId="240AE810" w14:textId="77777777" w:rsidR="00DA67B4" w:rsidRPr="0046108E" w:rsidRDefault="00DA67B4"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6804" w:type="dxa"/>
            <w:shd w:val="clear" w:color="auto" w:fill="FFFFFF"/>
            <w:vAlign w:val="center"/>
          </w:tcPr>
          <w:p w14:paraId="5175748B" w14:textId="495C8A00" w:rsidR="00DA67B4"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1. Conform Regulamentului Uniunii Europene nr. 2072/2019, Anexa nr. 11 Partea C ,,Lista plantelor, precum și a țărilor terțe de origine sau de expediere corespunzătoare, pentru a căror introducere pe teritoriul Uniunii nu este necesar un certificat fitosanitar’’, stabilește că toate țările care nu fac parte din Uniune, prezintă certificate fitosanitare, însă conform Secțiunii 2 și pct. 2 din Anexa nr. 9 la Hotărârea de Guvern nr. 679/2024 […], se specifică că, Republica Moldova, nu va solicita certificat fitosanitar de la țările terțe, decât din partea Uniunii Europene. În acest sens, se propune ca în secțiune a 3-a din Anexa nr 9 colonița 3 (Țara de origine sau de expediere), să fie actualizat conform Regulamentul UE.</w:t>
            </w:r>
          </w:p>
        </w:tc>
        <w:tc>
          <w:tcPr>
            <w:tcW w:w="3123" w:type="dxa"/>
            <w:shd w:val="clear" w:color="auto" w:fill="FFFFFF"/>
            <w:vAlign w:val="center"/>
          </w:tcPr>
          <w:p w14:paraId="2204E452" w14:textId="37E65461" w:rsidR="00323519" w:rsidRPr="0046108E" w:rsidRDefault="00BF2676"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0A4B3B" w:rsidRPr="00753414" w14:paraId="1B5397B7" w14:textId="77777777" w:rsidTr="00BF2676">
        <w:trPr>
          <w:trHeight w:val="814"/>
        </w:trPr>
        <w:tc>
          <w:tcPr>
            <w:tcW w:w="3397" w:type="dxa"/>
            <w:vMerge/>
            <w:shd w:val="clear" w:color="auto" w:fill="FFFFFF"/>
            <w:vAlign w:val="center"/>
          </w:tcPr>
          <w:p w14:paraId="19147629" w14:textId="77777777" w:rsidR="00DA67B4" w:rsidRPr="0046108E" w:rsidRDefault="00DA67B4"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Merge/>
            <w:shd w:val="clear" w:color="auto" w:fill="FFFFFF"/>
            <w:vAlign w:val="center"/>
          </w:tcPr>
          <w:p w14:paraId="4105B7F2" w14:textId="77777777" w:rsidR="00DA67B4" w:rsidRPr="0046108E" w:rsidRDefault="00DA67B4"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6804" w:type="dxa"/>
            <w:shd w:val="clear" w:color="auto" w:fill="FFFFFF"/>
            <w:vAlign w:val="center"/>
          </w:tcPr>
          <w:p w14:paraId="136E8979" w14:textId="57F95AE4" w:rsidR="00DA67B4" w:rsidRPr="0046108E" w:rsidRDefault="00A90C8C"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2. Totodată, se notează că, conform Regulamentului Uniunii Europene menționat supra, pentru importul materialului semincer, nu se solicită certificat fitosanitar, ceea ce contravine art.11 lit. (b) din Legea nr. 68/2013 despre semințe.</w:t>
            </w:r>
          </w:p>
        </w:tc>
        <w:tc>
          <w:tcPr>
            <w:tcW w:w="3123" w:type="dxa"/>
            <w:shd w:val="clear" w:color="auto" w:fill="FFFFFF"/>
            <w:vAlign w:val="center"/>
          </w:tcPr>
          <w:p w14:paraId="4307568F" w14:textId="77777777" w:rsidR="00BF2676" w:rsidRPr="0046108E" w:rsidRDefault="00BF2676"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 xml:space="preserve">Se acceptă. </w:t>
            </w:r>
          </w:p>
          <w:p w14:paraId="129C902C" w14:textId="0B908737" w:rsidR="00DA67B4" w:rsidRPr="0046108E" w:rsidRDefault="00BF2676"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Au fost înaintate propuneri de modificare a Legii nr. 68/2013.</w:t>
            </w:r>
          </w:p>
        </w:tc>
      </w:tr>
      <w:tr w:rsidR="000A4B3B" w:rsidRPr="00753414" w14:paraId="2FA8E4DC" w14:textId="77777777" w:rsidTr="00BF2676">
        <w:trPr>
          <w:trHeight w:val="567"/>
        </w:trPr>
        <w:tc>
          <w:tcPr>
            <w:tcW w:w="3397" w:type="dxa"/>
            <w:shd w:val="clear" w:color="auto" w:fill="FFFFFF"/>
            <w:vAlign w:val="center"/>
          </w:tcPr>
          <w:p w14:paraId="0C4D1A5D" w14:textId="68EDB12D" w:rsidR="003E0645" w:rsidRPr="0046108E" w:rsidRDefault="003E0645"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Declarația de compatibilitate, Centrul de Armonizare a Legislației, scrisoarea nr. 31/02-126-1</w:t>
            </w:r>
            <w:r w:rsidR="00371B62" w:rsidRPr="0046108E">
              <w:rPr>
                <w:rFonts w:ascii="Times New Roman" w:hAnsi="Times New Roman"/>
                <w:sz w:val="24"/>
                <w:szCs w:val="24"/>
                <w:lang w:val="ro-MD"/>
              </w:rPr>
              <w:t>1056 din 0</w:t>
            </w:r>
            <w:r w:rsidRPr="0046108E">
              <w:rPr>
                <w:rFonts w:ascii="Times New Roman" w:hAnsi="Times New Roman"/>
                <w:sz w:val="24"/>
                <w:szCs w:val="24"/>
                <w:lang w:val="ro-MD"/>
              </w:rPr>
              <w:t>5.11.202</w:t>
            </w:r>
            <w:r w:rsidR="00371B62" w:rsidRPr="0046108E">
              <w:rPr>
                <w:rFonts w:ascii="Times New Roman" w:hAnsi="Times New Roman"/>
                <w:sz w:val="24"/>
                <w:szCs w:val="24"/>
                <w:lang w:val="ro-MD"/>
              </w:rPr>
              <w:t>5</w:t>
            </w:r>
          </w:p>
        </w:tc>
        <w:tc>
          <w:tcPr>
            <w:tcW w:w="1271" w:type="dxa"/>
            <w:shd w:val="clear" w:color="auto" w:fill="FFFFFF"/>
            <w:vAlign w:val="center"/>
          </w:tcPr>
          <w:p w14:paraId="04F92992" w14:textId="243470E7" w:rsidR="003E0645" w:rsidRPr="0046108E" w:rsidRDefault="00092832"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11</w:t>
            </w:r>
            <w:r w:rsidR="003E0645" w:rsidRPr="0046108E">
              <w:rPr>
                <w:rFonts w:ascii="Times New Roman" w:hAnsi="Times New Roman"/>
                <w:sz w:val="24"/>
                <w:szCs w:val="24"/>
                <w:lang w:val="ro-MD"/>
              </w:rPr>
              <w:t>.</w:t>
            </w:r>
          </w:p>
        </w:tc>
        <w:tc>
          <w:tcPr>
            <w:tcW w:w="6804" w:type="dxa"/>
            <w:shd w:val="clear" w:color="auto" w:fill="FFFFFF"/>
            <w:vAlign w:val="center"/>
          </w:tcPr>
          <w:p w14:paraId="31FB61F4" w14:textId="77777777" w:rsidR="003835B9" w:rsidRPr="0046108E" w:rsidRDefault="003E0645"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DECLARAŢIE DE COMPATIBILITATE </w:t>
            </w:r>
          </w:p>
          <w:p w14:paraId="3366DAA6" w14:textId="77777777" w:rsidR="00A848EF"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Prezenta Declarație de compatibilitate a fost întocmită de Centrul de armonizare a legislației în baza Legii nr. 100/2017 cu privire la actele normative, a HG nr. 657/2009 pentru aprobarea Regulamentului privind organizarea și funcționarea, structurii și efectivului-limită ale Cancelariei de Stat și a HG nr. 1171/2018 cu privire la aprobarea Regulamentului privind armonizarea legislației Republicii Moldova cu legislația Uniunii Europene. </w:t>
            </w:r>
          </w:p>
          <w:p w14:paraId="0304AE62" w14:textId="77777777" w:rsidR="00A848EF"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Proiectul de hotărâre de Guvern de modificare a Hotărârii Guvernului nr. 679/2024 pentru aprobarea Regulamentului privind aplicarea măsurilor de protecție împotriva organismelor dăunătoare plantelor:</w:t>
            </w:r>
          </w:p>
          <w:p w14:paraId="379BE689" w14:textId="77777777" w:rsidR="00A848EF"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2025/1078 al Comisiei din 2 iunie 2025 de stabilire a unei derogări de la </w:t>
            </w:r>
            <w:r w:rsidRPr="0046108E">
              <w:rPr>
                <w:sz w:val="24"/>
                <w:szCs w:val="24"/>
                <w:lang w:val="ro-MD"/>
              </w:rPr>
              <w:lastRenderedPageBreak/>
              <w:t xml:space="preserve">Regulamentul de punere în aplicare (UE) 2019/2072 în ceea ce privește introducerea pe teritoriul Uniunii a butașilor fără rădăcină, destinați plantării de Calibrachoa spp., Petunia spp. și a hibrizilor lor din Guatemala, CELEX: 32025R1078, publicat în Jurnalul Oficial al Uniunii Europene seria L 2025/1078 din 3 iunie 2025; </w:t>
            </w:r>
          </w:p>
          <w:p w14:paraId="45DA711D" w14:textId="77777777" w:rsidR="00A848EF"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2020/1213 al Comisiei din 21 august 2020 privind măsurile fitosanitare pentru introducerea în Uniune a anumitor plante, produse vegetale și a altor obiecte care au fost eliminate din anexa la Regulamentul de punere în aplicare (UE) 2018/2019, CELEX: 32020R1213, publicat în Jurnalul Oficial al Uniunii Europene seria L 275 din 24 august 2020, așa cum a fost modificat ultima dată prin Regulamentul de punere în aplicare (UE) 2025/1949 al Comisiei din 29 septembrie 2025; </w:t>
            </w:r>
          </w:p>
          <w:p w14:paraId="695D2710" w14:textId="77777777" w:rsidR="00A848EF"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2023/1310 al Comisiei din 27 iunie 2023 de stabilire a unei derogări de la Regulamentul de punere în aplicare (UE) 2019/2072 în ceea ce privește introducerea în Uniune a plantelor cu creștere inhibată natural sau artificial destinate plantării de Chamaecyparis Spach, Juniperus L. și de anumite soiuri de Pinus L., originare din Republica Coreea, CELEX: 32023R1310, publicat în Jurnalul Oficial al Uniunii Europene seria L 162 din 28 iunie 2023; </w:t>
            </w:r>
          </w:p>
          <w:p w14:paraId="5105E024" w14:textId="77777777" w:rsidR="00A848EF"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2023/1572 al Comisiei din 25 iulie 2023 de stabilire a unei derogări de la Regulamentul de punere în aplicare (UE) 2019/2072 în ceea ce privește introducerea pe teritoriul Uniunii a tuberculilor de Solanum tuberosum L., alții decât cei destinați plantării, originari din anumite regiuni din Liban, CELEX: 32023R1572, publicat în Jurnalul Oficial al Uniunii Europene seria L 192 din 31 iulie 2023; </w:t>
            </w:r>
          </w:p>
          <w:p w14:paraId="5DAD6FEE"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2022/1941 al Comisiei din 13 octombrie 2022 privind interzicerea introducerii, circulației, deținerii, multiplicării sau eliberării anumitor organisme dăunătoare în temeiul articolului 30 alineatul (1) din Regulamentul (UE) 2016/2031 al Parlamentului European </w:t>
            </w:r>
            <w:r w:rsidRPr="0046108E">
              <w:rPr>
                <w:sz w:val="24"/>
                <w:szCs w:val="24"/>
                <w:lang w:val="ro-MD"/>
              </w:rPr>
              <w:lastRenderedPageBreak/>
              <w:t>și al Consiliului, CELEX: 32022R1941, publicat în Jurnalul Oficial al Uniunii Europene seria L 268 din 14 octombrie 2022, așa cum a fost modificat ultima dată prin Regulamentul de punere în aplicare (UE) 2025/356 al C</w:t>
            </w:r>
            <w:r w:rsidR="00B43476" w:rsidRPr="0046108E">
              <w:rPr>
                <w:sz w:val="24"/>
                <w:szCs w:val="24"/>
                <w:lang w:val="ro-MD"/>
              </w:rPr>
              <w:t xml:space="preserve">omisiei din 21 februarie 2025; </w:t>
            </w:r>
          </w:p>
          <w:p w14:paraId="1C85C793"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2018/2019 al Comisiei din 18 decembrie 2018 de stabilire a unei liste provizorii cu plante, produse vegetale sau alte obiecte cu risc ridicat, în sensul articolului 42 din Regulamentul (UE) 2016/2031, și a unei liste cu plante pentru care nu sunt necesare certificate fitosanitare în vederea introducerii în Uniune, în sensul articolului 73 din același regulament, CELEX: 32018R2019, publicat în Jurnalul Oficial al Uniunii Europene seria L 323 din 19 decembrie 2018, așa cum a fost modificat ultima dată prin Regulamentul de punere în aplicare (UE) 2025/1949 al Comisiei din 29 septembrie 2025; </w:t>
            </w:r>
          </w:p>
          <w:p w14:paraId="4271EA53"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parțial Regulamentul de punere în aplicare (UE) 2019/2072 al Comisiei din 28 noiembrie 2019 de stabilire a unor condiții uniforme pentru punerea în aplicare a Regulamentului (UE) 2016/2031 al Parlamentului European și al Consiliului în ceea ce privește măsurile de protecție împotriva organismelor dăunătoare plantelor, de abrogare a Regulamentului (CE) nr. 690/2008 al Comisiei și de modificare a Regulamentului de punere în aplicare (UE) 2018/2019 al Comisiei, CELEX: 32019R2072, publicat în Jurnalul Oficial al Uniunii Europene seria L 319 din 10 decembrie 2019, așa cum a fost modificat ultima dată prin Regulamentul de punere în aplicare (UE) 2025/1289 al Comisiei din 2 iulie 2025; </w:t>
            </w:r>
          </w:p>
          <w:p w14:paraId="3FB5A1E9" w14:textId="27373EA8"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2025/659 al Comisiei din 3 aprilie 2025 de stabilire a unei derogări de la Regulamentul de punere în aplicare (UE) 2019/2072 în ceea ce privește cerințele pentru introducerea pe teritoriul Uniunii de furnir din mai multe specii de Acer L. originar din Canada și de modificare a Regulamentului de punere în aplicare (UE) </w:t>
            </w:r>
            <w:r w:rsidRPr="0046108E">
              <w:rPr>
                <w:sz w:val="24"/>
                <w:szCs w:val="24"/>
                <w:lang w:val="ro-MD"/>
              </w:rPr>
              <w:lastRenderedPageBreak/>
              <w:t xml:space="preserve">2019/2072, CELEX: 32025R0659, publicat în Jurnalul Oficial al Uniunii Europene seria L 2025/659 din 4 aprilie 2025; </w:t>
            </w:r>
          </w:p>
          <w:p w14:paraId="504BF53C"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2025/1082 al Comisiei din 2 iunie 2025 de stabilire a unei derogări de la Regulamentul de punere în aplicare (UE) 2019/2072 în ceea ce privește introducerea pe teritoriul Uniunii a butașilor fără rădăcină, destinați plantării de Calibrachoa spp., Petunia spp. și a hibrizilor lor din Kenya, CELEX: 32025R1082, publicat în Jurnalul Oficial al Uniunii Europene seria L 2025/1082 din 3 iunie 2025; </w:t>
            </w:r>
          </w:p>
          <w:p w14:paraId="1A4379BC"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2024/2852 al Comisiei din 11 noiembrie 2024 de stabilire a unei derogări de la Regulamentul de punere în aplicare (UE) 2019/2072 în ceea ce privește cerințele referitoare la introducerea pe teritoriul Uniunii a plantelor cu creștere inhibată natural sau artificial destinate plantării de Chamaecyparis Spach, Juniperus L. și de anumite soiuri de Pinus L., originare din Japonia și de abrogare a Regulamentului de punere în aplicare (UE) 2020/1217, CELEX: 32024R2852, publicat în Jurnalul Oficial al Uniunii Europene seria L 2024/2852 din 12 noiembrie 2024. </w:t>
            </w:r>
          </w:p>
          <w:p w14:paraId="0CEA6379"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I. Obiectul proiectului </w:t>
            </w:r>
          </w:p>
          <w:p w14:paraId="0D6B77F8" w14:textId="16F6CB89"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Proiectul național prezentat pentru expertiză de compatibilitate are drept scop modificarea și completarea legislației naționale privind măsuriloe de protecție a plantelor în vederea avansării gradului de transpunere a 4 acte UE: Regulamentul de punere în aplicare (UE) 2020/1213, Regulamentul de punere în aplicare (UE) 2018/2019; Regulamentul de punere în aplicare (UE) 2019/2072 și Regulamentul de punere în aplicare (UE) 2022/1941 al Comisiei din 13 octombrie 2022 și transpunerii primare a alte 6 acte UE: Regulamentul de punere în aplicare (UE) 2023/1310 al Comisiei din 27 iunie 2023, Regulamentul de punere în aplicare (UE) 2023/1572 al Comisiei din 25 iulie 2023, Regulamentul de punere în aplicare (UE) 2025/659 al Comisiei din 3 aprilie 2025, 3 Regulamentul de punere în aplicare (UE) 2025/1078 al Comisiei din 2 iunie 2025 și Regulamentul de punere în aplicare (UE) </w:t>
            </w:r>
            <w:r w:rsidRPr="0046108E">
              <w:rPr>
                <w:sz w:val="24"/>
                <w:szCs w:val="24"/>
                <w:lang w:val="ro-MD"/>
              </w:rPr>
              <w:lastRenderedPageBreak/>
              <w:t xml:space="preserve">2025/1082 al Comisiei din 2 iunie 2025. Transpunerea Regulamentelor UE este importantă în contextul realizării obligațiilor stabilite de art. 68, Capitolul 12 (Agricultura și dezvoltarea rurală) din Titlul IV din Acordul de Asociere RM UE. </w:t>
            </w:r>
          </w:p>
          <w:p w14:paraId="14EB118D"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II. Evaluarea din perspectiva compatibilității cu legislația UE </w:t>
            </w:r>
          </w:p>
          <w:p w14:paraId="249F2F56" w14:textId="77777777" w:rsidR="00B43476"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Din punct de vedere al dreptului UE, prin prisma obiectului de reglementare, prezentul demers normativ se circumscrie reglementărilor statuate la nivelul UE, subsumate domeniului Sănătății plantelor (Capitolul 12). </w:t>
            </w:r>
          </w:p>
          <w:p w14:paraId="07A732C2"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Astfel, din perspectiva proiectului examinat, la nivelul legislației europene, prezintă relevanță directă prevederile: Regulamentului de punere în aplicare (UE) 2025/1078, ale Regulamentului de punere în aplicare (UE) 2020/1213, ale Regulamentului de punere în aplicare (UE) 2023/1310, ale Regulamentului de punere în aplicare (UE) 2023/1572, ale Regulamentului de punere în aplicare (UE) 2022/1941, ale Regulamentului de punere în aplicare (UE) 2018/2019, ale Regulamentului de punere în aplicare (UE) 2019/2072, ale Regulamentului de punere în aplicare (UE) 2025/659, ale Regulamentului de punere în aplicare (UE) 2025/1082 și ale Regulamentului de punere în aplicare (UE) 2024/2852. </w:t>
            </w:r>
          </w:p>
          <w:p w14:paraId="6B8A43CB"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1. Regulamentul de punere în aplicare (UE) 2025/1078 </w:t>
            </w:r>
          </w:p>
          <w:p w14:paraId="7A8F5866"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2025/1078 </w:t>
            </w:r>
          </w:p>
          <w:p w14:paraId="6BFB74BA" w14:textId="683F4680"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2025/1078, menționăm cu titlu general că proiectul național, asigură transpunerea actului UE, în speță, prin Anexa nr. 21 la Regulament. </w:t>
            </w:r>
          </w:p>
          <w:p w14:paraId="03BC6E45"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2. Regulamentul de punere în aplicare (UE) 2020/1213 </w:t>
            </w:r>
          </w:p>
          <w:p w14:paraId="5E8089AB"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2020/1213 </w:t>
            </w:r>
          </w:p>
          <w:p w14:paraId="00EF69FA"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2020/1213, menționăm cu titlu general că proiectul </w:t>
            </w:r>
            <w:r w:rsidRPr="0046108E">
              <w:rPr>
                <w:sz w:val="24"/>
                <w:szCs w:val="24"/>
                <w:lang w:val="ro-MD"/>
              </w:rPr>
              <w:lastRenderedPageBreak/>
              <w:t xml:space="preserve">național, asigură transpunerea actului UE, în speță, prin Anexa nr. 15 la Regulament. </w:t>
            </w:r>
          </w:p>
          <w:p w14:paraId="434AF9ED"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3. Regulamentul de punere în aplicare (UE) 2023/1310 </w:t>
            </w:r>
          </w:p>
          <w:p w14:paraId="7AC1C068"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2023/1310 </w:t>
            </w:r>
          </w:p>
          <w:p w14:paraId="1CEFD267"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2023/1310, menționăm cu titlu general că proiectul național, asigură transpunerea actului UE, în speță, prin Anexa nr. 18 la Regulament. </w:t>
            </w:r>
          </w:p>
          <w:p w14:paraId="154524D1"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4. Regulamentul de punere în aplicare (UE) 2023/1572 </w:t>
            </w:r>
          </w:p>
          <w:p w14:paraId="1D4DDABF"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2023/1572 </w:t>
            </w:r>
          </w:p>
          <w:p w14:paraId="4259EB50"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2023/1572, menționăm cu titlu general că proiectul național, asigură transpunerea actului UE, în speță, prin Anexa nr. 19 la Regulament. </w:t>
            </w:r>
          </w:p>
          <w:p w14:paraId="72B5B4BA"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5. Regulamentul de punere în aplicare (UE) 2022/1941 </w:t>
            </w:r>
          </w:p>
          <w:p w14:paraId="095EBAB4"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2022/1941 </w:t>
            </w:r>
          </w:p>
          <w:p w14:paraId="6B648CBE"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2022/1941, menționăm cu titlu general că proiectul național, asigură transpunerea actului UE, în speță, prin Anexa nr. 16 la Regulament. </w:t>
            </w:r>
          </w:p>
          <w:p w14:paraId="204B1C56"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6. Regulamentul de punere în aplicare (UE) 2019/2072 </w:t>
            </w:r>
          </w:p>
          <w:p w14:paraId="761FD330"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2019/2072 </w:t>
            </w:r>
          </w:p>
          <w:p w14:paraId="1B8A9D12"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2019/2072, menționăm cu titlu general că proiectul național, asigură transpunerea parțială a actului UE, conform constatărilor de mai jos. </w:t>
            </w:r>
          </w:p>
          <w:p w14:paraId="5145A119"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Art. 3 - 5 și art. 7 - 14 din actul UE enumeră plantele, produsele vegetale și alte obiecte pentru care sunt necesare cerințe specifice, fiind transpuse de pct. 1.2.3.3 1.2.3.12 din proiectul național. </w:t>
            </w:r>
          </w:p>
          <w:p w14:paraId="3FF35204"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7. Regulamentul de punere în aplicare (UE) 2024/2852 </w:t>
            </w:r>
          </w:p>
          <w:p w14:paraId="742C88BA"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lastRenderedPageBreak/>
              <w:t xml:space="preserve">a) Analiza comparativă a transpunerii dispozițiilor Regulamentului de punere în aplicare (UE) 2024/2852 </w:t>
            </w:r>
          </w:p>
          <w:p w14:paraId="19374BC8"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2024/2852, menționăm cu titlu general că proiectul național, asigură transpunerea actului UE, în speță, prin Anexa nr. 17 la Regulament. </w:t>
            </w:r>
          </w:p>
          <w:p w14:paraId="2E141ABC"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8. Regulamentul de punere în aplicare (UE) 2018/2019 </w:t>
            </w:r>
          </w:p>
          <w:p w14:paraId="79C0D4EE"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2018/2019 </w:t>
            </w:r>
          </w:p>
          <w:p w14:paraId="5293889D"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2018/2019, menționăm cu titlu general că proiectul național, asigură transpunerea actului UE, în speță, prin Anexa nr. 13 la Regulament. </w:t>
            </w:r>
          </w:p>
          <w:p w14:paraId="19FC675B"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9. Regulamentul de punere în aplicare (UE) 2025/659 </w:t>
            </w:r>
          </w:p>
          <w:p w14:paraId="76A2AB70"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2025/659 </w:t>
            </w:r>
          </w:p>
          <w:p w14:paraId="31CF23D1"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2025/659, menționăm cu titlu general că proiectul național, asigură transpunerea actului UE, în speță, prin Anexa nr. 20 la Regulament. </w:t>
            </w:r>
          </w:p>
          <w:p w14:paraId="2B458B14"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10. Regulamentul de punere în aplicare (UE) 2025/1082 </w:t>
            </w:r>
          </w:p>
          <w:p w14:paraId="4EC0A6CF"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Analiza comparativă a transpunerii dispozițiilor Regulamentului de punere în aplicare (UE) 2025/1082 </w:t>
            </w:r>
          </w:p>
          <w:p w14:paraId="691C10F4"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În ceea ce privește transpunerea Regulamentului de punere în aplicare (UE) 2025/1082, menționăm cu titlu general că proiectul național, asigură transpunerea actului UE, în speță, prin Anexa nr. 22 la Regulament. </w:t>
            </w:r>
          </w:p>
          <w:p w14:paraId="0605548B"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III. Respectarea mecanismului de armonizare </w:t>
            </w:r>
          </w:p>
          <w:p w14:paraId="438C38ED"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a) Obiecții privind clauza de armonizare </w:t>
            </w:r>
          </w:p>
          <w:p w14:paraId="5F997C57"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Proiectul național se va completa cu clauza de armoniare, după clauza de adoptare a proiectului, în următoarea redacție: </w:t>
            </w:r>
          </w:p>
          <w:p w14:paraId="2FFDB1CF"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„Proiectul de hotărâre: </w:t>
            </w:r>
          </w:p>
          <w:p w14:paraId="069C05CF"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2025/1078 al Comisiei din 2 iunie 2025 de stabilire a unei derogări de la </w:t>
            </w:r>
            <w:r w:rsidRPr="0046108E">
              <w:rPr>
                <w:sz w:val="24"/>
                <w:szCs w:val="24"/>
                <w:lang w:val="ro-MD"/>
              </w:rPr>
              <w:lastRenderedPageBreak/>
              <w:t xml:space="preserve">Regulamentul de punere în aplicare (UE) 2019/2072 în ceea ce privește introducerea pe teritoriul Uniunii a butașilor fără rădăcină, destinați plantării de Calibrachoa spp., Petunia spp. și a hibrizilor lor din Guatemala, CELEX: 32025R1078, publicat în Jurnalul Oficial al Uniunii Europene seria L 2025/1078 din 3 iunie 2025; </w:t>
            </w:r>
          </w:p>
          <w:p w14:paraId="1125138F"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2020/1213 al Comisiei din 21 august 2020 privind măsurile fitosanitare pentru introducerea în Uniune a anumitor plante, produse vegetale și a altor obiecte care au fost eliminate din anexa la Regulamentul de punere în aplicare (UE) 2018/2019, CELEX: 32020R1213, publicat în Jurnalul Oficial al 6 Uniunii Europene seria L 275 din 24 august 2020, așa cum a fost modificat ultima dată prin Regulamentul de punere în aplicare (UE) 2025/1949 al Comisiei din 29 septembrie 2025; </w:t>
            </w:r>
          </w:p>
          <w:p w14:paraId="0B523AD7"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2023/1310 al Comisiei din 27 iunie 2023 de stabilire a unei derogări de la Regulamentul de punere în aplicare (UE) 2019/2072 în ceea ce privește introducerea în Uniune a plantelor cu creștere inhibată natural sau artificial destinate plantării de Chamaecyparis Spach, Juniperus L. și de anumite soiuri de Pinus L., originare din Republica Coreea, CELEX: 32023R1310, publicat în Jurnalul Oficial al Uniunii Europene seria L 162 din 28 iunie 2023; </w:t>
            </w:r>
          </w:p>
          <w:p w14:paraId="03CF0DC5"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2023/1572 al Comisiei din 25 iulie 2023 de stabilire a unei derogări de la Regulamentul de punere în aplicare (UE) 2019/2072 în ceea ce privește introducerea pe teritoriul Uniunii a tuberculilor de Solanum tuberosum L., alții decât cei destinați plantării, originari din anumite regiuni din Liban, CELEX: 32023R1572, publicat în Jurnalul Oficial al Uniunii Europene seria L 192 din 31 iulie 2023; </w:t>
            </w:r>
          </w:p>
          <w:p w14:paraId="4BC8D8E0"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2022/1941 al Comisiei din 13 octombrie 2022 privind interzicerea introducerii, circulației, deținerii, multiplicării sau eliberării anumitor organisme dăunătoare în temeiul articolului 30 alineatul (1) din Regulamentul (UE) 2016/2031 al Parlamentului European </w:t>
            </w:r>
            <w:r w:rsidRPr="0046108E">
              <w:rPr>
                <w:sz w:val="24"/>
                <w:szCs w:val="24"/>
                <w:lang w:val="ro-MD"/>
              </w:rPr>
              <w:lastRenderedPageBreak/>
              <w:t xml:space="preserve">și al Consiliului, CELEX: 32022R1941, publicat în Jurnalul Oficial al Uniunii Europene seria L 268 din 14 octombrie 2022, așa cum a fost modificat ultima dată prin Regulamentul de punere în aplicare (UE) 2025/356 al Comisiei din 21 februarie 2025; </w:t>
            </w:r>
          </w:p>
          <w:p w14:paraId="4D2BDB9A"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2018/2019 al Comisiei din 18 decembrie 2018 de stabilire a unei liste provizorii cu plante, produse vegetale sau alte obiecte cu risc ridicat, în sensul articolului 42 din Regulamentul (UE) 2016/2031, și a unei liste cu plante pentru care nu sunt necesare certificate fitosanitare în vederea introducerii în Uniune, în sensul articolului 73 din același regulament, CELEX: 32018R2019, publicat în Jurnalul Oficial al Uniunii Europene seria L 323 din 19 decembrie 2018, așa cum a fost modificat ultima dată prin Regulamentul de punere în aplicare (UE) 2025/1949 al Comisiei din 29 septembrie 2025; </w:t>
            </w:r>
          </w:p>
          <w:p w14:paraId="09F95C74"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parțial Regulamentul de punere în aplicare (UE) 2019/2072 al Comisiei din 28 noiembrie 2019 de stabilire a unor condiții uniforme pentru punerea în aplicare a Regulamentului (UE) 2016/2031 al Parlamentului European și al Consiliului în ceea ce privește măsurile de protecție împotriva organismelor dăunătoare plantelor, de abrogare a Regulamentului (CE) nr. 690/2008 al Comisiei și de modificare a Regulamentului de punere în aplicare (UE) 2018/2019 al Comisiei, CELEX: 32019R2072, publicat în Jurnalul Oficial al Uniunii Europene seria L 319 din 10 decembrie 2019, așa cum a fost modificat ultima dată prin Regulamentul de punere în aplicare (UE) 2025/1289 al Comisiei din 2 iulie 2025; </w:t>
            </w:r>
          </w:p>
          <w:p w14:paraId="2BC2E2D4" w14:textId="3E5C86A3"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2025/659 al Comisiei din 3 aprilie 2025 de stabilire a unei derogări de la Regulamentul de punere în aplicare (UE) 2019/2072 în ceea ce privește cerințele pentru introducerea pe teritoriul Uniunii de furnir din mai multe specii de Acer L. originar din Canada și de modificare a Regulamentului de punere în aplicare (UE) </w:t>
            </w:r>
            <w:r w:rsidRPr="0046108E">
              <w:rPr>
                <w:sz w:val="24"/>
                <w:szCs w:val="24"/>
                <w:lang w:val="ro-MD"/>
              </w:rPr>
              <w:lastRenderedPageBreak/>
              <w:t xml:space="preserve">2019/2072, CELEX: 32025R0659, publicat în Jurnalul Oficial al Uniunii Europene seria L 2025/659 din 4 aprilie 2025; </w:t>
            </w:r>
          </w:p>
          <w:p w14:paraId="71DA5C14"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2025/1082 al Comisiei din 2 iunie 2025 de stabilire a unei derogări de la Regulamentul de punere în aplicare 7 (UE) 2019/2072 în ceea ce privește introducerea pe teritoriul Uniunii a butașilor fără rădăcină, destinați plantării de Calibrachoa spp., Petunia spp. și a hibrizilor lor din Kenya, CELEX: 32025R1082, publicat în Jurnalul Oficial al Uniunii Europene seria L 2025/1082 din 3 iunie 2025; </w:t>
            </w:r>
          </w:p>
          <w:p w14:paraId="7EA5F367"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 transpune Regulamentul de punere în aplicare (UE) 2024/2852 al Comisiei din 11 noiembrie 2024 de stabilire a unei derogări de la Regulamentul de punere în aplicare (UE) 2019/2072 în ceea ce privește cerințele referitoare la introducerea pe teritoriul Uniunii a plantelor cu creștere inhibată natural sau artificial destinate plantării de Chamaecyparis Spach, Juniperus L. și de anumite soiuri de Pinus L., originare din Japonia și de abrogare a Regulamentului de punere în aplicare (UE) 2020/1217, CELEX: 32024R2852, publicat în Jurnalul Oficial al Uniunii Europene seria L 2024/2852 din 12 noiembrie 2024.” </w:t>
            </w:r>
          </w:p>
          <w:p w14:paraId="6D723145"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De asemenea, cu referire la clauza de armonizare existentă a HG, pentru claritate, aceasta va diviza lista actelor UE, astfel încât o parte din actele UE vor fi reflectate în clauza de armonizare a Regulamentului, iar celelalte acte UE în clauzele de armonizare a Anexelor la Regulament, după următorul model: </w:t>
            </w:r>
          </w:p>
          <w:p w14:paraId="32577F29"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De exemplu, pentru Anexa nr. 17: </w:t>
            </w:r>
          </w:p>
          <w:p w14:paraId="222DA700"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„Prezenta Anexă transpune Regulamentul de punere în aplicare (UE) 2024/2852 al Comisiei din 11 noiembrie 2024 de stabilire a unei derogări de la Regulamentul de punere în aplicare (UE) 2019/2072 în ceea ce privește cerințele referitoare la introducerea pe teritoriul Uniunii a plantelor cu creștere inhibată natural sau artificial destinate plantării de Chamaecyparis Spach, Juniperus L. și de anumite soiuri de Pinus L., originare din Japonia și de abrogare a Regulamentului de punere în aplicare (UE) 2020/1217, </w:t>
            </w:r>
            <w:r w:rsidRPr="0046108E">
              <w:rPr>
                <w:sz w:val="24"/>
                <w:szCs w:val="24"/>
                <w:lang w:val="ro-MD"/>
              </w:rPr>
              <w:lastRenderedPageBreak/>
              <w:t xml:space="preserve">CELEX: 32024R2852, publicat în Jurnalul Oficial al Uniunii Europene seria L 2024/2852 din 12 noiembrie 2024” </w:t>
            </w:r>
          </w:p>
          <w:p w14:paraId="7451A169"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b) Obiecții privind Tabelul de concordanță </w:t>
            </w:r>
          </w:p>
          <w:p w14:paraId="7060F1E6"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Gradul general de compatibilitate pentru Regulamentul de punere în aplicare (UE) 2019/2072 va fi stabilit ca parțial compatibil, întrucât acesta nu asigură transpunerea integrală a prevederilor din actul UE. </w:t>
            </w:r>
          </w:p>
          <w:p w14:paraId="2427D7B5" w14:textId="77777777" w:rsidR="000E48A4"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 xml:space="preserve">IV. Concluzii </w:t>
            </w:r>
          </w:p>
          <w:p w14:paraId="65BC79F6" w14:textId="278B0AA1" w:rsidR="003E0645" w:rsidRPr="0046108E" w:rsidRDefault="009F219B" w:rsidP="00845051">
            <w:pPr>
              <w:pStyle w:val="Listparagraf"/>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left="0" w:right="110" w:firstLine="142"/>
              <w:rPr>
                <w:sz w:val="24"/>
                <w:szCs w:val="24"/>
                <w:lang w:val="ro-MD"/>
              </w:rPr>
            </w:pPr>
            <w:r w:rsidRPr="0046108E">
              <w:rPr>
                <w:sz w:val="24"/>
                <w:szCs w:val="24"/>
                <w:lang w:val="ro-MD"/>
              </w:rPr>
              <w:t>Ca urmare a expertizei de compatibilitate realizate, în procesul de definitivare a proiectului național, vor fi ajustate instrumentele de armonizare (clauza de armonizare și Tabelul de concordanță pentru Regulamentul 2019/2072), conform obiecțiilor de mai sus.</w:t>
            </w:r>
          </w:p>
        </w:tc>
        <w:tc>
          <w:tcPr>
            <w:tcW w:w="3123" w:type="dxa"/>
            <w:shd w:val="clear" w:color="auto" w:fill="FFFFFF"/>
            <w:vAlign w:val="center"/>
          </w:tcPr>
          <w:p w14:paraId="3C6A6C54" w14:textId="77777777" w:rsidR="003E0645" w:rsidRPr="0046108E" w:rsidRDefault="00812CF2"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p w14:paraId="0A9FCDDA" w14:textId="4F684F0C" w:rsidR="00654C7E" w:rsidRPr="0046108E" w:rsidRDefault="00654C7E"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Modificările propuse au fost operate.</w:t>
            </w:r>
          </w:p>
        </w:tc>
      </w:tr>
      <w:tr w:rsidR="000A4B3B" w:rsidRPr="0046108E" w14:paraId="1CCB8B27" w14:textId="77777777" w:rsidTr="00BF2676">
        <w:trPr>
          <w:trHeight w:val="20"/>
        </w:trPr>
        <w:tc>
          <w:tcPr>
            <w:tcW w:w="3397" w:type="dxa"/>
            <w:vMerge w:val="restart"/>
            <w:shd w:val="clear" w:color="auto" w:fill="auto"/>
            <w:vAlign w:val="center"/>
          </w:tcPr>
          <w:p w14:paraId="2C016A67" w14:textId="1D3550FF"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bCs/>
                <w:sz w:val="24"/>
                <w:szCs w:val="24"/>
                <w:lang w:val="ro-MD"/>
              </w:rPr>
              <w:lastRenderedPageBreak/>
              <w:t xml:space="preserve">Aviz Grupul de Lucru al Comisiei de stat pentru Reglementarea Activității de Întreprinzător, </w:t>
            </w:r>
            <w:r w:rsidRPr="0046108E">
              <w:rPr>
                <w:rFonts w:ascii="Times New Roman" w:hAnsi="Times New Roman"/>
                <w:sz w:val="24"/>
                <w:szCs w:val="24"/>
                <w:lang w:val="ro-MD"/>
              </w:rPr>
              <w:t>scrisoarea nr. 38-78-10709 din 22.10.2025</w:t>
            </w:r>
          </w:p>
        </w:tc>
        <w:tc>
          <w:tcPr>
            <w:tcW w:w="1271" w:type="dxa"/>
            <w:vAlign w:val="center"/>
          </w:tcPr>
          <w:p w14:paraId="548F32CA" w14:textId="589BC8C5" w:rsidR="00A961C1"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12</w:t>
            </w:r>
            <w:r w:rsidR="00A961C1" w:rsidRPr="0046108E">
              <w:rPr>
                <w:bCs/>
                <w:iCs/>
                <w:lang w:val="ro-MD" w:eastAsia="en-US"/>
              </w:rPr>
              <w:t>.</w:t>
            </w:r>
          </w:p>
        </w:tc>
        <w:tc>
          <w:tcPr>
            <w:tcW w:w="6804" w:type="dxa"/>
            <w:shd w:val="clear" w:color="auto" w:fill="auto"/>
            <w:vAlign w:val="center"/>
          </w:tcPr>
          <w:p w14:paraId="760F1B59" w14:textId="77777777" w:rsidR="00142D42" w:rsidRPr="0046108E" w:rsidRDefault="00A961C1" w:rsidP="00845051">
            <w:pPr>
              <w:pStyle w:val="NormalWeb"/>
              <w:ind w:right="110" w:firstLine="142"/>
              <w:contextualSpacing/>
              <w:jc w:val="left"/>
              <w:rPr>
                <w:lang w:val="ro-MD"/>
              </w:rPr>
            </w:pPr>
            <w:r w:rsidRPr="0046108E">
              <w:rPr>
                <w:lang w:val="ro-MD"/>
              </w:rPr>
              <w:t xml:space="preserve">În temeiul prevederilor în temeiul art.3 alin.(2), art.271, anexa nr.1 și art.32 alin.(22) din Legea nr.100/2017 cu privire la actele normative, în conformitate cu prevederile Legii nr.235/2006 cu privire la principiile de bază de reglementare a activității de întreprinzător, Hotărârii Guvernului nr.1429/2008 privind revizuirea şi optimizarea cadrului normativ de reglementare a activității de întreprinzător și Hotărârii Guvernului nr.574/2024 cu privire la aprobarea Metodologiei de analiză a impactului de reglementare, se remite Avizul Grupului de lucru al Comisiei de stat pentru reglementarea activității de întreprinzător la Nota de fundamentare (analiza impactului de reglementare) și proiectul Hotărârii Guvernului privind modificarea Hotărârii Guvernului nr. 679/2024 pentru aprobarea Regulamentului privind aplicarea măsurilor de protecție împotriva organismelor dăunătoare plantelor. </w:t>
            </w:r>
          </w:p>
          <w:p w14:paraId="6E3CE247" w14:textId="3C9913C7" w:rsidR="00A961C1" w:rsidRPr="0046108E" w:rsidRDefault="00A961C1" w:rsidP="00845051">
            <w:pPr>
              <w:pStyle w:val="NormalWeb"/>
              <w:ind w:right="110" w:firstLine="142"/>
              <w:contextualSpacing/>
              <w:jc w:val="left"/>
              <w:rPr>
                <w:lang w:val="ro-MD"/>
              </w:rPr>
            </w:pPr>
            <w:r w:rsidRPr="0046108E">
              <w:rPr>
                <w:lang w:val="ro-MD"/>
              </w:rPr>
              <w:t>Anexă: 2 file</w:t>
            </w:r>
          </w:p>
          <w:p w14:paraId="0B2A8E54" w14:textId="55D10C70" w:rsidR="00A961C1" w:rsidRPr="0046108E" w:rsidRDefault="00A961C1" w:rsidP="00845051">
            <w:pPr>
              <w:pStyle w:val="NormalWeb"/>
              <w:ind w:right="110" w:firstLine="142"/>
              <w:contextualSpacing/>
              <w:jc w:val="left"/>
              <w:rPr>
                <w:lang w:val="ro-MD"/>
              </w:rPr>
            </w:pPr>
            <w:r w:rsidRPr="0046108E">
              <w:rPr>
                <w:lang w:val="ro-MD"/>
              </w:rPr>
              <w:t>AVIZ al Grupului de lucru al Comisiei de stat pentru reglementarea activității de întreprinzător</w:t>
            </w:r>
          </w:p>
          <w:p w14:paraId="4D5BC21E" w14:textId="7AA2E250" w:rsidR="00A961C1" w:rsidRPr="0046108E" w:rsidRDefault="00A961C1" w:rsidP="00845051">
            <w:pPr>
              <w:pStyle w:val="NormalWeb"/>
              <w:ind w:right="110" w:firstLine="142"/>
              <w:contextualSpacing/>
              <w:jc w:val="left"/>
              <w:rPr>
                <w:bCs/>
                <w:iCs/>
                <w:lang w:val="ro-MD" w:eastAsia="en-US"/>
              </w:rPr>
            </w:pPr>
            <w:r w:rsidRPr="0046108E">
              <w:rPr>
                <w:lang w:val="ro-MD"/>
              </w:rPr>
              <w:t xml:space="preserve">Prezentul aviz este emis în temeiul art.3 alin.(2), art.271, anexa nr.1 și art.32 alin.(22) din Legea nr.100/2017 cu privire la actele normative, în conformitate cu prevederile Legii nr.235/2006 cu privire la principiile de bază de reglementare a activității de </w:t>
            </w:r>
            <w:r w:rsidRPr="0046108E">
              <w:rPr>
                <w:lang w:val="ro-MD"/>
              </w:rPr>
              <w:lastRenderedPageBreak/>
              <w:t>întreprinzător, Hotărârii Guvernului nr.1429/2008 privind revizuirea şi optimizarea cadrului normativ de reglementare a activității de întreprinzător și Hotărârii Guvernului nr.574/2024 cu privire la aprobarea Metodologiei de analiză a impactului de reglementare.</w:t>
            </w:r>
          </w:p>
        </w:tc>
        <w:tc>
          <w:tcPr>
            <w:tcW w:w="3123" w:type="dxa"/>
            <w:shd w:val="clear" w:color="auto" w:fill="auto"/>
            <w:vAlign w:val="center"/>
          </w:tcPr>
          <w:p w14:paraId="3AA66709" w14:textId="786C49D8" w:rsidR="00A961C1" w:rsidRPr="0046108E" w:rsidRDefault="00042339"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lastRenderedPageBreak/>
              <w:t>-</w:t>
            </w:r>
          </w:p>
        </w:tc>
      </w:tr>
      <w:tr w:rsidR="000A4B3B" w:rsidRPr="00753414" w14:paraId="3E64DB68" w14:textId="77777777" w:rsidTr="00BF2676">
        <w:trPr>
          <w:trHeight w:val="20"/>
        </w:trPr>
        <w:tc>
          <w:tcPr>
            <w:tcW w:w="3397" w:type="dxa"/>
            <w:vMerge/>
            <w:shd w:val="clear" w:color="auto" w:fill="auto"/>
            <w:vAlign w:val="center"/>
          </w:tcPr>
          <w:p w14:paraId="58682888" w14:textId="49E92D72"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E01DB3A" w14:textId="660FE589" w:rsidR="00A961C1"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13</w:t>
            </w:r>
            <w:r w:rsidR="00A961C1" w:rsidRPr="0046108E">
              <w:rPr>
                <w:bCs/>
                <w:iCs/>
                <w:lang w:val="ro-MD" w:eastAsia="en-US"/>
              </w:rPr>
              <w:t>.</w:t>
            </w:r>
          </w:p>
        </w:tc>
        <w:tc>
          <w:tcPr>
            <w:tcW w:w="6804" w:type="dxa"/>
            <w:shd w:val="clear" w:color="auto" w:fill="auto"/>
            <w:vAlign w:val="center"/>
          </w:tcPr>
          <w:p w14:paraId="14F793CB" w14:textId="39B686A7" w:rsidR="00A961C1" w:rsidRPr="0046108E" w:rsidRDefault="00A961C1" w:rsidP="00845051">
            <w:pPr>
              <w:pStyle w:val="NormalWeb"/>
              <w:ind w:right="110" w:firstLine="142"/>
              <w:contextualSpacing/>
              <w:jc w:val="left"/>
              <w:rPr>
                <w:lang w:val="ro-MD"/>
              </w:rPr>
            </w:pPr>
            <w:r w:rsidRPr="0046108E">
              <w:rPr>
                <w:lang w:val="ro-MD"/>
              </w:rPr>
              <w:t>Evalua</w:t>
            </w:r>
            <w:r w:rsidR="00042339" w:rsidRPr="0046108E">
              <w:rPr>
                <w:lang w:val="ro-MD"/>
              </w:rPr>
              <w:t>rea proiectului de act normativ</w:t>
            </w:r>
          </w:p>
          <w:p w14:paraId="2EE7DDB2" w14:textId="72249BC2" w:rsidR="00A961C1" w:rsidRPr="0046108E" w:rsidRDefault="00A961C1" w:rsidP="00845051">
            <w:pPr>
              <w:pStyle w:val="NormalWeb"/>
              <w:ind w:right="110" w:firstLine="142"/>
              <w:contextualSpacing/>
              <w:jc w:val="left"/>
              <w:rPr>
                <w:bCs/>
                <w:iCs/>
                <w:lang w:val="ro-MD" w:eastAsia="en-US"/>
              </w:rPr>
            </w:pPr>
            <w:r w:rsidRPr="0046108E">
              <w:rPr>
                <w:lang w:val="ro-MD"/>
              </w:rPr>
              <w:t xml:space="preserve">Prevederile p. 1.2.3.5.1 din proiect menționează standardele internaționale relevante pentru măsuri fitosanitare. Prevederile respective sunt incerte și, pentru a evita situații de interpretări diferite și de conflict, se recomandă concretizarea acestora. Totodată se recomandă de prevăzut actul normativ național, prin care au fost transpuse aceste documente internaționale. Recomandare valabilă și pentru pp. 1.2.3.5.4 (331 - 333), 1.2.3.5.10, anexa nr. 19. </w:t>
            </w:r>
          </w:p>
        </w:tc>
        <w:tc>
          <w:tcPr>
            <w:tcW w:w="3123" w:type="dxa"/>
            <w:shd w:val="clear" w:color="auto" w:fill="auto"/>
            <w:vAlign w:val="center"/>
          </w:tcPr>
          <w:p w14:paraId="103B55EB" w14:textId="77777777" w:rsidR="00A961C1" w:rsidRPr="0046108E" w:rsidRDefault="000A548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276A020C" w14:textId="377E6A9B" w:rsidR="000A5482" w:rsidRPr="0046108E" w:rsidRDefault="000A5482"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Referitor la </w:t>
            </w:r>
            <w:r w:rsidR="00AE2FB4" w:rsidRPr="0046108E">
              <w:rPr>
                <w:rFonts w:ascii="Times New Roman" w:hAnsi="Times New Roman"/>
                <w:sz w:val="24"/>
                <w:szCs w:val="24"/>
                <w:lang w:val="ro-MD"/>
              </w:rPr>
              <w:t>S</w:t>
            </w:r>
            <w:r w:rsidRPr="0046108E">
              <w:rPr>
                <w:rFonts w:ascii="Times New Roman" w:hAnsi="Times New Roman"/>
                <w:sz w:val="24"/>
                <w:szCs w:val="24"/>
                <w:lang w:val="ro-MD"/>
              </w:rPr>
              <w:t>ta</w:t>
            </w:r>
            <w:r w:rsidR="00AE2FB4" w:rsidRPr="0046108E">
              <w:rPr>
                <w:rFonts w:ascii="Times New Roman" w:hAnsi="Times New Roman"/>
                <w:sz w:val="24"/>
                <w:szCs w:val="24"/>
                <w:lang w:val="ro-MD"/>
              </w:rPr>
              <w:t xml:space="preserve">ndardele Internaționale pentru Măsuri Fitosanitare, Ministerul a inițiat elaborarea proiectului de Hotărâre de Guvern pentru aprobarea acestora: </w:t>
            </w:r>
            <w:hyperlink r:id="rId9" w:history="1">
              <w:r w:rsidR="00AE2FB4" w:rsidRPr="0046108E">
                <w:rPr>
                  <w:rStyle w:val="Hyperlink"/>
                  <w:rFonts w:ascii="Times New Roman" w:hAnsi="Times New Roman"/>
                  <w:color w:val="auto"/>
                  <w:sz w:val="24"/>
                  <w:szCs w:val="24"/>
                  <w:lang w:val="ro-MD"/>
                </w:rPr>
                <w:t>https://particip.gov.md/ro/document/stages/anunt-privind-initierea-elaborarii-proiectului-de-hotarare-de-guvern-privind-aprobarea-standardelor-pentru-masuri-fitosanitare/15490</w:t>
              </w:r>
            </w:hyperlink>
            <w:r w:rsidR="00AE2FB4" w:rsidRPr="0046108E">
              <w:rPr>
                <w:rFonts w:ascii="Times New Roman" w:hAnsi="Times New Roman"/>
                <w:sz w:val="24"/>
                <w:szCs w:val="24"/>
                <w:lang w:val="ro-MD"/>
              </w:rPr>
              <w:t xml:space="preserve"> </w:t>
            </w:r>
          </w:p>
          <w:p w14:paraId="3B0B5FBE" w14:textId="0DCEF8BF" w:rsidR="00AE2FB4" w:rsidRPr="0046108E" w:rsidRDefault="00AE2FB4"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Urmare a adoptării acestui act normativ, se vor opera modificări în prezentul proiect, în vederea includerii referințelor relevante.</w:t>
            </w:r>
          </w:p>
        </w:tc>
      </w:tr>
      <w:tr w:rsidR="000A4B3B" w:rsidRPr="0046108E" w14:paraId="534EB24B" w14:textId="77777777" w:rsidTr="00142D42">
        <w:trPr>
          <w:trHeight w:val="2710"/>
        </w:trPr>
        <w:tc>
          <w:tcPr>
            <w:tcW w:w="3397" w:type="dxa"/>
            <w:vMerge/>
            <w:shd w:val="clear" w:color="auto" w:fill="auto"/>
            <w:vAlign w:val="center"/>
          </w:tcPr>
          <w:p w14:paraId="0E22265C" w14:textId="4F5BDDC1"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366B42C" w14:textId="2774F6F8" w:rsidR="00A961C1" w:rsidRPr="0046108E" w:rsidRDefault="00A961C1" w:rsidP="00845051">
            <w:pPr>
              <w:pStyle w:val="NormalWeb"/>
              <w:tabs>
                <w:tab w:val="left" w:pos="426"/>
              </w:tabs>
              <w:ind w:right="110" w:firstLine="142"/>
              <w:contextualSpacing/>
              <w:jc w:val="left"/>
              <w:rPr>
                <w:bCs/>
                <w:iCs/>
                <w:lang w:val="ro-MD" w:eastAsia="en-US"/>
              </w:rPr>
            </w:pPr>
            <w:r w:rsidRPr="0046108E">
              <w:rPr>
                <w:bCs/>
                <w:iCs/>
                <w:lang w:val="ro-MD" w:eastAsia="en-US"/>
              </w:rPr>
              <w:t>1</w:t>
            </w:r>
            <w:r w:rsidR="00092832" w:rsidRPr="0046108E">
              <w:rPr>
                <w:bCs/>
                <w:iCs/>
                <w:lang w:val="ro-MD" w:eastAsia="en-US"/>
              </w:rPr>
              <w:t>4</w:t>
            </w:r>
            <w:r w:rsidRPr="0046108E">
              <w:rPr>
                <w:bCs/>
                <w:iCs/>
                <w:lang w:val="ro-MD" w:eastAsia="en-US"/>
              </w:rPr>
              <w:t>.</w:t>
            </w:r>
          </w:p>
        </w:tc>
        <w:tc>
          <w:tcPr>
            <w:tcW w:w="6804" w:type="dxa"/>
            <w:shd w:val="clear" w:color="auto" w:fill="auto"/>
            <w:vAlign w:val="center"/>
          </w:tcPr>
          <w:p w14:paraId="4F264AF9" w14:textId="017854CC" w:rsidR="00A961C1" w:rsidRPr="0046108E" w:rsidRDefault="00A961C1" w:rsidP="00845051">
            <w:pPr>
              <w:pStyle w:val="NormalWeb"/>
              <w:ind w:right="110" w:firstLine="142"/>
              <w:contextualSpacing/>
              <w:jc w:val="left"/>
              <w:rPr>
                <w:bCs/>
                <w:iCs/>
                <w:lang w:val="ro-MD" w:eastAsia="en-US"/>
              </w:rPr>
            </w:pPr>
            <w:r w:rsidRPr="0046108E">
              <w:rPr>
                <w:lang w:val="ro-MD"/>
              </w:rPr>
              <w:t>Proiectul prevede norme incerte, de genul condiții adecvate, indicatori adecvați, intervale potrivite, intervale corespunzătoare, etc. (spre exemplu, pp. 1.2.3.5.8 (61 - 63), 1.2.3.5.9, 1.2.3.14, 1.2.3.17 (anexa la anexa nr. 17), anexa la anexa nr. 21 și anexa la anexa nr. 22 (cerințele legislației privind sănătatea plantelor). Pentru a evita situații de interpretări discreționare și de conflict, se recomandă, după caz, excluderea unor astfel de cuvinte sau concretizarea acestora.</w:t>
            </w:r>
          </w:p>
        </w:tc>
        <w:tc>
          <w:tcPr>
            <w:tcW w:w="3123" w:type="dxa"/>
            <w:shd w:val="clear" w:color="auto" w:fill="auto"/>
            <w:vAlign w:val="center"/>
          </w:tcPr>
          <w:p w14:paraId="0E11935B" w14:textId="2F5FEB22" w:rsidR="00A961C1" w:rsidRPr="0046108E" w:rsidRDefault="000A4B3B"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0A4B3B" w:rsidRPr="00753414" w14:paraId="1C745212" w14:textId="77777777" w:rsidTr="00BF2676">
        <w:trPr>
          <w:trHeight w:val="20"/>
        </w:trPr>
        <w:tc>
          <w:tcPr>
            <w:tcW w:w="3397" w:type="dxa"/>
            <w:vMerge/>
            <w:shd w:val="clear" w:color="auto" w:fill="auto"/>
            <w:vAlign w:val="center"/>
          </w:tcPr>
          <w:p w14:paraId="242D9144" w14:textId="4B4C9D5E"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1EB0A67" w14:textId="46ED833F" w:rsidR="00A961C1" w:rsidRPr="0046108E" w:rsidRDefault="00A961C1" w:rsidP="00845051">
            <w:pPr>
              <w:pStyle w:val="NormalWeb"/>
              <w:tabs>
                <w:tab w:val="left" w:pos="426"/>
              </w:tabs>
              <w:ind w:right="110" w:firstLine="142"/>
              <w:contextualSpacing/>
              <w:jc w:val="left"/>
              <w:rPr>
                <w:bCs/>
                <w:iCs/>
                <w:lang w:val="ro-MD" w:eastAsia="en-US"/>
              </w:rPr>
            </w:pPr>
            <w:r w:rsidRPr="0046108E">
              <w:rPr>
                <w:bCs/>
                <w:iCs/>
                <w:lang w:val="ro-MD" w:eastAsia="en-US"/>
              </w:rPr>
              <w:t>1</w:t>
            </w:r>
            <w:r w:rsidR="00092832" w:rsidRPr="0046108E">
              <w:rPr>
                <w:bCs/>
                <w:iCs/>
                <w:lang w:val="ro-MD" w:eastAsia="en-US"/>
              </w:rPr>
              <w:t>5</w:t>
            </w:r>
            <w:r w:rsidRPr="0046108E">
              <w:rPr>
                <w:bCs/>
                <w:iCs/>
                <w:lang w:val="ro-MD" w:eastAsia="en-US"/>
              </w:rPr>
              <w:t>.</w:t>
            </w:r>
          </w:p>
        </w:tc>
        <w:tc>
          <w:tcPr>
            <w:tcW w:w="6804" w:type="dxa"/>
            <w:shd w:val="clear" w:color="auto" w:fill="auto"/>
            <w:vAlign w:val="center"/>
          </w:tcPr>
          <w:p w14:paraId="032AA08B" w14:textId="500272FB" w:rsidR="00A961C1" w:rsidRPr="0046108E" w:rsidRDefault="00A961C1" w:rsidP="00845051">
            <w:pPr>
              <w:pStyle w:val="NormalWeb"/>
              <w:tabs>
                <w:tab w:val="left" w:pos="426"/>
              </w:tabs>
              <w:ind w:right="110" w:firstLine="142"/>
              <w:contextualSpacing/>
              <w:jc w:val="left"/>
              <w:rPr>
                <w:bCs/>
                <w:iCs/>
                <w:lang w:val="ro-MD" w:eastAsia="en-US"/>
              </w:rPr>
            </w:pPr>
            <w:r w:rsidRPr="0046108E">
              <w:rPr>
                <w:lang w:val="ro-MD"/>
              </w:rPr>
              <w:t>La p. 1.2.3.5.10 este menționat certificatul fitosanitar și se recomandă de prevăzut legea, care prevede acest act permisiv. Recomandare și pentru pp. 1.2.3.5.13, 1.2.3.11 (pașaport fitosanitar), 1.2.3.14, anexa nr. 21 (p. 6.2), anexa nr. 22 (p.6.2).</w:t>
            </w:r>
          </w:p>
        </w:tc>
        <w:tc>
          <w:tcPr>
            <w:tcW w:w="3123" w:type="dxa"/>
            <w:shd w:val="clear" w:color="auto" w:fill="auto"/>
            <w:vAlign w:val="center"/>
          </w:tcPr>
          <w:p w14:paraId="1196663A" w14:textId="77777777" w:rsidR="00556FED" w:rsidRPr="0046108E" w:rsidRDefault="00556FED"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074F4950" w14:textId="77777777" w:rsidR="00A961C1" w:rsidRPr="0046108E" w:rsidRDefault="00556FED"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Referitor la certificatul fitosanitar și pașaportul fitosanitar, </w:t>
            </w:r>
            <w:r w:rsidR="00713EA8" w:rsidRPr="0046108E">
              <w:rPr>
                <w:rFonts w:ascii="Times New Roman" w:hAnsi="Times New Roman"/>
                <w:sz w:val="24"/>
                <w:szCs w:val="24"/>
                <w:lang w:val="ro-MD"/>
              </w:rPr>
              <w:t>sunt</w:t>
            </w:r>
            <w:r w:rsidRPr="0046108E">
              <w:rPr>
                <w:rFonts w:ascii="Times New Roman" w:hAnsi="Times New Roman"/>
                <w:sz w:val="24"/>
                <w:szCs w:val="24"/>
                <w:lang w:val="ro-MD"/>
              </w:rPr>
              <w:t xml:space="preserve"> făcute referințe la Legea nr. 422/2023. </w:t>
            </w:r>
          </w:p>
          <w:p w14:paraId="45244B94" w14:textId="49CE2701" w:rsidR="00713EA8" w:rsidRPr="0046108E" w:rsidRDefault="00713EA8"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ro-MD"/>
              </w:rPr>
              <w:t xml:space="preserve">Totodată, la </w:t>
            </w:r>
            <w:r w:rsidR="00C248BE" w:rsidRPr="0046108E">
              <w:rPr>
                <w:rFonts w:ascii="Times New Roman" w:hAnsi="Times New Roman"/>
                <w:sz w:val="24"/>
                <w:szCs w:val="24"/>
                <w:lang w:val="ro-MD"/>
              </w:rPr>
              <w:t>sub</w:t>
            </w:r>
            <w:r w:rsidRPr="0046108E">
              <w:rPr>
                <w:rFonts w:ascii="Times New Roman" w:hAnsi="Times New Roman"/>
                <w:sz w:val="24"/>
                <w:szCs w:val="24"/>
                <w:lang w:val="ro-MD"/>
              </w:rPr>
              <w:t>pct. 2</w:t>
            </w:r>
            <w:r w:rsidR="00C248BE" w:rsidRPr="0046108E">
              <w:rPr>
                <w:rFonts w:ascii="Times New Roman" w:hAnsi="Times New Roman"/>
                <w:sz w:val="24"/>
                <w:szCs w:val="24"/>
                <w:lang w:val="ro-MD"/>
              </w:rPr>
              <w:t>.3.</w:t>
            </w:r>
            <w:r w:rsidRPr="0046108E">
              <w:rPr>
                <w:rFonts w:ascii="Times New Roman" w:hAnsi="Times New Roman"/>
                <w:sz w:val="24"/>
                <w:szCs w:val="24"/>
                <w:lang w:val="ro-MD"/>
              </w:rPr>
              <w:t xml:space="preserve"> din HG nr. 679/2024, noțiunea „</w:t>
            </w:r>
            <w:r w:rsidRPr="0046108E">
              <w:rPr>
                <w:rStyle w:val="Accentuat"/>
                <w:rFonts w:ascii="Times New Roman" w:hAnsi="Times New Roman"/>
                <w:sz w:val="24"/>
                <w:szCs w:val="24"/>
                <w:shd w:val="clear" w:color="auto" w:fill="FFFFFF"/>
                <w:lang w:val="en-US"/>
              </w:rPr>
              <w:t>declarație oficială</w:t>
            </w:r>
            <w:r w:rsidR="00C248BE" w:rsidRPr="0046108E">
              <w:rPr>
                <w:rFonts w:ascii="Times New Roman" w:hAnsi="Times New Roman"/>
                <w:sz w:val="24"/>
                <w:szCs w:val="24"/>
                <w:shd w:val="clear" w:color="auto" w:fill="FFFFFF"/>
                <w:lang w:val="en-US"/>
              </w:rPr>
              <w:t>” specifică despre</w:t>
            </w:r>
            <w:r w:rsidRPr="0046108E">
              <w:rPr>
                <w:rFonts w:ascii="Times New Roman" w:hAnsi="Times New Roman"/>
                <w:sz w:val="24"/>
                <w:szCs w:val="24"/>
                <w:shd w:val="clear" w:color="auto" w:fill="FFFFFF"/>
                <w:lang w:val="en-US"/>
              </w:rPr>
              <w:t xml:space="preserve"> certificatul fitosanitar, astfel cum este prevăzut la art.71; </w:t>
            </w:r>
            <w:r w:rsidR="00C248BE" w:rsidRPr="0046108E">
              <w:rPr>
                <w:rFonts w:ascii="Times New Roman" w:hAnsi="Times New Roman"/>
                <w:sz w:val="24"/>
                <w:szCs w:val="24"/>
                <w:shd w:val="clear" w:color="auto" w:fill="FFFFFF"/>
                <w:lang w:val="en-US"/>
              </w:rPr>
              <w:t xml:space="preserve">și </w:t>
            </w:r>
            <w:r w:rsidRPr="0046108E">
              <w:rPr>
                <w:rFonts w:ascii="Times New Roman" w:hAnsi="Times New Roman"/>
                <w:sz w:val="24"/>
                <w:szCs w:val="24"/>
                <w:shd w:val="clear" w:color="auto" w:fill="FFFFFF"/>
                <w:lang w:val="en-US"/>
              </w:rPr>
              <w:t>pașaportul fitosanitar, astf</w:t>
            </w:r>
            <w:r w:rsidR="00C248BE" w:rsidRPr="0046108E">
              <w:rPr>
                <w:rFonts w:ascii="Times New Roman" w:hAnsi="Times New Roman"/>
                <w:sz w:val="24"/>
                <w:szCs w:val="24"/>
                <w:shd w:val="clear" w:color="auto" w:fill="FFFFFF"/>
                <w:lang w:val="en-US"/>
              </w:rPr>
              <w:t xml:space="preserve">el cum este prevăzut la art.78 </w:t>
            </w:r>
            <w:r w:rsidRPr="0046108E">
              <w:rPr>
                <w:rFonts w:ascii="Times New Roman" w:hAnsi="Times New Roman"/>
                <w:sz w:val="24"/>
                <w:szCs w:val="24"/>
                <w:shd w:val="clear" w:color="auto" w:fill="FFFFFF"/>
                <w:lang w:val="en-US"/>
              </w:rPr>
              <w:t>din Legea nr. 422/2023 privind măsurile de protecție împotriva organismelor dăunătoare plantelor</w:t>
            </w:r>
            <w:r w:rsidR="00C248BE" w:rsidRPr="0046108E">
              <w:rPr>
                <w:rFonts w:ascii="Times New Roman" w:hAnsi="Times New Roman"/>
                <w:sz w:val="24"/>
                <w:szCs w:val="24"/>
                <w:shd w:val="clear" w:color="auto" w:fill="FFFFFF"/>
                <w:lang w:val="en-US"/>
              </w:rPr>
              <w:t>.</w:t>
            </w:r>
          </w:p>
        </w:tc>
      </w:tr>
      <w:tr w:rsidR="000A4B3B" w:rsidRPr="00753414" w14:paraId="4311002C" w14:textId="77777777" w:rsidTr="00BF2676">
        <w:trPr>
          <w:trHeight w:val="20"/>
        </w:trPr>
        <w:tc>
          <w:tcPr>
            <w:tcW w:w="3397" w:type="dxa"/>
            <w:vMerge/>
            <w:shd w:val="clear" w:color="auto" w:fill="auto"/>
            <w:vAlign w:val="center"/>
          </w:tcPr>
          <w:p w14:paraId="19B247CC" w14:textId="77777777"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D666DA1" w14:textId="0908C764" w:rsidR="00A961C1" w:rsidRPr="0046108E" w:rsidRDefault="00A961C1" w:rsidP="00845051">
            <w:pPr>
              <w:pStyle w:val="Listparagraf"/>
              <w:tabs>
                <w:tab w:val="left" w:pos="426"/>
                <w:tab w:val="left" w:pos="1196"/>
              </w:tabs>
              <w:spacing w:after="0" w:line="240" w:lineRule="auto"/>
              <w:ind w:left="0" w:right="110" w:firstLine="142"/>
              <w:rPr>
                <w:bCs/>
                <w:iCs/>
                <w:sz w:val="24"/>
                <w:szCs w:val="24"/>
                <w:lang w:val="ro-MD" w:eastAsia="en-US"/>
              </w:rPr>
            </w:pPr>
            <w:r w:rsidRPr="0046108E">
              <w:rPr>
                <w:bCs/>
                <w:iCs/>
                <w:sz w:val="24"/>
                <w:szCs w:val="24"/>
                <w:lang w:val="ro-MD" w:eastAsia="en-US"/>
              </w:rPr>
              <w:t>1</w:t>
            </w:r>
            <w:r w:rsidR="00092832" w:rsidRPr="0046108E">
              <w:rPr>
                <w:bCs/>
                <w:iCs/>
                <w:sz w:val="24"/>
                <w:szCs w:val="24"/>
                <w:lang w:val="ro-MD" w:eastAsia="en-US"/>
              </w:rPr>
              <w:t>6</w:t>
            </w:r>
            <w:r w:rsidRPr="0046108E">
              <w:rPr>
                <w:bCs/>
                <w:iCs/>
                <w:sz w:val="24"/>
                <w:szCs w:val="24"/>
                <w:lang w:val="ro-MD" w:eastAsia="en-US"/>
              </w:rPr>
              <w:t>.</w:t>
            </w:r>
          </w:p>
        </w:tc>
        <w:tc>
          <w:tcPr>
            <w:tcW w:w="6804" w:type="dxa"/>
            <w:shd w:val="clear" w:color="auto" w:fill="auto"/>
            <w:vAlign w:val="center"/>
          </w:tcPr>
          <w:p w14:paraId="6779171A" w14:textId="4D3790D1" w:rsidR="00A961C1" w:rsidRPr="0046108E" w:rsidRDefault="00A961C1" w:rsidP="00845051">
            <w:pPr>
              <w:pStyle w:val="NormalWeb"/>
              <w:ind w:right="110" w:firstLine="142"/>
              <w:contextualSpacing/>
              <w:jc w:val="left"/>
              <w:rPr>
                <w:bCs/>
                <w:iCs/>
                <w:lang w:val="ro-MD" w:eastAsia="en-US"/>
              </w:rPr>
            </w:pPr>
            <w:r w:rsidRPr="0046108E">
              <w:rPr>
                <w:lang w:val="ro-MD"/>
              </w:rPr>
              <w:t>La p. 1.2.3.5.14 și anexa la anexa nr. 22 se menționează cerințele fitosanitare ale Uniunii și se recomandă verificarea relevanței cuvintelor respective.</w:t>
            </w:r>
          </w:p>
        </w:tc>
        <w:tc>
          <w:tcPr>
            <w:tcW w:w="3123" w:type="dxa"/>
            <w:shd w:val="clear" w:color="auto" w:fill="auto"/>
            <w:vAlign w:val="center"/>
          </w:tcPr>
          <w:p w14:paraId="1F171D9B" w14:textId="77777777" w:rsidR="00AE2FB4" w:rsidRPr="0046108E" w:rsidRDefault="00AE2FB4" w:rsidP="00845051">
            <w:pPr>
              <w:pBdr>
                <w:top w:val="none" w:sz="4" w:space="0" w:color="000000"/>
                <w:left w:val="none" w:sz="4" w:space="0" w:color="000000"/>
                <w:bottom w:val="none" w:sz="4" w:space="0" w:color="000000"/>
                <w:right w:val="none" w:sz="4" w:space="0" w:color="000000"/>
              </w:pBd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 xml:space="preserve">Se acceptă. </w:t>
            </w:r>
          </w:p>
          <w:p w14:paraId="3CF94D23" w14:textId="54D78911" w:rsidR="00A961C1" w:rsidRPr="0046108E" w:rsidRDefault="00AE2FB4"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Au fost efectuate modificări.</w:t>
            </w:r>
          </w:p>
        </w:tc>
      </w:tr>
      <w:tr w:rsidR="000A4B3B" w:rsidRPr="00753414" w14:paraId="5AFAFE9A" w14:textId="77777777" w:rsidTr="00BF2676">
        <w:trPr>
          <w:trHeight w:val="20"/>
        </w:trPr>
        <w:tc>
          <w:tcPr>
            <w:tcW w:w="3397" w:type="dxa"/>
            <w:vMerge/>
            <w:shd w:val="clear" w:color="auto" w:fill="auto"/>
            <w:vAlign w:val="center"/>
          </w:tcPr>
          <w:p w14:paraId="4F27A942" w14:textId="77777777"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8A050AE" w14:textId="1DB58EFB" w:rsidR="00A961C1" w:rsidRPr="0046108E" w:rsidRDefault="00A961C1" w:rsidP="00845051">
            <w:pPr>
              <w:pStyle w:val="NormalWeb"/>
              <w:tabs>
                <w:tab w:val="left" w:pos="426"/>
              </w:tabs>
              <w:ind w:right="110" w:firstLine="142"/>
              <w:contextualSpacing/>
              <w:jc w:val="left"/>
              <w:rPr>
                <w:bCs/>
                <w:iCs/>
                <w:lang w:val="ro-MD" w:eastAsia="en-US"/>
              </w:rPr>
            </w:pPr>
            <w:r w:rsidRPr="0046108E">
              <w:rPr>
                <w:bCs/>
                <w:iCs/>
                <w:lang w:val="ro-MD" w:eastAsia="en-US"/>
              </w:rPr>
              <w:t>1</w:t>
            </w:r>
            <w:r w:rsidR="00092832" w:rsidRPr="0046108E">
              <w:rPr>
                <w:bCs/>
                <w:iCs/>
                <w:lang w:val="ro-MD" w:eastAsia="en-US"/>
              </w:rPr>
              <w:t>7</w:t>
            </w:r>
            <w:r w:rsidRPr="0046108E">
              <w:rPr>
                <w:bCs/>
                <w:iCs/>
                <w:lang w:val="ro-MD" w:eastAsia="en-US"/>
              </w:rPr>
              <w:t>.</w:t>
            </w:r>
          </w:p>
        </w:tc>
        <w:tc>
          <w:tcPr>
            <w:tcW w:w="6804" w:type="dxa"/>
            <w:shd w:val="clear" w:color="auto" w:fill="auto"/>
            <w:vAlign w:val="center"/>
          </w:tcPr>
          <w:p w14:paraId="3F9515DA" w14:textId="7AD86CC4" w:rsidR="00A961C1" w:rsidRPr="0046108E" w:rsidRDefault="00A961C1" w:rsidP="00845051">
            <w:pPr>
              <w:pStyle w:val="NormalWeb"/>
              <w:ind w:right="110" w:firstLine="142"/>
              <w:contextualSpacing/>
              <w:jc w:val="left"/>
              <w:rPr>
                <w:bCs/>
                <w:iCs/>
                <w:lang w:val="ro-MD" w:eastAsia="en-US"/>
              </w:rPr>
            </w:pPr>
            <w:r w:rsidRPr="0046108E">
              <w:rPr>
                <w:lang w:val="ro-MD"/>
              </w:rPr>
              <w:t xml:space="preserve">Anexa la anexa nr. 17 conține prevederi, conform cărora orice detectare a organismelor dăunătoare care prezintă motive de îngrijorare, în cursul controalelor efectuate în temeiul subpct. 1.3 și 2.1, conduce la eliminarea imediată de către ONPP a pepinierei de pe lista pepinierelor autorizate. ONPP nu poate reînnoi autorizația unei pepiniere eliminate de pe lista pepinierelor autorizate nu mai devreme decât în anul următor (pp. 1.7 și 1.8). Prevederile respective sunt discutabile, deoarece un act normativ al Republicii Moldova nu poate stabili obligații pentru o autoritate a altei țări și se recomandă reformularea acestor prevederi în sensul că se interzice introducerea plantelor în țară dacă nu s-au respectat cerințele de la aceste puncte. Recomandare valabilă și pentru anexa </w:t>
            </w:r>
            <w:r w:rsidRPr="0046108E">
              <w:rPr>
                <w:lang w:val="ro-MD"/>
              </w:rPr>
              <w:lastRenderedPageBreak/>
              <w:t>la anexa nr. 18 (pp. 6, 7, 8, 17), anexa nr. 21 (pp. 4.1,4.2, 4.3, 11), anexa nr. 22 (p. 4.3).</w:t>
            </w:r>
          </w:p>
        </w:tc>
        <w:tc>
          <w:tcPr>
            <w:tcW w:w="3123" w:type="dxa"/>
            <w:shd w:val="clear" w:color="auto" w:fill="auto"/>
            <w:vAlign w:val="center"/>
          </w:tcPr>
          <w:p w14:paraId="0BDE49A2" w14:textId="14199EEA" w:rsidR="00A961C1" w:rsidRPr="0046108E" w:rsidRDefault="00BA4D30"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lastRenderedPageBreak/>
              <w:t>S</w:t>
            </w:r>
            <w:r w:rsidR="00D12377" w:rsidRPr="0046108E">
              <w:rPr>
                <w:rFonts w:ascii="Times New Roman" w:hAnsi="Times New Roman"/>
                <w:sz w:val="24"/>
                <w:szCs w:val="24"/>
                <w:lang w:val="en-US" w:eastAsia="en-US"/>
              </w:rPr>
              <w:t>e acceptă</w:t>
            </w:r>
            <w:r w:rsidRPr="0046108E">
              <w:rPr>
                <w:rFonts w:ascii="Times New Roman" w:hAnsi="Times New Roman"/>
                <w:sz w:val="24"/>
                <w:szCs w:val="24"/>
                <w:lang w:val="en-US" w:eastAsia="en-US"/>
              </w:rPr>
              <w:t xml:space="preserve"> parțial</w:t>
            </w:r>
            <w:r w:rsidR="00D12377" w:rsidRPr="0046108E">
              <w:rPr>
                <w:rFonts w:ascii="Times New Roman" w:hAnsi="Times New Roman"/>
                <w:sz w:val="24"/>
                <w:szCs w:val="24"/>
                <w:lang w:val="en-US" w:eastAsia="en-US"/>
              </w:rPr>
              <w:t>.</w:t>
            </w:r>
          </w:p>
          <w:p w14:paraId="3508B783" w14:textId="65DEF197" w:rsidR="00D12377" w:rsidRPr="0046108E" w:rsidRDefault="00230C2D"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 xml:space="preserve">În conformitate cu prevederile </w:t>
            </w:r>
            <w:r w:rsidR="00DF2E8F" w:rsidRPr="0046108E">
              <w:rPr>
                <w:rFonts w:ascii="Times New Roman" w:hAnsi="Times New Roman"/>
                <w:sz w:val="24"/>
                <w:szCs w:val="24"/>
                <w:lang w:val="en-US" w:eastAsia="en-US"/>
              </w:rPr>
              <w:t>S</w:t>
            </w:r>
            <w:r w:rsidRPr="0046108E">
              <w:rPr>
                <w:rFonts w:ascii="Times New Roman" w:hAnsi="Times New Roman"/>
                <w:sz w:val="24"/>
                <w:szCs w:val="24"/>
                <w:lang w:val="en-US" w:eastAsia="en-US"/>
              </w:rPr>
              <w:t xml:space="preserve">tandardului Internațional pentru Măsuri Fitosanitare nr. 20 </w:t>
            </w:r>
            <w:r w:rsidR="00DF2E8F" w:rsidRPr="0046108E">
              <w:rPr>
                <w:rFonts w:ascii="Times New Roman" w:hAnsi="Times New Roman"/>
                <w:sz w:val="24"/>
                <w:szCs w:val="24"/>
                <w:lang w:val="en-US" w:eastAsia="en-US"/>
              </w:rPr>
              <w:t>–</w:t>
            </w:r>
            <w:r w:rsidRPr="0046108E">
              <w:rPr>
                <w:rFonts w:ascii="Times New Roman" w:hAnsi="Times New Roman"/>
                <w:sz w:val="24"/>
                <w:szCs w:val="24"/>
                <w:lang w:val="en-US" w:eastAsia="en-US"/>
              </w:rPr>
              <w:t xml:space="preserve"> </w:t>
            </w:r>
            <w:r w:rsidR="00DF2E8F" w:rsidRPr="0046108E">
              <w:rPr>
                <w:rFonts w:ascii="Times New Roman" w:hAnsi="Times New Roman"/>
                <w:sz w:val="24"/>
                <w:szCs w:val="24"/>
                <w:lang w:val="en-US" w:eastAsia="en-US"/>
              </w:rPr>
              <w:t>„</w:t>
            </w:r>
            <w:r w:rsidRPr="0046108E">
              <w:rPr>
                <w:rFonts w:ascii="Times New Roman" w:hAnsi="Times New Roman"/>
                <w:sz w:val="24"/>
                <w:szCs w:val="24"/>
                <w:lang w:val="en-US" w:eastAsia="en-US"/>
              </w:rPr>
              <w:t>Sistemul de reglementare fitosanitară a importurilor</w:t>
            </w:r>
            <w:r w:rsidR="00DF2E8F" w:rsidRPr="0046108E">
              <w:rPr>
                <w:rFonts w:ascii="Times New Roman" w:hAnsi="Times New Roman"/>
                <w:sz w:val="24"/>
                <w:szCs w:val="24"/>
                <w:lang w:val="en-US" w:eastAsia="en-US"/>
              </w:rPr>
              <w:t>”</w:t>
            </w:r>
            <w:r w:rsidRPr="0046108E">
              <w:rPr>
                <w:rFonts w:ascii="Times New Roman" w:hAnsi="Times New Roman"/>
                <w:sz w:val="24"/>
                <w:szCs w:val="24"/>
                <w:lang w:val="en-US" w:eastAsia="en-US"/>
              </w:rPr>
              <w:t>, î</w:t>
            </w:r>
            <w:r w:rsidR="00D12377" w:rsidRPr="0046108E">
              <w:rPr>
                <w:rFonts w:ascii="Times New Roman" w:hAnsi="Times New Roman"/>
                <w:sz w:val="24"/>
                <w:szCs w:val="24"/>
                <w:lang w:val="en-US" w:eastAsia="en-US"/>
              </w:rPr>
              <w:t xml:space="preserve">nainte de derularea exportului operatorul are obligația de a se informa despre cerințele fitosanitare impuse prin legislaţia în </w:t>
            </w:r>
            <w:r w:rsidR="00D12377" w:rsidRPr="0046108E">
              <w:rPr>
                <w:rFonts w:ascii="Times New Roman" w:hAnsi="Times New Roman"/>
                <w:sz w:val="24"/>
                <w:szCs w:val="24"/>
                <w:lang w:val="en-US" w:eastAsia="en-US"/>
              </w:rPr>
              <w:lastRenderedPageBreak/>
              <w:t>vigoare de către O</w:t>
            </w:r>
            <w:r w:rsidRPr="0046108E">
              <w:rPr>
                <w:rFonts w:ascii="Times New Roman" w:hAnsi="Times New Roman"/>
                <w:sz w:val="24"/>
                <w:szCs w:val="24"/>
                <w:lang w:val="en-US" w:eastAsia="en-US"/>
              </w:rPr>
              <w:t>rganizația Națională pentru Protecția Plantelor</w:t>
            </w:r>
            <w:r w:rsidR="00D12377" w:rsidRPr="0046108E">
              <w:rPr>
                <w:rFonts w:ascii="Times New Roman" w:hAnsi="Times New Roman"/>
                <w:sz w:val="24"/>
                <w:szCs w:val="24"/>
                <w:lang w:val="en-US" w:eastAsia="en-US"/>
              </w:rPr>
              <w:t xml:space="preserve"> din ţara de import.</w:t>
            </w:r>
          </w:p>
          <w:p w14:paraId="0CF59A3C" w14:textId="7A126FDE" w:rsidR="00CA0ECB" w:rsidRPr="0046108E" w:rsidRDefault="00230C2D"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 xml:space="preserve">Totodată, </w:t>
            </w:r>
            <w:r w:rsidR="00CA0ECB" w:rsidRPr="0046108E">
              <w:rPr>
                <w:rFonts w:ascii="Times New Roman" w:hAnsi="Times New Roman"/>
                <w:sz w:val="24"/>
                <w:szCs w:val="24"/>
                <w:lang w:val="en-US" w:eastAsia="en-US"/>
              </w:rPr>
              <w:t>Guvernele țărilor își păstrează dreptul suveran de a reglementa importurile pentru a atinge</w:t>
            </w:r>
            <w:r w:rsidRPr="0046108E">
              <w:rPr>
                <w:rFonts w:ascii="Times New Roman" w:hAnsi="Times New Roman"/>
                <w:sz w:val="24"/>
                <w:szCs w:val="24"/>
                <w:lang w:val="en-US" w:eastAsia="en-US"/>
              </w:rPr>
              <w:t xml:space="preserve"> </w:t>
            </w:r>
            <w:r w:rsidR="00CA0ECB" w:rsidRPr="0046108E">
              <w:rPr>
                <w:rFonts w:ascii="Times New Roman" w:hAnsi="Times New Roman"/>
                <w:sz w:val="24"/>
                <w:szCs w:val="24"/>
                <w:lang w:val="en-US" w:eastAsia="en-US"/>
              </w:rPr>
              <w:t>nivelul corespunzător de protecție, ținând seama în același timp de obligațiile lor internaționale.</w:t>
            </w:r>
          </w:p>
          <w:p w14:paraId="452AAA8A" w14:textId="77777777" w:rsidR="00CA0ECB"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Drepturile, obligațiile și responsabilitățile care decurg din acordurile internaționale, precum și</w:t>
            </w:r>
          </w:p>
          <w:p w14:paraId="10DD598F" w14:textId="1B8E87F3" w:rsidR="00230C2D"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 xml:space="preserve">principiile și standardele care decurg din acordurile internaționale, în special </w:t>
            </w:r>
          </w:p>
          <w:p w14:paraId="16C18C3B" w14:textId="305A8C17" w:rsidR="00CA0ECB"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Acordul privind aplicarea măsurilor sanitare și fitosanitare al Organizației Mondiale a Comerțului</w:t>
            </w:r>
          </w:p>
          <w:p w14:paraId="4FE0A910" w14:textId="5872E70F" w:rsidR="00CA0ECB" w:rsidRPr="0046108E" w:rsidRDefault="00230C2D"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 xml:space="preserve">(OMC, 1994), influențează </w:t>
            </w:r>
            <w:r w:rsidR="00CA0ECB" w:rsidRPr="0046108E">
              <w:rPr>
                <w:rFonts w:ascii="Times New Roman" w:hAnsi="Times New Roman"/>
                <w:sz w:val="24"/>
                <w:szCs w:val="24"/>
                <w:lang w:val="en-US" w:eastAsia="en-US"/>
              </w:rPr>
              <w:t>elaborarea și adoptarea reglementărilor fitosanitare</w:t>
            </w:r>
            <w:r w:rsidRPr="0046108E">
              <w:rPr>
                <w:rFonts w:ascii="Times New Roman" w:hAnsi="Times New Roman"/>
                <w:sz w:val="24"/>
                <w:szCs w:val="24"/>
                <w:lang w:val="en-US" w:eastAsia="en-US"/>
              </w:rPr>
              <w:t xml:space="preserve"> </w:t>
            </w:r>
            <w:r w:rsidR="00CA0ECB" w:rsidRPr="0046108E">
              <w:rPr>
                <w:rFonts w:ascii="Times New Roman" w:hAnsi="Times New Roman"/>
                <w:sz w:val="24"/>
                <w:szCs w:val="24"/>
                <w:lang w:val="en-US" w:eastAsia="en-US"/>
              </w:rPr>
              <w:t>privind importurile, aplicarea reglementărilor fitosanitare și activitățile operaționale care decurg din aceste</w:t>
            </w:r>
            <w:r w:rsidRPr="0046108E">
              <w:rPr>
                <w:rFonts w:ascii="Times New Roman" w:hAnsi="Times New Roman"/>
                <w:sz w:val="24"/>
                <w:szCs w:val="24"/>
                <w:lang w:val="en-US" w:eastAsia="en-US"/>
              </w:rPr>
              <w:t xml:space="preserve"> </w:t>
            </w:r>
            <w:r w:rsidR="00CA0ECB" w:rsidRPr="0046108E">
              <w:rPr>
                <w:rFonts w:ascii="Times New Roman" w:hAnsi="Times New Roman"/>
                <w:sz w:val="24"/>
                <w:szCs w:val="24"/>
                <w:lang w:val="en-US" w:eastAsia="en-US"/>
              </w:rPr>
              <w:t>reglementări.</w:t>
            </w:r>
          </w:p>
          <w:p w14:paraId="55BDDCF0" w14:textId="77777777" w:rsidR="00CA0ECB"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Părțile contractante nu trebuie să aplice în ceea ce privește importul de materiale supuse carantinei</w:t>
            </w:r>
          </w:p>
          <w:p w14:paraId="6FD1D766" w14:textId="77777777" w:rsidR="00CA0ECB"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lastRenderedPageBreak/>
              <w:t>măsuri fitosanitare, cum ar fi interdicții, restricții sau alte cerințe fitosanitare</w:t>
            </w:r>
          </w:p>
          <w:p w14:paraId="604159B1" w14:textId="77777777" w:rsidR="00CA0ECB"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de import, cu excepția cazului în care astfel de măsuri sunt necesare din motive fitosanitare</w:t>
            </w:r>
          </w:p>
          <w:p w14:paraId="0DFC5402" w14:textId="403028CA" w:rsidR="00CA0ECB" w:rsidRPr="0046108E" w:rsidRDefault="00CA0ECB" w:rsidP="00845051">
            <w:pPr>
              <w:shd w:val="clear" w:color="auto" w:fill="FFFFFF"/>
              <w:tabs>
                <w:tab w:val="left" w:pos="426"/>
              </w:tabs>
              <w:spacing w:after="0" w:line="240" w:lineRule="auto"/>
              <w:ind w:right="110" w:firstLine="142"/>
              <w:contextualSpacing/>
              <w:outlineLvl w:val="3"/>
              <w:rPr>
                <w:rFonts w:ascii="Times New Roman" w:hAnsi="Times New Roman"/>
                <w:sz w:val="24"/>
                <w:szCs w:val="24"/>
                <w:lang w:val="en-US" w:eastAsia="en-US"/>
              </w:rPr>
            </w:pPr>
            <w:r w:rsidRPr="0046108E">
              <w:rPr>
                <w:rFonts w:ascii="Times New Roman" w:hAnsi="Times New Roman"/>
                <w:sz w:val="24"/>
                <w:szCs w:val="24"/>
                <w:lang w:val="en-US" w:eastAsia="en-US"/>
              </w:rPr>
              <w:t>și sunt justific</w:t>
            </w:r>
            <w:r w:rsidR="00230C2D" w:rsidRPr="0046108E">
              <w:rPr>
                <w:rFonts w:ascii="Times New Roman" w:hAnsi="Times New Roman"/>
                <w:sz w:val="24"/>
                <w:szCs w:val="24"/>
                <w:lang w:val="en-US" w:eastAsia="en-US"/>
              </w:rPr>
              <w:t>ate din punct de vedere tehnic.”.</w:t>
            </w:r>
          </w:p>
          <w:p w14:paraId="6AF54BB9" w14:textId="183E76CE" w:rsidR="00F07E85" w:rsidRPr="0046108E" w:rsidRDefault="00230C2D"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La fel, potrivit art. 100 din Legea nr. 422/2023 ”</w:t>
            </w:r>
            <w:r w:rsidR="00F07E85" w:rsidRPr="0046108E">
              <w:rPr>
                <w:rFonts w:ascii="Times New Roman" w:hAnsi="Times New Roman"/>
                <w:sz w:val="24"/>
                <w:szCs w:val="24"/>
                <w:lang w:val="en-US" w:eastAsia="en-US"/>
              </w:rPr>
              <w:t>(1) În cazul în care pentru exportul unei plante, al unui produs vegetal sau al unui alt obiect de pe teritoriul Republicii Moldova către o altă țară este necesar un certificat fitosanitar impus de cerințele fitosanitare pentru import ale respectivei țări, autoritatea competentă eliberează, la cererea operatorului profesionist, un certificat fitosanitar de export dacă sunt îndeplinite cumulativ următoarele condiții:</w:t>
            </w:r>
          </w:p>
          <w:p w14:paraId="5F66EF91" w14:textId="2D395B71" w:rsidR="00F07E85" w:rsidRPr="0046108E" w:rsidRDefault="00F07E85"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a) operatorul profesionist este înregistrat de autoritatea competentă în conformitate cu art.</w:t>
            </w:r>
            <w:r w:rsidR="00DF2E8F" w:rsidRPr="0046108E">
              <w:rPr>
                <w:rFonts w:ascii="Times New Roman" w:hAnsi="Times New Roman"/>
                <w:sz w:val="24"/>
                <w:szCs w:val="24"/>
                <w:lang w:val="en-US" w:eastAsia="en-US"/>
              </w:rPr>
              <w:t xml:space="preserve"> </w:t>
            </w:r>
            <w:r w:rsidRPr="0046108E">
              <w:rPr>
                <w:rFonts w:ascii="Times New Roman" w:hAnsi="Times New Roman"/>
                <w:sz w:val="24"/>
                <w:szCs w:val="24"/>
                <w:lang w:val="en-US" w:eastAsia="en-US"/>
              </w:rPr>
              <w:t>65;</w:t>
            </w:r>
          </w:p>
          <w:p w14:paraId="0B017528" w14:textId="77777777" w:rsidR="00F07E85" w:rsidRPr="0046108E" w:rsidRDefault="00F07E85"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 xml:space="preserve">b) operatorul profesionist are în posesia sa planta, produsul vegetal sau alt </w:t>
            </w:r>
            <w:r w:rsidRPr="0046108E">
              <w:rPr>
                <w:rFonts w:ascii="Times New Roman" w:hAnsi="Times New Roman"/>
                <w:sz w:val="24"/>
                <w:szCs w:val="24"/>
                <w:lang w:val="en-US" w:eastAsia="en-US"/>
              </w:rPr>
              <w:lastRenderedPageBreak/>
              <w:t>obiect care urmează a fi exportat;</w:t>
            </w:r>
          </w:p>
          <w:p w14:paraId="51F82D16" w14:textId="77777777" w:rsidR="00F07E85" w:rsidRPr="0046108E" w:rsidRDefault="00F07E85"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c) se garantează că planta, produsul vegetal sau alt obiect respectă cerințele fitosanitare pentru import ale țării de destinație.</w:t>
            </w:r>
          </w:p>
          <w:p w14:paraId="0C75D44C" w14:textId="77777777" w:rsidR="00F07E85" w:rsidRPr="0046108E" w:rsidRDefault="00F07E85"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(3) Fără a aduce atingere obligațiilor stabilite în temeiul CIPP, certificatul fitosanitar de export se eliberează cu condiția ca informațiile disponibile să permită autorității competente să certifice conformitatea plantei, a produsului vegetal sau a altui obiect vizat cu cerințele fitosanitare pentru import ale țării de destinație și doar cu respectarea standardelor internațional</w:t>
            </w:r>
            <w:r w:rsidR="00DF2E8F" w:rsidRPr="0046108E">
              <w:rPr>
                <w:rFonts w:ascii="Times New Roman" w:hAnsi="Times New Roman"/>
                <w:sz w:val="24"/>
                <w:szCs w:val="24"/>
                <w:lang w:val="en-US" w:eastAsia="en-US"/>
              </w:rPr>
              <w:t>e pentru măsurile fitosanitare.”.</w:t>
            </w:r>
          </w:p>
          <w:p w14:paraId="566EAD8B" w14:textId="77777777" w:rsidR="00DF2E8F" w:rsidRPr="0046108E" w:rsidRDefault="00DF2E8F"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Ținând cont de cele expuse, se consideră necesară păstrarea acestor prevederi în actele normative naționale referitoare la importul de plante</w:t>
            </w:r>
            <w:r w:rsidR="00BE50EE" w:rsidRPr="0046108E">
              <w:rPr>
                <w:rFonts w:ascii="Times New Roman" w:hAnsi="Times New Roman"/>
                <w:sz w:val="24"/>
                <w:szCs w:val="24"/>
                <w:lang w:val="en-US" w:eastAsia="en-US"/>
              </w:rPr>
              <w:t xml:space="preserve"> cultivate în pepiniere autorizate, care să respecte cerințele fitosanitare impuse pentru acestea</w:t>
            </w:r>
            <w:r w:rsidRPr="0046108E">
              <w:rPr>
                <w:rFonts w:ascii="Times New Roman" w:hAnsi="Times New Roman"/>
                <w:sz w:val="24"/>
                <w:szCs w:val="24"/>
                <w:lang w:val="en-US" w:eastAsia="en-US"/>
              </w:rPr>
              <w:t xml:space="preserve">, întru a nu admite contaminarea </w:t>
            </w:r>
            <w:r w:rsidRPr="0046108E">
              <w:rPr>
                <w:rFonts w:ascii="Times New Roman" w:hAnsi="Times New Roman"/>
                <w:sz w:val="24"/>
                <w:szCs w:val="24"/>
                <w:lang w:val="en-US" w:eastAsia="en-US"/>
              </w:rPr>
              <w:lastRenderedPageBreak/>
              <w:t>teritoriului țării noastre cu diverse organisme dăunătoare plantelor.</w:t>
            </w:r>
          </w:p>
          <w:p w14:paraId="65FAA0E3" w14:textId="35B72B65" w:rsidR="005564CD" w:rsidRPr="0046108E" w:rsidRDefault="005564CD" w:rsidP="00845051">
            <w:pPr>
              <w:shd w:val="clear" w:color="auto" w:fill="FFFFFF"/>
              <w:spacing w:after="0" w:line="240" w:lineRule="auto"/>
              <w:ind w:right="110" w:firstLine="142"/>
              <w:contextualSpacing/>
              <w:rPr>
                <w:rFonts w:ascii="Times New Roman" w:hAnsi="Times New Roman"/>
                <w:sz w:val="24"/>
                <w:szCs w:val="24"/>
                <w:lang w:val="en-US" w:eastAsia="en-US"/>
              </w:rPr>
            </w:pPr>
            <w:r w:rsidRPr="0046108E">
              <w:rPr>
                <w:rFonts w:ascii="Times New Roman" w:hAnsi="Times New Roman"/>
                <w:sz w:val="24"/>
                <w:szCs w:val="24"/>
                <w:lang w:val="en-US" w:eastAsia="en-US"/>
              </w:rPr>
              <w:t>Complementar, este de menționat că Republica Moldova, fiind țară membră a OMC, pentru a asigura respectarea acordurilor și a preveni barierele comerciale netransparente, a notificat secretariatul OMC despre intenția de modificare a cadrului normative fitosanitar, iar până la moment, nu sunt careva obiecții din partea țărilor vizate în proiect.</w:t>
            </w:r>
          </w:p>
        </w:tc>
      </w:tr>
      <w:tr w:rsidR="000A4B3B" w:rsidRPr="0046108E" w14:paraId="63519ECF" w14:textId="77777777" w:rsidTr="00BF2676">
        <w:trPr>
          <w:trHeight w:val="20"/>
        </w:trPr>
        <w:tc>
          <w:tcPr>
            <w:tcW w:w="3397" w:type="dxa"/>
            <w:vMerge/>
            <w:shd w:val="clear" w:color="auto" w:fill="auto"/>
            <w:vAlign w:val="center"/>
          </w:tcPr>
          <w:p w14:paraId="477F268E" w14:textId="69BB8D1D"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4FB77AC" w14:textId="4819603E" w:rsidR="00A961C1" w:rsidRPr="0046108E" w:rsidRDefault="00A961C1" w:rsidP="00845051">
            <w:pPr>
              <w:pStyle w:val="NormalWeb"/>
              <w:tabs>
                <w:tab w:val="left" w:pos="426"/>
              </w:tabs>
              <w:ind w:right="110" w:firstLine="142"/>
              <w:contextualSpacing/>
              <w:jc w:val="left"/>
              <w:rPr>
                <w:bCs/>
                <w:iCs/>
                <w:lang w:val="ro-MD" w:eastAsia="en-US"/>
              </w:rPr>
            </w:pPr>
            <w:r w:rsidRPr="0046108E">
              <w:rPr>
                <w:bCs/>
                <w:iCs/>
                <w:lang w:val="ro-MD" w:eastAsia="en-US"/>
              </w:rPr>
              <w:t>1</w:t>
            </w:r>
            <w:r w:rsidR="00092832" w:rsidRPr="0046108E">
              <w:rPr>
                <w:bCs/>
                <w:iCs/>
                <w:lang w:val="ro-MD" w:eastAsia="en-US"/>
              </w:rPr>
              <w:t>8</w:t>
            </w:r>
            <w:r w:rsidRPr="0046108E">
              <w:rPr>
                <w:bCs/>
                <w:iCs/>
                <w:lang w:val="ro-MD" w:eastAsia="en-US"/>
              </w:rPr>
              <w:t>.</w:t>
            </w:r>
          </w:p>
        </w:tc>
        <w:tc>
          <w:tcPr>
            <w:tcW w:w="6804" w:type="dxa"/>
            <w:shd w:val="clear" w:color="auto" w:fill="auto"/>
            <w:vAlign w:val="center"/>
          </w:tcPr>
          <w:p w14:paraId="56ED861D" w14:textId="77777777" w:rsidR="00A961C1" w:rsidRPr="0046108E" w:rsidRDefault="00A961C1" w:rsidP="00845051">
            <w:pPr>
              <w:pStyle w:val="NormalWeb"/>
              <w:ind w:right="110" w:firstLine="142"/>
              <w:contextualSpacing/>
              <w:jc w:val="left"/>
              <w:rPr>
                <w:lang w:val="ro-MD"/>
              </w:rPr>
            </w:pPr>
            <w:r w:rsidRPr="0046108E">
              <w:rPr>
                <w:lang w:val="ro-MD"/>
              </w:rPr>
              <w:t>Evaluarea notei de fundamentare (analizei impactului de reglementare)</w:t>
            </w:r>
          </w:p>
          <w:p w14:paraId="20914CB3" w14:textId="77777777" w:rsidR="00A961C1" w:rsidRPr="0046108E" w:rsidRDefault="00A961C1" w:rsidP="00845051">
            <w:pPr>
              <w:pStyle w:val="NormalWeb"/>
              <w:ind w:right="110" w:firstLine="142"/>
              <w:contextualSpacing/>
              <w:jc w:val="left"/>
              <w:rPr>
                <w:lang w:val="ro-MD"/>
              </w:rPr>
            </w:pPr>
            <w:r w:rsidRPr="0046108E">
              <w:rPr>
                <w:lang w:val="ro-MD"/>
              </w:rPr>
              <w:t xml:space="preserve">• Condițiile ce au impus elaborarea proiectului actului normativ </w:t>
            </w:r>
          </w:p>
          <w:p w14:paraId="73F6FA96" w14:textId="01382AD3" w:rsidR="00A961C1" w:rsidRPr="0046108E" w:rsidRDefault="00A961C1" w:rsidP="00845051">
            <w:pPr>
              <w:pStyle w:val="NormalWeb"/>
              <w:ind w:right="110" w:firstLine="142"/>
              <w:contextualSpacing/>
              <w:jc w:val="left"/>
              <w:rPr>
                <w:rFonts w:eastAsia="Times New Roman"/>
                <w:bCs/>
                <w:iCs/>
                <w:lang w:val="ro-MD"/>
              </w:rPr>
            </w:pPr>
            <w:r w:rsidRPr="0046108E">
              <w:rPr>
                <w:lang w:val="ro-MD"/>
              </w:rPr>
              <w:t>La sub punctului 2.1 se recomandă de exclus al doilea alineat, deoarece nu este relevant pentru subpunctul respectiv.</w:t>
            </w:r>
          </w:p>
        </w:tc>
        <w:tc>
          <w:tcPr>
            <w:tcW w:w="3123" w:type="dxa"/>
            <w:shd w:val="clear" w:color="auto" w:fill="auto"/>
            <w:vAlign w:val="center"/>
          </w:tcPr>
          <w:p w14:paraId="23C8A43E" w14:textId="77057881" w:rsidR="00A961C1" w:rsidRPr="0046108E" w:rsidRDefault="00C248BE"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0A4B3B" w:rsidRPr="00753414" w14:paraId="60A79868" w14:textId="77777777" w:rsidTr="00BF2676">
        <w:trPr>
          <w:trHeight w:val="20"/>
        </w:trPr>
        <w:tc>
          <w:tcPr>
            <w:tcW w:w="3397" w:type="dxa"/>
            <w:vMerge/>
            <w:shd w:val="clear" w:color="auto" w:fill="auto"/>
            <w:vAlign w:val="center"/>
          </w:tcPr>
          <w:p w14:paraId="63AF805E" w14:textId="67FA6AE8"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7C6567D" w14:textId="31F9E497" w:rsidR="00A961C1" w:rsidRPr="0046108E" w:rsidRDefault="00A961C1" w:rsidP="00845051">
            <w:pPr>
              <w:pStyle w:val="NormalWeb"/>
              <w:tabs>
                <w:tab w:val="left" w:pos="426"/>
              </w:tabs>
              <w:ind w:right="110" w:firstLine="142"/>
              <w:contextualSpacing/>
              <w:jc w:val="left"/>
              <w:rPr>
                <w:bCs/>
                <w:iCs/>
                <w:lang w:val="ro-MD" w:eastAsia="en-US"/>
              </w:rPr>
            </w:pPr>
            <w:r w:rsidRPr="0046108E">
              <w:rPr>
                <w:bCs/>
                <w:iCs/>
                <w:lang w:val="ro-MD" w:eastAsia="en-US"/>
              </w:rPr>
              <w:t>1</w:t>
            </w:r>
            <w:r w:rsidR="00092832" w:rsidRPr="0046108E">
              <w:rPr>
                <w:bCs/>
                <w:iCs/>
                <w:lang w:val="ro-MD" w:eastAsia="en-US"/>
              </w:rPr>
              <w:t>9</w:t>
            </w:r>
            <w:r w:rsidRPr="0046108E">
              <w:rPr>
                <w:bCs/>
                <w:iCs/>
                <w:lang w:val="ro-MD" w:eastAsia="en-US"/>
              </w:rPr>
              <w:t>.</w:t>
            </w:r>
          </w:p>
        </w:tc>
        <w:tc>
          <w:tcPr>
            <w:tcW w:w="6804" w:type="dxa"/>
            <w:shd w:val="clear" w:color="auto" w:fill="auto"/>
            <w:vAlign w:val="center"/>
          </w:tcPr>
          <w:p w14:paraId="5EDC71C9" w14:textId="0409EC90" w:rsidR="00A961C1" w:rsidRPr="0046108E" w:rsidRDefault="00A961C1" w:rsidP="00845051">
            <w:pPr>
              <w:pStyle w:val="NormalWeb"/>
              <w:ind w:right="110" w:firstLine="142"/>
              <w:contextualSpacing/>
              <w:jc w:val="left"/>
              <w:rPr>
                <w:rFonts w:eastAsia="Times New Roman"/>
                <w:bCs/>
                <w:iCs/>
                <w:lang w:val="ro-MD"/>
              </w:rPr>
            </w:pPr>
            <w:r w:rsidRPr="0046108E">
              <w:rPr>
                <w:lang w:val="ro-MD"/>
              </w:rPr>
              <w:t>La sub punctului 2.2 este necesar de formulat clar și succint problema care se propune a fi soluționată. Reieșind din textul Notei de fundamentare problema poate fi definită ca risc de intrare, stabilire și răspândire a organismelor dăunătoare. De asemenea, se recomandă de inclus informație referitor la părțile interesate. Este prevăzut, că actele naționale de implementare a cerințelor fitosanitare vin întru completarea cadrului legislativ, prin punerea în aplicare cât mai eficientă a Legii nr. 422/2023. Prevederile respective necesită fi reformulate, deoarece un act normativ cu forță juridică inferioară legii nu poate completa Legea nr. 422/2023.</w:t>
            </w:r>
          </w:p>
        </w:tc>
        <w:tc>
          <w:tcPr>
            <w:tcW w:w="3123" w:type="dxa"/>
            <w:shd w:val="clear" w:color="auto" w:fill="auto"/>
            <w:vAlign w:val="center"/>
          </w:tcPr>
          <w:p w14:paraId="22F4219C" w14:textId="77777777" w:rsidR="00A961C1" w:rsidRPr="0046108E" w:rsidRDefault="00C536A8"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62A38B9D" w14:textId="1D4EF240" w:rsidR="00C536A8" w:rsidRPr="0046108E" w:rsidRDefault="00C536A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Da, problema identificată și este riscul de intrare, stabilire și răspândire a organismelor dăunătoare, iar proiectul propus este unul ce o va soluționa. </w:t>
            </w:r>
          </w:p>
          <w:p w14:paraId="78B053F8" w14:textId="368DA7C8" w:rsidR="00C536A8" w:rsidRPr="0046108E" w:rsidRDefault="00C536A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Referitor la părțile interesate, acestea sunt </w:t>
            </w:r>
            <w:r w:rsidR="005564CD" w:rsidRPr="0046108E">
              <w:rPr>
                <w:rFonts w:ascii="Times New Roman" w:hAnsi="Times New Roman"/>
                <w:sz w:val="24"/>
                <w:szCs w:val="24"/>
                <w:lang w:val="ro-MD"/>
              </w:rPr>
              <w:t xml:space="preserve">fermierii, companiile agricole, Guvernul cu instituțiile de reglementare </w:t>
            </w:r>
            <w:r w:rsidR="005564CD" w:rsidRPr="0046108E">
              <w:rPr>
                <w:rFonts w:ascii="Times New Roman" w:hAnsi="Times New Roman"/>
                <w:sz w:val="24"/>
                <w:szCs w:val="24"/>
                <w:lang w:val="ro-MD"/>
              </w:rPr>
              <w:lastRenderedPageBreak/>
              <w:t>și implementare, cercetătorii, consumatorii și organizațiile de mediu</w:t>
            </w:r>
            <w:r w:rsidRPr="0046108E">
              <w:rPr>
                <w:rFonts w:ascii="Times New Roman" w:hAnsi="Times New Roman"/>
                <w:sz w:val="24"/>
                <w:szCs w:val="24"/>
                <w:lang w:val="ro-MD"/>
              </w:rPr>
              <w:t xml:space="preserve"> și informația dată a fost inclusă în Nota de fundamentare</w:t>
            </w:r>
          </w:p>
          <w:p w14:paraId="64F330E4" w14:textId="479FF1A4" w:rsidR="00C536A8" w:rsidRPr="0046108E" w:rsidRDefault="00C536A8"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Pentru a face o claritate și a nu lăsa loc de interpretări, cuvintele „cadru legislativ” se vor înlocui cu cuvintele „cadru normativ”.</w:t>
            </w:r>
          </w:p>
        </w:tc>
      </w:tr>
      <w:tr w:rsidR="000A4B3B" w:rsidRPr="0046108E" w14:paraId="10CE29EA" w14:textId="77777777" w:rsidTr="00BF2676">
        <w:trPr>
          <w:trHeight w:val="20"/>
        </w:trPr>
        <w:tc>
          <w:tcPr>
            <w:tcW w:w="3397" w:type="dxa"/>
            <w:vMerge/>
            <w:shd w:val="clear" w:color="auto" w:fill="auto"/>
            <w:vAlign w:val="center"/>
          </w:tcPr>
          <w:p w14:paraId="4195904F" w14:textId="0ABA199E"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53FB040" w14:textId="32A4DB74" w:rsidR="00A961C1"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20</w:t>
            </w:r>
            <w:r w:rsidR="00A961C1" w:rsidRPr="0046108E">
              <w:rPr>
                <w:bCs/>
                <w:iCs/>
                <w:lang w:val="ro-MD" w:eastAsia="en-US"/>
              </w:rPr>
              <w:t>.</w:t>
            </w:r>
          </w:p>
        </w:tc>
        <w:tc>
          <w:tcPr>
            <w:tcW w:w="6804" w:type="dxa"/>
            <w:shd w:val="clear" w:color="auto" w:fill="auto"/>
            <w:vAlign w:val="center"/>
          </w:tcPr>
          <w:p w14:paraId="07D790C2" w14:textId="77777777" w:rsidR="00A961C1" w:rsidRPr="0046108E" w:rsidRDefault="00A961C1" w:rsidP="00845051">
            <w:pPr>
              <w:pStyle w:val="NormalWeb"/>
              <w:ind w:right="110" w:firstLine="142"/>
              <w:contextualSpacing/>
              <w:jc w:val="left"/>
              <w:rPr>
                <w:lang w:val="ro-MD"/>
              </w:rPr>
            </w:pPr>
            <w:r w:rsidRPr="0046108E">
              <w:rPr>
                <w:lang w:val="ro-MD"/>
              </w:rPr>
              <w:t xml:space="preserve">• Obiectivele urmărite şi soluțiile propuse </w:t>
            </w:r>
          </w:p>
          <w:p w14:paraId="21CDFEE4" w14:textId="73D917AC" w:rsidR="00A961C1" w:rsidRPr="0046108E" w:rsidRDefault="00A961C1" w:rsidP="00845051">
            <w:pPr>
              <w:pStyle w:val="NormalWeb"/>
              <w:ind w:right="110" w:firstLine="142"/>
              <w:contextualSpacing/>
              <w:jc w:val="left"/>
              <w:rPr>
                <w:rFonts w:eastAsia="Times New Roman"/>
                <w:bCs/>
                <w:iCs/>
                <w:lang w:val="ro-MD"/>
              </w:rPr>
            </w:pPr>
            <w:r w:rsidRPr="0046108E">
              <w:rPr>
                <w:lang w:val="ro-MD"/>
              </w:rPr>
              <w:t>La acest compartiment se recomandă de stabilit obiectivul/obiectivele în mod măsurabil, realist și fixat în timp și care trebuie să fie legate de problema definită.</w:t>
            </w:r>
          </w:p>
        </w:tc>
        <w:tc>
          <w:tcPr>
            <w:tcW w:w="3123" w:type="dxa"/>
            <w:shd w:val="clear" w:color="auto" w:fill="auto"/>
            <w:vAlign w:val="center"/>
          </w:tcPr>
          <w:p w14:paraId="15E1C1A2" w14:textId="1707EE69" w:rsidR="00A961C1" w:rsidRPr="0046108E" w:rsidRDefault="00DF2012" w:rsidP="00845051">
            <w:pPr>
              <w:pStyle w:val="Listparagraf"/>
              <w:tabs>
                <w:tab w:val="left" w:pos="426"/>
              </w:tabs>
              <w:spacing w:after="0" w:line="240" w:lineRule="auto"/>
              <w:ind w:left="0" w:right="110" w:firstLine="142"/>
              <w:rPr>
                <w:sz w:val="24"/>
                <w:szCs w:val="24"/>
                <w:lang w:val="ro-MD"/>
              </w:rPr>
            </w:pPr>
            <w:r w:rsidRPr="0046108E">
              <w:rPr>
                <w:sz w:val="24"/>
                <w:szCs w:val="24"/>
                <w:lang w:val="ro-MD"/>
              </w:rPr>
              <w:t>Se acceptă.</w:t>
            </w:r>
          </w:p>
        </w:tc>
      </w:tr>
      <w:tr w:rsidR="000A4B3B" w:rsidRPr="00753414" w14:paraId="01648FB1" w14:textId="77777777" w:rsidTr="00BF2676">
        <w:trPr>
          <w:trHeight w:val="20"/>
        </w:trPr>
        <w:tc>
          <w:tcPr>
            <w:tcW w:w="3397" w:type="dxa"/>
            <w:vMerge/>
            <w:shd w:val="clear" w:color="auto" w:fill="auto"/>
            <w:vAlign w:val="center"/>
          </w:tcPr>
          <w:p w14:paraId="1E8640DA" w14:textId="6BAA230F"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67394A1" w14:textId="4E453408" w:rsidR="00A961C1"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21</w:t>
            </w:r>
            <w:r w:rsidR="00A961C1" w:rsidRPr="0046108E">
              <w:rPr>
                <w:bCs/>
                <w:iCs/>
                <w:lang w:val="ro-MD" w:eastAsia="en-US"/>
              </w:rPr>
              <w:t>.</w:t>
            </w:r>
          </w:p>
        </w:tc>
        <w:tc>
          <w:tcPr>
            <w:tcW w:w="6804" w:type="dxa"/>
            <w:shd w:val="clear" w:color="auto" w:fill="auto"/>
            <w:vAlign w:val="center"/>
          </w:tcPr>
          <w:p w14:paraId="6A6E2056" w14:textId="77777777" w:rsidR="00A961C1" w:rsidRPr="0046108E" w:rsidRDefault="00A961C1" w:rsidP="00845051">
            <w:pPr>
              <w:pStyle w:val="NormalWeb"/>
              <w:ind w:right="110" w:firstLine="142"/>
              <w:contextualSpacing/>
              <w:jc w:val="left"/>
              <w:rPr>
                <w:lang w:val="ro-MD"/>
              </w:rPr>
            </w:pPr>
            <w:r w:rsidRPr="0046108E">
              <w:rPr>
                <w:lang w:val="ro-MD"/>
              </w:rPr>
              <w:t xml:space="preserve">• Analiza impactului de reglementare </w:t>
            </w:r>
          </w:p>
          <w:p w14:paraId="1F729CBA" w14:textId="7861910A" w:rsidR="00A961C1" w:rsidRPr="0046108E" w:rsidRDefault="00A961C1" w:rsidP="00845051">
            <w:pPr>
              <w:pStyle w:val="NormalWeb"/>
              <w:ind w:right="110" w:firstLine="142"/>
              <w:contextualSpacing/>
              <w:jc w:val="left"/>
              <w:rPr>
                <w:rFonts w:eastAsia="Times New Roman"/>
                <w:lang w:val="ro-MD"/>
              </w:rPr>
            </w:pPr>
            <w:r w:rsidRPr="0046108E">
              <w:rPr>
                <w:lang w:val="ro-MD"/>
              </w:rPr>
              <w:t xml:space="preserve">La sub punctul 4.3 este prevăzut, că proiectul nu presupune careva costuri de conformare din partea operatorilor economici. Totuși, la sub punctul 4.2 este prevăzut că operatorii care practică activități de import/export a mărfurilor de origine vegetală trebuie să fie conștienți despre obligativitatea respectării cerințelor fitosanitare, cerințe care sunt impuse la nivel european și internațional, întru neadmiterea introducerii și răspândirii organismelor dăunătoare pe teritoriul țării. Se recomandă prezentarea informației referitor la costurile suportate pentru respectarea cerințelor fitosanitare. </w:t>
            </w:r>
          </w:p>
        </w:tc>
        <w:tc>
          <w:tcPr>
            <w:tcW w:w="3123" w:type="dxa"/>
            <w:shd w:val="clear" w:color="auto" w:fill="auto"/>
            <w:vAlign w:val="center"/>
          </w:tcPr>
          <w:p w14:paraId="7317FEA4" w14:textId="77777777" w:rsidR="00A961C1" w:rsidRPr="0046108E" w:rsidRDefault="00DC32CE" w:rsidP="00845051">
            <w:pPr>
              <w:pStyle w:val="Listparagraf"/>
              <w:tabs>
                <w:tab w:val="left" w:pos="426"/>
              </w:tabs>
              <w:spacing w:after="0" w:line="240" w:lineRule="auto"/>
              <w:ind w:left="0" w:right="110" w:firstLine="142"/>
              <w:rPr>
                <w:b/>
                <w:sz w:val="24"/>
                <w:szCs w:val="24"/>
                <w:lang w:val="ro-MD"/>
              </w:rPr>
            </w:pPr>
            <w:r w:rsidRPr="0046108E">
              <w:rPr>
                <w:b/>
                <w:sz w:val="24"/>
                <w:szCs w:val="24"/>
                <w:lang w:val="ro-MD"/>
              </w:rPr>
              <w:t>Se acceptă parțial.</w:t>
            </w:r>
          </w:p>
          <w:p w14:paraId="31255CC4" w14:textId="5D6A801E" w:rsidR="00DC32CE" w:rsidRPr="0046108E" w:rsidRDefault="00DC32CE" w:rsidP="00845051">
            <w:pPr>
              <w:pStyle w:val="Listparagraf"/>
              <w:tabs>
                <w:tab w:val="left" w:pos="426"/>
              </w:tabs>
              <w:spacing w:after="0" w:line="240" w:lineRule="auto"/>
              <w:ind w:left="0" w:right="110" w:firstLine="142"/>
              <w:rPr>
                <w:sz w:val="24"/>
                <w:szCs w:val="24"/>
                <w:lang w:val="ro-MD"/>
              </w:rPr>
            </w:pPr>
            <w:r w:rsidRPr="0046108E">
              <w:rPr>
                <w:sz w:val="24"/>
                <w:szCs w:val="24"/>
                <w:lang w:val="ro-MD"/>
              </w:rPr>
              <w:t>Careva costuri exacte care pot fi suportate de către agenții economici pentru respectarea cerințelor fitosanitare nu sunt reale de a fi prezentate, deo</w:t>
            </w:r>
            <w:r w:rsidR="00977E07" w:rsidRPr="0046108E">
              <w:rPr>
                <w:sz w:val="24"/>
                <w:szCs w:val="24"/>
                <w:lang w:val="ro-MD"/>
              </w:rPr>
              <w:t>a</w:t>
            </w:r>
            <w:r w:rsidRPr="0046108E">
              <w:rPr>
                <w:sz w:val="24"/>
                <w:szCs w:val="24"/>
                <w:lang w:val="ro-MD"/>
              </w:rPr>
              <w:t xml:space="preserve">rece, acestea pot fi alocate pentru combaterea integrată, care se bazează pe elemente, precum: evidența dăunătorilor; dinamica dezvoltării lor; prevederea sau prognoza evoluţiei lor; avertizarea stropirilor biologice sau chimice la timp și </w:t>
            </w:r>
            <w:r w:rsidR="00977E07" w:rsidRPr="0046108E">
              <w:rPr>
                <w:sz w:val="24"/>
                <w:szCs w:val="24"/>
                <w:lang w:val="ro-MD"/>
              </w:rPr>
              <w:t>eficiente</w:t>
            </w:r>
            <w:r w:rsidRPr="0046108E">
              <w:rPr>
                <w:sz w:val="24"/>
                <w:szCs w:val="24"/>
                <w:lang w:val="ro-MD"/>
              </w:rPr>
              <w:t xml:space="preserve">, condițiile climaterice și stabilirea corectă a pragului economic </w:t>
            </w:r>
            <w:r w:rsidRPr="0046108E">
              <w:rPr>
                <w:sz w:val="24"/>
                <w:szCs w:val="24"/>
                <w:lang w:val="ro-MD"/>
              </w:rPr>
              <w:lastRenderedPageBreak/>
              <w:t>de dăunare</w:t>
            </w:r>
            <w:r w:rsidR="00977E07" w:rsidRPr="0046108E">
              <w:rPr>
                <w:sz w:val="24"/>
                <w:szCs w:val="24"/>
                <w:lang w:val="ro-MD"/>
              </w:rPr>
              <w:t>, acestea fiind diferite de la o plantă la alta și de la un an la altul</w:t>
            </w:r>
            <w:r w:rsidRPr="0046108E">
              <w:rPr>
                <w:sz w:val="24"/>
                <w:szCs w:val="24"/>
                <w:lang w:val="ro-MD"/>
              </w:rPr>
              <w:t>.</w:t>
            </w:r>
          </w:p>
        </w:tc>
      </w:tr>
      <w:tr w:rsidR="000A4B3B" w:rsidRPr="0046108E" w14:paraId="6335D982" w14:textId="77777777" w:rsidTr="00BF2676">
        <w:trPr>
          <w:trHeight w:val="20"/>
        </w:trPr>
        <w:tc>
          <w:tcPr>
            <w:tcW w:w="3397" w:type="dxa"/>
            <w:vMerge/>
            <w:shd w:val="clear" w:color="auto" w:fill="auto"/>
            <w:vAlign w:val="center"/>
          </w:tcPr>
          <w:p w14:paraId="6CF3AEF6" w14:textId="7A90DFC5"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B8C0ACD" w14:textId="4FE9F491" w:rsidR="00A961C1"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22.</w:t>
            </w:r>
          </w:p>
        </w:tc>
        <w:tc>
          <w:tcPr>
            <w:tcW w:w="6804" w:type="dxa"/>
            <w:shd w:val="clear" w:color="auto" w:fill="auto"/>
            <w:vAlign w:val="center"/>
          </w:tcPr>
          <w:p w14:paraId="268748FE" w14:textId="243B6305" w:rsidR="00A961C1" w:rsidRPr="0046108E" w:rsidRDefault="00A961C1" w:rsidP="00845051">
            <w:pPr>
              <w:pStyle w:val="NormalWeb"/>
              <w:ind w:right="110" w:firstLine="142"/>
              <w:contextualSpacing/>
              <w:jc w:val="left"/>
              <w:rPr>
                <w:lang w:val="ro-MD"/>
              </w:rPr>
            </w:pPr>
            <w:r w:rsidRPr="0046108E">
              <w:rPr>
                <w:lang w:val="ro-MD"/>
              </w:rPr>
              <w:t xml:space="preserve">Compartimentul prevede, că în Uniunea Europeană, pierderile economice cauzate de dăunători pot ajunge la zeci de miliarde de euro anual (4.4). Datele globale arată că pierderile de culturi din cauza dăunătorilor și bolilor sunt substanțiale, de exemplu, un organism poate afecta chiar 40% din producția globală de culturi. Organizația pentru Alimentație și Agricultură a Națiunilor Unite (FAO) estimează că, anual, pierderile globale de culturi cauzate de bolile plantelor și dăunători sunt semnificative, ajungând chiar la 40% din producția totală (4.5). Se recomandă de prezentat sursa acestor informații. </w:t>
            </w:r>
          </w:p>
        </w:tc>
        <w:tc>
          <w:tcPr>
            <w:tcW w:w="3123" w:type="dxa"/>
            <w:shd w:val="clear" w:color="auto" w:fill="auto"/>
            <w:vAlign w:val="center"/>
          </w:tcPr>
          <w:p w14:paraId="2F080F0B" w14:textId="6830EC51" w:rsidR="00A961C1" w:rsidRPr="0046108E" w:rsidRDefault="00092832" w:rsidP="00845051">
            <w:pPr>
              <w:pStyle w:val="Listparagraf"/>
              <w:tabs>
                <w:tab w:val="left" w:pos="426"/>
              </w:tabs>
              <w:spacing w:after="0" w:line="240" w:lineRule="auto"/>
              <w:ind w:left="0" w:right="110" w:firstLine="142"/>
              <w:rPr>
                <w:b/>
                <w:sz w:val="24"/>
                <w:szCs w:val="24"/>
                <w:lang w:val="ro-MD"/>
              </w:rPr>
            </w:pPr>
            <w:r w:rsidRPr="0046108E">
              <w:rPr>
                <w:b/>
                <w:sz w:val="24"/>
                <w:szCs w:val="24"/>
                <w:lang w:val="ro-MD"/>
              </w:rPr>
              <w:t>Se acceptă.</w:t>
            </w:r>
          </w:p>
        </w:tc>
      </w:tr>
      <w:tr w:rsidR="000A4B3B" w:rsidRPr="00753414" w14:paraId="47298DC2" w14:textId="77777777" w:rsidTr="00BF2676">
        <w:trPr>
          <w:trHeight w:val="20"/>
        </w:trPr>
        <w:tc>
          <w:tcPr>
            <w:tcW w:w="3397" w:type="dxa"/>
            <w:vMerge/>
            <w:shd w:val="clear" w:color="auto" w:fill="auto"/>
            <w:vAlign w:val="center"/>
          </w:tcPr>
          <w:p w14:paraId="6D5412A2" w14:textId="77777777" w:rsidR="00A961C1" w:rsidRPr="0046108E" w:rsidRDefault="00A961C1"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D5BB841" w14:textId="5D583A76" w:rsidR="00A961C1"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23.</w:t>
            </w:r>
          </w:p>
        </w:tc>
        <w:tc>
          <w:tcPr>
            <w:tcW w:w="6804" w:type="dxa"/>
            <w:shd w:val="clear" w:color="auto" w:fill="auto"/>
            <w:vAlign w:val="center"/>
          </w:tcPr>
          <w:p w14:paraId="52B86290" w14:textId="6599AF9C" w:rsidR="00A961C1" w:rsidRPr="0046108E" w:rsidRDefault="00A961C1" w:rsidP="00845051">
            <w:pPr>
              <w:pStyle w:val="NormalWeb"/>
              <w:ind w:right="110" w:firstLine="142"/>
              <w:contextualSpacing/>
              <w:jc w:val="left"/>
              <w:rPr>
                <w:lang w:val="ro-MD"/>
              </w:rPr>
            </w:pPr>
            <w:r w:rsidRPr="0046108E">
              <w:rPr>
                <w:lang w:val="ro-MD"/>
              </w:rPr>
              <w:t>Avizarea și consultarea publică a proiectului actului normativ La acest compartiment se recomandă prezentarea informației referitor la comentariile parvenite urmare plasării proiectului și Note de fundamentare spre consultare. Totodată, se recomandă organizarea consultărilor publice a proiectului și Notei de fundamentare cu reprezentanții mediului de afaceri, fiind expuse rezultatele acestor consultări.</w:t>
            </w:r>
          </w:p>
        </w:tc>
        <w:tc>
          <w:tcPr>
            <w:tcW w:w="3123" w:type="dxa"/>
            <w:shd w:val="clear" w:color="auto" w:fill="auto"/>
            <w:vAlign w:val="center"/>
          </w:tcPr>
          <w:p w14:paraId="2FDB760E" w14:textId="114CC145" w:rsidR="00A961C1" w:rsidRPr="0046108E" w:rsidRDefault="00092832" w:rsidP="00845051">
            <w:pPr>
              <w:pStyle w:val="Listparagraf"/>
              <w:tabs>
                <w:tab w:val="left" w:pos="426"/>
              </w:tabs>
              <w:spacing w:after="0" w:line="240" w:lineRule="auto"/>
              <w:ind w:left="0" w:right="110" w:firstLine="142"/>
              <w:rPr>
                <w:b/>
                <w:sz w:val="24"/>
                <w:szCs w:val="24"/>
                <w:lang w:val="ro-MD"/>
              </w:rPr>
            </w:pPr>
            <w:r w:rsidRPr="0046108E">
              <w:rPr>
                <w:b/>
                <w:sz w:val="24"/>
                <w:szCs w:val="24"/>
                <w:lang w:val="ro-MD"/>
              </w:rPr>
              <w:t>Se acceptă parțial.</w:t>
            </w:r>
          </w:p>
          <w:p w14:paraId="45FBD740" w14:textId="2591254F" w:rsidR="00092832" w:rsidRPr="0046108E" w:rsidRDefault="00092832" w:rsidP="00845051">
            <w:pPr>
              <w:pStyle w:val="Listparagraf"/>
              <w:tabs>
                <w:tab w:val="left" w:pos="426"/>
              </w:tabs>
              <w:spacing w:after="0" w:line="240" w:lineRule="auto"/>
              <w:ind w:left="0" w:right="110" w:firstLine="142"/>
              <w:rPr>
                <w:sz w:val="24"/>
                <w:szCs w:val="24"/>
                <w:lang w:val="ro-MD"/>
              </w:rPr>
            </w:pPr>
            <w:r w:rsidRPr="0046108E">
              <w:rPr>
                <w:sz w:val="24"/>
                <w:szCs w:val="24"/>
                <w:lang w:val="ro-MD" w:eastAsia="ro-RO"/>
              </w:rPr>
              <w:t xml:space="preserve">Proiectul </w:t>
            </w:r>
            <w:r w:rsidRPr="0046108E">
              <w:rPr>
                <w:sz w:val="24"/>
                <w:szCs w:val="24"/>
                <w:lang w:val="ro-MD"/>
              </w:rPr>
              <w:t xml:space="preserve">însoțit de nota de fundamentare a fost transmis, în conformitate cu art. 8 lit. b) și c) din Legea nr. </w:t>
            </w:r>
            <w:hyperlink w:history="1">
              <w:r w:rsidRPr="0046108E">
                <w:rPr>
                  <w:sz w:val="24"/>
                  <w:szCs w:val="24"/>
                  <w:lang w:val="ro-MD"/>
                </w:rPr>
                <w:t>239/2008 privind transparența în procesul decizional</w:t>
              </w:r>
            </w:hyperlink>
            <w:r w:rsidRPr="0046108E">
              <w:rPr>
                <w:sz w:val="24"/>
                <w:szCs w:val="24"/>
                <w:lang w:val="ro-MD"/>
              </w:rPr>
              <w:t>, spre consultare mediului de afaceri și celui științific.</w:t>
            </w:r>
          </w:p>
          <w:p w14:paraId="06AA1D0F" w14:textId="0CA66BB9" w:rsidR="00092832" w:rsidRPr="0046108E" w:rsidRDefault="00092832" w:rsidP="00845051">
            <w:pPr>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Potrivit avizelor recepționate de la instituțiile de cercetare, se comunică susținerea proiectului și disponibilitatea de a colabora cu Ministerul și cu Agenția Națională pentru Siguranța Alimentelor, în procesul de implementare, testare şi monitorizare a noilor măsuri, inclusiv prin </w:t>
            </w:r>
            <w:r w:rsidRPr="0046108E">
              <w:rPr>
                <w:rFonts w:ascii="Times New Roman" w:hAnsi="Times New Roman"/>
                <w:sz w:val="24"/>
                <w:szCs w:val="24"/>
                <w:lang w:val="ro-MD"/>
              </w:rPr>
              <w:lastRenderedPageBreak/>
              <w:t>expertiză ştiinţifică şi suport metodologic.</w:t>
            </w:r>
          </w:p>
        </w:tc>
      </w:tr>
      <w:tr w:rsidR="000A4B3B" w:rsidRPr="00753414" w14:paraId="7A0A047B" w14:textId="77777777" w:rsidTr="00BF2676">
        <w:trPr>
          <w:trHeight w:val="20"/>
        </w:trPr>
        <w:tc>
          <w:tcPr>
            <w:tcW w:w="3397" w:type="dxa"/>
            <w:shd w:val="clear" w:color="auto" w:fill="auto"/>
            <w:vAlign w:val="center"/>
          </w:tcPr>
          <w:p w14:paraId="1EC1BAB8" w14:textId="697D82CC" w:rsidR="00371B62" w:rsidRPr="0046108E" w:rsidRDefault="000034B1"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lastRenderedPageBreak/>
              <w:t>IP Institutul Național de Cercetări Aplicative în Agricultură și Medicină Veterinară</w:t>
            </w:r>
            <w:r w:rsidR="00371B62" w:rsidRPr="0046108E">
              <w:rPr>
                <w:rFonts w:ascii="Times New Roman" w:hAnsi="Times New Roman"/>
                <w:sz w:val="24"/>
                <w:szCs w:val="24"/>
                <w:lang w:val="ro-MD"/>
              </w:rPr>
              <w:t>, scrisoarea nr. 659 din 20.10.2025</w:t>
            </w:r>
          </w:p>
        </w:tc>
        <w:tc>
          <w:tcPr>
            <w:tcW w:w="1271" w:type="dxa"/>
            <w:vAlign w:val="center"/>
          </w:tcPr>
          <w:p w14:paraId="0924F59F" w14:textId="1CC7AE44" w:rsidR="007B22D6"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24.</w:t>
            </w:r>
          </w:p>
        </w:tc>
        <w:tc>
          <w:tcPr>
            <w:tcW w:w="6804" w:type="dxa"/>
            <w:shd w:val="clear" w:color="auto" w:fill="auto"/>
            <w:vAlign w:val="center"/>
          </w:tcPr>
          <w:p w14:paraId="59B46205"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În baza scrisorii Ministerului Agriculturii şi Industriei Alimentare nr. 09-07/127/2786 din 06.10.2025, Institutul Naţional de Cercetări Aplicative în Agricultură şi Medicină Veterinară (INCAAMV) a examinat proiectul de hotărâre a Guvernului privind modificarea Hotărârii Guvernului. nr. 679/2024 pentru aprobarea „Regulamentului privind aplicarea măsurilor de protecţie împotriva organismelor dăunătoare plantelor”, precum şi nota de fundamentare aferentă. Documentele prezentate vizează armonizarea cadrului normativ naţional cu reglementările europene actualizate în domeniul fitosanitar, inclusiv transpunerea mai multor Regulamente de punere în aplicare (UE), printre care:(UE) 2019/2072, (UE) 2023/1310, (UE) 2024/2852, (UE) 2025/659, (UE) 2025/1078 şi (UE) 2025/1082</w:t>
            </w:r>
            <w:r w:rsidR="00744B50" w:rsidRPr="0046108E">
              <w:rPr>
                <w:sz w:val="24"/>
                <w:szCs w:val="24"/>
                <w:lang w:val="ro-MD"/>
              </w:rPr>
              <w:t>.</w:t>
            </w:r>
          </w:p>
          <w:p w14:paraId="67BAA86F"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Conform materialelor analizate, principalele argumente care justifică modificarea HG nr. 679/2024 sunt: </w:t>
            </w:r>
          </w:p>
          <w:p w14:paraId="707306A3"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alinierea la reglementările comunitare actualizate privind lista organismelor de carantină şi condiţiile de import pentru materialul vegetal; </w:t>
            </w:r>
          </w:p>
          <w:p w14:paraId="34D7F2AC"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adaptarea legislaţiei la evoluţiile ştiinţifice recente privind biologia, distribuţia şi riscurile organismelor dăunătoare; </w:t>
            </w:r>
          </w:p>
          <w:p w14:paraId="2B4F5863"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asigurarea aplicării uniforme a Legii nr. 422/2023 privind măsurile de protecţie împotriva organismelor dăunătoare plantelor. </w:t>
            </w:r>
          </w:p>
          <w:p w14:paraId="4DDCF6FB"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Totodată, proiectul asigură transpunerea noilor derogări europene referitoare la introducerea pe teritoriul ţării a anumitor plante, produse vegetale şi materiale de înmulţire, pentru a evita blocaje comerciale nejustificate şi pentru a asigura securitatea fitosanitară în comerţul internaţional. </w:t>
            </w:r>
          </w:p>
          <w:p w14:paraId="497869B8"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Aceste modificări se înscriu în obiectivele Programului Naţional de Aderare a Republicii Moldova la Uniunea Europeană pentru anii 2025-2029 (HG nr. 306/2025) şi ale Planului Naţional de Reglementări pentru anul 2026 (HG nr. 841/2024). </w:t>
            </w:r>
          </w:p>
          <w:p w14:paraId="0DC1279E" w14:textId="35284988" w:rsidR="00744B50" w:rsidRPr="0046108E" w:rsidRDefault="00744B50"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lastRenderedPageBreak/>
              <w:t>Î</w:t>
            </w:r>
            <w:r w:rsidR="0082487A" w:rsidRPr="0046108E">
              <w:rPr>
                <w:sz w:val="24"/>
                <w:szCs w:val="24"/>
                <w:lang w:val="ro-MD"/>
              </w:rPr>
              <w:t xml:space="preserve">n urma examinării proiectului de hotărâre şi notei de </w:t>
            </w:r>
            <w:r w:rsidR="000D04C0" w:rsidRPr="0046108E">
              <w:rPr>
                <w:sz w:val="24"/>
                <w:szCs w:val="24"/>
                <w:lang w:val="ro-MD"/>
              </w:rPr>
              <w:t>f</w:t>
            </w:r>
            <w:r w:rsidR="0082487A" w:rsidRPr="0046108E">
              <w:rPr>
                <w:sz w:val="24"/>
                <w:szCs w:val="24"/>
                <w:lang w:val="ro-MD"/>
              </w:rPr>
              <w:t>undamentare transmise de către MAIA s-a constat că modificările propuse la Hotărârea Guvernului nr. 679/2024 sunt justificate din punct de vedere ştiinţific şi normativ, având ca scop armonizarea cadrului fitosanitar naţional cu legislaţia Uniunii Europene (m spe</w:t>
            </w:r>
            <w:r w:rsidR="000D04C0" w:rsidRPr="0046108E">
              <w:rPr>
                <w:sz w:val="24"/>
                <w:szCs w:val="24"/>
                <w:lang w:val="ro-MD"/>
              </w:rPr>
              <w:t>cial Regulamentele de punere în</w:t>
            </w:r>
            <w:r w:rsidR="0082487A" w:rsidRPr="0046108E">
              <w:rPr>
                <w:sz w:val="24"/>
                <w:szCs w:val="24"/>
                <w:lang w:val="ro-MD"/>
              </w:rPr>
              <w:t xml:space="preserve"> aplicare (UE) 2019/2072</w:t>
            </w:r>
            <w:r w:rsidR="000D04C0" w:rsidRPr="0046108E">
              <w:rPr>
                <w:sz w:val="24"/>
                <w:szCs w:val="24"/>
                <w:lang w:val="ro-MD"/>
              </w:rPr>
              <w:t>,</w:t>
            </w:r>
            <w:r w:rsidR="0082487A" w:rsidRPr="0046108E">
              <w:rPr>
                <w:sz w:val="24"/>
                <w:szCs w:val="24"/>
                <w:lang w:val="ro-MD"/>
              </w:rPr>
              <w:t xml:space="preserve"> (UE) 2025/659, (UE) 2025/1078, (UE) 2025/1082 ş.a.). </w:t>
            </w:r>
          </w:p>
          <w:p w14:paraId="5C7F88E6"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Examinarea anexelor a proiectului modificat evidenţiază o actualizare substanţială a listei organismelor dăunătoare de carantină (Anexa nr. 2), care cuprinde peste 400 de specii, dintre care aproximativ 50 reprezintă noi organisme introduse pe baza datelor OEPP (EPPO Global Database) şi ale Autorităţii Europene pentru Siguranţa Alimentară (EFSA). </w:t>
            </w:r>
          </w:p>
          <w:p w14:paraId="44C75C3B"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Proiectul vizează, regimul de introducere pe teritoriul Republicii Moldova al anumitor plante/material săditor, tuberculi, furnir din specii de Acer L., butaşi fără rădăcini de Calibrachoa spp. şi Petunia spp., precum şi al plantelor cu creştere inhibată natural sau artificial de Chamaecyparis, Juniperus şi anumite soiuri de Pinus, în concordanţă cu regulamentele UE de derogare şi transpunere. </w:t>
            </w:r>
          </w:p>
          <w:p w14:paraId="7ACF1956" w14:textId="77777777" w:rsidR="00744B50"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INCAAMV consideră această actualizare oportună şi justificată, întrucât: </w:t>
            </w:r>
          </w:p>
          <w:p w14:paraId="060872B3" w14:textId="66D60070" w:rsidR="00744B50" w:rsidRPr="0046108E" w:rsidRDefault="0082487A" w:rsidP="00845051">
            <w:pPr>
              <w:pStyle w:val="Listparagraf"/>
              <w:numPr>
                <w:ilvl w:val="0"/>
                <w:numId w:val="18"/>
              </w:numPr>
              <w:tabs>
                <w:tab w:val="left" w:pos="457"/>
              </w:tabs>
              <w:spacing w:after="0" w:line="240" w:lineRule="auto"/>
              <w:ind w:left="0" w:right="110" w:firstLine="142"/>
              <w:rPr>
                <w:rFonts w:eastAsiaTheme="minorHAnsi"/>
                <w:sz w:val="24"/>
                <w:szCs w:val="24"/>
                <w:lang w:val="ro-MD" w:eastAsia="ro-RO" w:bidi="ro-RO"/>
              </w:rPr>
            </w:pPr>
            <w:r w:rsidRPr="0046108E">
              <w:rPr>
                <w:sz w:val="24"/>
                <w:szCs w:val="24"/>
                <w:lang w:val="ro-MD"/>
              </w:rPr>
              <w:t xml:space="preserve">schimbările climatice cresc probabilitatea de aclimatizare a unor specii tropicale de dăunători termofili şi invazivi (ex.: Neoceratitis asiatica, Lycorma delicatula justificând extinderea listelor şi calitatea efectuării controalelor fitosanitare la </w:t>
            </w:r>
            <w:r w:rsidR="00744B50" w:rsidRPr="0046108E">
              <w:rPr>
                <w:sz w:val="24"/>
                <w:szCs w:val="24"/>
                <w:lang w:val="ro-MD"/>
              </w:rPr>
              <w:t>frontier;</w:t>
            </w:r>
            <w:r w:rsidRPr="0046108E">
              <w:rPr>
                <w:sz w:val="24"/>
                <w:szCs w:val="24"/>
                <w:lang w:val="ro-MD"/>
              </w:rPr>
              <w:t xml:space="preserve"> </w:t>
            </w:r>
          </w:p>
          <w:p w14:paraId="5AFACFC1" w14:textId="760DF6B9" w:rsidR="00744B50" w:rsidRPr="0046108E" w:rsidRDefault="0082487A" w:rsidP="00845051">
            <w:pPr>
              <w:pStyle w:val="Listparagraf"/>
              <w:numPr>
                <w:ilvl w:val="0"/>
                <w:numId w:val="18"/>
              </w:numPr>
              <w:tabs>
                <w:tab w:val="left" w:pos="457"/>
              </w:tabs>
              <w:spacing w:after="0" w:line="240" w:lineRule="auto"/>
              <w:ind w:left="0" w:right="110" w:firstLine="142"/>
              <w:rPr>
                <w:rFonts w:eastAsiaTheme="minorHAnsi"/>
                <w:sz w:val="24"/>
                <w:szCs w:val="24"/>
                <w:lang w:val="ro-MD" w:eastAsia="ro-RO" w:bidi="ro-RO"/>
              </w:rPr>
            </w:pPr>
            <w:r w:rsidRPr="0046108E">
              <w:rPr>
                <w:sz w:val="24"/>
                <w:szCs w:val="24"/>
                <w:lang w:val="ro-MD"/>
              </w:rPr>
              <w:t>include noi agenţi patogeni ai culturilor horticole, confirmate prin rapoarte OEPP 2023 2025 (Phyllocoptes fr</w:t>
            </w:r>
            <w:r w:rsidR="00744B50" w:rsidRPr="0046108E">
              <w:rPr>
                <w:sz w:val="24"/>
                <w:szCs w:val="24"/>
                <w:lang w:val="ro-MD"/>
              </w:rPr>
              <w:t>uctiphilus, Rose rosette virus);</w:t>
            </w:r>
            <w:r w:rsidRPr="0046108E">
              <w:rPr>
                <w:sz w:val="24"/>
                <w:szCs w:val="24"/>
                <w:lang w:val="ro-MD"/>
              </w:rPr>
              <w:t xml:space="preserve"> </w:t>
            </w:r>
          </w:p>
          <w:p w14:paraId="3ADBB855" w14:textId="77777777" w:rsidR="00744B50" w:rsidRPr="0046108E" w:rsidRDefault="0082487A" w:rsidP="00845051">
            <w:pPr>
              <w:pStyle w:val="Listparagraf"/>
              <w:numPr>
                <w:ilvl w:val="0"/>
                <w:numId w:val="18"/>
              </w:numPr>
              <w:tabs>
                <w:tab w:val="left" w:pos="457"/>
              </w:tabs>
              <w:spacing w:after="0" w:line="240" w:lineRule="auto"/>
              <w:ind w:left="0" w:right="110" w:firstLine="142"/>
              <w:rPr>
                <w:rFonts w:eastAsiaTheme="minorHAnsi"/>
                <w:sz w:val="24"/>
                <w:szCs w:val="24"/>
                <w:lang w:val="ro-MD" w:eastAsia="ro-RO" w:bidi="ro-RO"/>
              </w:rPr>
            </w:pPr>
            <w:r w:rsidRPr="0046108E">
              <w:rPr>
                <w:sz w:val="24"/>
                <w:szCs w:val="24"/>
                <w:lang w:val="ro-MD"/>
              </w:rPr>
              <w:t xml:space="preserve">asigură uniformitatea taxonomică prin utilizarea codurilor OEPP actualizate, aspect esenţial pentru trasabilitate informatica. </w:t>
            </w:r>
          </w:p>
          <w:p w14:paraId="66770ACF" w14:textId="77777777" w:rsidR="00C6514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Menţionăm că în Anexa nr. 2 (organisme de carantină):se propun adăugări (ex. Neoceratitis asiatica, Neoceratitis cyanescens, Neotephritis finalis, Phyllocoptes fructiphilus cu Rose rosette virus) şi eliminări de organisme care nu mai îndeplinesc criteriile </w:t>
            </w:r>
            <w:r w:rsidRPr="0046108E">
              <w:rPr>
                <w:sz w:val="24"/>
                <w:szCs w:val="24"/>
                <w:lang w:val="ro-MD"/>
              </w:rPr>
              <w:lastRenderedPageBreak/>
              <w:t xml:space="preserve">(ex. Draeculacephala minerva etc.). Sunt integrate coduri OEPP pentru grupuri (ex. Choristoneura spp., Cicadomorpha, Margarodidae, Tephritidae, Citrus leprosis). Eliminarea unor organisme din listele anterioare (ex.: virusul petelor inelare ale tomatelor, Melampsora medusa f.sp. tremuloidis) este justificată 2 din 4 ştiinţific, aceste organisme nemaifiind considerate ameninţări relevante pentru arealul Republicii Moldova. </w:t>
            </w:r>
          </w:p>
          <w:p w14:paraId="4EAB2C59" w14:textId="77777777" w:rsidR="00C6514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Proiectul contribuie la: </w:t>
            </w:r>
          </w:p>
          <w:p w14:paraId="4FC35835" w14:textId="77777777" w:rsidR="00C6514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consolidarea securităţii fitosanitare naţionale; </w:t>
            </w:r>
          </w:p>
          <w:p w14:paraId="070A0D8D" w14:textId="77777777" w:rsidR="00C6514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crearea condiţiilor pentru un comerţ sigur şi competitiv; </w:t>
            </w:r>
          </w:p>
          <w:p w14:paraId="21E55803" w14:textId="77777777" w:rsidR="00C6514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îndeplinirea angajamentelor Republicii Moldova privind Programul Naţional de Aderare la UE 2025-2029 şi Planul Naţional de Reglementări pentru anul 2025. </w:t>
            </w:r>
          </w:p>
          <w:p w14:paraId="7B18A104" w14:textId="77777777" w:rsidR="00C65147" w:rsidRPr="0046108E" w:rsidRDefault="0082487A" w:rsidP="00845051">
            <w:pPr>
              <w:pStyle w:val="Listparagraf"/>
              <w:tabs>
                <w:tab w:val="left" w:pos="851"/>
              </w:tabs>
              <w:spacing w:after="0" w:line="240" w:lineRule="auto"/>
              <w:ind w:left="0" w:right="110" w:firstLine="142"/>
              <w:rPr>
                <w:b/>
                <w:sz w:val="24"/>
                <w:szCs w:val="24"/>
                <w:lang w:val="ro-MD"/>
              </w:rPr>
            </w:pPr>
            <w:r w:rsidRPr="0046108E">
              <w:rPr>
                <w:b/>
                <w:sz w:val="24"/>
                <w:szCs w:val="24"/>
                <w:lang w:val="ro-MD"/>
              </w:rPr>
              <w:t xml:space="preserve">Observaţii si propuneri tehnico - ştiinţifice: </w:t>
            </w:r>
          </w:p>
          <w:p w14:paraId="62091991" w14:textId="77777777" w:rsidR="00C6514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1. In contextul schimbărilor climatice şi sporirii agresivităţii organismelor dăunătoare, se propune ca evaluarea riscurilor cauzate de organismele dăunătoare (emergente) să fie revizuită anual, sub coordonarea MAIA şi cu participarea INCAAMV, în baza metodologiilor EFSA şi OEPP. </w:t>
            </w:r>
          </w:p>
          <w:p w14:paraId="560EDDF7" w14:textId="77777777" w:rsidR="00C65147" w:rsidRPr="0046108E" w:rsidRDefault="00C65147"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2. </w:t>
            </w:r>
            <w:r w:rsidR="0082487A" w:rsidRPr="0046108E">
              <w:rPr>
                <w:sz w:val="24"/>
                <w:szCs w:val="24"/>
                <w:lang w:val="ro-MD"/>
              </w:rPr>
              <w:t xml:space="preserve">Se recomandă dezvoltarea unei baze de date naţionale integrate privind răspândirea organismelor dăunătoare pe teritoriul Republicii Moldova, în concordanţă cu platformele UE (TRACES, EPPO Global Database). </w:t>
            </w:r>
          </w:p>
          <w:p w14:paraId="3D56E29E" w14:textId="77777777" w:rsidR="005730F8" w:rsidRPr="0046108E" w:rsidRDefault="00C65147"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3. </w:t>
            </w:r>
            <w:r w:rsidR="0082487A" w:rsidRPr="0046108E">
              <w:rPr>
                <w:sz w:val="24"/>
                <w:szCs w:val="24"/>
                <w:lang w:val="ro-MD"/>
              </w:rPr>
              <w:t xml:space="preserve">Se recomandă introducerea unui mecanism anual de actualizare a listei organismelor dăunătoare, pe baza rapoartelor EFSA şi OEPP, în colaborare cu INCAAMV. </w:t>
            </w:r>
          </w:p>
          <w:p w14:paraId="67362441" w14:textId="77777777" w:rsidR="005730F8" w:rsidRPr="0046108E" w:rsidRDefault="00C65147"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4. </w:t>
            </w:r>
            <w:r w:rsidR="0082487A" w:rsidRPr="0046108E">
              <w:rPr>
                <w:sz w:val="24"/>
                <w:szCs w:val="24"/>
                <w:lang w:val="ro-MD"/>
              </w:rPr>
              <w:t xml:space="preserve">Introducerea în proiect a unei prevederi care să recunoască implicarea instituţiilor ştiinţifice (ex.: INCAAMV) în: evaluarea riscurilor, elaborarea metodologiilor, sprijin în diagnostic confirmator şi în programe de monitorizare. </w:t>
            </w:r>
          </w:p>
          <w:p w14:paraId="7C1541F9" w14:textId="2319C621" w:rsidR="009E6F27"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5. Instruirea inspectorilor ANSA şi a specialiştilor de profil din cadrul INCAAMV conform ghidurilor EPPO cu privire la diagnosticarea organ</w:t>
            </w:r>
            <w:r w:rsidR="00D1233C" w:rsidRPr="0046108E">
              <w:rPr>
                <w:sz w:val="24"/>
                <w:szCs w:val="24"/>
                <w:lang w:val="ro-MD"/>
              </w:rPr>
              <w:t>ismelor dăunătoare.</w:t>
            </w:r>
            <w:r w:rsidRPr="0046108E">
              <w:rPr>
                <w:sz w:val="24"/>
                <w:szCs w:val="24"/>
                <w:lang w:val="ro-MD"/>
              </w:rPr>
              <w:t xml:space="preserve"> </w:t>
            </w:r>
          </w:p>
          <w:p w14:paraId="5B4A5E13" w14:textId="3A22FA19" w:rsidR="000D04C0" w:rsidRPr="0046108E" w:rsidRDefault="000D04C0"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lastRenderedPageBreak/>
              <w:t>6</w:t>
            </w:r>
            <w:r w:rsidR="0082487A" w:rsidRPr="0046108E">
              <w:rPr>
                <w:sz w:val="24"/>
                <w:szCs w:val="24"/>
                <w:lang w:val="ro-MD"/>
              </w:rPr>
              <w:t xml:space="preserve">. Crearea unui laborator modem de diagnosticare a organismelor dăunătoare în cadrul INCAAMV pentru identificarea rapidă a organismelor prioritare. </w:t>
            </w:r>
          </w:p>
          <w:p w14:paraId="41DAD86E" w14:textId="7B382103" w:rsidR="00D1233C" w:rsidRPr="0046108E" w:rsidRDefault="000D04C0"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7. </w:t>
            </w:r>
            <w:r w:rsidR="0082487A" w:rsidRPr="0046108E">
              <w:rPr>
                <w:sz w:val="24"/>
                <w:szCs w:val="24"/>
                <w:lang w:val="ro-MD"/>
              </w:rPr>
              <w:t xml:space="preserve">Se recomandă includerea, într-un capitol separat al Regulamentului, a prevederilor privind standardele minime de laborator (echipamente, metode moleculare, personal acreditat). </w:t>
            </w:r>
          </w:p>
          <w:p w14:paraId="447BDCA7" w14:textId="03ADD5BF"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8. Se propune dezvoltarea unei platforme electronice unice de monitorizare a organismelor dăunătoare, care să permită identificarea rapidă a focarelor şi emiterea avertizărilor pentru prevenirea şi combaterea operativă a organismelor dăunătoare de carantină. în cazul detectării unui organism de carantină, se va aplica procedura de intervenţie rapidă descrisă în Anexa Y: notificare în 24 ore, confirmare prin diagnostic de laborator (de referinţă) în termen de 7 zile, aplicarea măsurilor de combatere în termen de 72 ore. </w:t>
            </w:r>
          </w:p>
          <w:p w14:paraId="3FF2E1A0" w14:textId="5ECCC084"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Concluzii INCAAMV consideră că proiectul de modificare a Hotărârii Guvernului nr. 679/2024 este o măsură necesară şi oportună, care va contribui la: </w:t>
            </w:r>
          </w:p>
          <w:p w14:paraId="55BF4DDD" w14:textId="77777777"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armonizarea (apropierea) şi consolidarea legislaţiei naţionale de prevenire şi combatere a organismelor dăunătoare de cea a Uniunii Europene. </w:t>
            </w:r>
          </w:p>
          <w:p w14:paraId="5BE465BF" w14:textId="77777777"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crearea unei baze ştiinţific argumentate pentru integrarea deplină în sistemul fitosanitar European. </w:t>
            </w:r>
          </w:p>
          <w:p w14:paraId="25E5092B" w14:textId="64204174"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îmbunătăţirea şi operativitatea efectuării controlului fitosanitar; </w:t>
            </w:r>
          </w:p>
          <w:p w14:paraId="1B7DEA4B" w14:textId="5E9D842C"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protejarea producţiei agricole a culturilor horticole şi fondului forestier de acţiunea unor noi organisme dăunătoare de carantină; </w:t>
            </w:r>
          </w:p>
          <w:p w14:paraId="69A64BCC" w14:textId="48920C0C"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 îmbunătăţirea trasabilităţii şi coiîtrolului fitosanitar la frontieră; </w:t>
            </w:r>
          </w:p>
          <w:p w14:paraId="517F7256" w14:textId="2BB6B657"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facilitarea comerţului internaţiona</w:t>
            </w:r>
            <w:r w:rsidR="00D1233C" w:rsidRPr="0046108E">
              <w:rPr>
                <w:sz w:val="24"/>
                <w:szCs w:val="24"/>
                <w:lang w:val="ro-MD"/>
              </w:rPr>
              <w:t xml:space="preserve">l cu produse vegetale sigure; </w:t>
            </w:r>
          </w:p>
          <w:p w14:paraId="52250D54" w14:textId="79FA2204" w:rsidR="00D1233C" w:rsidRPr="0046108E" w:rsidRDefault="0082487A"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Astfel, Institutul Naţional de Cercetări Aplicative în Agricultură şi Medicină Veterinară (INCAAMV) consideră că proiectul de modificare a Hotărârii Guvernului nr. 679/2024 reprezintă o acţiune necesară, oportună şi aliniată obiectivelor strat</w:t>
            </w:r>
            <w:r w:rsidR="00A718D4" w:rsidRPr="0046108E">
              <w:rPr>
                <w:sz w:val="24"/>
                <w:szCs w:val="24"/>
                <w:lang w:val="ro-MD"/>
              </w:rPr>
              <w:t>egice de integrare europeană.</w:t>
            </w:r>
          </w:p>
          <w:p w14:paraId="69EF80E4" w14:textId="271B01E9" w:rsidR="007B22D6" w:rsidRPr="0046108E" w:rsidRDefault="0082487A" w:rsidP="00845051">
            <w:pPr>
              <w:pStyle w:val="Listparagraf"/>
              <w:tabs>
                <w:tab w:val="left" w:pos="851"/>
              </w:tabs>
              <w:spacing w:after="0" w:line="240" w:lineRule="auto"/>
              <w:ind w:left="0" w:right="110" w:firstLine="142"/>
              <w:rPr>
                <w:rStyle w:val="Bodytext5"/>
                <w:rFonts w:eastAsiaTheme="minorHAnsi"/>
                <w:b w:val="0"/>
                <w:bCs w:val="0"/>
                <w:i w:val="0"/>
                <w:iCs w:val="0"/>
                <w:color w:val="auto"/>
                <w:lang w:val="ro-MD"/>
              </w:rPr>
            </w:pPr>
            <w:r w:rsidRPr="0046108E">
              <w:rPr>
                <w:sz w:val="24"/>
                <w:szCs w:val="24"/>
                <w:lang w:val="ro-MD"/>
              </w:rPr>
              <w:lastRenderedPageBreak/>
              <w:t>INCAAMV îşi exprimă disponibilitatea de a colabora cu MAIA şi ANSA în procesul de implementare, testare şi monitorizare a noilor măsuri, inclusiv prin expertiză ştiinţifică şi suport metodologic.</w:t>
            </w:r>
          </w:p>
        </w:tc>
        <w:tc>
          <w:tcPr>
            <w:tcW w:w="3123" w:type="dxa"/>
            <w:shd w:val="clear" w:color="auto" w:fill="auto"/>
            <w:vAlign w:val="center"/>
          </w:tcPr>
          <w:p w14:paraId="07E575BC" w14:textId="77777777" w:rsidR="007B22D6" w:rsidRPr="0046108E" w:rsidRDefault="00642C8E"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p w14:paraId="2430AA82" w14:textId="729E2A91" w:rsidR="00642C8E" w:rsidRPr="0046108E" w:rsidRDefault="00642C8E"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Propunerile înaintate sunt examinate și vor fi luate în considerare </w:t>
            </w:r>
            <w:r w:rsidR="00142D42" w:rsidRPr="0046108E">
              <w:rPr>
                <w:rFonts w:ascii="Times New Roman" w:hAnsi="Times New Roman"/>
                <w:sz w:val="24"/>
                <w:szCs w:val="24"/>
                <w:lang w:val="ro-MD"/>
              </w:rPr>
              <w:t>pentru următoarele planificări și inițiative legislative.</w:t>
            </w:r>
          </w:p>
        </w:tc>
      </w:tr>
      <w:tr w:rsidR="000A4B3B" w:rsidRPr="0046108E" w14:paraId="6665AF90" w14:textId="77777777" w:rsidTr="00BF2676">
        <w:trPr>
          <w:trHeight w:val="20"/>
        </w:trPr>
        <w:tc>
          <w:tcPr>
            <w:tcW w:w="3397" w:type="dxa"/>
            <w:shd w:val="clear" w:color="auto" w:fill="auto"/>
            <w:vAlign w:val="center"/>
          </w:tcPr>
          <w:p w14:paraId="02D99A6E" w14:textId="08E27276" w:rsidR="00371B62" w:rsidRPr="0046108E" w:rsidRDefault="000034B1"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lastRenderedPageBreak/>
              <w:t>Universitatea de Stat</w:t>
            </w:r>
            <w:r w:rsidR="00371B62" w:rsidRPr="0046108E">
              <w:rPr>
                <w:rFonts w:ascii="Times New Roman" w:hAnsi="Times New Roman"/>
                <w:sz w:val="24"/>
                <w:szCs w:val="24"/>
                <w:lang w:val="ro-MD"/>
              </w:rPr>
              <w:t>,</w:t>
            </w:r>
            <w:r w:rsidR="00BF2676" w:rsidRPr="0046108E">
              <w:rPr>
                <w:rFonts w:ascii="Times New Roman" w:hAnsi="Times New Roman"/>
                <w:sz w:val="24"/>
                <w:szCs w:val="24"/>
                <w:lang w:val="ro-MD"/>
              </w:rPr>
              <w:t xml:space="preserve"> </w:t>
            </w:r>
            <w:r w:rsidR="00371B62" w:rsidRPr="0046108E">
              <w:rPr>
                <w:rFonts w:ascii="Times New Roman" w:hAnsi="Times New Roman"/>
                <w:sz w:val="24"/>
                <w:szCs w:val="24"/>
                <w:lang w:val="ro-MD"/>
              </w:rPr>
              <w:t>scrisoarea nr. 01/2708 din 20.10.2025</w:t>
            </w:r>
          </w:p>
        </w:tc>
        <w:tc>
          <w:tcPr>
            <w:tcW w:w="1271" w:type="dxa"/>
            <w:vAlign w:val="center"/>
          </w:tcPr>
          <w:p w14:paraId="71061166" w14:textId="337521AC" w:rsidR="007B22D6" w:rsidRPr="0046108E" w:rsidRDefault="00092832" w:rsidP="00845051">
            <w:pPr>
              <w:pStyle w:val="NormalWeb"/>
              <w:tabs>
                <w:tab w:val="left" w:pos="426"/>
              </w:tabs>
              <w:ind w:right="110" w:firstLine="142"/>
              <w:contextualSpacing/>
              <w:jc w:val="left"/>
              <w:rPr>
                <w:bCs/>
                <w:iCs/>
                <w:lang w:val="ro-MD" w:eastAsia="en-US"/>
              </w:rPr>
            </w:pPr>
            <w:r w:rsidRPr="0046108E">
              <w:rPr>
                <w:bCs/>
                <w:iCs/>
                <w:lang w:val="ro-MD" w:eastAsia="en-US"/>
              </w:rPr>
              <w:t>25.</w:t>
            </w:r>
          </w:p>
        </w:tc>
        <w:tc>
          <w:tcPr>
            <w:tcW w:w="6804" w:type="dxa"/>
            <w:shd w:val="clear" w:color="auto" w:fill="auto"/>
            <w:vAlign w:val="center"/>
          </w:tcPr>
          <w:p w14:paraId="07D05420" w14:textId="6FE08E5D" w:rsidR="00D1233C" w:rsidRPr="0046108E" w:rsidRDefault="00D1233C"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Universitatea de Stat din Moldova a analizat proiectul de Hotărâre de Guvern iniţiat de Ministerul Agriculturii şi Industriei Alimentare al Republicii Moldova, care vizează modificarea Hotărârii de Guvern nr. 679/2024 pentru aprobarea Regulamentului privind aplicarea măsurilor de protecţie împotriva organismelor dăunătoare. Acest proiect are ca scop consolidarea măsurilor fitosanitare, asigurarea consumului de produse agricole sigure şi de calitate, eliminarea barierelor în comerț şi actualizarea cadrelor normative în vederea implementării corespunzătoare a obligaţiilor Republicii Moldova faţă de Uniunea Europeană. </w:t>
            </w:r>
          </w:p>
          <w:p w14:paraId="2426E1C7" w14:textId="77777777" w:rsidR="00D1233C" w:rsidRPr="0046108E" w:rsidRDefault="00D1233C"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În contextul integrării Republicii Moldova în Uniunea Europeană, conform angajamentelor asumate prin Programul Naţional de Aderare (2025-2029), aprobat prin Hotărârea de Guvern nr. 306/2025, şi al Planului Naţional de Reglementări pentru anul 2025, aprobat prin Hotărârea de Guvern nr. 841/2024, acest proiect constituie un pas important în implementarea politicilor sanitare şi fitosanitare menite să asigure protecţia atât a sănătăţii publice, cât şi a mediului înconjurător. </w:t>
            </w:r>
          </w:p>
          <w:p w14:paraId="40CFFC4A" w14:textId="77777777" w:rsidR="00D1233C" w:rsidRPr="0046108E" w:rsidRDefault="00D1233C"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Universitatea de Stat din Moldova, prin instituţiile de cercetare afiliate, cu domeniu de activitate în cercetarea organismelor dăunătoare şi în implementarea măsurilor de protecţie animală şi vegetală, a analizat proiectul propus. După consultarea şi evaluarea acestuia, nu au fost înaintate propuneri specifice de modificare survenite de la specialiştii din domeniu. în acest sens, considerăm că proiectul poate fi adoptat în forma prezentată. </w:t>
            </w:r>
          </w:p>
          <w:p w14:paraId="7272494C" w14:textId="77777777" w:rsidR="00D1233C" w:rsidRPr="0046108E" w:rsidRDefault="00D1233C"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Totodată, Universitatea de Stat din Moldova subliniază importanţa unui cadru normativ coerent şi adecvat pentru protecţia ecosistemelor agricole şi a sănătăţii publice şi susţine continuarea eforturilor Ministerului Agriculturii şi Industriei Alimentare in direcţia integrării legislaţiei naţionale cu standardele Uniunii </w:t>
            </w:r>
            <w:r w:rsidRPr="0046108E">
              <w:rPr>
                <w:sz w:val="24"/>
                <w:szCs w:val="24"/>
                <w:lang w:val="ro-MD"/>
              </w:rPr>
              <w:lastRenderedPageBreak/>
              <w:t xml:space="preserve">Europene, în scopul garantării siguranţei alimentare şi a unui comerţ liber şi sustenabil al produselor agricole. </w:t>
            </w:r>
          </w:p>
          <w:p w14:paraId="4004BB4D" w14:textId="77777777" w:rsidR="00D1233C" w:rsidRPr="0046108E" w:rsidRDefault="00D1233C"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În concluzie, Universitatea de Stat din Moldova susţine adoptarea proiectului de Hotărâre de Guvern privind modificarea HG nr. 679/2024 în forma propusă şi îşi exprimă disponibilitatea de a contribui, pe viitor, la dezvoltarea şi implementarea măsurilor specifice în domeniul cercetării şi protecţiei fitosanitare. </w:t>
            </w:r>
          </w:p>
          <w:p w14:paraId="10D6730A" w14:textId="10925F07" w:rsidR="007B22D6" w:rsidRPr="0046108E" w:rsidRDefault="00D1233C" w:rsidP="00845051">
            <w:pPr>
              <w:pStyle w:val="Listparagraf"/>
              <w:tabs>
                <w:tab w:val="left" w:pos="851"/>
              </w:tabs>
              <w:spacing w:after="0" w:line="240" w:lineRule="auto"/>
              <w:ind w:left="0" w:right="110" w:firstLine="142"/>
              <w:rPr>
                <w:rStyle w:val="Bodytext5"/>
                <w:rFonts w:eastAsiaTheme="minorHAnsi"/>
                <w:b w:val="0"/>
                <w:bCs w:val="0"/>
                <w:i w:val="0"/>
                <w:iCs w:val="0"/>
                <w:color w:val="auto"/>
                <w:lang w:val="ro-MD"/>
              </w:rPr>
            </w:pPr>
            <w:r w:rsidRPr="0046108E">
              <w:rPr>
                <w:sz w:val="24"/>
                <w:szCs w:val="24"/>
                <w:lang w:val="ro-MD"/>
              </w:rPr>
              <w:t>Vă mulţumim pentru atenţia acordată şi rămânem deschişi pentru orice clarificări sau discuţii suplimentare!</w:t>
            </w:r>
          </w:p>
        </w:tc>
        <w:tc>
          <w:tcPr>
            <w:tcW w:w="3123" w:type="dxa"/>
            <w:shd w:val="clear" w:color="auto" w:fill="auto"/>
            <w:vAlign w:val="center"/>
          </w:tcPr>
          <w:p w14:paraId="0E08104A" w14:textId="0184BBBC" w:rsidR="007B22D6" w:rsidRPr="0046108E" w:rsidRDefault="00D1233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0A4B3B" w:rsidRPr="0046108E" w14:paraId="6005D712" w14:textId="77777777" w:rsidTr="00BF2676">
        <w:trPr>
          <w:trHeight w:val="20"/>
        </w:trPr>
        <w:tc>
          <w:tcPr>
            <w:tcW w:w="3397" w:type="dxa"/>
            <w:shd w:val="clear" w:color="auto" w:fill="auto"/>
            <w:vAlign w:val="center"/>
          </w:tcPr>
          <w:p w14:paraId="67762F09" w14:textId="77777777" w:rsidR="00D1233C" w:rsidRPr="0046108E" w:rsidRDefault="000034B1"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Institutul de Genetică, Fiziologie</w:t>
            </w:r>
            <w:r w:rsidR="00D1233C" w:rsidRPr="0046108E">
              <w:rPr>
                <w:rFonts w:ascii="Times New Roman" w:hAnsi="Times New Roman"/>
                <w:sz w:val="24"/>
                <w:szCs w:val="24"/>
                <w:lang w:val="ro-MD"/>
              </w:rPr>
              <w:t xml:space="preserve"> </w:t>
            </w:r>
            <w:r w:rsidRPr="0046108E">
              <w:rPr>
                <w:rFonts w:ascii="Times New Roman" w:hAnsi="Times New Roman"/>
                <w:sz w:val="24"/>
                <w:szCs w:val="24"/>
                <w:lang w:val="ro-MD"/>
              </w:rPr>
              <w:t>și Protecție a Plantelor</w:t>
            </w:r>
            <w:r w:rsidR="00371B62" w:rsidRPr="0046108E">
              <w:rPr>
                <w:rFonts w:ascii="Times New Roman" w:hAnsi="Times New Roman"/>
                <w:sz w:val="24"/>
                <w:szCs w:val="24"/>
                <w:lang w:val="ro-MD"/>
              </w:rPr>
              <w:t>,</w:t>
            </w:r>
            <w:r w:rsidR="00D1233C" w:rsidRPr="0046108E">
              <w:rPr>
                <w:rFonts w:ascii="Times New Roman" w:hAnsi="Times New Roman"/>
                <w:sz w:val="24"/>
                <w:szCs w:val="24"/>
                <w:lang w:val="ro-MD"/>
              </w:rPr>
              <w:t xml:space="preserve"> </w:t>
            </w:r>
          </w:p>
          <w:p w14:paraId="767983F6" w14:textId="3BF747E8" w:rsidR="00371B62" w:rsidRPr="0046108E" w:rsidRDefault="00371B62"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scrisoarea nr. 180 din 20.10.2025</w:t>
            </w:r>
          </w:p>
        </w:tc>
        <w:tc>
          <w:tcPr>
            <w:tcW w:w="1271" w:type="dxa"/>
            <w:vAlign w:val="center"/>
          </w:tcPr>
          <w:p w14:paraId="2EC8729F" w14:textId="45F300D3" w:rsidR="007B22D6" w:rsidRPr="0046108E" w:rsidRDefault="00AE2FB4" w:rsidP="00845051">
            <w:pPr>
              <w:pStyle w:val="NormalWeb"/>
              <w:tabs>
                <w:tab w:val="left" w:pos="426"/>
              </w:tabs>
              <w:ind w:right="110" w:firstLine="142"/>
              <w:contextualSpacing/>
              <w:jc w:val="left"/>
              <w:rPr>
                <w:bCs/>
                <w:iCs/>
                <w:lang w:val="ro-MD" w:eastAsia="en-US"/>
              </w:rPr>
            </w:pPr>
            <w:r w:rsidRPr="0046108E">
              <w:rPr>
                <w:bCs/>
                <w:iCs/>
                <w:lang w:val="ro-MD" w:eastAsia="en-US"/>
              </w:rPr>
              <w:t>26.</w:t>
            </w:r>
          </w:p>
        </w:tc>
        <w:tc>
          <w:tcPr>
            <w:tcW w:w="6804" w:type="dxa"/>
            <w:shd w:val="clear" w:color="auto" w:fill="auto"/>
            <w:vAlign w:val="center"/>
          </w:tcPr>
          <w:p w14:paraId="3483E3D9" w14:textId="77777777" w:rsidR="0082487A" w:rsidRPr="0046108E" w:rsidRDefault="00A961C1"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Prin prezenta, IGFPP comunică despre analiza proiectului de hotărâre de Guvern de modificare a Hotărârii Guvernului nr. 679/2024 pentru aprobarea Regulamentului privind aplicarea măsurilor de protecție împotriva organismelor dăunătoare plantelor. Proiectul este elaborat în scopul actualizării prevederilor Hotărârii Guvernului nr. 679/2024, în conformitate cu modificările operate la prevederile comunitare, transpuse în actul normativ prenotat şi întru implementarea prevederilor art. 31 alin. (1) din Legea nr. 422/2023 privind măsurile de protecție împotriva organismelor dăunătoare plantelor, în ceea ce priveşte stabilirea cerințelor referitoare la introducerea pe teritoriul Republicii Moldova a plantelor cu creştere inhibată natural sau artificial, Aceste reglementări tind spre apropierea legislației şi practicii Republicii Moldova, în materie de standarde fitosanitare pentru sănătatea plantelor, de cele comunitare, în conformitate cu termenele şi cu cerințele stabilite la nivelul Uniunii Europene. </w:t>
            </w:r>
          </w:p>
          <w:p w14:paraId="2B361620" w14:textId="77777777" w:rsidR="0082487A" w:rsidRPr="0046108E" w:rsidRDefault="00A961C1"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Regulamentul elaborat privind aplicarea măsurilor de protecție împotriva organismelor dăunătoare plantelor corespunde cerințelor stabilite la nivelul Uniunii Europene. </w:t>
            </w:r>
          </w:p>
          <w:p w14:paraId="55059A8A" w14:textId="77777777" w:rsidR="0082487A" w:rsidRPr="0046108E" w:rsidRDefault="00A961C1"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Repuneri de modificare nu sunt. </w:t>
            </w:r>
          </w:p>
          <w:p w14:paraId="5AE21A26" w14:textId="53068177" w:rsidR="007B22D6" w:rsidRPr="0046108E" w:rsidRDefault="00A961C1" w:rsidP="00845051">
            <w:pPr>
              <w:pStyle w:val="Listparagraf"/>
              <w:tabs>
                <w:tab w:val="left" w:pos="851"/>
              </w:tabs>
              <w:spacing w:after="0" w:line="240" w:lineRule="auto"/>
              <w:ind w:left="0" w:right="110" w:firstLine="142"/>
              <w:rPr>
                <w:rStyle w:val="Bodytext5"/>
                <w:rFonts w:eastAsiaTheme="minorHAnsi"/>
                <w:b w:val="0"/>
                <w:bCs w:val="0"/>
                <w:i w:val="0"/>
                <w:iCs w:val="0"/>
                <w:color w:val="auto"/>
                <w:lang w:val="ro-MD"/>
              </w:rPr>
            </w:pPr>
            <w:r w:rsidRPr="0046108E">
              <w:rPr>
                <w:sz w:val="24"/>
                <w:szCs w:val="24"/>
                <w:lang w:val="ro-MD"/>
              </w:rPr>
              <w:t>Urmare a celor expuse, se propune spre aprobare nota de fundamentare și proiectul elaborate.</w:t>
            </w:r>
          </w:p>
        </w:tc>
        <w:tc>
          <w:tcPr>
            <w:tcW w:w="3123" w:type="dxa"/>
            <w:shd w:val="clear" w:color="auto" w:fill="auto"/>
            <w:vAlign w:val="center"/>
          </w:tcPr>
          <w:p w14:paraId="2F11FC39" w14:textId="2E2532E2" w:rsidR="007B22D6" w:rsidRPr="0046108E" w:rsidRDefault="0082487A"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044A3E" w:rsidRPr="0046108E" w14:paraId="25D82073" w14:textId="77777777" w:rsidTr="003525FF">
        <w:trPr>
          <w:trHeight w:val="20"/>
        </w:trPr>
        <w:tc>
          <w:tcPr>
            <w:tcW w:w="14595" w:type="dxa"/>
            <w:gridSpan w:val="4"/>
            <w:shd w:val="clear" w:color="auto" w:fill="auto"/>
            <w:vAlign w:val="center"/>
          </w:tcPr>
          <w:p w14:paraId="6B1BD570" w14:textId="0E09175C" w:rsidR="00044A3E" w:rsidRPr="0046108E" w:rsidRDefault="00044A3E" w:rsidP="00845051">
            <w:pPr>
              <w:tabs>
                <w:tab w:val="left" w:pos="426"/>
                <w:tab w:val="left" w:pos="1196"/>
              </w:tabs>
              <w:spacing w:after="0" w:line="240" w:lineRule="auto"/>
              <w:ind w:right="110"/>
              <w:contextualSpacing/>
              <w:jc w:val="center"/>
              <w:rPr>
                <w:rFonts w:ascii="Times New Roman" w:hAnsi="Times New Roman"/>
                <w:b/>
                <w:sz w:val="24"/>
                <w:szCs w:val="24"/>
                <w:lang w:val="ro-MD"/>
              </w:rPr>
            </w:pPr>
            <w:r w:rsidRPr="0046108E">
              <w:rPr>
                <w:rFonts w:ascii="Times New Roman" w:hAnsi="Times New Roman"/>
                <w:b/>
                <w:sz w:val="24"/>
                <w:szCs w:val="24"/>
                <w:lang w:val="ro-MD"/>
              </w:rPr>
              <w:t>Expertizare</w:t>
            </w:r>
          </w:p>
        </w:tc>
      </w:tr>
      <w:tr w:rsidR="00044A3E" w:rsidRPr="0046108E" w14:paraId="28B285A6" w14:textId="77777777" w:rsidTr="00BF2676">
        <w:trPr>
          <w:trHeight w:val="20"/>
        </w:trPr>
        <w:tc>
          <w:tcPr>
            <w:tcW w:w="3397" w:type="dxa"/>
            <w:shd w:val="clear" w:color="auto" w:fill="auto"/>
            <w:vAlign w:val="center"/>
          </w:tcPr>
          <w:p w14:paraId="25F05430" w14:textId="42D705A5" w:rsidR="00044A3E" w:rsidRPr="0046108E" w:rsidRDefault="00DD2BD4"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Aviz Ministerul Mediului</w:t>
            </w:r>
          </w:p>
        </w:tc>
        <w:tc>
          <w:tcPr>
            <w:tcW w:w="1271" w:type="dxa"/>
            <w:vAlign w:val="center"/>
          </w:tcPr>
          <w:p w14:paraId="0FDA8B75" w14:textId="6B412EA3" w:rsidR="00044A3E" w:rsidRPr="0046108E" w:rsidRDefault="00044A3E" w:rsidP="00845051">
            <w:pPr>
              <w:pStyle w:val="NormalWeb"/>
              <w:tabs>
                <w:tab w:val="left" w:pos="426"/>
              </w:tabs>
              <w:ind w:right="110" w:firstLine="142"/>
              <w:contextualSpacing/>
              <w:jc w:val="left"/>
              <w:rPr>
                <w:bCs/>
                <w:iCs/>
                <w:lang w:val="ro-MD" w:eastAsia="en-US"/>
              </w:rPr>
            </w:pPr>
            <w:r w:rsidRPr="0046108E">
              <w:rPr>
                <w:bCs/>
                <w:iCs/>
                <w:lang w:val="ro-MD" w:eastAsia="en-US"/>
              </w:rPr>
              <w:t>1.</w:t>
            </w:r>
          </w:p>
        </w:tc>
        <w:tc>
          <w:tcPr>
            <w:tcW w:w="6804" w:type="dxa"/>
            <w:shd w:val="clear" w:color="auto" w:fill="auto"/>
            <w:vAlign w:val="center"/>
          </w:tcPr>
          <w:p w14:paraId="4E24CF0F" w14:textId="149D227F" w:rsidR="00044A3E" w:rsidRPr="0046108E" w:rsidRDefault="00044A3E"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Lipsă de obiecții și propuneri.</w:t>
            </w:r>
          </w:p>
        </w:tc>
        <w:tc>
          <w:tcPr>
            <w:tcW w:w="3123" w:type="dxa"/>
            <w:shd w:val="clear" w:color="auto" w:fill="auto"/>
            <w:vAlign w:val="center"/>
          </w:tcPr>
          <w:p w14:paraId="75285E31" w14:textId="57E67E34" w:rsidR="00044A3E" w:rsidRPr="0046108E" w:rsidRDefault="00DD2BD4"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44A3E" w:rsidRPr="0046108E" w14:paraId="3E6A9759" w14:textId="77777777" w:rsidTr="00BF2676">
        <w:trPr>
          <w:trHeight w:val="20"/>
        </w:trPr>
        <w:tc>
          <w:tcPr>
            <w:tcW w:w="3397" w:type="dxa"/>
            <w:shd w:val="clear" w:color="auto" w:fill="auto"/>
            <w:vAlign w:val="center"/>
          </w:tcPr>
          <w:p w14:paraId="7E2AED9E" w14:textId="15527399" w:rsidR="00044A3E" w:rsidRPr="0046108E" w:rsidRDefault="00044A3E"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ro-MD"/>
              </w:rPr>
              <w:lastRenderedPageBreak/>
              <w:t xml:space="preserve">Aviz Ministerul Dezvoltării Economice și Digitalizării, scrisoarea nr. </w:t>
            </w:r>
            <w:r w:rsidR="00CC7A4A" w:rsidRPr="0046108E">
              <w:rPr>
                <w:rFonts w:ascii="Times New Roman" w:hAnsi="Times New Roman"/>
                <w:sz w:val="24"/>
                <w:szCs w:val="24"/>
                <w:lang w:val="en-US"/>
              </w:rPr>
              <w:t>16 - 3601 din 16</w:t>
            </w:r>
            <w:r w:rsidR="00DD2BD4" w:rsidRPr="0046108E">
              <w:rPr>
                <w:rFonts w:ascii="Times New Roman" w:hAnsi="Times New Roman"/>
                <w:sz w:val="24"/>
                <w:szCs w:val="24"/>
                <w:lang w:val="en-US"/>
              </w:rPr>
              <w:t>.12.2025</w:t>
            </w:r>
          </w:p>
        </w:tc>
        <w:tc>
          <w:tcPr>
            <w:tcW w:w="1271" w:type="dxa"/>
            <w:vAlign w:val="center"/>
          </w:tcPr>
          <w:p w14:paraId="4FEAD2BD" w14:textId="136D225D" w:rsidR="00044A3E" w:rsidRPr="0046108E" w:rsidRDefault="00044A3E" w:rsidP="00845051">
            <w:pPr>
              <w:pStyle w:val="NormalWeb"/>
              <w:tabs>
                <w:tab w:val="left" w:pos="426"/>
              </w:tabs>
              <w:ind w:right="110" w:firstLine="142"/>
              <w:contextualSpacing/>
              <w:jc w:val="left"/>
              <w:rPr>
                <w:bCs/>
                <w:iCs/>
                <w:lang w:val="ro-MD" w:eastAsia="en-US"/>
              </w:rPr>
            </w:pPr>
            <w:r w:rsidRPr="0046108E">
              <w:rPr>
                <w:bCs/>
                <w:iCs/>
                <w:lang w:val="ro-MD" w:eastAsia="en-US"/>
              </w:rPr>
              <w:t>2.</w:t>
            </w:r>
          </w:p>
        </w:tc>
        <w:tc>
          <w:tcPr>
            <w:tcW w:w="6804" w:type="dxa"/>
            <w:shd w:val="clear" w:color="auto" w:fill="auto"/>
            <w:vAlign w:val="center"/>
          </w:tcPr>
          <w:p w14:paraId="7EA37EBD" w14:textId="65E8C4EF" w:rsidR="00044A3E" w:rsidRPr="0046108E" w:rsidRDefault="00DD2BD4"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Lipsă de obiecții și propuneri.</w:t>
            </w:r>
          </w:p>
        </w:tc>
        <w:tc>
          <w:tcPr>
            <w:tcW w:w="3123" w:type="dxa"/>
            <w:shd w:val="clear" w:color="auto" w:fill="auto"/>
            <w:vAlign w:val="center"/>
          </w:tcPr>
          <w:p w14:paraId="61420FF2" w14:textId="40847C43" w:rsidR="00044A3E" w:rsidRPr="0046108E" w:rsidRDefault="00DD2BD4"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44A3E" w:rsidRPr="0046108E" w14:paraId="36822A88" w14:textId="77777777" w:rsidTr="00BF2676">
        <w:trPr>
          <w:trHeight w:val="20"/>
        </w:trPr>
        <w:tc>
          <w:tcPr>
            <w:tcW w:w="3397" w:type="dxa"/>
            <w:shd w:val="clear" w:color="auto" w:fill="auto"/>
            <w:vAlign w:val="center"/>
          </w:tcPr>
          <w:p w14:paraId="283696EA" w14:textId="4E006800" w:rsidR="00044A3E" w:rsidRPr="0046108E" w:rsidRDefault="00044A3E"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Aviz Ministerul Afacerilor Externe</w:t>
            </w:r>
          </w:p>
        </w:tc>
        <w:tc>
          <w:tcPr>
            <w:tcW w:w="1271" w:type="dxa"/>
            <w:vAlign w:val="center"/>
          </w:tcPr>
          <w:p w14:paraId="51485B0F" w14:textId="5CCBFA7D" w:rsidR="00044A3E" w:rsidRPr="0046108E" w:rsidRDefault="00044A3E" w:rsidP="00845051">
            <w:pPr>
              <w:pStyle w:val="NormalWeb"/>
              <w:tabs>
                <w:tab w:val="left" w:pos="426"/>
              </w:tabs>
              <w:ind w:right="110" w:firstLine="142"/>
              <w:contextualSpacing/>
              <w:jc w:val="left"/>
              <w:rPr>
                <w:bCs/>
                <w:iCs/>
                <w:lang w:val="ro-MD" w:eastAsia="en-US"/>
              </w:rPr>
            </w:pPr>
            <w:r w:rsidRPr="0046108E">
              <w:rPr>
                <w:bCs/>
                <w:iCs/>
                <w:lang w:val="ro-MD" w:eastAsia="en-US"/>
              </w:rPr>
              <w:t>3.</w:t>
            </w:r>
          </w:p>
        </w:tc>
        <w:tc>
          <w:tcPr>
            <w:tcW w:w="6804" w:type="dxa"/>
            <w:shd w:val="clear" w:color="auto" w:fill="auto"/>
            <w:vAlign w:val="center"/>
          </w:tcPr>
          <w:p w14:paraId="5FDA364C" w14:textId="6551E319" w:rsidR="00044A3E" w:rsidRPr="0046108E" w:rsidRDefault="00DD2BD4"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Lipsă de obiecții și propuneri.</w:t>
            </w:r>
          </w:p>
        </w:tc>
        <w:tc>
          <w:tcPr>
            <w:tcW w:w="3123" w:type="dxa"/>
            <w:shd w:val="clear" w:color="auto" w:fill="auto"/>
            <w:vAlign w:val="center"/>
          </w:tcPr>
          <w:p w14:paraId="5161F85F" w14:textId="359FFB58" w:rsidR="00044A3E" w:rsidRPr="0046108E" w:rsidRDefault="00DD2BD4"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44A3E" w:rsidRPr="0046108E" w14:paraId="3D3BF286" w14:textId="77777777" w:rsidTr="00BF2676">
        <w:trPr>
          <w:trHeight w:val="20"/>
        </w:trPr>
        <w:tc>
          <w:tcPr>
            <w:tcW w:w="3397" w:type="dxa"/>
            <w:shd w:val="clear" w:color="auto" w:fill="auto"/>
            <w:vAlign w:val="center"/>
          </w:tcPr>
          <w:p w14:paraId="2E63316B" w14:textId="51374676" w:rsidR="00044A3E" w:rsidRPr="0046108E" w:rsidRDefault="00044A3E"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Aviz Ministerul Finanțelor</w:t>
            </w:r>
          </w:p>
        </w:tc>
        <w:tc>
          <w:tcPr>
            <w:tcW w:w="1271" w:type="dxa"/>
            <w:vAlign w:val="center"/>
          </w:tcPr>
          <w:p w14:paraId="2E6BACDD" w14:textId="185569CD" w:rsidR="00044A3E" w:rsidRPr="0046108E" w:rsidRDefault="00044A3E" w:rsidP="00845051">
            <w:pPr>
              <w:pStyle w:val="NormalWeb"/>
              <w:tabs>
                <w:tab w:val="left" w:pos="426"/>
              </w:tabs>
              <w:ind w:right="110" w:firstLine="142"/>
              <w:contextualSpacing/>
              <w:jc w:val="left"/>
              <w:rPr>
                <w:bCs/>
                <w:iCs/>
                <w:lang w:val="ro-MD" w:eastAsia="en-US"/>
              </w:rPr>
            </w:pPr>
            <w:r w:rsidRPr="0046108E">
              <w:rPr>
                <w:bCs/>
                <w:iCs/>
                <w:lang w:val="ro-MD" w:eastAsia="en-US"/>
              </w:rPr>
              <w:t>4.</w:t>
            </w:r>
          </w:p>
        </w:tc>
        <w:tc>
          <w:tcPr>
            <w:tcW w:w="6804" w:type="dxa"/>
            <w:shd w:val="clear" w:color="auto" w:fill="auto"/>
            <w:vAlign w:val="center"/>
          </w:tcPr>
          <w:p w14:paraId="73D36FB3" w14:textId="2994EC3A" w:rsidR="00044A3E" w:rsidRPr="0046108E" w:rsidRDefault="00DD2BD4"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Lipsă de obiecții și propuneri.</w:t>
            </w:r>
          </w:p>
        </w:tc>
        <w:tc>
          <w:tcPr>
            <w:tcW w:w="3123" w:type="dxa"/>
            <w:shd w:val="clear" w:color="auto" w:fill="auto"/>
            <w:vAlign w:val="center"/>
          </w:tcPr>
          <w:p w14:paraId="117128EE" w14:textId="557A331D" w:rsidR="00044A3E" w:rsidRPr="0046108E" w:rsidRDefault="00DD2BD4"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44A3E" w:rsidRPr="0046108E" w14:paraId="2F90DED2" w14:textId="77777777" w:rsidTr="00BF2676">
        <w:trPr>
          <w:trHeight w:val="20"/>
        </w:trPr>
        <w:tc>
          <w:tcPr>
            <w:tcW w:w="3397" w:type="dxa"/>
            <w:shd w:val="clear" w:color="auto" w:fill="auto"/>
            <w:vAlign w:val="center"/>
          </w:tcPr>
          <w:p w14:paraId="5ADE6AFD" w14:textId="5096EB17" w:rsidR="00044A3E" w:rsidRPr="0046108E" w:rsidRDefault="00044A3E"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Aviz Agenția Națională pentru Siguranța Alimentelor</w:t>
            </w:r>
          </w:p>
        </w:tc>
        <w:tc>
          <w:tcPr>
            <w:tcW w:w="1271" w:type="dxa"/>
            <w:vAlign w:val="center"/>
          </w:tcPr>
          <w:p w14:paraId="21BB423B" w14:textId="1FC88F87" w:rsidR="00044A3E" w:rsidRPr="0046108E" w:rsidRDefault="00044A3E" w:rsidP="00845051">
            <w:pPr>
              <w:pStyle w:val="NormalWeb"/>
              <w:tabs>
                <w:tab w:val="left" w:pos="426"/>
              </w:tabs>
              <w:ind w:right="110" w:firstLine="142"/>
              <w:contextualSpacing/>
              <w:jc w:val="left"/>
              <w:rPr>
                <w:bCs/>
                <w:iCs/>
                <w:lang w:val="ro-MD" w:eastAsia="en-US"/>
              </w:rPr>
            </w:pPr>
            <w:r w:rsidRPr="0046108E">
              <w:rPr>
                <w:bCs/>
                <w:iCs/>
                <w:lang w:val="ro-MD" w:eastAsia="en-US"/>
              </w:rPr>
              <w:t>5.</w:t>
            </w:r>
          </w:p>
        </w:tc>
        <w:tc>
          <w:tcPr>
            <w:tcW w:w="6804" w:type="dxa"/>
            <w:shd w:val="clear" w:color="auto" w:fill="auto"/>
            <w:vAlign w:val="center"/>
          </w:tcPr>
          <w:p w14:paraId="27E88E80" w14:textId="48C5C379" w:rsidR="00044A3E" w:rsidRPr="0046108E" w:rsidRDefault="00DD2BD4"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Lipsă de obiecții și propuneri.</w:t>
            </w:r>
          </w:p>
        </w:tc>
        <w:tc>
          <w:tcPr>
            <w:tcW w:w="3123" w:type="dxa"/>
            <w:shd w:val="clear" w:color="auto" w:fill="auto"/>
            <w:vAlign w:val="center"/>
          </w:tcPr>
          <w:p w14:paraId="1FAF9FC4" w14:textId="4C07B8B3" w:rsidR="00044A3E" w:rsidRPr="0046108E" w:rsidRDefault="00DD2BD4"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044A3E" w:rsidRPr="00753414" w14:paraId="1E4621AD" w14:textId="77777777" w:rsidTr="00BF2676">
        <w:trPr>
          <w:trHeight w:val="20"/>
        </w:trPr>
        <w:tc>
          <w:tcPr>
            <w:tcW w:w="3397" w:type="dxa"/>
            <w:shd w:val="clear" w:color="auto" w:fill="auto"/>
            <w:vAlign w:val="center"/>
          </w:tcPr>
          <w:p w14:paraId="4B8E432B" w14:textId="3208A857" w:rsidR="00044A3E" w:rsidRPr="0046108E" w:rsidRDefault="00044A3E"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Declarația de compatibilitate, Centrul de Armonizare a Legislației</w:t>
            </w:r>
          </w:p>
        </w:tc>
        <w:tc>
          <w:tcPr>
            <w:tcW w:w="1271" w:type="dxa"/>
            <w:vAlign w:val="center"/>
          </w:tcPr>
          <w:p w14:paraId="2BB3B1E6" w14:textId="6C36EE67" w:rsidR="00044A3E" w:rsidRPr="0046108E" w:rsidRDefault="00044A3E" w:rsidP="00845051">
            <w:pPr>
              <w:pStyle w:val="NormalWeb"/>
              <w:tabs>
                <w:tab w:val="left" w:pos="426"/>
              </w:tabs>
              <w:ind w:right="110" w:firstLine="142"/>
              <w:contextualSpacing/>
              <w:jc w:val="left"/>
              <w:rPr>
                <w:bCs/>
                <w:iCs/>
                <w:lang w:val="ro-MD" w:eastAsia="en-US"/>
              </w:rPr>
            </w:pPr>
            <w:r w:rsidRPr="0046108E">
              <w:rPr>
                <w:bCs/>
                <w:iCs/>
                <w:lang w:val="ro-MD" w:eastAsia="en-US"/>
              </w:rPr>
              <w:t>6.</w:t>
            </w:r>
          </w:p>
        </w:tc>
        <w:tc>
          <w:tcPr>
            <w:tcW w:w="6804" w:type="dxa"/>
            <w:shd w:val="clear" w:color="auto" w:fill="auto"/>
            <w:vAlign w:val="center"/>
          </w:tcPr>
          <w:p w14:paraId="27BC7FE6" w14:textId="3D20E547" w:rsidR="00044A3E" w:rsidRPr="0046108E" w:rsidRDefault="00DD2BD4"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Lipsă de obiecții și propuneri.</w:t>
            </w:r>
          </w:p>
        </w:tc>
        <w:tc>
          <w:tcPr>
            <w:tcW w:w="3123" w:type="dxa"/>
            <w:shd w:val="clear" w:color="auto" w:fill="auto"/>
            <w:vAlign w:val="center"/>
          </w:tcPr>
          <w:p w14:paraId="05836F01" w14:textId="77777777" w:rsidR="00044A3E" w:rsidRPr="0046108E" w:rsidRDefault="00044A3E"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CD439F" w:rsidRPr="0046108E" w14:paraId="0D40E3F8" w14:textId="77777777" w:rsidTr="00BF2676">
        <w:trPr>
          <w:trHeight w:val="20"/>
        </w:trPr>
        <w:tc>
          <w:tcPr>
            <w:tcW w:w="3397" w:type="dxa"/>
            <w:vMerge w:val="restart"/>
            <w:shd w:val="clear" w:color="auto" w:fill="auto"/>
            <w:vAlign w:val="center"/>
          </w:tcPr>
          <w:p w14:paraId="71E394B4" w14:textId="112ED964" w:rsidR="00CD439F" w:rsidRPr="0046108E" w:rsidRDefault="00CD439F"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Ministerul Justiției, scrisoarea nr. 04/2-12295 din 15.12.2025</w:t>
            </w:r>
          </w:p>
        </w:tc>
        <w:tc>
          <w:tcPr>
            <w:tcW w:w="1271" w:type="dxa"/>
            <w:vAlign w:val="center"/>
          </w:tcPr>
          <w:p w14:paraId="42CCB5A7" w14:textId="1264E6BF" w:rsidR="00CD439F" w:rsidRPr="0046108E" w:rsidRDefault="00CD439F" w:rsidP="00845051">
            <w:pPr>
              <w:pStyle w:val="NormalWeb"/>
              <w:tabs>
                <w:tab w:val="left" w:pos="426"/>
              </w:tabs>
              <w:ind w:right="110" w:firstLine="142"/>
              <w:contextualSpacing/>
              <w:jc w:val="left"/>
              <w:rPr>
                <w:bCs/>
                <w:iCs/>
                <w:lang w:val="ro-MD" w:eastAsia="en-US"/>
              </w:rPr>
            </w:pPr>
            <w:r w:rsidRPr="0046108E">
              <w:rPr>
                <w:bCs/>
                <w:iCs/>
                <w:lang w:val="ro-MD" w:eastAsia="en-US"/>
              </w:rPr>
              <w:t>7.</w:t>
            </w:r>
          </w:p>
        </w:tc>
        <w:tc>
          <w:tcPr>
            <w:tcW w:w="6804" w:type="dxa"/>
            <w:shd w:val="clear" w:color="auto" w:fill="auto"/>
            <w:vAlign w:val="center"/>
          </w:tcPr>
          <w:p w14:paraId="42618FAD" w14:textId="7CB8918B" w:rsidR="00CD439F" w:rsidRPr="0046108E" w:rsidRDefault="00CD439F"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Cu referire la proiectul hotărârii Guvernului privind modificarea Hotărârii Guvernului nr. 679/2024 pentru aprobarea Regulamentului privind aplicarea măsurilor de protecție împotriva organismelor dăunătoare plantelor (număr unic 790/MAIA/2025), comunicăm următoarele. </w:t>
            </w:r>
          </w:p>
        </w:tc>
        <w:tc>
          <w:tcPr>
            <w:tcW w:w="3123" w:type="dxa"/>
            <w:shd w:val="clear" w:color="auto" w:fill="auto"/>
            <w:vAlign w:val="center"/>
          </w:tcPr>
          <w:p w14:paraId="33D1A8AE" w14:textId="785EEE4D" w:rsidR="00CD439F" w:rsidRPr="0046108E" w:rsidRDefault="008102F4"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w:t>
            </w:r>
          </w:p>
        </w:tc>
      </w:tr>
      <w:tr w:rsidR="00D90560" w:rsidRPr="0046108E" w14:paraId="00999172" w14:textId="77777777" w:rsidTr="00BF2676">
        <w:trPr>
          <w:trHeight w:val="20"/>
        </w:trPr>
        <w:tc>
          <w:tcPr>
            <w:tcW w:w="3397" w:type="dxa"/>
            <w:vMerge/>
            <w:shd w:val="clear" w:color="auto" w:fill="auto"/>
            <w:vAlign w:val="center"/>
          </w:tcPr>
          <w:p w14:paraId="1EEC8860" w14:textId="77777777" w:rsidR="00D90560" w:rsidRPr="0046108E" w:rsidRDefault="00D905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3388983" w14:textId="3E355D51" w:rsidR="00D905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8.</w:t>
            </w:r>
          </w:p>
        </w:tc>
        <w:tc>
          <w:tcPr>
            <w:tcW w:w="6804" w:type="dxa"/>
            <w:shd w:val="clear" w:color="auto" w:fill="auto"/>
            <w:vAlign w:val="center"/>
          </w:tcPr>
          <w:p w14:paraId="1BA1F58A" w14:textId="77777777" w:rsidR="00D90560" w:rsidRPr="0046108E" w:rsidRDefault="00D90560"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Potrivit notei de fundamentare, proiectul hotărârii este elaborat în temeiul art. 31 alin. (1) din Legea nr. 422/2023 privind măsurile de protecție împotriva organismelor dăunătoare plantelor. Totodată, prin proiect se transpun: 1) Regulamentul de punere în aplicare (UE) 2024/2852; 2) Regulamentul de punere în aplicare (UE) 2023/1310; 3) Regulamentul de punere în aplicare (UE) 2023/1572; 4) Regulamentul de punere în aplicare (UE) 2025/659; 5) Regulamentul de punere în aplicare (UE) 2025/1078; 6) Regulamentul de punere în aplicare (UE) 2025/1082; 7) Regulamentul de punere în aplicare (UE) 2025/1289.</w:t>
            </w:r>
          </w:p>
          <w:p w14:paraId="5B006119" w14:textId="6C43F053" w:rsidR="00D90560" w:rsidRPr="0046108E" w:rsidRDefault="00D905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context, raţionamentele expuse de iniţiator în notă reflectă motivul elaborării proiectului actului normativ.</w:t>
            </w:r>
          </w:p>
        </w:tc>
        <w:tc>
          <w:tcPr>
            <w:tcW w:w="3123" w:type="dxa"/>
            <w:shd w:val="clear" w:color="auto" w:fill="auto"/>
            <w:vAlign w:val="center"/>
          </w:tcPr>
          <w:p w14:paraId="3899D553" w14:textId="7C4BBB08" w:rsidR="00D90560" w:rsidRPr="0046108E" w:rsidRDefault="00EA55F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D90560" w:rsidRPr="0046108E" w14:paraId="3238F4AF" w14:textId="77777777" w:rsidTr="00BF2676">
        <w:trPr>
          <w:trHeight w:val="20"/>
        </w:trPr>
        <w:tc>
          <w:tcPr>
            <w:tcW w:w="3397" w:type="dxa"/>
            <w:vMerge/>
            <w:shd w:val="clear" w:color="auto" w:fill="auto"/>
            <w:vAlign w:val="center"/>
          </w:tcPr>
          <w:p w14:paraId="067B2B48" w14:textId="77777777" w:rsidR="00D90560" w:rsidRPr="0046108E" w:rsidRDefault="00D905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E381A62" w14:textId="2049CC1A" w:rsidR="00D905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9.</w:t>
            </w:r>
          </w:p>
        </w:tc>
        <w:tc>
          <w:tcPr>
            <w:tcW w:w="6804" w:type="dxa"/>
            <w:shd w:val="clear" w:color="auto" w:fill="auto"/>
            <w:vAlign w:val="center"/>
          </w:tcPr>
          <w:p w14:paraId="5277E8B6" w14:textId="77777777" w:rsidR="00D90560" w:rsidRPr="0046108E" w:rsidRDefault="00D90560"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Totodată, aferent rigorilor normative se vor reține următoarele:</w:t>
            </w:r>
          </w:p>
          <w:p w14:paraId="09590868" w14:textId="2FC03D43" w:rsidR="00D90560" w:rsidRPr="0046108E" w:rsidRDefault="00D905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clauza de adoptare, la sursa de publicare a Legii nr. 422/2023, numărul Monitorului și numărul articolului au fost indicate greșit. Prin urmare, textul „nr. 502-505, art. 917” se va substitui cu textul „nr. 98-100, art. 147”.</w:t>
            </w:r>
          </w:p>
        </w:tc>
        <w:tc>
          <w:tcPr>
            <w:tcW w:w="3123" w:type="dxa"/>
            <w:shd w:val="clear" w:color="auto" w:fill="auto"/>
            <w:vAlign w:val="center"/>
          </w:tcPr>
          <w:p w14:paraId="37A4395A" w14:textId="00532A5B" w:rsidR="00D90560" w:rsidRPr="0046108E" w:rsidRDefault="00EA55F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D90560" w:rsidRPr="0046108E" w14:paraId="4CEB480E" w14:textId="77777777" w:rsidTr="00BF2676">
        <w:trPr>
          <w:trHeight w:val="20"/>
        </w:trPr>
        <w:tc>
          <w:tcPr>
            <w:tcW w:w="3397" w:type="dxa"/>
            <w:vMerge/>
            <w:shd w:val="clear" w:color="auto" w:fill="auto"/>
            <w:vAlign w:val="center"/>
          </w:tcPr>
          <w:p w14:paraId="76BFBF9B" w14:textId="77777777" w:rsidR="00D90560" w:rsidRPr="0046108E" w:rsidRDefault="00D905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526828A" w14:textId="4A27CA46" w:rsidR="00D905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10.</w:t>
            </w:r>
          </w:p>
        </w:tc>
        <w:tc>
          <w:tcPr>
            <w:tcW w:w="6804" w:type="dxa"/>
            <w:shd w:val="clear" w:color="auto" w:fill="auto"/>
            <w:vAlign w:val="center"/>
          </w:tcPr>
          <w:p w14:paraId="216AAAE5" w14:textId="51E957ED" w:rsidR="00D90560" w:rsidRPr="0046108E" w:rsidRDefault="00D905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conformitate cu pct. 36 din Regulamentul privind armonizarea legislației Republicii Moldova cu legislația UE, aprobat prin Hotărârea Guvernului nr. 1171/2018, „36. Pentru proiectele actelor normative de modificare care au ca scop transpunerea legislației UE, clauza de armonizare se inserează în proiectul actului normativ de modificare și, la necesitate, se completează clauza de armonizare a actului normativ de bază cu actul/actele juridic/e european/europene noi transpus/e sau cu noi trimiteri la elementele structurale ale actului UE transpus în cazul avansării gradului de transpunere.”. Având în vedere regula enunțată, proiectul de modificare a Hotărârii Guvernului nr. 679/2024, se va completa cu clauza de armonizare.</w:t>
            </w:r>
          </w:p>
        </w:tc>
        <w:tc>
          <w:tcPr>
            <w:tcW w:w="3123" w:type="dxa"/>
            <w:shd w:val="clear" w:color="auto" w:fill="auto"/>
            <w:vAlign w:val="center"/>
          </w:tcPr>
          <w:p w14:paraId="142AE6F7" w14:textId="7C84E27B" w:rsidR="00D90560" w:rsidRPr="0046108E" w:rsidRDefault="00A5522D"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D90560" w:rsidRPr="0046108E" w14:paraId="6F89EBEC" w14:textId="77777777" w:rsidTr="00BF2676">
        <w:trPr>
          <w:trHeight w:val="20"/>
        </w:trPr>
        <w:tc>
          <w:tcPr>
            <w:tcW w:w="3397" w:type="dxa"/>
            <w:vMerge/>
            <w:shd w:val="clear" w:color="auto" w:fill="auto"/>
            <w:vAlign w:val="center"/>
          </w:tcPr>
          <w:p w14:paraId="5A4D50A3" w14:textId="77777777" w:rsidR="00D90560" w:rsidRPr="0046108E" w:rsidRDefault="00D905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31B7386" w14:textId="7387CE8C" w:rsidR="00D905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11.</w:t>
            </w:r>
          </w:p>
        </w:tc>
        <w:tc>
          <w:tcPr>
            <w:tcW w:w="6804" w:type="dxa"/>
            <w:shd w:val="clear" w:color="auto" w:fill="auto"/>
            <w:vAlign w:val="center"/>
          </w:tcPr>
          <w:p w14:paraId="4D479327" w14:textId="77777777" w:rsidR="00D90560" w:rsidRPr="0046108E" w:rsidRDefault="00D90560"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La pct. 1 din proiectul hotărârii:</w:t>
            </w:r>
          </w:p>
          <w:p w14:paraId="2F2BD49E" w14:textId="4DFED417" w:rsidR="00D90560" w:rsidRPr="0046108E" w:rsidRDefault="00D90560"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Potrivit normelor de tehnică legislativă, când modificarea presupune o substituire utilizăm termenul „textul”, dacă structura e formată dintr-un cuvânt/cuvinte și cel puțin un semn grafic; utilizăm termenul „cuvintele”, dacă în structura vizată nu sunt prezente și alte semne grafice. </w:t>
            </w:r>
            <w:r w:rsidRPr="0046108E">
              <w:rPr>
                <w:sz w:val="24"/>
                <w:szCs w:val="24"/>
                <w:lang w:val="en-US"/>
              </w:rPr>
              <w:t>Având în vedere regula enunțată, la subpct. 1.1, în referința la art. 31 alin. (1) se va utiliza termenul „textul” și nu „cuvintele”.</w:t>
            </w:r>
          </w:p>
        </w:tc>
        <w:tc>
          <w:tcPr>
            <w:tcW w:w="3123" w:type="dxa"/>
            <w:shd w:val="clear" w:color="auto" w:fill="auto"/>
            <w:vAlign w:val="center"/>
          </w:tcPr>
          <w:p w14:paraId="3F886B52" w14:textId="1445AC8D" w:rsidR="00D90560" w:rsidRPr="0046108E" w:rsidRDefault="00806260"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806260" w:rsidRPr="0046108E" w14:paraId="1DDDF510" w14:textId="77777777" w:rsidTr="00E718A4">
        <w:trPr>
          <w:trHeight w:val="20"/>
        </w:trPr>
        <w:tc>
          <w:tcPr>
            <w:tcW w:w="3397" w:type="dxa"/>
            <w:vMerge/>
            <w:shd w:val="clear" w:color="auto" w:fill="auto"/>
            <w:vAlign w:val="center"/>
          </w:tcPr>
          <w:p w14:paraId="2DD08D7D" w14:textId="77777777" w:rsidR="00806260" w:rsidRPr="0046108E" w:rsidRDefault="008062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4D0C928" w14:textId="3C0BB903" w:rsidR="008062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12.</w:t>
            </w:r>
          </w:p>
        </w:tc>
        <w:tc>
          <w:tcPr>
            <w:tcW w:w="6804" w:type="dxa"/>
            <w:shd w:val="clear" w:color="auto" w:fill="auto"/>
            <w:vAlign w:val="center"/>
          </w:tcPr>
          <w:p w14:paraId="48C1C7B7" w14:textId="45D316C0" w:rsidR="00806260" w:rsidRPr="0046108E" w:rsidRDefault="008062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Totodată, textul „art. 31 alin. (1)” în clauza de adoptare va succeda textul „art. 6 alin. (2)”, or, articolele urmează a fi inserate în ordine consecutivă.</w:t>
            </w:r>
          </w:p>
        </w:tc>
        <w:tc>
          <w:tcPr>
            <w:tcW w:w="3123" w:type="dxa"/>
            <w:shd w:val="clear" w:color="auto" w:fill="auto"/>
          </w:tcPr>
          <w:p w14:paraId="4D179C8F" w14:textId="323F9C3C" w:rsidR="00806260" w:rsidRPr="0046108E" w:rsidRDefault="00806260"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806260" w:rsidRPr="0046108E" w14:paraId="3904E264" w14:textId="77777777" w:rsidTr="00E718A4">
        <w:trPr>
          <w:trHeight w:val="20"/>
        </w:trPr>
        <w:tc>
          <w:tcPr>
            <w:tcW w:w="3397" w:type="dxa"/>
            <w:vMerge/>
            <w:shd w:val="clear" w:color="auto" w:fill="auto"/>
            <w:vAlign w:val="center"/>
          </w:tcPr>
          <w:p w14:paraId="4EF5706C" w14:textId="77777777" w:rsidR="00806260" w:rsidRPr="0046108E" w:rsidRDefault="008062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8E6B999" w14:textId="28C56E26" w:rsidR="008062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13.</w:t>
            </w:r>
          </w:p>
        </w:tc>
        <w:tc>
          <w:tcPr>
            <w:tcW w:w="6804" w:type="dxa"/>
            <w:shd w:val="clear" w:color="auto" w:fill="auto"/>
            <w:vAlign w:val="center"/>
          </w:tcPr>
          <w:p w14:paraId="066AFEAC" w14:textId="46939F3B" w:rsidR="00806260" w:rsidRPr="0046108E" w:rsidRDefault="008062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Cu referire la modificarea clauzei de armonizare (sbp. 1.2.1), la Regulamentul de punere în aplicare (UE) 2024/2852, se va indica mai întâi sursa de publicare în Jurnalul oficial al Uniunii Europene, care va fi succedat de nr. CELEX (obiecție valabilă și pentru celelalte acte europene, indicate în clauza de armonizare).</w:t>
            </w:r>
          </w:p>
        </w:tc>
        <w:tc>
          <w:tcPr>
            <w:tcW w:w="3123" w:type="dxa"/>
            <w:shd w:val="clear" w:color="auto" w:fill="auto"/>
          </w:tcPr>
          <w:p w14:paraId="51B8C907" w14:textId="4D5989EE" w:rsidR="00806260" w:rsidRPr="0046108E" w:rsidRDefault="00806260"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806260" w:rsidRPr="0046108E" w14:paraId="3C5B40AF" w14:textId="77777777" w:rsidTr="00E718A4">
        <w:trPr>
          <w:trHeight w:val="20"/>
        </w:trPr>
        <w:tc>
          <w:tcPr>
            <w:tcW w:w="3397" w:type="dxa"/>
            <w:vMerge/>
            <w:shd w:val="clear" w:color="auto" w:fill="auto"/>
            <w:vAlign w:val="center"/>
          </w:tcPr>
          <w:p w14:paraId="36821394" w14:textId="77777777" w:rsidR="00806260" w:rsidRPr="0046108E" w:rsidRDefault="008062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735F01B" w14:textId="391F7B47" w:rsidR="008062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14.</w:t>
            </w:r>
          </w:p>
        </w:tc>
        <w:tc>
          <w:tcPr>
            <w:tcW w:w="6804" w:type="dxa"/>
            <w:shd w:val="clear" w:color="auto" w:fill="auto"/>
            <w:vAlign w:val="center"/>
          </w:tcPr>
          <w:p w14:paraId="2B48FF65" w14:textId="5285AE82" w:rsidR="00806260" w:rsidRPr="0046108E" w:rsidRDefault="008062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Potrivit normelor de tehnică legislativă, în cazul operațiunii de completare cu un element structural nou se va utiliza sintagma ,,se completează cu ,,...” cu următorul cuprins:”.</w:t>
            </w:r>
          </w:p>
        </w:tc>
        <w:tc>
          <w:tcPr>
            <w:tcW w:w="3123" w:type="dxa"/>
            <w:shd w:val="clear" w:color="auto" w:fill="auto"/>
          </w:tcPr>
          <w:p w14:paraId="2A7A9963" w14:textId="7F0D4B05" w:rsidR="00806260" w:rsidRPr="0046108E" w:rsidRDefault="00806260"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806260" w:rsidRPr="0046108E" w14:paraId="1AF59A7B" w14:textId="77777777" w:rsidTr="00E718A4">
        <w:trPr>
          <w:trHeight w:val="20"/>
        </w:trPr>
        <w:tc>
          <w:tcPr>
            <w:tcW w:w="3397" w:type="dxa"/>
            <w:vMerge/>
            <w:shd w:val="clear" w:color="auto" w:fill="auto"/>
            <w:vAlign w:val="center"/>
          </w:tcPr>
          <w:p w14:paraId="327279F6" w14:textId="77777777" w:rsidR="00806260" w:rsidRPr="0046108E" w:rsidRDefault="008062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CBD9247" w14:textId="07C9139C" w:rsidR="008062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15.</w:t>
            </w:r>
          </w:p>
        </w:tc>
        <w:tc>
          <w:tcPr>
            <w:tcW w:w="6804" w:type="dxa"/>
            <w:shd w:val="clear" w:color="auto" w:fill="auto"/>
            <w:vAlign w:val="center"/>
          </w:tcPr>
          <w:p w14:paraId="3FA1ABAC" w14:textId="08DCFB26" w:rsidR="00806260" w:rsidRPr="0046108E" w:rsidRDefault="00806260"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Având în vedere regula enunțată, dispoziția de modificare de la subpct. 1.2.2 va avea următorul cuprins: „1.2.2. Punctul 2 se </w:t>
            </w:r>
            <w:r w:rsidRPr="0046108E">
              <w:rPr>
                <w:sz w:val="24"/>
                <w:szCs w:val="24"/>
                <w:lang w:val="en-US"/>
              </w:rPr>
              <w:lastRenderedPageBreak/>
              <w:t>completează cu noțiunea „organism dăunător care prezintă motive de îngrijorare” cu următorul cuprins:”.</w:t>
            </w:r>
          </w:p>
        </w:tc>
        <w:tc>
          <w:tcPr>
            <w:tcW w:w="3123" w:type="dxa"/>
            <w:shd w:val="clear" w:color="auto" w:fill="auto"/>
          </w:tcPr>
          <w:p w14:paraId="3843C552" w14:textId="3C03FDAC" w:rsidR="00806260" w:rsidRPr="0046108E" w:rsidRDefault="00806260"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806260" w:rsidRPr="0046108E" w14:paraId="20A970C1" w14:textId="77777777" w:rsidTr="00E718A4">
        <w:trPr>
          <w:trHeight w:val="20"/>
        </w:trPr>
        <w:tc>
          <w:tcPr>
            <w:tcW w:w="3397" w:type="dxa"/>
            <w:vMerge/>
            <w:shd w:val="clear" w:color="auto" w:fill="auto"/>
            <w:vAlign w:val="center"/>
          </w:tcPr>
          <w:p w14:paraId="51616D6A" w14:textId="77777777" w:rsidR="00806260" w:rsidRPr="0046108E" w:rsidRDefault="00806260"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1AF5054" w14:textId="4801FFB8" w:rsidR="00806260"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16.</w:t>
            </w:r>
          </w:p>
        </w:tc>
        <w:tc>
          <w:tcPr>
            <w:tcW w:w="6804" w:type="dxa"/>
            <w:shd w:val="clear" w:color="auto" w:fill="auto"/>
            <w:vAlign w:val="center"/>
          </w:tcPr>
          <w:p w14:paraId="5DA971AB" w14:textId="749E5652" w:rsidR="00806260" w:rsidRPr="0046108E" w:rsidRDefault="00806260"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La sbp. 1.2.3 remarcăm că se indică modificarea pct. 3, însă în continuare se propun modificări în anexe la Regulament. Prin urmare, se va revedea acest aspect, inclusiv prin excluderea conținutului acestui subpunct și renumerotarea modificărilor propuse în textele anexelor.</w:t>
            </w:r>
          </w:p>
        </w:tc>
        <w:tc>
          <w:tcPr>
            <w:tcW w:w="3123" w:type="dxa"/>
            <w:shd w:val="clear" w:color="auto" w:fill="auto"/>
          </w:tcPr>
          <w:p w14:paraId="487A8E14" w14:textId="002776E5" w:rsidR="00806260" w:rsidRPr="0046108E" w:rsidRDefault="00806260"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F468FB" w:rsidRPr="0046108E" w14:paraId="6DD23FCF" w14:textId="77777777" w:rsidTr="00E718A4">
        <w:trPr>
          <w:trHeight w:val="20"/>
        </w:trPr>
        <w:tc>
          <w:tcPr>
            <w:tcW w:w="3397" w:type="dxa"/>
            <w:vMerge/>
            <w:shd w:val="clear" w:color="auto" w:fill="auto"/>
            <w:vAlign w:val="center"/>
          </w:tcPr>
          <w:p w14:paraId="53116A31" w14:textId="77777777" w:rsidR="00F468FB" w:rsidRPr="0046108E" w:rsidRDefault="00F468F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E23AE78" w14:textId="0FBC0A97" w:rsidR="00F468F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17.</w:t>
            </w:r>
          </w:p>
        </w:tc>
        <w:tc>
          <w:tcPr>
            <w:tcW w:w="6804" w:type="dxa"/>
            <w:shd w:val="clear" w:color="auto" w:fill="auto"/>
            <w:vAlign w:val="center"/>
          </w:tcPr>
          <w:p w14:paraId="19E9152D" w14:textId="1DD0C04F" w:rsidR="00F468FB" w:rsidRPr="0046108E" w:rsidRDefault="00F468F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Totodată, la subpct. 1.2.3.1.1, cuvintele „referințele la” se vor substitui cu cuvântul „textele” (obiecție valabilă și la subpct. 1.2.3.1.2).</w:t>
            </w:r>
          </w:p>
        </w:tc>
        <w:tc>
          <w:tcPr>
            <w:tcW w:w="3123" w:type="dxa"/>
            <w:shd w:val="clear" w:color="auto" w:fill="auto"/>
          </w:tcPr>
          <w:p w14:paraId="1DDE2230" w14:textId="50407134" w:rsidR="00F468FB" w:rsidRPr="0046108E" w:rsidRDefault="00F468F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F468FB" w:rsidRPr="0046108E" w14:paraId="5448C427" w14:textId="77777777" w:rsidTr="00E718A4">
        <w:trPr>
          <w:trHeight w:val="20"/>
        </w:trPr>
        <w:tc>
          <w:tcPr>
            <w:tcW w:w="3397" w:type="dxa"/>
            <w:vMerge/>
            <w:shd w:val="clear" w:color="auto" w:fill="auto"/>
            <w:vAlign w:val="center"/>
          </w:tcPr>
          <w:p w14:paraId="2D8EFCDE" w14:textId="77777777" w:rsidR="00F468FB" w:rsidRPr="0046108E" w:rsidRDefault="00F468F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1879D39" w14:textId="3BEF070A" w:rsidR="00F468F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18.</w:t>
            </w:r>
          </w:p>
        </w:tc>
        <w:tc>
          <w:tcPr>
            <w:tcW w:w="6804" w:type="dxa"/>
            <w:shd w:val="clear" w:color="auto" w:fill="auto"/>
            <w:vAlign w:val="center"/>
          </w:tcPr>
          <w:p w14:paraId="2AA785F9" w14:textId="37538AAB" w:rsidR="00F468FB" w:rsidRPr="0046108E" w:rsidRDefault="00F468F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La subpct. 1.2.3.1.2, cuvintele „se înlocuiește cu referința la” se vor substitui cu cuvintele „se substituie cu textul” (obiecție valabilă și la subpct. 1.2.3.3.1).</w:t>
            </w:r>
          </w:p>
        </w:tc>
        <w:tc>
          <w:tcPr>
            <w:tcW w:w="3123" w:type="dxa"/>
            <w:shd w:val="clear" w:color="auto" w:fill="auto"/>
          </w:tcPr>
          <w:p w14:paraId="77CB7B5E" w14:textId="5343BED7" w:rsidR="00F468FB" w:rsidRPr="0046108E" w:rsidRDefault="00F468F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F468FB" w:rsidRPr="0046108E" w14:paraId="23C40AB8" w14:textId="77777777" w:rsidTr="00E718A4">
        <w:trPr>
          <w:trHeight w:val="20"/>
        </w:trPr>
        <w:tc>
          <w:tcPr>
            <w:tcW w:w="3397" w:type="dxa"/>
            <w:vMerge/>
            <w:shd w:val="clear" w:color="auto" w:fill="auto"/>
            <w:vAlign w:val="center"/>
          </w:tcPr>
          <w:p w14:paraId="1FF924C3" w14:textId="77777777" w:rsidR="00F468FB" w:rsidRPr="0046108E" w:rsidRDefault="00F468F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40408EF" w14:textId="5BEDEFB6" w:rsidR="00F468F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19.</w:t>
            </w:r>
          </w:p>
        </w:tc>
        <w:tc>
          <w:tcPr>
            <w:tcW w:w="6804" w:type="dxa"/>
            <w:shd w:val="clear" w:color="auto" w:fill="auto"/>
            <w:vAlign w:val="center"/>
          </w:tcPr>
          <w:p w14:paraId="19D791BB" w14:textId="12B73E57" w:rsidR="00F468FB" w:rsidRPr="0046108E" w:rsidRDefault="00F468F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Potrivit normelor de tehnică legislativă, în cazul expunerii în redacție nouă a conținutului unui element structural se va utiliza sintagma ,,va avea următorul cuprins:”, urmată de redarea textului nou. Având în vedere regula expusă, dispoziția de modificare a subpct. 1.2.3.2 va avea următoarea redacție: „1.2.3.2. secțiunea 1 din anexa nr. 2 va avea următorul cuprins:” (obiecție similară și la subpct. 1.2.3.11). În acest caz parafa de aprobare a anexei nr. 2 nu se va indica.</w:t>
            </w:r>
          </w:p>
        </w:tc>
        <w:tc>
          <w:tcPr>
            <w:tcW w:w="3123" w:type="dxa"/>
            <w:shd w:val="clear" w:color="auto" w:fill="auto"/>
          </w:tcPr>
          <w:p w14:paraId="7DFE670B" w14:textId="68FD2DF9" w:rsidR="00F468FB" w:rsidRPr="0046108E" w:rsidRDefault="00F468F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753414" w14:paraId="6AA90A18" w14:textId="77777777" w:rsidTr="00E718A4">
        <w:trPr>
          <w:trHeight w:val="20"/>
        </w:trPr>
        <w:tc>
          <w:tcPr>
            <w:tcW w:w="3397" w:type="dxa"/>
            <w:vMerge/>
            <w:shd w:val="clear" w:color="auto" w:fill="auto"/>
            <w:vAlign w:val="center"/>
          </w:tcPr>
          <w:p w14:paraId="507B6772"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93C5589" w14:textId="5211F43B"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20.</w:t>
            </w:r>
          </w:p>
        </w:tc>
        <w:tc>
          <w:tcPr>
            <w:tcW w:w="6804" w:type="dxa"/>
            <w:shd w:val="clear" w:color="auto" w:fill="auto"/>
            <w:vAlign w:val="center"/>
          </w:tcPr>
          <w:p w14:paraId="0AAA2970" w14:textId="311F300F" w:rsidR="005D44F6" w:rsidRPr="0046108E" w:rsidRDefault="005D44F6"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Cu privire la dispoziția de la subpct. 1.2.3.3.3, prin care se modifică numerotarea în conformitate cu art. 52 alin. (3) din Legea nr. 100/2017 cu privire la actele normative, menționăm că renumerotarea elementelor structurale ale actului normativ se efectuează doar la republicarea actului respectiv. Astfel, subpct. 1.2.3.3.3 se va exclude din proiect. Regula renumerotării este aplicabilă și în cazul pozițiilor. Prin urmare, prevederea de la subpct. 1.2.3.4.1, prin care pozițiile se renumerotează în ordine consecutivă, se va exclude din proiect (obiecție valabilă și la subpct. 1.2.3.4.2, 1.2.3.4.3, 1.2.3.4.3.2, 1.2.3.4.4).</w:t>
            </w:r>
          </w:p>
        </w:tc>
        <w:tc>
          <w:tcPr>
            <w:tcW w:w="3123" w:type="dxa"/>
            <w:shd w:val="clear" w:color="auto" w:fill="auto"/>
          </w:tcPr>
          <w:p w14:paraId="5F5821D0"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en-US"/>
              </w:rPr>
            </w:pPr>
            <w:r w:rsidRPr="0046108E">
              <w:rPr>
                <w:rFonts w:ascii="Times New Roman" w:hAnsi="Times New Roman"/>
                <w:b/>
                <w:sz w:val="24"/>
                <w:szCs w:val="24"/>
                <w:lang w:val="en-US"/>
              </w:rPr>
              <w:t>Se acceptă.</w:t>
            </w:r>
          </w:p>
          <w:p w14:paraId="3D0457CC" w14:textId="79AF937C" w:rsidR="00B5715F" w:rsidRPr="0046108E" w:rsidRDefault="00B5715F" w:rsidP="00845051">
            <w:pPr>
              <w:pStyle w:val="Listparagraf"/>
              <w:tabs>
                <w:tab w:val="left" w:pos="1418"/>
              </w:tabs>
              <w:spacing w:after="0" w:line="240" w:lineRule="auto"/>
              <w:ind w:left="0" w:firstLine="174"/>
              <w:jc w:val="both"/>
              <w:rPr>
                <w:sz w:val="24"/>
                <w:szCs w:val="24"/>
                <w:lang w:val="en-US"/>
              </w:rPr>
            </w:pPr>
            <w:r w:rsidRPr="0046108E">
              <w:rPr>
                <w:sz w:val="24"/>
                <w:szCs w:val="24"/>
                <w:lang w:val="en-US"/>
              </w:rPr>
              <w:t>A fost inclus în proiect pct. 2</w:t>
            </w:r>
            <w:r w:rsidR="00EA1A12" w:rsidRPr="0046108E">
              <w:rPr>
                <w:sz w:val="24"/>
                <w:szCs w:val="24"/>
                <w:lang w:val="en-US"/>
              </w:rPr>
              <w:t>, care stabilește că prezenta Hotărâre de Guvern se republică în Monitorul Oficial al Republicii Moldova.</w:t>
            </w:r>
          </w:p>
        </w:tc>
      </w:tr>
      <w:tr w:rsidR="005D44F6" w:rsidRPr="0046108E" w14:paraId="0B2F078C" w14:textId="77777777" w:rsidTr="00E718A4">
        <w:trPr>
          <w:trHeight w:val="20"/>
        </w:trPr>
        <w:tc>
          <w:tcPr>
            <w:tcW w:w="3397" w:type="dxa"/>
            <w:vMerge/>
            <w:shd w:val="clear" w:color="auto" w:fill="auto"/>
            <w:vAlign w:val="center"/>
          </w:tcPr>
          <w:p w14:paraId="78293BED"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0ECFCBD" w14:textId="15D3507B"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21.</w:t>
            </w:r>
          </w:p>
        </w:tc>
        <w:tc>
          <w:tcPr>
            <w:tcW w:w="6804" w:type="dxa"/>
            <w:shd w:val="clear" w:color="auto" w:fill="auto"/>
            <w:vAlign w:val="center"/>
          </w:tcPr>
          <w:p w14:paraId="7EA8D26C" w14:textId="58B2B9C3" w:rsidR="005D44F6" w:rsidRPr="0046108E" w:rsidRDefault="005D44F6"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1.2.3.3.4, ținând cont că se face referință la secțiunea a 6-a, denumirea acesteia se va exclude. Totodată, se vor exclude și cuvintele „tabelul” și „nouă” (obiecție similară și la subpct. </w:t>
            </w:r>
            <w:r w:rsidRPr="0046108E">
              <w:rPr>
                <w:sz w:val="24"/>
                <w:szCs w:val="24"/>
                <w:lang w:val="en-US"/>
              </w:rPr>
              <w:lastRenderedPageBreak/>
              <w:t>1.2.3.3.6, 1.2.3.3.7, 1.2.3.3.7.1, 1.2.3.3.7.2.2). Întru corectitudinea redactării, subpct. 1.2.3.3.7.2.2 va avea următorul cuprins: „se completează cu două poziții cu următorul cuprins:”.</w:t>
            </w:r>
          </w:p>
        </w:tc>
        <w:tc>
          <w:tcPr>
            <w:tcW w:w="3123" w:type="dxa"/>
            <w:shd w:val="clear" w:color="auto" w:fill="auto"/>
          </w:tcPr>
          <w:p w14:paraId="2D9D6B6D" w14:textId="520EC76D"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5D44F6" w:rsidRPr="0046108E" w14:paraId="42D40571" w14:textId="77777777" w:rsidTr="00E718A4">
        <w:trPr>
          <w:trHeight w:val="20"/>
        </w:trPr>
        <w:tc>
          <w:tcPr>
            <w:tcW w:w="3397" w:type="dxa"/>
            <w:vMerge/>
            <w:shd w:val="clear" w:color="auto" w:fill="auto"/>
            <w:vAlign w:val="center"/>
          </w:tcPr>
          <w:p w14:paraId="2811FCAC"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517220F" w14:textId="66C33860"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22.</w:t>
            </w:r>
          </w:p>
        </w:tc>
        <w:tc>
          <w:tcPr>
            <w:tcW w:w="6804" w:type="dxa"/>
            <w:shd w:val="clear" w:color="auto" w:fill="auto"/>
            <w:vAlign w:val="center"/>
          </w:tcPr>
          <w:p w14:paraId="73826F8A" w14:textId="45D14DB5" w:rsidR="005D44F6" w:rsidRPr="0046108E" w:rsidRDefault="005D44F6"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În cazul în care nu se va revizui numărul pozițiilor, modificarea indicată la subpct. 1.2.3.2.4.2.1, 1.2.3.4.3.1, 1.2.3.4.4 decade.</w:t>
            </w:r>
          </w:p>
        </w:tc>
        <w:tc>
          <w:tcPr>
            <w:tcW w:w="3123" w:type="dxa"/>
            <w:shd w:val="clear" w:color="auto" w:fill="auto"/>
          </w:tcPr>
          <w:p w14:paraId="6DFDF605" w14:textId="1C0583BB"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17EF8210" w14:textId="77777777" w:rsidTr="00E718A4">
        <w:trPr>
          <w:trHeight w:val="20"/>
        </w:trPr>
        <w:tc>
          <w:tcPr>
            <w:tcW w:w="3397" w:type="dxa"/>
            <w:vMerge/>
            <w:shd w:val="clear" w:color="auto" w:fill="auto"/>
            <w:vAlign w:val="center"/>
          </w:tcPr>
          <w:p w14:paraId="01E6874E"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3E162FA" w14:textId="6A56B5D4"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23.</w:t>
            </w:r>
          </w:p>
        </w:tc>
        <w:tc>
          <w:tcPr>
            <w:tcW w:w="6804" w:type="dxa"/>
            <w:shd w:val="clear" w:color="auto" w:fill="auto"/>
            <w:vAlign w:val="center"/>
          </w:tcPr>
          <w:p w14:paraId="789EC7AB" w14:textId="76E7D37F" w:rsidR="005D44F6" w:rsidRPr="0046108E" w:rsidRDefault="005D44F6"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La subpct. 1.2.3.4.2.2, cuvintele „se adaugă” se vor substitui cu cuvintele „se completează”.</w:t>
            </w:r>
          </w:p>
        </w:tc>
        <w:tc>
          <w:tcPr>
            <w:tcW w:w="3123" w:type="dxa"/>
            <w:shd w:val="clear" w:color="auto" w:fill="auto"/>
          </w:tcPr>
          <w:p w14:paraId="7E5EDA74" w14:textId="1A9B5C53"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20510F4A" w14:textId="77777777" w:rsidTr="00E718A4">
        <w:trPr>
          <w:trHeight w:val="20"/>
        </w:trPr>
        <w:tc>
          <w:tcPr>
            <w:tcW w:w="3397" w:type="dxa"/>
            <w:vMerge/>
            <w:shd w:val="clear" w:color="auto" w:fill="auto"/>
            <w:vAlign w:val="center"/>
          </w:tcPr>
          <w:p w14:paraId="375223B1"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5301138" w14:textId="1B8A88FE"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24.</w:t>
            </w:r>
          </w:p>
        </w:tc>
        <w:tc>
          <w:tcPr>
            <w:tcW w:w="6804" w:type="dxa"/>
            <w:shd w:val="clear" w:color="auto" w:fill="auto"/>
            <w:vAlign w:val="center"/>
          </w:tcPr>
          <w:p w14:paraId="00117BF9" w14:textId="41F1087A" w:rsidR="005D44F6" w:rsidRPr="0046108E" w:rsidRDefault="005D44F6" w:rsidP="00845051">
            <w:pPr>
              <w:pStyle w:val="Listparagraf"/>
              <w:tabs>
                <w:tab w:val="left" w:pos="851"/>
              </w:tabs>
              <w:spacing w:after="0" w:line="240" w:lineRule="auto"/>
              <w:ind w:left="0" w:right="110"/>
              <w:rPr>
                <w:sz w:val="24"/>
                <w:szCs w:val="24"/>
                <w:lang w:val="ro-MD"/>
              </w:rPr>
            </w:pPr>
            <w:r w:rsidRPr="0046108E">
              <w:rPr>
                <w:sz w:val="24"/>
                <w:szCs w:val="24"/>
                <w:lang w:val="en-US"/>
              </w:rPr>
              <w:t xml:space="preserve">La subpct. 1.2.3.4.6, în referința la „Marea Britanie” și „Regatul Unit” se va utiliza termenul „cuvintele” și nu „textul”. </w:t>
            </w:r>
          </w:p>
        </w:tc>
        <w:tc>
          <w:tcPr>
            <w:tcW w:w="3123" w:type="dxa"/>
            <w:shd w:val="clear" w:color="auto" w:fill="auto"/>
          </w:tcPr>
          <w:p w14:paraId="39CD9EC7" w14:textId="5531A941"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5519A67A" w14:textId="77777777" w:rsidTr="00E718A4">
        <w:trPr>
          <w:trHeight w:val="20"/>
        </w:trPr>
        <w:tc>
          <w:tcPr>
            <w:tcW w:w="3397" w:type="dxa"/>
            <w:vMerge/>
            <w:shd w:val="clear" w:color="auto" w:fill="auto"/>
            <w:vAlign w:val="center"/>
          </w:tcPr>
          <w:p w14:paraId="13EDD9DD"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6CBA138" w14:textId="2CB63F3B"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25.</w:t>
            </w:r>
          </w:p>
        </w:tc>
        <w:tc>
          <w:tcPr>
            <w:tcW w:w="6804" w:type="dxa"/>
            <w:shd w:val="clear" w:color="auto" w:fill="auto"/>
            <w:vAlign w:val="center"/>
          </w:tcPr>
          <w:p w14:paraId="6CF4A214" w14:textId="42933B3A"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Dispoziția de la subpct. 1.2.3.4.7, prin care codul „4401 40 900” se substituie cu codul „4401 49 000”, se va exclude din proiect, or, în anexa nr. 4 este indicat deja codul „4401 49 000”.</w:t>
            </w:r>
          </w:p>
        </w:tc>
        <w:tc>
          <w:tcPr>
            <w:tcW w:w="3123" w:type="dxa"/>
            <w:shd w:val="clear" w:color="auto" w:fill="auto"/>
          </w:tcPr>
          <w:p w14:paraId="7FFAD711" w14:textId="6D36F8EE"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7EEA649B" w14:textId="77777777" w:rsidTr="00E718A4">
        <w:trPr>
          <w:trHeight w:val="20"/>
        </w:trPr>
        <w:tc>
          <w:tcPr>
            <w:tcW w:w="3397" w:type="dxa"/>
            <w:vMerge/>
            <w:shd w:val="clear" w:color="auto" w:fill="auto"/>
            <w:vAlign w:val="center"/>
          </w:tcPr>
          <w:p w14:paraId="074EF3E0"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AEE96F0" w14:textId="66A494CC"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26.</w:t>
            </w:r>
          </w:p>
        </w:tc>
        <w:tc>
          <w:tcPr>
            <w:tcW w:w="6804" w:type="dxa"/>
            <w:shd w:val="clear" w:color="auto" w:fill="auto"/>
            <w:vAlign w:val="center"/>
          </w:tcPr>
          <w:p w14:paraId="2E2168BA" w14:textId="04BA5C81"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Potrivit normelor de tehnică legislativă, în cazul completării cu un element structural nou, nu se menționează după care articol, punct, alineat, literă etc. se amplasează acesta sau pe care dintre acestea le precedă. Având în vedere regula enunțată, dispoziția de modificare a subpct. 1.2.3.5.1 va avea următorul cuprins: „se completează cu poziția 71 cu următorul cuprins:” (obiecție valabilă și la subpct. 1.2.3.5.4, 1.2.3.5.9).</w:t>
            </w:r>
          </w:p>
        </w:tc>
        <w:tc>
          <w:tcPr>
            <w:tcW w:w="3123" w:type="dxa"/>
            <w:shd w:val="clear" w:color="auto" w:fill="auto"/>
          </w:tcPr>
          <w:p w14:paraId="52BB8501" w14:textId="70F8A5E3"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2B38F3AE" w14:textId="77777777" w:rsidTr="00E718A4">
        <w:trPr>
          <w:trHeight w:val="20"/>
        </w:trPr>
        <w:tc>
          <w:tcPr>
            <w:tcW w:w="3397" w:type="dxa"/>
            <w:vMerge/>
            <w:shd w:val="clear" w:color="auto" w:fill="auto"/>
            <w:vAlign w:val="center"/>
          </w:tcPr>
          <w:p w14:paraId="1D35FE77"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B6FE2DD" w14:textId="52ED3232"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27.</w:t>
            </w:r>
          </w:p>
        </w:tc>
        <w:tc>
          <w:tcPr>
            <w:tcW w:w="6804" w:type="dxa"/>
            <w:shd w:val="clear" w:color="auto" w:fill="auto"/>
            <w:vAlign w:val="center"/>
          </w:tcPr>
          <w:p w14:paraId="4E5F04A3" w14:textId="011EDA00"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1.2.3.5.2, în referința la „Sweet potato chlorotic stunt virus” și „Sweet potato mild mottle virus” se va utiliza termenul „cuvintele” și nu „textul”. Întru corectitudinea redactării, dispoziția de modificare a subpct. 1.2.3.5.4 va avea următorul cuprins: „se completează cu pozițiile 331-333 cu următorul cuprins:” (obiecție valabilă și la subpct. 1.2.3.5.9).</w:t>
            </w:r>
          </w:p>
        </w:tc>
        <w:tc>
          <w:tcPr>
            <w:tcW w:w="3123" w:type="dxa"/>
            <w:shd w:val="clear" w:color="auto" w:fill="auto"/>
          </w:tcPr>
          <w:p w14:paraId="2E41BE94" w14:textId="0E00F72B"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79821FF0" w14:textId="77777777" w:rsidTr="00E718A4">
        <w:trPr>
          <w:trHeight w:val="20"/>
        </w:trPr>
        <w:tc>
          <w:tcPr>
            <w:tcW w:w="3397" w:type="dxa"/>
            <w:vMerge/>
            <w:shd w:val="clear" w:color="auto" w:fill="auto"/>
            <w:vAlign w:val="center"/>
          </w:tcPr>
          <w:p w14:paraId="74B4F850"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DA70142" w14:textId="70AB8B11"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28.</w:t>
            </w:r>
          </w:p>
        </w:tc>
        <w:tc>
          <w:tcPr>
            <w:tcW w:w="6804" w:type="dxa"/>
            <w:shd w:val="clear" w:color="auto" w:fill="auto"/>
            <w:vAlign w:val="center"/>
          </w:tcPr>
          <w:p w14:paraId="6AE825E7" w14:textId="24ED94F8"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Dispoziția de modificare a subpct. 1.2.3.5.6 va avea următorul cuprins: „Poziția 51 va avea următorul cuprins:” (obiecție similară și la subpct. 1.2.3.5.8, 1.2.3.5.10, 1.2.3.5.13, 1.2.3.6.3).</w:t>
            </w:r>
          </w:p>
        </w:tc>
        <w:tc>
          <w:tcPr>
            <w:tcW w:w="3123" w:type="dxa"/>
            <w:shd w:val="clear" w:color="auto" w:fill="auto"/>
          </w:tcPr>
          <w:p w14:paraId="67030275" w14:textId="5616F048"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753414" w14:paraId="6E85A3E7" w14:textId="77777777" w:rsidTr="00E718A4">
        <w:trPr>
          <w:trHeight w:val="20"/>
        </w:trPr>
        <w:tc>
          <w:tcPr>
            <w:tcW w:w="3397" w:type="dxa"/>
            <w:vMerge/>
            <w:shd w:val="clear" w:color="auto" w:fill="auto"/>
            <w:vAlign w:val="center"/>
          </w:tcPr>
          <w:p w14:paraId="1A2884EE"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F805D41" w14:textId="00030264"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29.</w:t>
            </w:r>
          </w:p>
        </w:tc>
        <w:tc>
          <w:tcPr>
            <w:tcW w:w="6804" w:type="dxa"/>
            <w:shd w:val="clear" w:color="auto" w:fill="auto"/>
            <w:vAlign w:val="center"/>
          </w:tcPr>
          <w:p w14:paraId="1A864255" w14:textId="72FDFD93"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1.2.3.5.10, la textul poziției 77, coloana a doua, codurile „0809 30 20”, „0809 30 30”, „0809 30 80” se vor exclude, deoarece nu sunt indicate în Nomenclatura combinată a mărfurilor, aprobată prin Legea nr. 172/2014.</w:t>
            </w:r>
          </w:p>
        </w:tc>
        <w:tc>
          <w:tcPr>
            <w:tcW w:w="3123" w:type="dxa"/>
            <w:shd w:val="clear" w:color="auto" w:fill="auto"/>
          </w:tcPr>
          <w:p w14:paraId="41E029F9"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r w:rsidR="008B3719" w:rsidRPr="0046108E">
              <w:rPr>
                <w:rFonts w:ascii="Times New Roman" w:hAnsi="Times New Roman"/>
                <w:b/>
                <w:sz w:val="24"/>
                <w:szCs w:val="24"/>
                <w:lang w:val="ro-MD"/>
              </w:rPr>
              <w:t xml:space="preserve"> parțial</w:t>
            </w:r>
            <w:r w:rsidRPr="0046108E">
              <w:rPr>
                <w:rFonts w:ascii="Times New Roman" w:hAnsi="Times New Roman"/>
                <w:b/>
                <w:sz w:val="24"/>
                <w:szCs w:val="24"/>
                <w:lang w:val="ro-MD"/>
              </w:rPr>
              <w:t>.</w:t>
            </w:r>
          </w:p>
          <w:p w14:paraId="2BAB87CE" w14:textId="63DBDC44" w:rsidR="008B3719" w:rsidRPr="0046108E" w:rsidRDefault="008B3719"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Codurile au fost ajustate conform</w:t>
            </w:r>
            <w:r w:rsidRPr="0046108E">
              <w:rPr>
                <w:rFonts w:ascii="Times New Roman" w:hAnsi="Times New Roman"/>
                <w:sz w:val="24"/>
                <w:szCs w:val="24"/>
                <w:lang w:val="en-US"/>
              </w:rPr>
              <w:t xml:space="preserve"> </w:t>
            </w:r>
            <w:r w:rsidRPr="0046108E">
              <w:rPr>
                <w:rFonts w:ascii="Times New Roman" w:hAnsi="Times New Roman"/>
                <w:sz w:val="24"/>
                <w:szCs w:val="24"/>
                <w:lang w:val="ro-MD"/>
              </w:rPr>
              <w:t>Nomenclaturii combinate a mărfurilor, aprobată prin Legea nr. 172/2014.</w:t>
            </w:r>
          </w:p>
        </w:tc>
      </w:tr>
      <w:tr w:rsidR="005D44F6" w:rsidRPr="0046108E" w14:paraId="131C34B6" w14:textId="77777777" w:rsidTr="00E718A4">
        <w:trPr>
          <w:trHeight w:val="20"/>
        </w:trPr>
        <w:tc>
          <w:tcPr>
            <w:tcW w:w="3397" w:type="dxa"/>
            <w:vMerge/>
            <w:shd w:val="clear" w:color="auto" w:fill="auto"/>
            <w:vAlign w:val="center"/>
          </w:tcPr>
          <w:p w14:paraId="5D364A0D"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6C3CC3D" w14:textId="0E7F6982"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30.</w:t>
            </w:r>
          </w:p>
        </w:tc>
        <w:tc>
          <w:tcPr>
            <w:tcW w:w="6804" w:type="dxa"/>
            <w:shd w:val="clear" w:color="auto" w:fill="auto"/>
            <w:vAlign w:val="center"/>
          </w:tcPr>
          <w:p w14:paraId="207EE8C6" w14:textId="4209E6FD"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1.2.3.5.13, la textul poziției 109 coloana a cincea, subpct. 3.4, cuvintele „din țara respectivă” se vor exclude, or, în cadrul procedurii de transpunere nu se admite transpunerea ad-litteram.</w:t>
            </w:r>
          </w:p>
        </w:tc>
        <w:tc>
          <w:tcPr>
            <w:tcW w:w="3123" w:type="dxa"/>
            <w:shd w:val="clear" w:color="auto" w:fill="auto"/>
          </w:tcPr>
          <w:p w14:paraId="3FB4B8A4" w14:textId="0C4D4DE4"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65BE0CC2" w14:textId="77777777" w:rsidTr="00E718A4">
        <w:trPr>
          <w:trHeight w:val="20"/>
        </w:trPr>
        <w:tc>
          <w:tcPr>
            <w:tcW w:w="3397" w:type="dxa"/>
            <w:vMerge/>
            <w:shd w:val="clear" w:color="auto" w:fill="auto"/>
            <w:vAlign w:val="center"/>
          </w:tcPr>
          <w:p w14:paraId="3272A4DD"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32B8DD8" w14:textId="48FF5607"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31.</w:t>
            </w:r>
          </w:p>
        </w:tc>
        <w:tc>
          <w:tcPr>
            <w:tcW w:w="6804" w:type="dxa"/>
            <w:shd w:val="clear" w:color="auto" w:fill="auto"/>
            <w:vAlign w:val="center"/>
          </w:tcPr>
          <w:p w14:paraId="68ED9652" w14:textId="6F79094E"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Întru corectitudinea redactării, subpct. 1.2.3.5.16 va avea următorul cuprins: „codul „ex 4401 40 900” se substituie cu codul „4401 49 000” (obiecție similară și la subpct. </w:t>
            </w:r>
            <w:r w:rsidRPr="0046108E">
              <w:rPr>
                <w:sz w:val="24"/>
                <w:szCs w:val="24"/>
                <w:lang w:val="en-US"/>
              </w:rPr>
              <w:t>1.2.3.8.2, 1.2.3.10.1).</w:t>
            </w:r>
          </w:p>
        </w:tc>
        <w:tc>
          <w:tcPr>
            <w:tcW w:w="3123" w:type="dxa"/>
            <w:shd w:val="clear" w:color="auto" w:fill="auto"/>
          </w:tcPr>
          <w:p w14:paraId="7DACB58E" w14:textId="0CB1CFE4"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6305862C" w14:textId="77777777" w:rsidTr="00E718A4">
        <w:trPr>
          <w:trHeight w:val="20"/>
        </w:trPr>
        <w:tc>
          <w:tcPr>
            <w:tcW w:w="3397" w:type="dxa"/>
            <w:vMerge/>
            <w:shd w:val="clear" w:color="auto" w:fill="auto"/>
            <w:vAlign w:val="center"/>
          </w:tcPr>
          <w:p w14:paraId="6B3C3623"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FF5C264" w14:textId="06941BE2"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32.</w:t>
            </w:r>
          </w:p>
        </w:tc>
        <w:tc>
          <w:tcPr>
            <w:tcW w:w="6804" w:type="dxa"/>
            <w:shd w:val="clear" w:color="auto" w:fill="auto"/>
            <w:vAlign w:val="center"/>
          </w:tcPr>
          <w:p w14:paraId="122F62E7" w14:textId="26C816DE"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Cu referire la norma de la subpct. 1.2.3.5.17 privind modificarea numerotării în conformitate cu art. 52 alin. (3) din Legea nr. 100/2017, reiterăm că renumerotarea elementelor structurale se admite doar în cazul republicării (obiecție valabilă și la subpct. 1.2.3.6.4, 1.2.3.7, 1.2.3.8.3, 1.2.3.10.2.1, 1.2.3.12).</w:t>
            </w:r>
          </w:p>
        </w:tc>
        <w:tc>
          <w:tcPr>
            <w:tcW w:w="3123" w:type="dxa"/>
            <w:shd w:val="clear" w:color="auto" w:fill="auto"/>
          </w:tcPr>
          <w:p w14:paraId="3EF1F309" w14:textId="1C8109D0"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3BE4B906" w14:textId="77777777" w:rsidTr="00E718A4">
        <w:trPr>
          <w:trHeight w:val="20"/>
        </w:trPr>
        <w:tc>
          <w:tcPr>
            <w:tcW w:w="3397" w:type="dxa"/>
            <w:vMerge/>
            <w:shd w:val="clear" w:color="auto" w:fill="auto"/>
            <w:vAlign w:val="center"/>
          </w:tcPr>
          <w:p w14:paraId="521631DE"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883F5D4" w14:textId="7AFE53E9"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33.</w:t>
            </w:r>
          </w:p>
        </w:tc>
        <w:tc>
          <w:tcPr>
            <w:tcW w:w="6804" w:type="dxa"/>
            <w:shd w:val="clear" w:color="auto" w:fill="auto"/>
            <w:vAlign w:val="center"/>
          </w:tcPr>
          <w:p w14:paraId="397A9A3C" w14:textId="789EC541"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1.2.6.3, în textul poziției 29, dispoziția de la coloana a doua, textul „cazurilor privind derogările de la stabilirea zonelor demarcate pentru Agrilus planipennis Fairmare, stabilite de Guvern” se va revizui, or, prevederea enunțată nu va putea constitui temei legal de adoptare, întrucât actele normative se limitează strict la cadrul stabilit de actele normative de nivel superior, pentru executarea cărora se emit sau se aprobă (obiecție valabilă și la textul pozițiilor 30 și 31).</w:t>
            </w:r>
          </w:p>
        </w:tc>
        <w:tc>
          <w:tcPr>
            <w:tcW w:w="3123" w:type="dxa"/>
            <w:shd w:val="clear" w:color="auto" w:fill="auto"/>
          </w:tcPr>
          <w:p w14:paraId="2F7BCFEE" w14:textId="51397702" w:rsidR="00086603" w:rsidRPr="0046108E" w:rsidRDefault="0086036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788ECED5" w14:textId="77777777" w:rsidTr="00E718A4">
        <w:trPr>
          <w:trHeight w:val="20"/>
        </w:trPr>
        <w:tc>
          <w:tcPr>
            <w:tcW w:w="3397" w:type="dxa"/>
            <w:vMerge/>
            <w:shd w:val="clear" w:color="auto" w:fill="auto"/>
            <w:vAlign w:val="center"/>
          </w:tcPr>
          <w:p w14:paraId="667F99FC"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843559A" w14:textId="09E6154C"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34.</w:t>
            </w:r>
          </w:p>
        </w:tc>
        <w:tc>
          <w:tcPr>
            <w:tcW w:w="6804" w:type="dxa"/>
            <w:shd w:val="clear" w:color="auto" w:fill="auto"/>
            <w:vAlign w:val="center"/>
          </w:tcPr>
          <w:p w14:paraId="5A37D4DA" w14:textId="19CE9EDD"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1.2.3.9.1.1, denumirea poziției a 3-a se va exclude ca fiind excedentă (obiecție similară și la poziția a 8-a), iar la subpct. 1.2.3.9.1.1.1, 1.2.3.9.1.1.2, 1.2.3.9.1.3 cuvintele „se înlocuiește cu următorul text” se vor substitui cu cuvintele „va avea următorul cuprins:”.</w:t>
            </w:r>
          </w:p>
        </w:tc>
        <w:tc>
          <w:tcPr>
            <w:tcW w:w="3123" w:type="dxa"/>
            <w:shd w:val="clear" w:color="auto" w:fill="auto"/>
          </w:tcPr>
          <w:p w14:paraId="2AED9C38" w14:textId="5CA25C0C"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1B280130" w14:textId="77777777" w:rsidTr="00E718A4">
        <w:trPr>
          <w:trHeight w:val="20"/>
        </w:trPr>
        <w:tc>
          <w:tcPr>
            <w:tcW w:w="3397" w:type="dxa"/>
            <w:vMerge/>
            <w:shd w:val="clear" w:color="auto" w:fill="auto"/>
            <w:vAlign w:val="center"/>
          </w:tcPr>
          <w:p w14:paraId="709B84CE"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942C002" w14:textId="5ACBBDA1"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35.</w:t>
            </w:r>
          </w:p>
        </w:tc>
        <w:tc>
          <w:tcPr>
            <w:tcW w:w="6804" w:type="dxa"/>
            <w:shd w:val="clear" w:color="auto" w:fill="auto"/>
            <w:vAlign w:val="center"/>
          </w:tcPr>
          <w:p w14:paraId="30CCD93B" w14:textId="0C642886"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1.2.3.9.1.5 se va indica denumirea completă a rubricii de la poziția 12, propusă spre substituire, astfel cuvântul „Planch” va fi succedat de textul „și incluzând lemnul care nu și-a păstrat suprafața rotundă naturală”.</w:t>
            </w:r>
          </w:p>
        </w:tc>
        <w:tc>
          <w:tcPr>
            <w:tcW w:w="3123" w:type="dxa"/>
            <w:shd w:val="clear" w:color="auto" w:fill="auto"/>
          </w:tcPr>
          <w:p w14:paraId="3DB6715E" w14:textId="5BB22DD8"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5D44F6" w:rsidRPr="0046108E" w14:paraId="713FB907" w14:textId="77777777" w:rsidTr="00E718A4">
        <w:trPr>
          <w:trHeight w:val="20"/>
        </w:trPr>
        <w:tc>
          <w:tcPr>
            <w:tcW w:w="3397" w:type="dxa"/>
            <w:vMerge/>
            <w:shd w:val="clear" w:color="auto" w:fill="auto"/>
            <w:vAlign w:val="center"/>
          </w:tcPr>
          <w:p w14:paraId="16DEF4D6" w14:textId="77777777" w:rsidR="005D44F6" w:rsidRPr="0046108E" w:rsidRDefault="005D44F6"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2637237" w14:textId="5536AC18" w:rsidR="005D44F6"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36.</w:t>
            </w:r>
          </w:p>
        </w:tc>
        <w:tc>
          <w:tcPr>
            <w:tcW w:w="6804" w:type="dxa"/>
            <w:shd w:val="clear" w:color="auto" w:fill="auto"/>
            <w:vAlign w:val="center"/>
          </w:tcPr>
          <w:p w14:paraId="05BC1A11" w14:textId="77777777" w:rsidR="005D44F6" w:rsidRPr="0046108E" w:rsidRDefault="005D44F6"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1.2.3.11 – modificarea anexei nr. 11 la Regulamentul privind aplicarea măsurilor de protecție împotriva organismelor dăunătoare plantelor: </w:t>
            </w:r>
          </w:p>
          <w:p w14:paraId="3C214B7F" w14:textId="1C40B6E6" w:rsidR="005D44F6" w:rsidRPr="0046108E" w:rsidRDefault="005D44F6"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lastRenderedPageBreak/>
              <w:t xml:space="preserve">La subpct. 2.1, referința la Hotărârea Guvernului nr. 432/2024 cu privire la aprobarea Regulamentului privind producerea, controlul calității, certificarea și comercializarea materialului de înmulțire vegetativă a viței-de-vie se va substitui cu referința la Regulamentul privind producerea, controlul calității, certificarea și comercializarea materialului de înmulțire vegetativă a viței-de-vie, aprobat prin Hotărârea Guvernului nr. 432/2024, referința la Hotărârii Guvernului nr. 598/2012 cu privire la aprobarea Cerințelor privind calitatea și plasarea pe piață a materialului de înmulțire pentru plantele ornamentale se va substitui cu referința la Cerinţele privind calitatea şi plasarea pe piaţă a materialului de înmulţire pentru plantele ornamentale, aprobate prin Hotărârea Guvernului nr. 598/2012, referința la Hotărârea Guvernului nr. 713/2013 pentru aprobarea Cerințelor privind producerea și comercializarea semințelor de legume, răsadurilor și a materialului săditor legumicol se va substitui cu referința la Cerințele privind producerea și comercializarea semințelor de legume, răsadurilor și a materialului săditor legumicol, aprobate prin Hotărârea Guvernului nr. 713/2013, referința la Hotărârea Guvernului nr. 915/2011 pentru aprobarea Cerințelor privind calitatea și comercializarea semințelor de plante oleaginoase și pentru fibre se va substitui cu referința la Cerinţele privind calitatea şi comercializarea seminţelor de plante oleaginoase şi pentru fibre, aprobate prin Hotărârea Guvernului nr. 915/2011, referința la Hotărârea Guvernului nr. 189/2010 cu privire la aprobarea Cerințelor minime de comercializare pentru cartofii de sămânţă se va substitui cu referința la Cerinţele minime de comercializare pentru cartofii de sămânţă, aprobate prin Hotărârea Guvernului nr. 189/2010, referința la Hotărârea Guvernului nr. 149/2025 pentru aprobarea Regulamentului privind producerea și comercializarea semințelor de cereale se va substitui cu referința la Regulamentul privind producerea și comercializarea semințelor de cereale, aprobat prin Hotărârea Guvernului nr. 149/2025, or, prevederi relevante sunt indicate în Regulamente/Cerințe și nu în hotărârile </w:t>
            </w:r>
            <w:r w:rsidRPr="0046108E">
              <w:rPr>
                <w:sz w:val="24"/>
                <w:szCs w:val="24"/>
                <w:lang w:val="en-US"/>
              </w:rPr>
              <w:lastRenderedPageBreak/>
              <w:t>Guvernului de aprobare a acestora (obiecție similară și la subpct. 3.6, 3.7, 3.9, 3.10, 3.11, 3.12, 3.13).</w:t>
            </w:r>
          </w:p>
        </w:tc>
        <w:tc>
          <w:tcPr>
            <w:tcW w:w="3123" w:type="dxa"/>
            <w:shd w:val="clear" w:color="auto" w:fill="auto"/>
          </w:tcPr>
          <w:p w14:paraId="645A24B9" w14:textId="5D95B07A" w:rsidR="005D44F6" w:rsidRPr="0046108E" w:rsidRDefault="005D44F6"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961EAB" w:rsidRPr="00753414" w14:paraId="719B29AF" w14:textId="77777777" w:rsidTr="00CF4132">
        <w:trPr>
          <w:trHeight w:val="20"/>
        </w:trPr>
        <w:tc>
          <w:tcPr>
            <w:tcW w:w="3397" w:type="dxa"/>
            <w:vMerge/>
            <w:shd w:val="clear" w:color="auto" w:fill="auto"/>
            <w:vAlign w:val="center"/>
          </w:tcPr>
          <w:p w14:paraId="38A91977"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A42AFFD" w14:textId="2D74F00F"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37.</w:t>
            </w:r>
          </w:p>
        </w:tc>
        <w:tc>
          <w:tcPr>
            <w:tcW w:w="6804" w:type="dxa"/>
            <w:shd w:val="clear" w:color="auto" w:fill="auto"/>
            <w:vAlign w:val="center"/>
          </w:tcPr>
          <w:p w14:paraId="7B665ADE" w14:textId="45091F5E"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Totodată, menționăm că la subpct. </w:t>
            </w:r>
            <w:r w:rsidRPr="0046108E">
              <w:rPr>
                <w:sz w:val="24"/>
                <w:szCs w:val="24"/>
                <w:lang w:val="en-US"/>
              </w:rPr>
              <w:t>2.1, ce transpune art. 6 alin. (3) din Regulamentul de punere în aplicare (UE) 2019/2072, nu au fost indicate actele naționale, care transpun Directiva 2002/154 și Directiva 2008/90, la care se face referință în art. 6 alin. (3). Prin urmare, se va elucida acest aspect.</w:t>
            </w:r>
          </w:p>
        </w:tc>
        <w:tc>
          <w:tcPr>
            <w:tcW w:w="3123" w:type="dxa"/>
            <w:shd w:val="clear" w:color="auto" w:fill="auto"/>
          </w:tcPr>
          <w:p w14:paraId="54B32FE6" w14:textId="0BA67E5D"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r w:rsidR="00C84AE0" w:rsidRPr="0046108E">
              <w:rPr>
                <w:rFonts w:ascii="Times New Roman" w:hAnsi="Times New Roman"/>
                <w:b/>
                <w:sz w:val="24"/>
                <w:szCs w:val="24"/>
                <w:lang w:val="ro-MD"/>
              </w:rPr>
              <w:t xml:space="preserve"> parțial</w:t>
            </w:r>
            <w:r w:rsidRPr="0046108E">
              <w:rPr>
                <w:rFonts w:ascii="Times New Roman" w:hAnsi="Times New Roman"/>
                <w:b/>
                <w:sz w:val="24"/>
                <w:szCs w:val="24"/>
                <w:lang w:val="ro-MD"/>
              </w:rPr>
              <w:t>.</w:t>
            </w:r>
          </w:p>
          <w:p w14:paraId="2F43BCC4" w14:textId="77777777" w:rsidR="004813C2" w:rsidRPr="0046108E" w:rsidRDefault="00C84AE0" w:rsidP="00845051">
            <w:pPr>
              <w:tabs>
                <w:tab w:val="left" w:pos="426"/>
                <w:tab w:val="left" w:pos="1196"/>
              </w:tabs>
              <w:spacing w:after="0" w:line="240" w:lineRule="auto"/>
              <w:ind w:right="110" w:firstLine="142"/>
              <w:contextualSpacing/>
              <w:rPr>
                <w:rFonts w:ascii="Times New Roman" w:hAnsi="Times New Roman"/>
                <w:sz w:val="24"/>
                <w:szCs w:val="24"/>
                <w:shd w:val="clear" w:color="auto" w:fill="FFFFFF"/>
                <w:lang w:val="en-US"/>
              </w:rPr>
            </w:pPr>
            <w:r w:rsidRPr="0046108E">
              <w:rPr>
                <w:rFonts w:ascii="Times New Roman" w:hAnsi="Times New Roman"/>
                <w:sz w:val="24"/>
                <w:szCs w:val="24"/>
                <w:lang w:val="en-US"/>
              </w:rPr>
              <w:t xml:space="preserve">Directiva 2008/90 este preluată în </w:t>
            </w:r>
            <w:r w:rsidRPr="0046108E">
              <w:rPr>
                <w:rFonts w:ascii="Times New Roman" w:hAnsi="Times New Roman"/>
                <w:sz w:val="24"/>
                <w:szCs w:val="24"/>
                <w:shd w:val="clear" w:color="auto" w:fill="FFFFFF"/>
                <w:lang w:val="en-US"/>
              </w:rPr>
              <w:t>Hotărârea Guvernului nr.94/2024.</w:t>
            </w:r>
          </w:p>
          <w:p w14:paraId="20B8EE50" w14:textId="07F16C92" w:rsidR="00C84AE0" w:rsidRPr="0046108E" w:rsidRDefault="002463F4" w:rsidP="00845051">
            <w:pPr>
              <w:tabs>
                <w:tab w:val="left" w:pos="426"/>
                <w:tab w:val="left" w:pos="1196"/>
              </w:tabs>
              <w:spacing w:after="0" w:line="240" w:lineRule="auto"/>
              <w:ind w:right="110" w:firstLine="142"/>
              <w:contextualSpacing/>
              <w:rPr>
                <w:rFonts w:ascii="Times New Roman" w:hAnsi="Times New Roman"/>
                <w:b/>
                <w:sz w:val="24"/>
                <w:szCs w:val="24"/>
                <w:lang w:val="en-US"/>
              </w:rPr>
            </w:pPr>
            <w:r w:rsidRPr="0046108E">
              <w:rPr>
                <w:rFonts w:ascii="Times New Roman" w:hAnsi="Times New Roman"/>
                <w:sz w:val="24"/>
                <w:szCs w:val="24"/>
                <w:lang w:val="en-US"/>
              </w:rPr>
              <w:t>Directiva 2002/154 nu face obiectul domeniului fitosanitar.</w:t>
            </w:r>
          </w:p>
        </w:tc>
      </w:tr>
      <w:tr w:rsidR="00961EAB" w:rsidRPr="0046108E" w14:paraId="4DE16309" w14:textId="77777777" w:rsidTr="00CF4132">
        <w:trPr>
          <w:trHeight w:val="20"/>
        </w:trPr>
        <w:tc>
          <w:tcPr>
            <w:tcW w:w="3397" w:type="dxa"/>
            <w:vMerge/>
            <w:shd w:val="clear" w:color="auto" w:fill="auto"/>
            <w:vAlign w:val="center"/>
          </w:tcPr>
          <w:p w14:paraId="41CB61FD" w14:textId="54AD6725"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27B0DF0" w14:textId="7A2A3308"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38.</w:t>
            </w:r>
          </w:p>
        </w:tc>
        <w:tc>
          <w:tcPr>
            <w:tcW w:w="6804" w:type="dxa"/>
            <w:shd w:val="clear" w:color="auto" w:fill="auto"/>
            <w:vAlign w:val="center"/>
          </w:tcPr>
          <w:p w14:paraId="35D280A9" w14:textId="01126576"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1.2.3.13 – modificarea anexei nr. 13 la Regulamentul privind aplicarea măsurilor de protecție împotriva organismelor dăunătoare plantelor: Ținând cont de regulile de tehnică legislativă, în dispoziția de modificare cuvintele „se modifică și” se vor exclude ca fiind excedente (obiecție valabilă și la subpct. 1.2.3.15, 1.2.3.16).</w:t>
            </w:r>
          </w:p>
        </w:tc>
        <w:tc>
          <w:tcPr>
            <w:tcW w:w="3123" w:type="dxa"/>
            <w:shd w:val="clear" w:color="auto" w:fill="auto"/>
          </w:tcPr>
          <w:p w14:paraId="679EB061" w14:textId="68A09A91"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63335341" w14:textId="77777777" w:rsidTr="00CF4132">
        <w:trPr>
          <w:trHeight w:val="20"/>
        </w:trPr>
        <w:tc>
          <w:tcPr>
            <w:tcW w:w="3397" w:type="dxa"/>
            <w:vMerge/>
            <w:shd w:val="clear" w:color="auto" w:fill="auto"/>
            <w:vAlign w:val="center"/>
          </w:tcPr>
          <w:p w14:paraId="54A08919"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DB86497" w14:textId="3FF4B3F7"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39.</w:t>
            </w:r>
          </w:p>
        </w:tc>
        <w:tc>
          <w:tcPr>
            <w:tcW w:w="6804" w:type="dxa"/>
            <w:shd w:val="clear" w:color="auto" w:fill="auto"/>
            <w:vAlign w:val="center"/>
          </w:tcPr>
          <w:p w14:paraId="15F7CCE6" w14:textId="0A1A19DB"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clauza de armonizare, cu referire la Regulamentul de punere în aplicare (UE) 2018/2019, se va indica mai întâi sursa de publicare a acestuia, care va fi succedată de nr. CELEX (obiecție similară și la Regulamentul de punere în aplicare (UE) 2020/1213 (anexa nr. 15), Regulamentul de punere în aplicare (UE) 2022/1941 (anexa nr. 16), Regulamentul de punere în aplicare (UE) 2024/2852 (anexa nr. 17), Regulamentul de punere în aplicare (UE) 2023/1310 (anexa nr. 18), Regulamentul de punere în aplicare (UE) 2023/1572 (anexa nr. 19), Regulamentul de punere în aplicare (UE) 2025/659 (anexa nr. 20), Regulamentul de punere în aplicare (UE) 4 2025/1078 (anexa nr. 21), Regulamentul de punere în aplicare (UE) 2025/1082 (anexa nr. 22), Regulamentul de punere în aplicare (UE) 2025/1289 (anexa nr. 23)).</w:t>
            </w:r>
          </w:p>
        </w:tc>
        <w:tc>
          <w:tcPr>
            <w:tcW w:w="3123" w:type="dxa"/>
            <w:shd w:val="clear" w:color="auto" w:fill="auto"/>
          </w:tcPr>
          <w:p w14:paraId="5E7C5770" w14:textId="74568A69"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707029A1" w14:textId="77777777" w:rsidTr="00CF4132">
        <w:trPr>
          <w:trHeight w:val="20"/>
        </w:trPr>
        <w:tc>
          <w:tcPr>
            <w:tcW w:w="3397" w:type="dxa"/>
            <w:vMerge/>
            <w:shd w:val="clear" w:color="auto" w:fill="auto"/>
            <w:vAlign w:val="center"/>
          </w:tcPr>
          <w:p w14:paraId="29BF83B8"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32CF932" w14:textId="29A8E086"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40.</w:t>
            </w:r>
          </w:p>
        </w:tc>
        <w:tc>
          <w:tcPr>
            <w:tcW w:w="6804" w:type="dxa"/>
            <w:shd w:val="clear" w:color="auto" w:fill="auto"/>
            <w:vAlign w:val="center"/>
          </w:tcPr>
          <w:p w14:paraId="5F60B45A" w14:textId="2D2EA6A3"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Cu titlu de remarcă generală, menționăm că deși codurile indicate în tabel transpun Anexa la Regulamentul de punere în aplicare (UE) 2018/2019, nu corespund codurilor din Nomenclatura combinată a mărfurilor, aprobată prin Legea nr. 172/2024. Prin urmare, se va elucida acest aspect.</w:t>
            </w:r>
          </w:p>
        </w:tc>
        <w:tc>
          <w:tcPr>
            <w:tcW w:w="3123" w:type="dxa"/>
            <w:shd w:val="clear" w:color="auto" w:fill="auto"/>
          </w:tcPr>
          <w:p w14:paraId="1BF3BB96" w14:textId="3708C0E7"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753414" w14:paraId="023B002C" w14:textId="77777777" w:rsidTr="00CF4132">
        <w:trPr>
          <w:trHeight w:val="20"/>
        </w:trPr>
        <w:tc>
          <w:tcPr>
            <w:tcW w:w="3397" w:type="dxa"/>
            <w:vMerge/>
            <w:shd w:val="clear" w:color="auto" w:fill="auto"/>
            <w:vAlign w:val="center"/>
          </w:tcPr>
          <w:p w14:paraId="155EE557"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4910229" w14:textId="4EBA4DB2"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41.</w:t>
            </w:r>
          </w:p>
        </w:tc>
        <w:tc>
          <w:tcPr>
            <w:tcW w:w="6804" w:type="dxa"/>
            <w:shd w:val="clear" w:color="auto" w:fill="auto"/>
            <w:vAlign w:val="center"/>
          </w:tcPr>
          <w:p w14:paraId="5E8E63D4" w14:textId="77777777" w:rsidR="00961EAB" w:rsidRPr="0046108E" w:rsidRDefault="00961EA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1.2.3.15 – modificarea anexei nr. 15 la Regulamentul privind aplicarea măsurilor de protecție împotriva organismelor dăunătoare plantelor: </w:t>
            </w:r>
          </w:p>
          <w:p w14:paraId="7A0CCAA3" w14:textId="1798AF68"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tabel, coloana a patra, subpct. 2.1, textul „anexei nr. 15 la Regulamentul privind aplicarea măsurilor de protecție împotriva organismelor dăunătoare plantelor, aprobat prin Hotărârea Guvernului nr. 679/2024” se va substitui cu cuvintele „prezentei anexe”.</w:t>
            </w:r>
          </w:p>
        </w:tc>
        <w:tc>
          <w:tcPr>
            <w:tcW w:w="3123" w:type="dxa"/>
            <w:shd w:val="clear" w:color="auto" w:fill="auto"/>
          </w:tcPr>
          <w:p w14:paraId="0D38F240" w14:textId="77777777" w:rsidR="00616FBC" w:rsidRPr="0046108E" w:rsidRDefault="00616FB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57C6D735" w14:textId="72623AC9" w:rsidR="00961EAB" w:rsidRPr="0046108E" w:rsidRDefault="00616FB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Această mențiune trebuie să fie specificată la rubrica „Declarație suplimentară” din fiecare certificat fitosanitar care însoțește mărfurile prevăzute în anexa nr. 15, astfel formularea „prezentei anexe” nu poate fi utilizată.</w:t>
            </w:r>
          </w:p>
        </w:tc>
      </w:tr>
      <w:tr w:rsidR="00961EAB" w:rsidRPr="0046108E" w14:paraId="3AD4BE74" w14:textId="77777777" w:rsidTr="00CF4132">
        <w:trPr>
          <w:trHeight w:val="20"/>
        </w:trPr>
        <w:tc>
          <w:tcPr>
            <w:tcW w:w="3397" w:type="dxa"/>
            <w:vMerge/>
            <w:shd w:val="clear" w:color="auto" w:fill="auto"/>
            <w:vAlign w:val="center"/>
          </w:tcPr>
          <w:p w14:paraId="08C85940"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9149577" w14:textId="5C437769"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42.</w:t>
            </w:r>
          </w:p>
        </w:tc>
        <w:tc>
          <w:tcPr>
            <w:tcW w:w="6804" w:type="dxa"/>
            <w:shd w:val="clear" w:color="auto" w:fill="auto"/>
            <w:vAlign w:val="center"/>
          </w:tcPr>
          <w:p w14:paraId="75B6A5F5" w14:textId="2BA6F09B"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poziția „Alnus Mill”, coloana a doua, codurile se vor ajusta la Nomenclatura combinată a mărfurilor, aprobată prin Legea nr. 172/2014. În acest sens, menționăm că codurile urmează a fi constituite din nouă cifre.</w:t>
            </w:r>
          </w:p>
        </w:tc>
        <w:tc>
          <w:tcPr>
            <w:tcW w:w="3123" w:type="dxa"/>
            <w:shd w:val="clear" w:color="auto" w:fill="auto"/>
          </w:tcPr>
          <w:p w14:paraId="7B099CE4" w14:textId="6F470676"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53DF518E" w14:textId="77777777" w:rsidTr="00CF4132">
        <w:trPr>
          <w:trHeight w:val="20"/>
        </w:trPr>
        <w:tc>
          <w:tcPr>
            <w:tcW w:w="3397" w:type="dxa"/>
            <w:vMerge/>
            <w:shd w:val="clear" w:color="auto" w:fill="auto"/>
            <w:vAlign w:val="center"/>
          </w:tcPr>
          <w:p w14:paraId="331F293A"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D7D5EE7" w14:textId="2348D781"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43.</w:t>
            </w:r>
          </w:p>
        </w:tc>
        <w:tc>
          <w:tcPr>
            <w:tcW w:w="6804" w:type="dxa"/>
            <w:shd w:val="clear" w:color="auto" w:fill="auto"/>
            <w:vAlign w:val="center"/>
          </w:tcPr>
          <w:p w14:paraId="5DAEA3AD" w14:textId="5BFA463B"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Subpct. 1.2.3.17 va avea următorul cuprins: „se completează cu subpct. 3.17 cu următorul cuprins:” (obiecție similară și la subpct. 1.2.3.19, 1.2.3.21, 1.2.3.23, 1.2.3.25, 1.2.3.27, 1.2.3.29). Totodată, se va asigura corectitudinea modificării propuse.</w:t>
            </w:r>
          </w:p>
        </w:tc>
        <w:tc>
          <w:tcPr>
            <w:tcW w:w="3123" w:type="dxa"/>
            <w:shd w:val="clear" w:color="auto" w:fill="auto"/>
          </w:tcPr>
          <w:p w14:paraId="0FCA02EF" w14:textId="12CFCF70"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24E7DE77" w14:textId="77777777" w:rsidTr="00CF4132">
        <w:trPr>
          <w:trHeight w:val="20"/>
        </w:trPr>
        <w:tc>
          <w:tcPr>
            <w:tcW w:w="3397" w:type="dxa"/>
            <w:vMerge/>
            <w:shd w:val="clear" w:color="auto" w:fill="auto"/>
            <w:vAlign w:val="center"/>
          </w:tcPr>
          <w:p w14:paraId="45718839"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F83CE0C" w14:textId="3C8039F8"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44.</w:t>
            </w:r>
          </w:p>
        </w:tc>
        <w:tc>
          <w:tcPr>
            <w:tcW w:w="6804" w:type="dxa"/>
            <w:shd w:val="clear" w:color="auto" w:fill="auto"/>
            <w:vAlign w:val="center"/>
          </w:tcPr>
          <w:p w14:paraId="62BD6457" w14:textId="77777777" w:rsidR="00961EAB" w:rsidRPr="0046108E" w:rsidRDefault="00961EA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1.2.3.18 – modificarea anexei nr. 17 la Regulamentul privind aplicarea măsurilor de protecție împotriva organismelor dăunătoare plantelor: </w:t>
            </w:r>
          </w:p>
          <w:p w14:paraId="6E8465F1" w14:textId="08AA2061"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1, propunem ca alineatul introductiv să fie formulat după cum urmează: „1. În sensul prezentelor Cerințe se de</w:t>
            </w:r>
            <w:r w:rsidR="00843137" w:rsidRPr="0046108E">
              <w:rPr>
                <w:sz w:val="24"/>
                <w:szCs w:val="24"/>
                <w:lang w:val="en-US"/>
              </w:rPr>
              <w:t>finesc următoarele noțiuni: 1.1</w:t>
            </w:r>
            <w:r w:rsidRPr="0046108E">
              <w:rPr>
                <w:sz w:val="24"/>
                <w:szCs w:val="24"/>
                <w:lang w:val="en-US"/>
              </w:rPr>
              <w:t>. plante specificate</w:t>
            </w:r>
            <w:r w:rsidR="00843137" w:rsidRPr="0046108E">
              <w:rPr>
                <w:sz w:val="24"/>
                <w:szCs w:val="24"/>
                <w:lang w:val="en-US"/>
              </w:rPr>
              <w:t xml:space="preserve"> - plantele cu creștere...; 1.2</w:t>
            </w:r>
            <w:r w:rsidRPr="0046108E">
              <w:rPr>
                <w:sz w:val="24"/>
                <w:szCs w:val="24"/>
                <w:lang w:val="en-US"/>
              </w:rPr>
              <w:t>. organism dăunător care prezintă motive de îngrijorare - pentru toate plantele specificate....”.</w:t>
            </w:r>
          </w:p>
        </w:tc>
        <w:tc>
          <w:tcPr>
            <w:tcW w:w="3123" w:type="dxa"/>
            <w:shd w:val="clear" w:color="auto" w:fill="auto"/>
          </w:tcPr>
          <w:p w14:paraId="6847C89B" w14:textId="4955A4D3"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7865638E" w14:textId="77777777" w:rsidTr="00CF4132">
        <w:trPr>
          <w:trHeight w:val="20"/>
        </w:trPr>
        <w:tc>
          <w:tcPr>
            <w:tcW w:w="3397" w:type="dxa"/>
            <w:vMerge/>
            <w:shd w:val="clear" w:color="auto" w:fill="auto"/>
            <w:vAlign w:val="center"/>
          </w:tcPr>
          <w:p w14:paraId="43C9B762"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C8D0DF5" w14:textId="1E3CAB39"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45.</w:t>
            </w:r>
          </w:p>
        </w:tc>
        <w:tc>
          <w:tcPr>
            <w:tcW w:w="6804" w:type="dxa"/>
            <w:shd w:val="clear" w:color="auto" w:fill="auto"/>
            <w:vAlign w:val="center"/>
          </w:tcPr>
          <w:p w14:paraId="3A5D444D" w14:textId="46744A83"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Totodată, cuvântul „înseamnă” se va exclude ca fiind excedent (obiecție valabilă și la anexele nr. 18, nr. 19).</w:t>
            </w:r>
          </w:p>
        </w:tc>
        <w:tc>
          <w:tcPr>
            <w:tcW w:w="3123" w:type="dxa"/>
            <w:shd w:val="clear" w:color="auto" w:fill="auto"/>
          </w:tcPr>
          <w:p w14:paraId="2711FEB6" w14:textId="75A101C6"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44D72D77" w14:textId="77777777" w:rsidTr="00CF4132">
        <w:trPr>
          <w:trHeight w:val="20"/>
        </w:trPr>
        <w:tc>
          <w:tcPr>
            <w:tcW w:w="3397" w:type="dxa"/>
            <w:vMerge/>
            <w:shd w:val="clear" w:color="auto" w:fill="auto"/>
            <w:vAlign w:val="center"/>
          </w:tcPr>
          <w:p w14:paraId="3B534629"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4B761B9" w14:textId="1881722A"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46.</w:t>
            </w:r>
          </w:p>
        </w:tc>
        <w:tc>
          <w:tcPr>
            <w:tcW w:w="6804" w:type="dxa"/>
            <w:shd w:val="clear" w:color="auto" w:fill="auto"/>
            <w:vAlign w:val="center"/>
          </w:tcPr>
          <w:p w14:paraId="0A2CACFC" w14:textId="2CB4F9F9"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În conformitate cu art. 52 alin. (2) și (3) din Legea nr. 100/2017, „(2) Punctele, de regulă, nu au denumire, sunt expuse fără utilizarea cuvântului „punct” şi se însemnează consecutiv cu numere ordinare, exprimate prin cifre arabe, urmate de punct, începând cu primul și terminând cu ultimul, de la începutul şi până la sfârşitul actului normativ. (3) Pentru interpretare corectă și </w:t>
            </w:r>
            <w:r w:rsidRPr="0046108E">
              <w:rPr>
                <w:sz w:val="24"/>
                <w:szCs w:val="24"/>
                <w:lang w:val="en-US"/>
              </w:rPr>
              <w:lastRenderedPageBreak/>
              <w:t>aplicare comodă, punctele pot fi divizate în subpuncte care se numerotează prin adăugarea consecutivă a cifrelor arabe, până la gradul de detaliere necesar. Având în vedere prevederea legală enunțată, la pct. 5, textul „punctul 2.1” se va substitui cu textul „subpct. 2.1”. Totodată, referința la elementele structurale se va indica cu abreviere conform uzanțelor (valabil pentru toate cazurile similare din proiect).</w:t>
            </w:r>
          </w:p>
        </w:tc>
        <w:tc>
          <w:tcPr>
            <w:tcW w:w="3123" w:type="dxa"/>
            <w:shd w:val="clear" w:color="auto" w:fill="auto"/>
          </w:tcPr>
          <w:p w14:paraId="6EF4EA8E" w14:textId="3CCE01F0"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961EAB" w:rsidRPr="0046108E" w14:paraId="76C72344" w14:textId="77777777" w:rsidTr="00CF4132">
        <w:trPr>
          <w:trHeight w:val="20"/>
        </w:trPr>
        <w:tc>
          <w:tcPr>
            <w:tcW w:w="3397" w:type="dxa"/>
            <w:vMerge/>
            <w:shd w:val="clear" w:color="auto" w:fill="auto"/>
            <w:vAlign w:val="center"/>
          </w:tcPr>
          <w:p w14:paraId="4CD71C61"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3689F7C" w14:textId="39058189"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47.</w:t>
            </w:r>
          </w:p>
        </w:tc>
        <w:tc>
          <w:tcPr>
            <w:tcW w:w="6804" w:type="dxa"/>
            <w:shd w:val="clear" w:color="auto" w:fill="auto"/>
            <w:vAlign w:val="center"/>
          </w:tcPr>
          <w:p w14:paraId="0FBB479E" w14:textId="2B91F7AA"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6, ce transpune art. 3 alineatul al doilea din Regulamentul de punere în aplicare (UE) 2024/2852, textul „punctul 1.5 din anexă” se va substitui cu textul „subpct. 1.8”, care transpune subpct. 1.5, la care se face referință în art. 3 alineatul al doilea.</w:t>
            </w:r>
          </w:p>
        </w:tc>
        <w:tc>
          <w:tcPr>
            <w:tcW w:w="3123" w:type="dxa"/>
            <w:shd w:val="clear" w:color="auto" w:fill="auto"/>
          </w:tcPr>
          <w:p w14:paraId="1EB73DB6" w14:textId="462D3B83"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4780F998" w14:textId="77777777" w:rsidTr="00CF4132">
        <w:trPr>
          <w:trHeight w:val="20"/>
        </w:trPr>
        <w:tc>
          <w:tcPr>
            <w:tcW w:w="3397" w:type="dxa"/>
            <w:vMerge/>
            <w:shd w:val="clear" w:color="auto" w:fill="auto"/>
            <w:vAlign w:val="center"/>
          </w:tcPr>
          <w:p w14:paraId="51DCDAEE"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0C7B8B3" w14:textId="23473B2A"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48.</w:t>
            </w:r>
          </w:p>
        </w:tc>
        <w:tc>
          <w:tcPr>
            <w:tcW w:w="6804" w:type="dxa"/>
            <w:shd w:val="clear" w:color="auto" w:fill="auto"/>
            <w:vAlign w:val="center"/>
          </w:tcPr>
          <w:p w14:paraId="3CB73A05" w14:textId="77777777" w:rsidR="00961EAB" w:rsidRPr="0046108E" w:rsidRDefault="00961EA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anexa la Cerințe: </w:t>
            </w:r>
          </w:p>
          <w:p w14:paraId="29057582" w14:textId="60A4BE62"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La subpct. 1.2, ce transpune subpct. 1.2 din Anexa la Regulamentul de punere în aplicare (UE) 2025/2852, cuvintele „sistem de </w:t>
            </w:r>
            <w:r w:rsidR="00B35633" w:rsidRPr="0046108E">
              <w:rPr>
                <w:sz w:val="24"/>
                <w:szCs w:val="24"/>
                <w:lang w:val="en-US"/>
              </w:rPr>
              <w:t xml:space="preserve">control de către ONPP” vor fi </w:t>
            </w:r>
            <w:r w:rsidRPr="0046108E">
              <w:rPr>
                <w:sz w:val="24"/>
                <w:szCs w:val="24"/>
                <w:lang w:val="en-US"/>
              </w:rPr>
              <w:t>succedate de cuvintele „din Japonia”, astfel cum este indicat la subpct. 1.2 din Anexa la Regulamentul de punere în aplicare (UE) 2025/2852.</w:t>
            </w:r>
          </w:p>
        </w:tc>
        <w:tc>
          <w:tcPr>
            <w:tcW w:w="3123" w:type="dxa"/>
            <w:shd w:val="clear" w:color="auto" w:fill="auto"/>
          </w:tcPr>
          <w:p w14:paraId="5179C4D5" w14:textId="5050FCEF"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753414" w14:paraId="7E5E70F5" w14:textId="77777777" w:rsidTr="00CF4132">
        <w:trPr>
          <w:trHeight w:val="20"/>
        </w:trPr>
        <w:tc>
          <w:tcPr>
            <w:tcW w:w="3397" w:type="dxa"/>
            <w:vMerge/>
            <w:shd w:val="clear" w:color="auto" w:fill="auto"/>
            <w:vAlign w:val="center"/>
          </w:tcPr>
          <w:p w14:paraId="7FF5389B"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D89835F" w14:textId="7EB57E4A"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49.</w:t>
            </w:r>
          </w:p>
        </w:tc>
        <w:tc>
          <w:tcPr>
            <w:tcW w:w="6804" w:type="dxa"/>
            <w:shd w:val="clear" w:color="auto" w:fill="auto"/>
            <w:vAlign w:val="center"/>
          </w:tcPr>
          <w:p w14:paraId="1F81D776" w14:textId="46843874"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Totodată, menționăm că al doilea enunț transpune greșit enunțul al doilea de la subpct. 1.2 din Anexa la Regulamentul de punere în aplicare (UE) 2025/2852, or, potrivit subpct. 1.2, „Listele anuale ale pepinierelor autorizate sunt puse la dispoziția Comisiei până la data de 31 octombrie a fiecărui an.”. Având în vedere regula enunțată, al doilea enunț de la subpct. 1.2 din proiect care prevede că: „1.2. Listele anuale ale pepinierelor autorizate sunt solicitate de către autoritatea competentă până la data de 31 octombrie a fiecărui an.” se va exclude din proiect. În acest sens, reiterăm că obligația de a raporta Comisiei este incidentă doar pentru statele membre.</w:t>
            </w:r>
          </w:p>
        </w:tc>
        <w:tc>
          <w:tcPr>
            <w:tcW w:w="3123" w:type="dxa"/>
            <w:shd w:val="clear" w:color="auto" w:fill="auto"/>
          </w:tcPr>
          <w:p w14:paraId="771C565A" w14:textId="297EB29F" w:rsidR="00961EAB"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w:t>
            </w:r>
            <w:r w:rsidR="00961EAB" w:rsidRPr="0046108E">
              <w:rPr>
                <w:rFonts w:ascii="Times New Roman" w:hAnsi="Times New Roman"/>
                <w:b/>
                <w:sz w:val="24"/>
                <w:szCs w:val="24"/>
                <w:lang w:val="ro-MD"/>
              </w:rPr>
              <w:t>e acceptă</w:t>
            </w:r>
            <w:r w:rsidRPr="0046108E">
              <w:rPr>
                <w:rFonts w:ascii="Times New Roman" w:hAnsi="Times New Roman"/>
                <w:b/>
                <w:sz w:val="24"/>
                <w:szCs w:val="24"/>
                <w:lang w:val="ro-MD"/>
              </w:rPr>
              <w:t xml:space="preserve"> parțial</w:t>
            </w:r>
            <w:r w:rsidR="00961EAB" w:rsidRPr="0046108E">
              <w:rPr>
                <w:rFonts w:ascii="Times New Roman" w:hAnsi="Times New Roman"/>
                <w:b/>
                <w:sz w:val="24"/>
                <w:szCs w:val="24"/>
                <w:lang w:val="ro-MD"/>
              </w:rPr>
              <w:t>.</w:t>
            </w:r>
          </w:p>
          <w:p w14:paraId="53339EC3" w14:textId="6D0812E1" w:rsidR="00CA2B01" w:rsidRPr="0046108E" w:rsidRDefault="00CA2B01" w:rsidP="00845051">
            <w:pPr>
              <w:tabs>
                <w:tab w:val="left" w:pos="426"/>
                <w:tab w:val="left" w:pos="1196"/>
              </w:tabs>
              <w:spacing w:after="0" w:line="240" w:lineRule="auto"/>
              <w:ind w:right="110" w:firstLine="142"/>
              <w:contextualSpacing/>
              <w:rPr>
                <w:rFonts w:ascii="Times New Roman" w:hAnsi="Times New Roman"/>
                <w:b/>
                <w:sz w:val="24"/>
                <w:szCs w:val="24"/>
                <w:lang w:val="en-US"/>
              </w:rPr>
            </w:pPr>
            <w:r w:rsidRPr="0046108E">
              <w:rPr>
                <w:rFonts w:ascii="Times New Roman" w:hAnsi="Times New Roman"/>
                <w:sz w:val="24"/>
                <w:szCs w:val="24"/>
                <w:shd w:val="clear" w:color="auto" w:fill="FFFFFF"/>
                <w:lang w:val="en-US"/>
              </w:rPr>
              <w:t xml:space="preserve">O astfel de reformulare nu </w:t>
            </w:r>
            <w:r w:rsidR="00E54CE8" w:rsidRPr="0046108E">
              <w:rPr>
                <w:rFonts w:ascii="Times New Roman" w:hAnsi="Times New Roman"/>
                <w:sz w:val="24"/>
                <w:szCs w:val="24"/>
                <w:shd w:val="clear" w:color="auto" w:fill="FFFFFF"/>
                <w:lang w:val="en-US"/>
              </w:rPr>
              <w:t>diminuează</w:t>
            </w:r>
            <w:r w:rsidRPr="0046108E">
              <w:rPr>
                <w:rFonts w:ascii="Times New Roman" w:hAnsi="Times New Roman"/>
                <w:sz w:val="24"/>
                <w:szCs w:val="24"/>
                <w:shd w:val="clear" w:color="auto" w:fill="FFFFFF"/>
                <w:lang w:val="en-US"/>
              </w:rPr>
              <w:t xml:space="preserve"> compatibilit</w:t>
            </w:r>
            <w:r w:rsidR="00E54CE8" w:rsidRPr="0046108E">
              <w:rPr>
                <w:rFonts w:ascii="Times New Roman" w:hAnsi="Times New Roman"/>
                <w:sz w:val="24"/>
                <w:szCs w:val="24"/>
                <w:shd w:val="clear" w:color="auto" w:fill="FFFFFF"/>
                <w:lang w:val="en-US"/>
              </w:rPr>
              <w:t>atea, nu</w:t>
            </w:r>
            <w:r w:rsidRPr="0046108E">
              <w:rPr>
                <w:rFonts w:ascii="Times New Roman" w:hAnsi="Times New Roman"/>
                <w:sz w:val="24"/>
                <w:szCs w:val="24"/>
                <w:shd w:val="clear" w:color="auto" w:fill="FFFFFF"/>
                <w:lang w:val="en-US"/>
              </w:rPr>
              <w:t xml:space="preserve"> devi</w:t>
            </w:r>
            <w:r w:rsidR="00E54CE8" w:rsidRPr="0046108E">
              <w:rPr>
                <w:rFonts w:ascii="Times New Roman" w:hAnsi="Times New Roman"/>
                <w:sz w:val="24"/>
                <w:szCs w:val="24"/>
                <w:shd w:val="clear" w:color="auto" w:fill="FFFFFF"/>
                <w:lang w:val="en-US"/>
              </w:rPr>
              <w:t>ază</w:t>
            </w:r>
            <w:r w:rsidRPr="0046108E">
              <w:rPr>
                <w:rFonts w:ascii="Times New Roman" w:hAnsi="Times New Roman"/>
                <w:sz w:val="24"/>
                <w:szCs w:val="24"/>
                <w:shd w:val="clear" w:color="auto" w:fill="FFFFFF"/>
                <w:lang w:val="en-US"/>
              </w:rPr>
              <w:t xml:space="preserve"> de la obiec</w:t>
            </w:r>
            <w:r w:rsidR="00E54CE8" w:rsidRPr="0046108E">
              <w:rPr>
                <w:rFonts w:ascii="Times New Roman" w:hAnsi="Times New Roman"/>
                <w:sz w:val="24"/>
                <w:szCs w:val="24"/>
                <w:shd w:val="clear" w:color="auto" w:fill="FFFFFF"/>
                <w:lang w:val="en-US"/>
              </w:rPr>
              <w:t xml:space="preserve">tivul stabilit și </w:t>
            </w:r>
            <w:r w:rsidRPr="0046108E">
              <w:rPr>
                <w:rFonts w:ascii="Times New Roman" w:hAnsi="Times New Roman"/>
                <w:sz w:val="24"/>
                <w:szCs w:val="24"/>
                <w:lang w:val="en-US"/>
              </w:rPr>
              <w:t>asigur</w:t>
            </w:r>
            <w:r w:rsidR="00E54CE8" w:rsidRPr="0046108E">
              <w:rPr>
                <w:rFonts w:ascii="Times New Roman" w:hAnsi="Times New Roman"/>
                <w:sz w:val="24"/>
                <w:szCs w:val="24"/>
                <w:lang w:val="en-US"/>
              </w:rPr>
              <w:t>ă</w:t>
            </w:r>
            <w:r w:rsidRPr="0046108E">
              <w:rPr>
                <w:rFonts w:ascii="Times New Roman" w:hAnsi="Times New Roman"/>
                <w:sz w:val="24"/>
                <w:szCs w:val="24"/>
                <w:lang w:val="en-US"/>
              </w:rPr>
              <w:t xml:space="preserve"> o transpunere corespunzătoare a scopului actului UE</w:t>
            </w:r>
            <w:r w:rsidR="00EA1A12" w:rsidRPr="0046108E">
              <w:rPr>
                <w:rFonts w:ascii="Times New Roman" w:hAnsi="Times New Roman"/>
                <w:sz w:val="24"/>
                <w:szCs w:val="24"/>
                <w:lang w:val="en-US"/>
              </w:rPr>
              <w:t xml:space="preserve">, or autoritatea competentă este responsabilă de </w:t>
            </w:r>
            <w:r w:rsidR="00B35422" w:rsidRPr="0046108E">
              <w:rPr>
                <w:rFonts w:ascii="Times New Roman" w:hAnsi="Times New Roman"/>
                <w:sz w:val="24"/>
                <w:szCs w:val="24"/>
                <w:lang w:val="en-US"/>
              </w:rPr>
              <w:t>monitorizarea cerințelor impuse, de controlul produselor vegetale și condițiile fitosanitare ale producției importate</w:t>
            </w:r>
            <w:r w:rsidR="00E54CE8" w:rsidRPr="0046108E">
              <w:rPr>
                <w:rFonts w:ascii="Times New Roman" w:hAnsi="Times New Roman"/>
                <w:sz w:val="24"/>
                <w:szCs w:val="24"/>
                <w:lang w:val="en-US"/>
              </w:rPr>
              <w:t>.</w:t>
            </w:r>
          </w:p>
        </w:tc>
      </w:tr>
      <w:tr w:rsidR="00961EAB" w:rsidRPr="0046108E" w14:paraId="7B0C0BF5" w14:textId="77777777" w:rsidTr="00CF4132">
        <w:trPr>
          <w:trHeight w:val="20"/>
        </w:trPr>
        <w:tc>
          <w:tcPr>
            <w:tcW w:w="3397" w:type="dxa"/>
            <w:vMerge/>
            <w:shd w:val="clear" w:color="auto" w:fill="auto"/>
            <w:vAlign w:val="center"/>
          </w:tcPr>
          <w:p w14:paraId="62FEF182"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983F312" w14:textId="13BADA64"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50.</w:t>
            </w:r>
          </w:p>
        </w:tc>
        <w:tc>
          <w:tcPr>
            <w:tcW w:w="6804" w:type="dxa"/>
            <w:shd w:val="clear" w:color="auto" w:fill="auto"/>
            <w:vAlign w:val="center"/>
          </w:tcPr>
          <w:p w14:paraId="0610FA7F" w14:textId="09452AA3"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Ținând cont de prevederile art. 52 alin. (2) și (3) din Legea nr. 100/2017, la subpct. 1.9, textul „punctul 1.2” se va substitui cu textul „subpct. 1.2”, la subpct. 1.9.2, textul „punctul 1.3”se va </w:t>
            </w:r>
            <w:r w:rsidRPr="0046108E">
              <w:rPr>
                <w:sz w:val="24"/>
                <w:szCs w:val="24"/>
                <w:lang w:val="en-US"/>
              </w:rPr>
              <w:lastRenderedPageBreak/>
              <w:t>substitui cu textul„ subpct. 1.3”, la subpct. 2.3, textul „punctul 2.1” se va substitui cu textul „subpct. 2.1”.</w:t>
            </w:r>
          </w:p>
        </w:tc>
        <w:tc>
          <w:tcPr>
            <w:tcW w:w="3123" w:type="dxa"/>
            <w:shd w:val="clear" w:color="auto" w:fill="auto"/>
          </w:tcPr>
          <w:p w14:paraId="54667E67" w14:textId="1671FE3D"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961EAB" w:rsidRPr="0046108E" w14:paraId="1D0566AB" w14:textId="77777777" w:rsidTr="00CF4132">
        <w:trPr>
          <w:trHeight w:val="20"/>
        </w:trPr>
        <w:tc>
          <w:tcPr>
            <w:tcW w:w="3397" w:type="dxa"/>
            <w:vMerge/>
            <w:shd w:val="clear" w:color="auto" w:fill="auto"/>
            <w:vAlign w:val="center"/>
          </w:tcPr>
          <w:p w14:paraId="789D1EB1"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EAF52E1" w14:textId="0258EB66"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51.</w:t>
            </w:r>
          </w:p>
        </w:tc>
        <w:tc>
          <w:tcPr>
            <w:tcW w:w="6804" w:type="dxa"/>
            <w:shd w:val="clear" w:color="auto" w:fill="auto"/>
            <w:vAlign w:val="center"/>
          </w:tcPr>
          <w:p w14:paraId="670B4ED6" w14:textId="2E6A5DDE"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conformitate cu art. 55 alin. (4) din Legea nr. 100/2017, „(4) În cazul în care se impune utilizarea unor noţiuni sau termeni consacrați din tratatele internaţionale la care Republica Moldova este parte ori din legislaţia UE, în proiect se asigură corespunderea acestora termenilor sau, respectiv, noțiunilor consacrate din legislația națională. Dacă este necesară preluarea unor termeni şi sintagme noi din alte limbi, se indică și corespondentul acestora în limba română. Ținând cont de prevederea legală enunțată, la subpct. 1.11, cuvintele „din prezenta anexă” se vor exclude ca fiind excedente.</w:t>
            </w:r>
          </w:p>
        </w:tc>
        <w:tc>
          <w:tcPr>
            <w:tcW w:w="3123" w:type="dxa"/>
            <w:shd w:val="clear" w:color="auto" w:fill="auto"/>
          </w:tcPr>
          <w:p w14:paraId="37DC646C" w14:textId="2E3321D5"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7F8EC4EE" w14:textId="77777777" w:rsidTr="00CF4132">
        <w:trPr>
          <w:trHeight w:val="20"/>
        </w:trPr>
        <w:tc>
          <w:tcPr>
            <w:tcW w:w="3397" w:type="dxa"/>
            <w:vMerge/>
            <w:shd w:val="clear" w:color="auto" w:fill="auto"/>
            <w:vAlign w:val="center"/>
          </w:tcPr>
          <w:p w14:paraId="6AB0E290"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EF09D0F" w14:textId="284B5CF5"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52.</w:t>
            </w:r>
          </w:p>
        </w:tc>
        <w:tc>
          <w:tcPr>
            <w:tcW w:w="6804" w:type="dxa"/>
            <w:shd w:val="clear" w:color="auto" w:fill="auto"/>
            <w:vAlign w:val="center"/>
          </w:tcPr>
          <w:p w14:paraId="0FC60DC3" w14:textId="749BC241"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1.12.2, ce transpune subpct. 1.8 lit. (b) din Anexa la Regulamentul de punere în aplicare (UE) 2024/2852, textul „subpct. 1.6.3” se va substitui cu textul „subpct. 1.9.2”, care transpune subpct. 1.6 lit. (c), la care se face referință la subpct. 1.8 lit. (b) (obiecție similară și la subpct. 2.3).</w:t>
            </w:r>
          </w:p>
        </w:tc>
        <w:tc>
          <w:tcPr>
            <w:tcW w:w="3123" w:type="dxa"/>
            <w:shd w:val="clear" w:color="auto" w:fill="auto"/>
          </w:tcPr>
          <w:p w14:paraId="49B95864"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r w:rsidR="0040761B" w:rsidRPr="0046108E">
              <w:rPr>
                <w:rFonts w:ascii="Times New Roman" w:hAnsi="Times New Roman"/>
                <w:b/>
                <w:sz w:val="24"/>
                <w:szCs w:val="24"/>
                <w:lang w:val="ro-MD"/>
              </w:rPr>
              <w:t xml:space="preserve"> parțial</w:t>
            </w:r>
            <w:r w:rsidRPr="0046108E">
              <w:rPr>
                <w:rFonts w:ascii="Times New Roman" w:hAnsi="Times New Roman"/>
                <w:b/>
                <w:sz w:val="24"/>
                <w:szCs w:val="24"/>
                <w:lang w:val="ro-MD"/>
              </w:rPr>
              <w:t>.</w:t>
            </w:r>
          </w:p>
          <w:p w14:paraId="3C0AA5FE" w14:textId="44A1908B" w:rsidR="0040761B" w:rsidRPr="0046108E" w:rsidRDefault="0040761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t>A fost substituit cu textul „subpct. 1.9.3”.</w:t>
            </w:r>
          </w:p>
        </w:tc>
      </w:tr>
      <w:tr w:rsidR="00961EAB" w:rsidRPr="0046108E" w14:paraId="354C37BE" w14:textId="77777777" w:rsidTr="00CF4132">
        <w:trPr>
          <w:trHeight w:val="20"/>
        </w:trPr>
        <w:tc>
          <w:tcPr>
            <w:tcW w:w="3397" w:type="dxa"/>
            <w:vMerge/>
            <w:shd w:val="clear" w:color="auto" w:fill="auto"/>
            <w:vAlign w:val="center"/>
          </w:tcPr>
          <w:p w14:paraId="6AB53AE1"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5A0CAD7" w14:textId="6E39DF9F"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53.</w:t>
            </w:r>
          </w:p>
        </w:tc>
        <w:tc>
          <w:tcPr>
            <w:tcW w:w="6804" w:type="dxa"/>
            <w:shd w:val="clear" w:color="auto" w:fill="auto"/>
            <w:vAlign w:val="center"/>
          </w:tcPr>
          <w:p w14:paraId="449272AC" w14:textId="3C00B31E"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1.12.4, în referința la Hotărârea Guvernului nr. 679/2024, se va exclude denumirea acesteia ca fiind excedentă.</w:t>
            </w:r>
          </w:p>
        </w:tc>
        <w:tc>
          <w:tcPr>
            <w:tcW w:w="3123" w:type="dxa"/>
            <w:shd w:val="clear" w:color="auto" w:fill="auto"/>
          </w:tcPr>
          <w:p w14:paraId="4145FEC9" w14:textId="43DC52BB"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5C4EE520" w14:textId="77777777" w:rsidTr="00CF4132">
        <w:trPr>
          <w:trHeight w:val="20"/>
        </w:trPr>
        <w:tc>
          <w:tcPr>
            <w:tcW w:w="3397" w:type="dxa"/>
            <w:vMerge/>
            <w:shd w:val="clear" w:color="auto" w:fill="auto"/>
            <w:vAlign w:val="center"/>
          </w:tcPr>
          <w:p w14:paraId="0650D93E"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6AAD0F9" w14:textId="3D44C595"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54.</w:t>
            </w:r>
          </w:p>
        </w:tc>
        <w:tc>
          <w:tcPr>
            <w:tcW w:w="6804" w:type="dxa"/>
            <w:shd w:val="clear" w:color="auto" w:fill="auto"/>
            <w:vAlign w:val="center"/>
          </w:tcPr>
          <w:p w14:paraId="08505306" w14:textId="77777777" w:rsidR="00961EAB" w:rsidRPr="0046108E" w:rsidRDefault="00961EA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1.2.3.20 – modificarea anexei nr. 18 la Regulamentul privind aplicarea măsurilor de protecție împotriva organismelor dăunătoare plantelor: </w:t>
            </w:r>
          </w:p>
          <w:p w14:paraId="421FDC2A" w14:textId="0C8DCBC0"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clauza de armonizare, cuvintele „Prezenta Anexă” vor fi succedate de cuvântul „transpune”.</w:t>
            </w:r>
          </w:p>
        </w:tc>
        <w:tc>
          <w:tcPr>
            <w:tcW w:w="3123" w:type="dxa"/>
            <w:shd w:val="clear" w:color="auto" w:fill="auto"/>
          </w:tcPr>
          <w:p w14:paraId="5B4E0CD3" w14:textId="765EB336"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753414" w14:paraId="393F0A38" w14:textId="77777777" w:rsidTr="00CF4132">
        <w:trPr>
          <w:trHeight w:val="20"/>
        </w:trPr>
        <w:tc>
          <w:tcPr>
            <w:tcW w:w="3397" w:type="dxa"/>
            <w:vMerge/>
            <w:shd w:val="clear" w:color="auto" w:fill="auto"/>
            <w:vAlign w:val="center"/>
          </w:tcPr>
          <w:p w14:paraId="054E9178"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22F68BC" w14:textId="125CB17C"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55.</w:t>
            </w:r>
          </w:p>
        </w:tc>
        <w:tc>
          <w:tcPr>
            <w:tcW w:w="6804" w:type="dxa"/>
            <w:shd w:val="clear" w:color="auto" w:fill="auto"/>
            <w:vAlign w:val="center"/>
          </w:tcPr>
          <w:p w14:paraId="5FD1BA5A" w14:textId="4DFB903F"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La pct. 5, care transpune art. 3 din Regulamentul de punere în aplicare (UE) 2023/1310, conform căruia „Statele membre informează Comisia și celelalte state membre despre orice organism dăunător” reiterăm că prevederile privind informarea Comisiei sunt relevante doar pentru statele Uniunii Europene. La pct. 5 din proiect, art. 3 a fost reformulat în partea în care vizează Comisia, prin substituirea cu IPPC. Este de menționat că tehnica de transpunere prin reformulare urmează a fi efectuată într-un mod care ar păstra esența, semnificația și scopul prevederilor Uniunii </w:t>
            </w:r>
            <w:r w:rsidRPr="0046108E">
              <w:rPr>
                <w:sz w:val="24"/>
                <w:szCs w:val="24"/>
                <w:lang w:val="en-US"/>
              </w:rPr>
              <w:lastRenderedPageBreak/>
              <w:t>Europene. În acest sens, se va revizui transpunerea normei enunțate, ținând cont de normele UE neaplicabile.</w:t>
            </w:r>
          </w:p>
        </w:tc>
        <w:tc>
          <w:tcPr>
            <w:tcW w:w="3123" w:type="dxa"/>
            <w:shd w:val="clear" w:color="auto" w:fill="auto"/>
          </w:tcPr>
          <w:p w14:paraId="7DFF383B"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r w:rsidR="0040761B" w:rsidRPr="0046108E">
              <w:rPr>
                <w:rFonts w:ascii="Times New Roman" w:hAnsi="Times New Roman"/>
                <w:b/>
                <w:sz w:val="24"/>
                <w:szCs w:val="24"/>
                <w:lang w:val="ro-MD"/>
              </w:rPr>
              <w:t xml:space="preserve"> parțial</w:t>
            </w:r>
            <w:r w:rsidRPr="0046108E">
              <w:rPr>
                <w:rFonts w:ascii="Times New Roman" w:hAnsi="Times New Roman"/>
                <w:b/>
                <w:sz w:val="24"/>
                <w:szCs w:val="24"/>
                <w:lang w:val="ro-MD"/>
              </w:rPr>
              <w:t>.</w:t>
            </w:r>
          </w:p>
          <w:p w14:paraId="4F6C3E4B" w14:textId="23F7A274" w:rsidR="00521507" w:rsidRPr="0046108E" w:rsidRDefault="00521507" w:rsidP="00845051">
            <w:pPr>
              <w:shd w:val="clear" w:color="auto" w:fill="FFFFFF"/>
              <w:spacing w:after="0" w:line="240" w:lineRule="auto"/>
              <w:ind w:firstLine="142"/>
              <w:rPr>
                <w:rFonts w:ascii="Times New Roman" w:hAnsi="Times New Roman"/>
                <w:sz w:val="24"/>
                <w:szCs w:val="24"/>
                <w:lang w:val="en-US"/>
              </w:rPr>
            </w:pPr>
            <w:r w:rsidRPr="0046108E">
              <w:rPr>
                <w:rFonts w:ascii="Times New Roman" w:hAnsi="Times New Roman"/>
                <w:bCs/>
                <w:sz w:val="24"/>
                <w:szCs w:val="24"/>
                <w:lang w:val="en-US" w:eastAsia="en-US"/>
              </w:rPr>
              <w:t xml:space="preserve">Tocmai din considerentul că </w:t>
            </w:r>
            <w:r w:rsidRPr="0046108E">
              <w:rPr>
                <w:rFonts w:ascii="Times New Roman" w:hAnsi="Times New Roman"/>
                <w:sz w:val="24"/>
                <w:szCs w:val="24"/>
                <w:lang w:val="en-US"/>
              </w:rPr>
              <w:t xml:space="preserve">informarea Comisiei este relevantă doar pentru statele </w:t>
            </w:r>
            <w:r w:rsidR="00753414">
              <w:rPr>
                <w:rFonts w:ascii="Times New Roman" w:hAnsi="Times New Roman"/>
                <w:sz w:val="24"/>
                <w:szCs w:val="24"/>
                <w:lang w:val="en-US"/>
              </w:rPr>
              <w:t xml:space="preserve">membre ale </w:t>
            </w:r>
            <w:r w:rsidRPr="0046108E">
              <w:rPr>
                <w:rFonts w:ascii="Times New Roman" w:hAnsi="Times New Roman"/>
                <w:sz w:val="24"/>
                <w:szCs w:val="24"/>
                <w:lang w:val="en-US"/>
              </w:rPr>
              <w:t>Uniunii Europene, s-a substituit ca notificarea să fie efectuată către Organizația Internațională pentru Protecția Plantelor.</w:t>
            </w:r>
          </w:p>
          <w:p w14:paraId="3CAAE31A" w14:textId="0D39BAED" w:rsidR="00676AF4" w:rsidRPr="0046108E" w:rsidRDefault="00676AF4" w:rsidP="00845051">
            <w:pPr>
              <w:shd w:val="clear" w:color="auto" w:fill="FFFFFF"/>
              <w:spacing w:after="0" w:line="240" w:lineRule="auto"/>
              <w:ind w:firstLine="142"/>
              <w:rPr>
                <w:rFonts w:ascii="Times New Roman" w:hAnsi="Times New Roman"/>
                <w:sz w:val="24"/>
                <w:szCs w:val="24"/>
                <w:lang w:val="en-US" w:eastAsia="en-US"/>
              </w:rPr>
            </w:pPr>
            <w:r w:rsidRPr="0046108E">
              <w:rPr>
                <w:rFonts w:ascii="Times New Roman" w:hAnsi="Times New Roman"/>
                <w:bCs/>
                <w:sz w:val="24"/>
                <w:szCs w:val="24"/>
                <w:lang w:val="en-US" w:eastAsia="en-US"/>
              </w:rPr>
              <w:lastRenderedPageBreak/>
              <w:t>În conformitate cu art. 9 din Legea nr. 422/2023</w:t>
            </w:r>
            <w:r w:rsidRPr="0046108E">
              <w:rPr>
                <w:rFonts w:ascii="Times New Roman" w:hAnsi="Times New Roman"/>
                <w:sz w:val="24"/>
                <w:szCs w:val="24"/>
                <w:lang w:val="en-US" w:eastAsia="en-US"/>
              </w:rPr>
              <w:t xml:space="preserve"> „(1) La identificarea unor pericole iminente de intrare a unui organism dăunător de carantină pe teritoriul țării în care organismul dăunător încă nu este prezent, autoritatea competentă notifică imediat, în scris, părțile semnatare ale </w:t>
            </w:r>
            <w:r w:rsidRPr="0046108E">
              <w:rPr>
                <w:rFonts w:ascii="Times New Roman" w:hAnsi="Times New Roman"/>
                <w:sz w:val="24"/>
                <w:szCs w:val="24"/>
                <w:shd w:val="clear" w:color="auto" w:fill="FFFFFF"/>
                <w:lang w:val="ro-MD"/>
              </w:rPr>
              <w:t xml:space="preserve">Convenției internaționale pentru protecția plantelor (în continuare – </w:t>
            </w:r>
            <w:r w:rsidRPr="0046108E">
              <w:rPr>
                <w:rStyle w:val="Accentuat"/>
                <w:rFonts w:ascii="Times New Roman" w:eastAsiaTheme="majorEastAsia" w:hAnsi="Times New Roman"/>
                <w:sz w:val="24"/>
                <w:szCs w:val="24"/>
                <w:shd w:val="clear" w:color="auto" w:fill="FFFFFF"/>
                <w:lang w:val="ro-MD"/>
              </w:rPr>
              <w:t>CIPP</w:t>
            </w:r>
            <w:r w:rsidRPr="0046108E">
              <w:rPr>
                <w:rFonts w:ascii="Times New Roman" w:hAnsi="Times New Roman"/>
                <w:sz w:val="24"/>
                <w:szCs w:val="24"/>
                <w:shd w:val="clear" w:color="auto" w:fill="FFFFFF"/>
                <w:lang w:val="ro-MD"/>
              </w:rPr>
              <w:t>)</w:t>
            </w:r>
            <w:r w:rsidRPr="0046108E">
              <w:rPr>
                <w:rFonts w:ascii="Times New Roman" w:hAnsi="Times New Roman"/>
                <w:sz w:val="24"/>
                <w:szCs w:val="24"/>
                <w:lang w:val="en-US" w:eastAsia="en-US"/>
              </w:rPr>
              <w:t>, la care Republica Moldova este parte.”</w:t>
            </w:r>
          </w:p>
          <w:p w14:paraId="04194524" w14:textId="35129268" w:rsidR="00676AF4" w:rsidRPr="0046108E" w:rsidRDefault="00676AF4" w:rsidP="00845051">
            <w:pPr>
              <w:shd w:val="clear" w:color="auto" w:fill="FFFFFF"/>
              <w:spacing w:after="0" w:line="240" w:lineRule="auto"/>
              <w:ind w:firstLine="142"/>
              <w:rPr>
                <w:rFonts w:ascii="Times New Roman" w:hAnsi="Times New Roman"/>
                <w:sz w:val="24"/>
                <w:szCs w:val="24"/>
                <w:shd w:val="clear" w:color="auto" w:fill="FFFFFF"/>
                <w:lang w:val="en-US"/>
              </w:rPr>
            </w:pPr>
            <w:r w:rsidRPr="0046108E">
              <w:rPr>
                <w:rFonts w:ascii="Times New Roman" w:hAnsi="Times New Roman"/>
                <w:sz w:val="24"/>
                <w:szCs w:val="24"/>
                <w:lang w:val="en-US"/>
              </w:rPr>
              <w:t>Notificarea privind organismele dăunătoare este un mecanism oficial prin care Republica Moldova, prin intermediul ANSA, informează despre detectarea organismelor de carantină, focarelor noi sau riscuri</w:t>
            </w:r>
            <w:r w:rsidR="00521507" w:rsidRPr="0046108E">
              <w:rPr>
                <w:rFonts w:ascii="Times New Roman" w:hAnsi="Times New Roman"/>
                <w:sz w:val="24"/>
                <w:szCs w:val="24"/>
                <w:lang w:val="en-US"/>
              </w:rPr>
              <w:t>lor</w:t>
            </w:r>
            <w:r w:rsidRPr="0046108E">
              <w:rPr>
                <w:rFonts w:ascii="Times New Roman" w:hAnsi="Times New Roman"/>
                <w:sz w:val="24"/>
                <w:szCs w:val="24"/>
                <w:lang w:val="en-US"/>
              </w:rPr>
              <w:t xml:space="preserve"> fitosanitare, conform</w:t>
            </w:r>
            <w:r w:rsidR="00521507" w:rsidRPr="0046108E">
              <w:rPr>
                <w:rFonts w:ascii="Times New Roman" w:hAnsi="Times New Roman"/>
                <w:sz w:val="24"/>
                <w:szCs w:val="24"/>
                <w:lang w:val="en-US"/>
              </w:rPr>
              <w:t xml:space="preserve"> </w:t>
            </w:r>
            <w:hyperlink r:id="rId10" w:tgtFrame="_blank" w:history="1">
              <w:r w:rsidRPr="0046108E">
                <w:rPr>
                  <w:rFonts w:ascii="Times New Roman" w:hAnsi="Times New Roman"/>
                  <w:sz w:val="24"/>
                  <w:szCs w:val="24"/>
                  <w:lang w:val="en-US"/>
                </w:rPr>
                <w:t>legislației naționale armonizate</w:t>
              </w:r>
            </w:hyperlink>
            <w:r w:rsidRPr="0046108E">
              <w:rPr>
                <w:rFonts w:ascii="Times New Roman" w:hAnsi="Times New Roman"/>
                <w:sz w:val="24"/>
                <w:szCs w:val="24"/>
                <w:lang w:val="en-US"/>
              </w:rPr>
              <w:t>.</w:t>
            </w:r>
            <w:r w:rsidRPr="0046108E">
              <w:rPr>
                <w:rFonts w:ascii="Times New Roman" w:hAnsi="Times New Roman"/>
                <w:sz w:val="24"/>
                <w:szCs w:val="24"/>
                <w:shd w:val="clear" w:color="auto" w:fill="FFFFFF"/>
                <w:lang w:val="en-US"/>
              </w:rPr>
              <w:t xml:space="preserve"> </w:t>
            </w:r>
          </w:p>
          <w:p w14:paraId="657E0F4F" w14:textId="77777777" w:rsidR="00676AF4" w:rsidRPr="0046108E" w:rsidRDefault="00676AF4" w:rsidP="00845051">
            <w:pPr>
              <w:shd w:val="clear" w:color="auto" w:fill="FFFFFF"/>
              <w:spacing w:after="0" w:line="240" w:lineRule="auto"/>
              <w:ind w:firstLine="142"/>
              <w:rPr>
                <w:rFonts w:ascii="Times New Roman" w:hAnsi="Times New Roman"/>
                <w:sz w:val="24"/>
                <w:szCs w:val="24"/>
                <w:shd w:val="clear" w:color="auto" w:fill="FFFFFF"/>
                <w:lang w:val="ro-MD"/>
              </w:rPr>
            </w:pPr>
            <w:r w:rsidRPr="0046108E">
              <w:rPr>
                <w:rFonts w:ascii="Times New Roman" w:hAnsi="Times New Roman"/>
                <w:sz w:val="24"/>
                <w:szCs w:val="24"/>
                <w:lang w:val="en-US" w:eastAsia="en-US"/>
              </w:rPr>
              <w:t>Astfel, s</w:t>
            </w:r>
            <w:r w:rsidR="0040761B" w:rsidRPr="0046108E">
              <w:rPr>
                <w:rFonts w:ascii="Times New Roman" w:hAnsi="Times New Roman"/>
                <w:sz w:val="24"/>
                <w:szCs w:val="24"/>
                <w:lang w:val="ro-MD"/>
              </w:rPr>
              <w:t>e insită pe păstrarea acestei preved</w:t>
            </w:r>
            <w:r w:rsidRPr="0046108E">
              <w:rPr>
                <w:rFonts w:ascii="Times New Roman" w:hAnsi="Times New Roman"/>
                <w:sz w:val="24"/>
                <w:szCs w:val="24"/>
                <w:lang w:val="ro-MD"/>
              </w:rPr>
              <w:t>e</w:t>
            </w:r>
            <w:r w:rsidR="0040761B" w:rsidRPr="0046108E">
              <w:rPr>
                <w:rFonts w:ascii="Times New Roman" w:hAnsi="Times New Roman"/>
                <w:sz w:val="24"/>
                <w:szCs w:val="24"/>
                <w:lang w:val="ro-MD"/>
              </w:rPr>
              <w:t xml:space="preserve">ri, </w:t>
            </w:r>
            <w:r w:rsidR="00521507" w:rsidRPr="0046108E">
              <w:rPr>
                <w:rFonts w:ascii="Times New Roman" w:hAnsi="Times New Roman"/>
                <w:sz w:val="24"/>
                <w:szCs w:val="24"/>
                <w:lang w:val="ro-MD"/>
              </w:rPr>
              <w:t>or</w:t>
            </w:r>
            <w:r w:rsidR="0040761B" w:rsidRPr="0046108E">
              <w:rPr>
                <w:rFonts w:ascii="Times New Roman" w:hAnsi="Times New Roman"/>
                <w:sz w:val="24"/>
                <w:szCs w:val="24"/>
                <w:lang w:val="ro-MD"/>
              </w:rPr>
              <w:t xml:space="preserve"> statele mem</w:t>
            </w:r>
            <w:r w:rsidRPr="0046108E">
              <w:rPr>
                <w:rFonts w:ascii="Times New Roman" w:hAnsi="Times New Roman"/>
                <w:sz w:val="24"/>
                <w:szCs w:val="24"/>
                <w:lang w:val="ro-MD"/>
              </w:rPr>
              <w:t>bre ale Uniunii E</w:t>
            </w:r>
            <w:r w:rsidR="00521507" w:rsidRPr="0046108E">
              <w:rPr>
                <w:rFonts w:ascii="Times New Roman" w:hAnsi="Times New Roman"/>
                <w:sz w:val="24"/>
                <w:szCs w:val="24"/>
                <w:lang w:val="ro-MD"/>
              </w:rPr>
              <w:t>uropene</w:t>
            </w:r>
            <w:r w:rsidRPr="0046108E">
              <w:rPr>
                <w:rFonts w:ascii="Times New Roman" w:hAnsi="Times New Roman"/>
                <w:sz w:val="24"/>
                <w:szCs w:val="24"/>
                <w:lang w:val="ro-MD"/>
              </w:rPr>
              <w:t xml:space="preserve"> </w:t>
            </w:r>
            <w:r w:rsidR="00521507" w:rsidRPr="0046108E">
              <w:rPr>
                <w:rFonts w:ascii="Times New Roman" w:hAnsi="Times New Roman"/>
                <w:sz w:val="24"/>
                <w:szCs w:val="24"/>
                <w:lang w:val="ro-MD"/>
              </w:rPr>
              <w:t>sunt</w:t>
            </w:r>
            <w:r w:rsidRPr="0046108E">
              <w:rPr>
                <w:rFonts w:ascii="Times New Roman" w:hAnsi="Times New Roman"/>
                <w:sz w:val="24"/>
                <w:szCs w:val="24"/>
                <w:lang w:val="ro-MD"/>
              </w:rPr>
              <w:t xml:space="preserve"> părți ale</w:t>
            </w:r>
            <w:r w:rsidRPr="0046108E">
              <w:rPr>
                <w:rFonts w:ascii="Times New Roman" w:hAnsi="Times New Roman"/>
                <w:b/>
                <w:sz w:val="24"/>
                <w:szCs w:val="24"/>
                <w:lang w:val="ro-MD"/>
              </w:rPr>
              <w:t xml:space="preserve"> </w:t>
            </w:r>
            <w:r w:rsidRPr="0046108E">
              <w:rPr>
                <w:rStyle w:val="Accentuat"/>
                <w:rFonts w:ascii="Times New Roman" w:eastAsiaTheme="majorEastAsia" w:hAnsi="Times New Roman"/>
                <w:sz w:val="24"/>
                <w:szCs w:val="24"/>
                <w:shd w:val="clear" w:color="auto" w:fill="FFFFFF"/>
                <w:lang w:val="ro-MD"/>
              </w:rPr>
              <w:t>CIPP</w:t>
            </w:r>
            <w:r w:rsidR="00521507" w:rsidRPr="0046108E">
              <w:rPr>
                <w:rFonts w:ascii="Times New Roman" w:hAnsi="Times New Roman"/>
                <w:sz w:val="24"/>
                <w:szCs w:val="24"/>
                <w:shd w:val="clear" w:color="auto" w:fill="FFFFFF"/>
                <w:lang w:val="ro-MD"/>
              </w:rPr>
              <w:t>.</w:t>
            </w:r>
          </w:p>
          <w:p w14:paraId="0BE70888" w14:textId="1C0353FB" w:rsidR="00521507" w:rsidRPr="0046108E" w:rsidRDefault="00521507" w:rsidP="00845051">
            <w:pPr>
              <w:shd w:val="clear" w:color="auto" w:fill="FFFFFF"/>
              <w:spacing w:after="0" w:line="240" w:lineRule="auto"/>
              <w:ind w:firstLine="142"/>
              <w:rPr>
                <w:rFonts w:ascii="Times New Roman" w:hAnsi="Times New Roman"/>
                <w:sz w:val="24"/>
                <w:szCs w:val="24"/>
                <w:shd w:val="clear" w:color="auto" w:fill="FFFFFF"/>
                <w:lang w:val="ro-MD"/>
              </w:rPr>
            </w:pPr>
            <w:r w:rsidRPr="0046108E">
              <w:rPr>
                <w:rFonts w:ascii="Times New Roman" w:hAnsi="Times New Roman"/>
                <w:sz w:val="24"/>
                <w:szCs w:val="24"/>
                <w:lang w:val="ro-MD"/>
              </w:rPr>
              <w:t xml:space="preserve">Este de menționat că această reformulare păstrează esența, semnificația și scopul </w:t>
            </w:r>
            <w:r w:rsidRPr="0046108E">
              <w:rPr>
                <w:rFonts w:ascii="Times New Roman" w:hAnsi="Times New Roman"/>
                <w:sz w:val="24"/>
                <w:szCs w:val="24"/>
                <w:lang w:val="ro-MD"/>
              </w:rPr>
              <w:lastRenderedPageBreak/>
              <w:t>prevederilor Uniunii Europene.</w:t>
            </w:r>
          </w:p>
        </w:tc>
      </w:tr>
      <w:tr w:rsidR="00961EAB" w:rsidRPr="0046108E" w14:paraId="3B1855D9" w14:textId="77777777" w:rsidTr="00CF4132">
        <w:trPr>
          <w:trHeight w:val="20"/>
        </w:trPr>
        <w:tc>
          <w:tcPr>
            <w:tcW w:w="3397" w:type="dxa"/>
            <w:vMerge/>
            <w:shd w:val="clear" w:color="auto" w:fill="auto"/>
            <w:vAlign w:val="center"/>
          </w:tcPr>
          <w:p w14:paraId="172D5CC6" w14:textId="665D02C4"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24CCBDB" w14:textId="0911990C"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56.</w:t>
            </w:r>
          </w:p>
        </w:tc>
        <w:tc>
          <w:tcPr>
            <w:tcW w:w="6804" w:type="dxa"/>
            <w:shd w:val="clear" w:color="auto" w:fill="auto"/>
            <w:vAlign w:val="center"/>
          </w:tcPr>
          <w:p w14:paraId="173565AE" w14:textId="3544E9E9"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5, textul „pct. 9” urma a fi substituit cu textul „pct. 13-15”, care transpun pct. 9 din Anexă la care se face referință la art. 3 alineatul întâi din Regulamentul de punere în aplicare (UE) 2023/1310.</w:t>
            </w:r>
          </w:p>
        </w:tc>
        <w:tc>
          <w:tcPr>
            <w:tcW w:w="3123" w:type="dxa"/>
            <w:shd w:val="clear" w:color="auto" w:fill="auto"/>
          </w:tcPr>
          <w:p w14:paraId="768A84DF" w14:textId="78E1258E"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49513EDC" w14:textId="77777777" w:rsidTr="00CF4132">
        <w:trPr>
          <w:trHeight w:val="20"/>
        </w:trPr>
        <w:tc>
          <w:tcPr>
            <w:tcW w:w="3397" w:type="dxa"/>
            <w:vMerge/>
            <w:shd w:val="clear" w:color="auto" w:fill="auto"/>
            <w:vAlign w:val="center"/>
          </w:tcPr>
          <w:p w14:paraId="3AC4D7E4"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C9B12B5" w14:textId="03292147"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57.</w:t>
            </w:r>
          </w:p>
        </w:tc>
        <w:tc>
          <w:tcPr>
            <w:tcW w:w="6804" w:type="dxa"/>
            <w:shd w:val="clear" w:color="auto" w:fill="auto"/>
            <w:vAlign w:val="center"/>
          </w:tcPr>
          <w:p w14:paraId="54296B2A" w14:textId="0CE7362D"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conformitate cu art. 54 alin. (1) lit. i) din Legea nr. 100/2017, exprimarea prin abrevieri a unor denumiri sau termeni se poate face numai după explicarea acestora în text, la prima folosire. Potrivit art. 4 alin. (4) din Legea nr. 100/2017, dacă este necesară preluarea unor termeni şi sintagme noi din alte limbi, se indică și corespondentul acestora în limba română. Având în vedere prevederea legală enunțată, la pct. 5, abrevierea „IPCC” se va substitui cu denumirea completă și se va indica corespondentul în limba română.</w:t>
            </w:r>
          </w:p>
        </w:tc>
        <w:tc>
          <w:tcPr>
            <w:tcW w:w="3123" w:type="dxa"/>
            <w:shd w:val="clear" w:color="auto" w:fill="auto"/>
          </w:tcPr>
          <w:p w14:paraId="54011A0D" w14:textId="706AB603"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65E6A217" w14:textId="77777777" w:rsidTr="00CF4132">
        <w:trPr>
          <w:trHeight w:val="20"/>
        </w:trPr>
        <w:tc>
          <w:tcPr>
            <w:tcW w:w="3397" w:type="dxa"/>
            <w:vMerge/>
            <w:shd w:val="clear" w:color="auto" w:fill="auto"/>
            <w:vAlign w:val="center"/>
          </w:tcPr>
          <w:p w14:paraId="6D1CFE4B"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C546721" w14:textId="5BEE51F2"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58.</w:t>
            </w:r>
          </w:p>
        </w:tc>
        <w:tc>
          <w:tcPr>
            <w:tcW w:w="6804" w:type="dxa"/>
            <w:shd w:val="clear" w:color="auto" w:fill="auto"/>
            <w:vAlign w:val="center"/>
          </w:tcPr>
          <w:p w14:paraId="1D051569" w14:textId="3EA4F2D8"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6, care transpune art. 3 alineatul al doilea din Regulamentul de punere în aplicare (UE) 2023/1310, textul „pct. 11” se va substitui cu textul „pct. 17”, care transpune pct. 11 din Anexă, la care se face referință la art. 3 alineatul al doilea.</w:t>
            </w:r>
          </w:p>
        </w:tc>
        <w:tc>
          <w:tcPr>
            <w:tcW w:w="3123" w:type="dxa"/>
            <w:shd w:val="clear" w:color="auto" w:fill="auto"/>
          </w:tcPr>
          <w:p w14:paraId="67132E5D" w14:textId="48D593FD"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2F169DC7" w14:textId="77777777" w:rsidTr="00CF4132">
        <w:trPr>
          <w:trHeight w:val="20"/>
        </w:trPr>
        <w:tc>
          <w:tcPr>
            <w:tcW w:w="3397" w:type="dxa"/>
            <w:vMerge/>
            <w:shd w:val="clear" w:color="auto" w:fill="auto"/>
            <w:vAlign w:val="center"/>
          </w:tcPr>
          <w:p w14:paraId="6FF9EC15"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1E2E234" w14:textId="60CA90BF"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59.</w:t>
            </w:r>
          </w:p>
        </w:tc>
        <w:tc>
          <w:tcPr>
            <w:tcW w:w="6804" w:type="dxa"/>
            <w:shd w:val="clear" w:color="auto" w:fill="auto"/>
            <w:vAlign w:val="center"/>
          </w:tcPr>
          <w:p w14:paraId="252B95D8" w14:textId="77777777" w:rsidR="00961EAB" w:rsidRPr="0046108E" w:rsidRDefault="00961EA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anexa la Cerințe: </w:t>
            </w:r>
          </w:p>
          <w:p w14:paraId="580CD967" w14:textId="1420417C"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Se va indica denumirea anexei.</w:t>
            </w:r>
          </w:p>
        </w:tc>
        <w:tc>
          <w:tcPr>
            <w:tcW w:w="3123" w:type="dxa"/>
            <w:shd w:val="clear" w:color="auto" w:fill="auto"/>
          </w:tcPr>
          <w:p w14:paraId="7FFD2F90" w14:textId="449B3756" w:rsidR="00961EAB" w:rsidRPr="0046108E" w:rsidRDefault="00961EA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961EAB" w:rsidRPr="0046108E" w14:paraId="076C2398" w14:textId="77777777" w:rsidTr="00CF4132">
        <w:trPr>
          <w:trHeight w:val="20"/>
        </w:trPr>
        <w:tc>
          <w:tcPr>
            <w:tcW w:w="3397" w:type="dxa"/>
            <w:vMerge/>
            <w:shd w:val="clear" w:color="auto" w:fill="auto"/>
            <w:vAlign w:val="center"/>
          </w:tcPr>
          <w:p w14:paraId="2F4FE2C5"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6BB70DE" w14:textId="561FEC71"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60.</w:t>
            </w:r>
          </w:p>
        </w:tc>
        <w:tc>
          <w:tcPr>
            <w:tcW w:w="6804" w:type="dxa"/>
            <w:shd w:val="clear" w:color="auto" w:fill="auto"/>
            <w:vAlign w:val="center"/>
          </w:tcPr>
          <w:p w14:paraId="7FE5AB31" w14:textId="2F831F6C"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Ținând cont de cele expuse anterior în raportul de expertiză juridică, la pct. 2, care transpune pct. 2 din Anexa la Regulamentul de punere în aplicare (UE) 2023/1310, se va revizui reglementarea „notificate IPPC”, or, la pct. 2 din Anexa la Regulamentul de punere în aplicare (UE) 2023/1310, este utilizată sintagma „notificate Comisiei”.</w:t>
            </w:r>
          </w:p>
        </w:tc>
        <w:tc>
          <w:tcPr>
            <w:tcW w:w="3123" w:type="dxa"/>
            <w:shd w:val="clear" w:color="auto" w:fill="auto"/>
          </w:tcPr>
          <w:p w14:paraId="28E57FFF" w14:textId="5B17A374" w:rsidR="00961EAB" w:rsidRPr="0046108E" w:rsidRDefault="006E2853"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r w:rsidR="002C3406" w:rsidRPr="0046108E">
              <w:rPr>
                <w:rFonts w:ascii="Times New Roman" w:hAnsi="Times New Roman"/>
                <w:b/>
                <w:sz w:val="24"/>
                <w:szCs w:val="24"/>
                <w:lang w:val="ro-MD"/>
              </w:rPr>
              <w:t>.</w:t>
            </w:r>
          </w:p>
        </w:tc>
      </w:tr>
      <w:tr w:rsidR="00845051" w:rsidRPr="00753414" w14:paraId="5CDD69D4" w14:textId="77777777" w:rsidTr="00CF4132">
        <w:trPr>
          <w:trHeight w:val="20"/>
        </w:trPr>
        <w:tc>
          <w:tcPr>
            <w:tcW w:w="3397" w:type="dxa"/>
            <w:vMerge/>
            <w:shd w:val="clear" w:color="auto" w:fill="auto"/>
            <w:vAlign w:val="center"/>
          </w:tcPr>
          <w:p w14:paraId="3491CCDC"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86CEE49" w14:textId="21BE8AF6" w:rsidR="00961EAB" w:rsidRPr="0046108E" w:rsidRDefault="0031429F" w:rsidP="00845051">
            <w:pPr>
              <w:pStyle w:val="NormalWeb"/>
              <w:tabs>
                <w:tab w:val="left" w:pos="426"/>
              </w:tabs>
              <w:ind w:right="110" w:firstLine="142"/>
              <w:contextualSpacing/>
              <w:jc w:val="left"/>
              <w:rPr>
                <w:bCs/>
                <w:iCs/>
                <w:lang w:val="ro-MD" w:eastAsia="en-US"/>
              </w:rPr>
            </w:pPr>
            <w:r w:rsidRPr="0046108E">
              <w:rPr>
                <w:bCs/>
                <w:iCs/>
                <w:lang w:val="ro-MD" w:eastAsia="en-US"/>
              </w:rPr>
              <w:t>61.</w:t>
            </w:r>
          </w:p>
        </w:tc>
        <w:tc>
          <w:tcPr>
            <w:tcW w:w="6804" w:type="dxa"/>
            <w:shd w:val="clear" w:color="auto" w:fill="auto"/>
            <w:vAlign w:val="center"/>
          </w:tcPr>
          <w:p w14:paraId="65FE429B" w14:textId="7C45945C"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aceeași ordine de idei, enunțul al doilea de la pct. 3 care transpune pct. 3 din Anexa la Regulamentul de punere în aplicare (UE) 2023/1310, textul „la cerere, sunt solicitate de către autoritatea competentă” se va revizui, or, potrivit pct. 3 din Anexa la Regulamentul de punere în aplicare (UE) 2023/1310, „Listele anuale ale pepinierelor autorizate oficial sunt puse la dispoziția Comisiei”.</w:t>
            </w:r>
          </w:p>
        </w:tc>
        <w:tc>
          <w:tcPr>
            <w:tcW w:w="3123" w:type="dxa"/>
            <w:shd w:val="clear" w:color="auto" w:fill="auto"/>
          </w:tcPr>
          <w:p w14:paraId="201F19FD" w14:textId="77777777" w:rsidR="00B35422"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6434CFE8" w14:textId="77777777" w:rsidR="00B35422" w:rsidRPr="0046108E" w:rsidRDefault="00B35422"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664E1736" w14:textId="5918DEAE" w:rsidR="00961EAB"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lastRenderedPageBreak/>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845051" w:rsidRPr="00753414" w14:paraId="01EA3C2B" w14:textId="77777777" w:rsidTr="00EA1A12">
        <w:trPr>
          <w:trHeight w:val="3588"/>
        </w:trPr>
        <w:tc>
          <w:tcPr>
            <w:tcW w:w="3397" w:type="dxa"/>
            <w:vMerge/>
            <w:shd w:val="clear" w:color="auto" w:fill="auto"/>
            <w:vAlign w:val="center"/>
          </w:tcPr>
          <w:p w14:paraId="637E1CA5"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781DCC37" w14:textId="549D9883"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62.</w:t>
            </w:r>
          </w:p>
        </w:tc>
        <w:tc>
          <w:tcPr>
            <w:tcW w:w="6804" w:type="dxa"/>
            <w:shd w:val="clear" w:color="auto" w:fill="auto"/>
            <w:vAlign w:val="center"/>
          </w:tcPr>
          <w:p w14:paraId="3E926EDE" w14:textId="77777777"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7, care transpune pct. 5 alineatul al treilea din Anexa la Regulamentul de punere în aplicare (UE) 2023/1310, și la pct. 8, care transpune pct. 5 alineatul al patrulea din Anexa la Regulamentul de punere în aplicare (UE) 2023/1310, se face referință la autoritatea competentă ce substituie Comisia, la care se face referință în Anexa la Regulamentul de punere în aplicare (UE) 2023/1310.</w:t>
            </w:r>
          </w:p>
          <w:p w14:paraId="2A3057DD" w14:textId="12B415B0"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 xml:space="preserve">Adițional, menționăm că la pct. 5 din Cerințe și la pct. 2 din anexa la Cerințe se face referință la IPPC, iar la pct. 3 și 7, se face referință la autoritatea competentă, deși în Anexa la Regulamentul de punere în aplicare (UE) 2023/1310, în ambele cazuri se face referință la Comisie. </w:t>
            </w:r>
            <w:r w:rsidRPr="0046108E">
              <w:rPr>
                <w:sz w:val="24"/>
                <w:szCs w:val="24"/>
                <w:lang w:val="en-US"/>
              </w:rPr>
              <w:t>În acest sens, menționăm că este discutabil, ca aceeași Comisie să fie transpusă prin două entități distincte.</w:t>
            </w:r>
          </w:p>
        </w:tc>
        <w:tc>
          <w:tcPr>
            <w:tcW w:w="3123" w:type="dxa"/>
            <w:shd w:val="clear" w:color="auto" w:fill="auto"/>
          </w:tcPr>
          <w:p w14:paraId="359E7F6D" w14:textId="77777777" w:rsidR="00B35422"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1C8B3DE9" w14:textId="77777777" w:rsidR="00B35422" w:rsidRPr="0046108E" w:rsidRDefault="00B35422"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1BA772C2" w14:textId="24D2C7CC" w:rsidR="00A9699B"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845051" w:rsidRPr="00753414" w14:paraId="069D636F" w14:textId="77777777" w:rsidTr="00CF4132">
        <w:trPr>
          <w:trHeight w:val="20"/>
        </w:trPr>
        <w:tc>
          <w:tcPr>
            <w:tcW w:w="3397" w:type="dxa"/>
            <w:vMerge/>
            <w:shd w:val="clear" w:color="auto" w:fill="auto"/>
            <w:vAlign w:val="center"/>
          </w:tcPr>
          <w:p w14:paraId="5A002158" w14:textId="77777777" w:rsidR="00961EAB" w:rsidRPr="0046108E" w:rsidRDefault="00961EA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20C0BE7" w14:textId="0F83F6BE" w:rsidR="00961EA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63.</w:t>
            </w:r>
          </w:p>
        </w:tc>
        <w:tc>
          <w:tcPr>
            <w:tcW w:w="6804" w:type="dxa"/>
            <w:shd w:val="clear" w:color="auto" w:fill="auto"/>
            <w:vAlign w:val="center"/>
          </w:tcPr>
          <w:p w14:paraId="33317C14" w14:textId="0D171BF3" w:rsidR="00961EAB" w:rsidRPr="0046108E" w:rsidRDefault="00961EA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Pct. 9 alineatul al treilea și pct. 10 din Anexa la Regulamentul de punere în aplicare (UE) 2023/1310, transpuse prin pct. 15 și 16, conțin mențiuni cu privire la autoritatea competentă, ca și în actul național, astfel, prin acordarea, conform actului național, a atribuțiilor care revin atât Comisiei cât și autorității competente, </w:t>
            </w:r>
            <w:r w:rsidRPr="0046108E">
              <w:rPr>
                <w:sz w:val="24"/>
                <w:szCs w:val="24"/>
                <w:lang w:val="en-US"/>
              </w:rPr>
              <w:lastRenderedPageBreak/>
              <w:t>unei singure autorități, se depășeșc limitele prevăzute de actul Uniunii Europene, motiv pentru care proiectul urmează a fi ajustat.</w:t>
            </w:r>
          </w:p>
        </w:tc>
        <w:tc>
          <w:tcPr>
            <w:tcW w:w="3123" w:type="dxa"/>
            <w:shd w:val="clear" w:color="auto" w:fill="auto"/>
          </w:tcPr>
          <w:p w14:paraId="67EF803A" w14:textId="77777777" w:rsidR="00B35422"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 parțial.</w:t>
            </w:r>
          </w:p>
          <w:p w14:paraId="6A172907" w14:textId="77777777" w:rsidR="00B35422" w:rsidRPr="0046108E" w:rsidRDefault="00B35422"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w:t>
            </w:r>
            <w:r w:rsidRPr="0046108E">
              <w:rPr>
                <w:rFonts w:ascii="Times New Roman" w:hAnsi="Times New Roman"/>
                <w:sz w:val="24"/>
                <w:szCs w:val="24"/>
                <w:lang w:val="en-US"/>
              </w:rPr>
              <w:lastRenderedPageBreak/>
              <w:t xml:space="preserve">semnificația și scopul prevederilor UE. </w:t>
            </w:r>
          </w:p>
          <w:p w14:paraId="0C71D8F8" w14:textId="158DEA55" w:rsidR="00961EAB" w:rsidRPr="0046108E" w:rsidRDefault="00B35422"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A9699B" w:rsidRPr="0046108E" w14:paraId="1A5C90EB" w14:textId="77777777" w:rsidTr="00CF4132">
        <w:trPr>
          <w:trHeight w:val="20"/>
        </w:trPr>
        <w:tc>
          <w:tcPr>
            <w:tcW w:w="3397" w:type="dxa"/>
            <w:vMerge/>
            <w:shd w:val="clear" w:color="auto" w:fill="auto"/>
            <w:vAlign w:val="center"/>
          </w:tcPr>
          <w:p w14:paraId="14FDBEDD"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58FE013" w14:textId="5C36BC01"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64.</w:t>
            </w:r>
          </w:p>
        </w:tc>
        <w:tc>
          <w:tcPr>
            <w:tcW w:w="6804" w:type="dxa"/>
            <w:shd w:val="clear" w:color="auto" w:fill="auto"/>
            <w:vAlign w:val="center"/>
          </w:tcPr>
          <w:p w14:paraId="5B943728" w14:textId="105F46F4"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Ținând cont de prevederile art. 55 alin. (4) din Legea nr. 10/2017, la pct. 11, cuvintele „din prezenta anexă” se vor exclude ca fiind excedente.</w:t>
            </w:r>
          </w:p>
        </w:tc>
        <w:tc>
          <w:tcPr>
            <w:tcW w:w="3123" w:type="dxa"/>
            <w:shd w:val="clear" w:color="auto" w:fill="auto"/>
          </w:tcPr>
          <w:p w14:paraId="6014D5D7" w14:textId="6D144EF1"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A9699B" w:rsidRPr="00753414" w14:paraId="79B508ED" w14:textId="77777777" w:rsidTr="00CF4132">
        <w:trPr>
          <w:trHeight w:val="20"/>
        </w:trPr>
        <w:tc>
          <w:tcPr>
            <w:tcW w:w="3397" w:type="dxa"/>
            <w:vMerge/>
            <w:shd w:val="clear" w:color="auto" w:fill="auto"/>
            <w:vAlign w:val="center"/>
          </w:tcPr>
          <w:p w14:paraId="614AD84B"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F58A771" w14:textId="3AD74D1A"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65.</w:t>
            </w:r>
          </w:p>
        </w:tc>
        <w:tc>
          <w:tcPr>
            <w:tcW w:w="6804" w:type="dxa"/>
            <w:shd w:val="clear" w:color="auto" w:fill="auto"/>
            <w:vAlign w:val="center"/>
          </w:tcPr>
          <w:p w14:paraId="571C46A2" w14:textId="17AE6930"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12.4, textul „anexei nr. 18 la Regulamentul privind aplicarea măsurilor de protecție împotriva organismelor dăunătoare plantelor, aprobat prin Hotărârea Guvernului nr. 679/2024 pentru aprobarea Regulamentului privind aplicarea măsurilor de protecție împotriva organismelor dăunătoare plantelor” se va substitui cu cuvintele „prezentei anexe”.</w:t>
            </w:r>
          </w:p>
        </w:tc>
        <w:tc>
          <w:tcPr>
            <w:tcW w:w="3123" w:type="dxa"/>
            <w:shd w:val="clear" w:color="auto" w:fill="auto"/>
          </w:tcPr>
          <w:p w14:paraId="57B131AD"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72CE919C" w14:textId="5690102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Această mențiune trebuie să fie specificată la rubrica „Declarație suplimentară” din fiecare certificat fitosanitar care însoțește mărfurile prevăzute în anexa nr. 18, astfel formularea „prezentei anexe” nu poate fi utilizată.</w:t>
            </w:r>
          </w:p>
        </w:tc>
      </w:tr>
      <w:tr w:rsidR="00A9699B" w:rsidRPr="00753414" w14:paraId="68EFAB19" w14:textId="77777777" w:rsidTr="00CF4132">
        <w:trPr>
          <w:trHeight w:val="20"/>
        </w:trPr>
        <w:tc>
          <w:tcPr>
            <w:tcW w:w="3397" w:type="dxa"/>
            <w:vMerge/>
            <w:shd w:val="clear" w:color="auto" w:fill="auto"/>
            <w:vAlign w:val="center"/>
          </w:tcPr>
          <w:p w14:paraId="552401EC"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16A9AB7" w14:textId="70B5B702"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66.</w:t>
            </w:r>
          </w:p>
        </w:tc>
        <w:tc>
          <w:tcPr>
            <w:tcW w:w="6804" w:type="dxa"/>
            <w:shd w:val="clear" w:color="auto" w:fill="auto"/>
            <w:vAlign w:val="center"/>
          </w:tcPr>
          <w:p w14:paraId="0655F6A1" w14:textId="77777777" w:rsidR="00A9699B" w:rsidRPr="0046108E" w:rsidRDefault="00A9699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1.2.3.22 – modificarea anexei nr. 19 la Regulamentul privind aplicarea măsurilor de protecție împotriva organismelor dăunătoare plantelor: </w:t>
            </w:r>
          </w:p>
          <w:p w14:paraId="51BE5278" w14:textId="2AE33018"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La pct. 3, ce transpune art. 1 pct. 3 din Regulamentul de punere în aplicare (UE) 2023/1572, în referința la autoritatea competentă, reiterăm că în Regulamentul de punere în aplicare (UE) 2023/1572 se face referință la Comisie, prin urmare norma nu poate fi </w:t>
            </w:r>
            <w:r w:rsidRPr="0046108E">
              <w:rPr>
                <w:sz w:val="24"/>
                <w:szCs w:val="24"/>
                <w:lang w:val="en-US"/>
              </w:rPr>
              <w:lastRenderedPageBreak/>
              <w:t>transpusă în partea enunțată (obiecție valabilă și la subpct. 2.5 din anexa la Cerințe).</w:t>
            </w:r>
          </w:p>
        </w:tc>
        <w:tc>
          <w:tcPr>
            <w:tcW w:w="3123" w:type="dxa"/>
            <w:shd w:val="clear" w:color="auto" w:fill="auto"/>
          </w:tcPr>
          <w:p w14:paraId="5A2D6D24" w14:textId="10610D92" w:rsidR="00A9699B" w:rsidRPr="0046108E" w:rsidRDefault="00A46BA3"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w:t>
            </w:r>
            <w:r w:rsidR="00A9699B" w:rsidRPr="0046108E">
              <w:rPr>
                <w:rFonts w:ascii="Times New Roman" w:hAnsi="Times New Roman"/>
                <w:b/>
                <w:sz w:val="24"/>
                <w:szCs w:val="24"/>
                <w:lang w:val="ro-MD"/>
              </w:rPr>
              <w:t>e acceptă</w:t>
            </w:r>
            <w:r w:rsidRPr="0046108E">
              <w:rPr>
                <w:rFonts w:ascii="Times New Roman" w:hAnsi="Times New Roman"/>
                <w:b/>
                <w:sz w:val="24"/>
                <w:szCs w:val="24"/>
                <w:lang w:val="ro-MD"/>
              </w:rPr>
              <w:t xml:space="preserve"> parțial</w:t>
            </w:r>
            <w:r w:rsidR="00A9699B" w:rsidRPr="0046108E">
              <w:rPr>
                <w:rFonts w:ascii="Times New Roman" w:hAnsi="Times New Roman"/>
                <w:b/>
                <w:sz w:val="24"/>
                <w:szCs w:val="24"/>
                <w:lang w:val="ro-MD"/>
              </w:rPr>
              <w:t>.</w:t>
            </w:r>
          </w:p>
          <w:p w14:paraId="0F1888A1" w14:textId="77777777" w:rsidR="00A46BA3" w:rsidRPr="0046108E" w:rsidRDefault="00A46BA3"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Reformularea efectuată</w:t>
            </w:r>
            <w:r w:rsidR="00B94723" w:rsidRPr="0046108E">
              <w:rPr>
                <w:rFonts w:ascii="Times New Roman" w:hAnsi="Times New Roman"/>
                <w:sz w:val="24"/>
                <w:szCs w:val="24"/>
                <w:lang w:val="en-US"/>
              </w:rPr>
              <w:t xml:space="preserve"> </w:t>
            </w:r>
            <w:r w:rsidRPr="0046108E">
              <w:rPr>
                <w:rFonts w:ascii="Times New Roman" w:hAnsi="Times New Roman"/>
                <w:sz w:val="24"/>
                <w:szCs w:val="24"/>
                <w:lang w:val="en-US"/>
              </w:rPr>
              <w:t>corespunde sistemului juridic național,</w:t>
            </w:r>
            <w:r w:rsidR="00B94723" w:rsidRPr="0046108E">
              <w:rPr>
                <w:rFonts w:ascii="Times New Roman" w:hAnsi="Times New Roman"/>
                <w:sz w:val="24"/>
                <w:szCs w:val="24"/>
                <w:lang w:val="en-US"/>
              </w:rPr>
              <w:t xml:space="preserve"> dar, totodată, păstrează</w:t>
            </w:r>
            <w:r w:rsidRPr="0046108E">
              <w:rPr>
                <w:rFonts w:ascii="Times New Roman" w:hAnsi="Times New Roman"/>
                <w:sz w:val="24"/>
                <w:szCs w:val="24"/>
                <w:lang w:val="en-US"/>
              </w:rPr>
              <w:t xml:space="preserve"> esența, semnificația și scopul prevederilor UE. </w:t>
            </w:r>
          </w:p>
          <w:p w14:paraId="0D6EA654" w14:textId="610B55D1" w:rsidR="00B94723" w:rsidRPr="0046108E" w:rsidRDefault="00B94723" w:rsidP="00845051">
            <w:pPr>
              <w:tabs>
                <w:tab w:val="left" w:pos="426"/>
                <w:tab w:val="left" w:pos="1196"/>
              </w:tabs>
              <w:spacing w:after="0" w:line="240" w:lineRule="auto"/>
              <w:ind w:right="110" w:firstLine="142"/>
              <w:contextualSpacing/>
              <w:rPr>
                <w:rFonts w:ascii="Times New Roman" w:hAnsi="Times New Roman"/>
                <w:b/>
                <w:sz w:val="24"/>
                <w:szCs w:val="24"/>
                <w:lang w:val="en-US"/>
              </w:rPr>
            </w:pPr>
            <w:r w:rsidRPr="0046108E">
              <w:rPr>
                <w:rFonts w:ascii="Times New Roman" w:hAnsi="Times New Roman"/>
                <w:sz w:val="24"/>
                <w:szCs w:val="24"/>
                <w:lang w:val="en-US"/>
              </w:rPr>
              <w:lastRenderedPageBreak/>
              <w:t>Astfel, prevedereile stabilite se păstrează, or autoritatea competentă este responsabilă de implementarea politicilor în domeniul protecției plantelor și carantinei fitosanitare, de organizarea controalelor și a altor activități oficiale</w:t>
            </w:r>
            <w:r w:rsidR="002C7DEB" w:rsidRPr="0046108E">
              <w:rPr>
                <w:rFonts w:ascii="Times New Roman" w:hAnsi="Times New Roman"/>
                <w:sz w:val="24"/>
                <w:szCs w:val="24"/>
                <w:lang w:val="en-US"/>
              </w:rPr>
              <w:t xml:space="preserve"> din acest domeniu.</w:t>
            </w:r>
          </w:p>
        </w:tc>
      </w:tr>
      <w:tr w:rsidR="00A9699B" w:rsidRPr="00753414" w14:paraId="25809032" w14:textId="77777777" w:rsidTr="00CF4132">
        <w:trPr>
          <w:trHeight w:val="20"/>
        </w:trPr>
        <w:tc>
          <w:tcPr>
            <w:tcW w:w="3397" w:type="dxa"/>
            <w:vMerge/>
            <w:shd w:val="clear" w:color="auto" w:fill="auto"/>
            <w:vAlign w:val="center"/>
          </w:tcPr>
          <w:p w14:paraId="4975FE8C"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EB31D52" w14:textId="063ABC65"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67.</w:t>
            </w:r>
          </w:p>
        </w:tc>
        <w:tc>
          <w:tcPr>
            <w:tcW w:w="6804" w:type="dxa"/>
            <w:shd w:val="clear" w:color="auto" w:fill="auto"/>
            <w:vAlign w:val="center"/>
          </w:tcPr>
          <w:p w14:paraId="4878B22C" w14:textId="38AA3AF0"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4, ce transpune art. 2 din Regulamentul de punere în aplicare (UE) 2023/1572, menționăm că poziția 17 lit. a) și b) nu transpune poziția 17 lit. (a) și (b) din anexa IV la Regulamentul de punere în aplicare (UE) 2019/2072, la care se face referință în art. 2. Prin urmare, întru asigurarea unei transpuneri corecte, textul „poziției 17 subpct. a) și b) din anexa nr. 4” se va substitui cu textul „poziției 17 lit. b) și c) din anexa nr. 4”. Totodată, menționăm că în cazul referinței la litere se utilizează abrevierea „lit.”.</w:t>
            </w:r>
          </w:p>
        </w:tc>
        <w:tc>
          <w:tcPr>
            <w:tcW w:w="3123" w:type="dxa"/>
            <w:shd w:val="clear" w:color="auto" w:fill="auto"/>
          </w:tcPr>
          <w:p w14:paraId="2C62298E"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p w14:paraId="59582497" w14:textId="5AD5F2A9"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 xml:space="preserve">Urmare a ultimelor modificări operate la anexa nr. 4, </w:t>
            </w:r>
            <w:r w:rsidRPr="0046108E">
              <w:rPr>
                <w:rFonts w:ascii="Times New Roman" w:hAnsi="Times New Roman"/>
                <w:sz w:val="24"/>
                <w:szCs w:val="24"/>
                <w:lang w:val="en-US"/>
              </w:rPr>
              <w:t>poziția 17 lit. (a) și (b) din anexa VI la Regulamentul de punere în aplicare (UE) 2019/2072</w:t>
            </w:r>
            <w:r w:rsidRPr="0046108E">
              <w:rPr>
                <w:rFonts w:ascii="Times New Roman" w:hAnsi="Times New Roman"/>
                <w:sz w:val="24"/>
                <w:szCs w:val="24"/>
                <w:lang w:val="ro-MD"/>
              </w:rPr>
              <w:t xml:space="preserve"> este transpusă prin poziția 18 pct. 2 și 3.</w:t>
            </w:r>
          </w:p>
        </w:tc>
      </w:tr>
      <w:tr w:rsidR="00A9699B" w:rsidRPr="0046108E" w14:paraId="1299BDBD" w14:textId="77777777" w:rsidTr="00CF4132">
        <w:trPr>
          <w:trHeight w:val="20"/>
        </w:trPr>
        <w:tc>
          <w:tcPr>
            <w:tcW w:w="3397" w:type="dxa"/>
            <w:vMerge/>
            <w:shd w:val="clear" w:color="auto" w:fill="auto"/>
            <w:vAlign w:val="center"/>
          </w:tcPr>
          <w:p w14:paraId="204B9D41"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FDC7705" w14:textId="165A1B20"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68.</w:t>
            </w:r>
          </w:p>
        </w:tc>
        <w:tc>
          <w:tcPr>
            <w:tcW w:w="6804" w:type="dxa"/>
            <w:shd w:val="clear" w:color="auto" w:fill="auto"/>
            <w:vAlign w:val="center"/>
          </w:tcPr>
          <w:p w14:paraId="17CEBB55" w14:textId="496AE82C"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Având în vedere prevederile art. 55 alin. (4) din Legea nr. 100/2017, la pct. 4, se vor exclude cuvintele „din prezentele cerințe”.</w:t>
            </w:r>
          </w:p>
        </w:tc>
        <w:tc>
          <w:tcPr>
            <w:tcW w:w="3123" w:type="dxa"/>
            <w:shd w:val="clear" w:color="auto" w:fill="auto"/>
          </w:tcPr>
          <w:p w14:paraId="70F56E6A" w14:textId="258E7C9F"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A9699B" w:rsidRPr="0046108E" w14:paraId="3870169F" w14:textId="77777777" w:rsidTr="00CF4132">
        <w:trPr>
          <w:trHeight w:val="20"/>
        </w:trPr>
        <w:tc>
          <w:tcPr>
            <w:tcW w:w="3397" w:type="dxa"/>
            <w:vMerge/>
            <w:shd w:val="clear" w:color="auto" w:fill="auto"/>
            <w:vAlign w:val="center"/>
          </w:tcPr>
          <w:p w14:paraId="6299A77B"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BBB0EA6" w14:textId="19CF6974"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69.</w:t>
            </w:r>
          </w:p>
        </w:tc>
        <w:tc>
          <w:tcPr>
            <w:tcW w:w="6804" w:type="dxa"/>
            <w:shd w:val="clear" w:color="auto" w:fill="auto"/>
            <w:vAlign w:val="center"/>
          </w:tcPr>
          <w:p w14:paraId="122DBE8A" w14:textId="5552375A"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Dispoziția privind plantele specificate se va indica la un punct distinct, se va numerota cu pct. 5 și se va indica din alineat.</w:t>
            </w:r>
          </w:p>
        </w:tc>
        <w:tc>
          <w:tcPr>
            <w:tcW w:w="3123" w:type="dxa"/>
            <w:shd w:val="clear" w:color="auto" w:fill="auto"/>
          </w:tcPr>
          <w:p w14:paraId="7FF36B80" w14:textId="664F9E7A"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A9699B" w:rsidRPr="00753414" w14:paraId="12CCFB1A" w14:textId="77777777" w:rsidTr="00CF4132">
        <w:trPr>
          <w:trHeight w:val="20"/>
        </w:trPr>
        <w:tc>
          <w:tcPr>
            <w:tcW w:w="3397" w:type="dxa"/>
            <w:vMerge/>
            <w:shd w:val="clear" w:color="auto" w:fill="auto"/>
            <w:vAlign w:val="center"/>
          </w:tcPr>
          <w:p w14:paraId="411E37EC"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F5437D2" w14:textId="450D3DEA"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70.</w:t>
            </w:r>
          </w:p>
        </w:tc>
        <w:tc>
          <w:tcPr>
            <w:tcW w:w="6804" w:type="dxa"/>
            <w:shd w:val="clear" w:color="auto" w:fill="auto"/>
            <w:vAlign w:val="center"/>
          </w:tcPr>
          <w:p w14:paraId="1CEE5107" w14:textId="72D33EE9"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Totodată, menționăm că la art. 3 lit. (a) din Regulamentul de punere în aplicare (UE) 2023/1572, transpus prin pct. 5, se face referință la Regulamentul de punere în aplicare (UE) 2023/1572 al Comisiei care este transpus prin anexa nr. 19 și nu prin anexa nr. 18. Prin urmare, textul „În conformitate cu cerințele anexei nr. 18 la Regulamentul privind aplicarea măsurilor de protecție împotriva organismelor dăunătoare plantelor, aprobat prin Hotărârea Guvernului nr. 679/2024 pentru aprobarea Regulamentului privind aplicarea măsurilor de protecție împotriva organismelor dăunătoare </w:t>
            </w:r>
            <w:r w:rsidRPr="0046108E">
              <w:rPr>
                <w:sz w:val="24"/>
                <w:szCs w:val="24"/>
                <w:lang w:val="en-US"/>
              </w:rPr>
              <w:lastRenderedPageBreak/>
              <w:t>plantelor” se va substitui cu textul „În conformitate cu prezentele cerințe”.</w:t>
            </w:r>
          </w:p>
        </w:tc>
        <w:tc>
          <w:tcPr>
            <w:tcW w:w="3123" w:type="dxa"/>
            <w:shd w:val="clear" w:color="auto" w:fill="auto"/>
          </w:tcPr>
          <w:p w14:paraId="42583308"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 parțial.</w:t>
            </w:r>
          </w:p>
          <w:p w14:paraId="7DA735EF" w14:textId="3F153154"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 xml:space="preserve">Această mențiune trebuie să fie specificată la rubrica „Declarație suplimentară” din fiecare certificat fitosanitar care însoțește mărfurile prevăzute în anexa nr. 19, astfel formularea „În </w:t>
            </w:r>
            <w:r w:rsidRPr="0046108E">
              <w:rPr>
                <w:rFonts w:ascii="Times New Roman" w:hAnsi="Times New Roman"/>
                <w:sz w:val="24"/>
                <w:szCs w:val="24"/>
                <w:lang w:val="ro-MD"/>
              </w:rPr>
              <w:lastRenderedPageBreak/>
              <w:t>conformitate cu prezentele cerințe” nu poate fi utilizată.</w:t>
            </w:r>
          </w:p>
        </w:tc>
      </w:tr>
      <w:tr w:rsidR="00A9699B" w:rsidRPr="0046108E" w14:paraId="3FF1A22E" w14:textId="77777777" w:rsidTr="00CF4132">
        <w:trPr>
          <w:trHeight w:val="20"/>
        </w:trPr>
        <w:tc>
          <w:tcPr>
            <w:tcW w:w="3397" w:type="dxa"/>
            <w:vMerge/>
            <w:shd w:val="clear" w:color="auto" w:fill="auto"/>
            <w:vAlign w:val="center"/>
          </w:tcPr>
          <w:p w14:paraId="0E29ABB5"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FACED95" w14:textId="280D0B62"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71.</w:t>
            </w:r>
          </w:p>
        </w:tc>
        <w:tc>
          <w:tcPr>
            <w:tcW w:w="6804" w:type="dxa"/>
            <w:shd w:val="clear" w:color="auto" w:fill="auto"/>
            <w:vAlign w:val="center"/>
          </w:tcPr>
          <w:p w14:paraId="58235B1F" w14:textId="1520C6CB"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7, ce transpune art. 5 alin. (1) din Regulamentul de punere în aplicare (UE) 2023/1572, textul „pct. 9-12” se va substitui cu textul „pct. 8-12”, care transpun alin. (2)-(4), la care se face referință la art. 5 alin. (1).</w:t>
            </w:r>
          </w:p>
        </w:tc>
        <w:tc>
          <w:tcPr>
            <w:tcW w:w="3123" w:type="dxa"/>
            <w:shd w:val="clear" w:color="auto" w:fill="auto"/>
          </w:tcPr>
          <w:p w14:paraId="5F6BA6FA" w14:textId="12C83C5F"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A9699B" w:rsidRPr="00753414" w14:paraId="7DFBBA41" w14:textId="77777777" w:rsidTr="00CF4132">
        <w:trPr>
          <w:trHeight w:val="20"/>
        </w:trPr>
        <w:tc>
          <w:tcPr>
            <w:tcW w:w="3397" w:type="dxa"/>
            <w:vMerge/>
            <w:shd w:val="clear" w:color="auto" w:fill="auto"/>
            <w:vAlign w:val="center"/>
          </w:tcPr>
          <w:p w14:paraId="23DA4BEC"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89F5B27" w14:textId="177A6C1F"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72.</w:t>
            </w:r>
          </w:p>
        </w:tc>
        <w:tc>
          <w:tcPr>
            <w:tcW w:w="6804" w:type="dxa"/>
            <w:shd w:val="clear" w:color="auto" w:fill="auto"/>
            <w:vAlign w:val="center"/>
          </w:tcPr>
          <w:p w14:paraId="6478A668" w14:textId="67EDEF0D"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8, ce transpune art. 5 alin. (2) din Regulamentul de punere în aplicare (UE) 2023/1572, se va indica actul normativ care transpune Anexa I la Regulamentul de punere în aplicare (UE) 2022/1194, la care se face referință în art. 5 alin. (2) (obiecție similară și la pct. 12).</w:t>
            </w:r>
          </w:p>
        </w:tc>
        <w:tc>
          <w:tcPr>
            <w:tcW w:w="3123" w:type="dxa"/>
            <w:shd w:val="clear" w:color="auto" w:fill="auto"/>
          </w:tcPr>
          <w:p w14:paraId="7FCBA81E"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r w:rsidR="00EF0BCC" w:rsidRPr="0046108E">
              <w:rPr>
                <w:rFonts w:ascii="Times New Roman" w:hAnsi="Times New Roman"/>
                <w:b/>
                <w:sz w:val="24"/>
                <w:szCs w:val="24"/>
                <w:lang w:val="ro-MD"/>
              </w:rPr>
              <w:t xml:space="preserve"> parțial</w:t>
            </w:r>
            <w:r w:rsidRPr="0046108E">
              <w:rPr>
                <w:rFonts w:ascii="Times New Roman" w:hAnsi="Times New Roman"/>
                <w:b/>
                <w:sz w:val="24"/>
                <w:szCs w:val="24"/>
                <w:lang w:val="ro-MD"/>
              </w:rPr>
              <w:t>.</w:t>
            </w:r>
          </w:p>
          <w:p w14:paraId="0394C950" w14:textId="0122E258"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en-US"/>
              </w:rPr>
            </w:pPr>
            <w:r w:rsidRPr="0046108E">
              <w:rPr>
                <w:rFonts w:ascii="Times New Roman" w:hAnsi="Times New Roman"/>
                <w:sz w:val="24"/>
                <w:szCs w:val="24"/>
                <w:lang w:val="en-US"/>
              </w:rPr>
              <w:t>Regulamentul de punere în aplicare (UE) 2022/1194 este preluat în proiectul de hotărâre de Guvern de stabilire a măsurilor pentru izolarea și eradicarea organismelor dăunătoare, care, la moment, se află la etapa de elaborare. O data cu adoptarea actului normativ respectiv, vor fi operate modificări la prezentul proiect, conform acestei obiecții.</w:t>
            </w:r>
          </w:p>
        </w:tc>
      </w:tr>
      <w:tr w:rsidR="00A9699B" w:rsidRPr="00753414" w14:paraId="6D8731D3" w14:textId="77777777" w:rsidTr="00CF4132">
        <w:trPr>
          <w:trHeight w:val="20"/>
        </w:trPr>
        <w:tc>
          <w:tcPr>
            <w:tcW w:w="3397" w:type="dxa"/>
            <w:vMerge/>
            <w:shd w:val="clear" w:color="auto" w:fill="auto"/>
            <w:vAlign w:val="center"/>
          </w:tcPr>
          <w:p w14:paraId="5BD60C5A"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DA4C4D1" w14:textId="4E92999B"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73.</w:t>
            </w:r>
          </w:p>
        </w:tc>
        <w:tc>
          <w:tcPr>
            <w:tcW w:w="6804" w:type="dxa"/>
            <w:shd w:val="clear" w:color="auto" w:fill="auto"/>
            <w:vAlign w:val="center"/>
          </w:tcPr>
          <w:p w14:paraId="3A1663A0" w14:textId="77777777" w:rsidR="00A9699B" w:rsidRPr="0046108E" w:rsidRDefault="00A9699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1.2.3.24 – modificarea anexei nr. 20 la Regulamentul privind aplicarea măsurilor de protecție împotriva organismelor dăunătoare plantelor: </w:t>
            </w:r>
          </w:p>
          <w:p w14:paraId="751F63E2" w14:textId="5AEBB0B4"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La subpct. 3.2, care transpune art. 3 lit. (b) din Regulamentul de punere în aplicare (UE) 2025/659, reiterăm că art. 3 lit. (b) conține mențiunea privind prezentarea unui raport anual Comisiei privind activitățile desfășurate, care nu este relevantă pentru Republica Moldova. Prin urmare, se va revizui transpunerea normei enunțate. </w:t>
            </w:r>
          </w:p>
        </w:tc>
        <w:tc>
          <w:tcPr>
            <w:tcW w:w="3123" w:type="dxa"/>
            <w:shd w:val="clear" w:color="auto" w:fill="auto"/>
          </w:tcPr>
          <w:p w14:paraId="659E88F9" w14:textId="77777777" w:rsidR="002C7DEB" w:rsidRPr="0046108E" w:rsidRDefault="002C7DE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0DF9B837" w14:textId="77777777" w:rsidR="002C7DEB" w:rsidRPr="0046108E" w:rsidRDefault="002C7DEB"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5047CCC3" w14:textId="401CBDD8" w:rsidR="00A9699B" w:rsidRPr="0046108E" w:rsidRDefault="002C7DE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t xml:space="preserve">Astfel, prevedereile stabilite se păstrează, or autoritatea competentă este responsabilă de implementarea politicilor în domeniul protecției </w:t>
            </w:r>
            <w:r w:rsidRPr="0046108E">
              <w:rPr>
                <w:rFonts w:ascii="Times New Roman" w:hAnsi="Times New Roman"/>
                <w:sz w:val="24"/>
                <w:szCs w:val="24"/>
                <w:lang w:val="en-US"/>
              </w:rPr>
              <w:lastRenderedPageBreak/>
              <w:t>plantelor și carantinei fitosanitare, de organizarea controalelor și a altor activități oficiale din acest domeniu.</w:t>
            </w:r>
          </w:p>
        </w:tc>
      </w:tr>
      <w:tr w:rsidR="00A9699B" w:rsidRPr="00753414" w14:paraId="7264E801" w14:textId="77777777" w:rsidTr="00CF4132">
        <w:trPr>
          <w:trHeight w:val="20"/>
        </w:trPr>
        <w:tc>
          <w:tcPr>
            <w:tcW w:w="3397" w:type="dxa"/>
            <w:vMerge/>
            <w:shd w:val="clear" w:color="auto" w:fill="auto"/>
            <w:vAlign w:val="center"/>
          </w:tcPr>
          <w:p w14:paraId="1AF72513"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65603D3" w14:textId="691BBFEC"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74.</w:t>
            </w:r>
          </w:p>
        </w:tc>
        <w:tc>
          <w:tcPr>
            <w:tcW w:w="6804" w:type="dxa"/>
            <w:shd w:val="clear" w:color="auto" w:fill="auto"/>
            <w:vAlign w:val="center"/>
          </w:tcPr>
          <w:p w14:paraId="7CDD78C9" w14:textId="18EFA1F1"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Având în vedere dispoziția de la art. 55 alin. (4) din Legea nr. 100/2017, la pct. 4, referința la „Anexa nr. 20 la Regulamentul privind aplicarea măsurilor de protecție împotriva organismelor dăunătoare plantelor, aprobat prin Hotărârea Guvernului nr. 679/2024” se va substitui cu referința la „prezentul Regulament” (obiecție similară și la subpct. 1.4.3 din anexa la anexa nr. 21 la Regulament; subpct. 1.4.3 din anexa la anexa nr. 22 la Regulament).</w:t>
            </w:r>
          </w:p>
        </w:tc>
        <w:tc>
          <w:tcPr>
            <w:tcW w:w="3123" w:type="dxa"/>
            <w:shd w:val="clear" w:color="auto" w:fill="auto"/>
          </w:tcPr>
          <w:p w14:paraId="5B190D9B"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Nu se acceptă.</w:t>
            </w:r>
          </w:p>
          <w:p w14:paraId="576FADA1" w14:textId="0114AA2E"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Această mențiune trebuie să fie specificată la rubrica „Declarație suplimentară” din fiecare certificat fitosanitar care însoțește mărfurile prevăzute în anexele nr. 20, 21 și 22.</w:t>
            </w:r>
          </w:p>
        </w:tc>
      </w:tr>
      <w:tr w:rsidR="00A9699B" w:rsidRPr="00753414" w14:paraId="63AD8F69" w14:textId="77777777" w:rsidTr="00CF4132">
        <w:trPr>
          <w:trHeight w:val="20"/>
        </w:trPr>
        <w:tc>
          <w:tcPr>
            <w:tcW w:w="3397" w:type="dxa"/>
            <w:vMerge/>
            <w:shd w:val="clear" w:color="auto" w:fill="auto"/>
            <w:vAlign w:val="center"/>
          </w:tcPr>
          <w:p w14:paraId="0B343C11"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6DF11E02" w14:textId="689EC129" w:rsidR="00A9699B" w:rsidRPr="0046108E" w:rsidRDefault="00A9699B" w:rsidP="00845051">
            <w:pPr>
              <w:pStyle w:val="NormalWeb"/>
              <w:tabs>
                <w:tab w:val="left" w:pos="426"/>
              </w:tabs>
              <w:ind w:right="110" w:firstLine="142"/>
              <w:contextualSpacing/>
              <w:jc w:val="left"/>
              <w:rPr>
                <w:bCs/>
                <w:iCs/>
                <w:lang w:val="ro-MD" w:eastAsia="en-US"/>
              </w:rPr>
            </w:pPr>
            <w:r w:rsidRPr="0046108E">
              <w:rPr>
                <w:bCs/>
                <w:iCs/>
                <w:lang w:val="ro-MD" w:eastAsia="en-US"/>
              </w:rPr>
              <w:t>75.</w:t>
            </w:r>
          </w:p>
        </w:tc>
        <w:tc>
          <w:tcPr>
            <w:tcW w:w="6804" w:type="dxa"/>
            <w:shd w:val="clear" w:color="auto" w:fill="auto"/>
            <w:vAlign w:val="center"/>
          </w:tcPr>
          <w:p w14:paraId="747060BD" w14:textId="77777777" w:rsidR="00A9699B" w:rsidRPr="0046108E" w:rsidRDefault="00A9699B"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1.2.3.26 – modificarea anexei nr. 21 la Regulamentul privind aplicarea măsurilor de protecție împotriva organismelor dăunătoare plantelor: </w:t>
            </w:r>
          </w:p>
          <w:p w14:paraId="561917A7" w14:textId="163C36E9"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3, ce transpune art. 2 din Regulamentul de punere în aplicare (UE) 2025/1078, textul „poziția a 19-a din anexa nr. 4” se va substitui cu poziția 17, care transpune poziția 19, la care se face referință în art. 2 din Regulamentul de punere în aplicare (UE) 2025/1078. Totodată, textul „anexa nr. 4 la” va fi succedat de textul „Regulamentul privind aplicarea măsurilor de protecție împotriva organismelor dăunătoare plantelor, aprobat prin...”.</w:t>
            </w:r>
          </w:p>
        </w:tc>
        <w:tc>
          <w:tcPr>
            <w:tcW w:w="3123" w:type="dxa"/>
            <w:shd w:val="clear" w:color="auto" w:fill="auto"/>
          </w:tcPr>
          <w:p w14:paraId="11ADA1ED" w14:textId="77777777"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1BAD5549" w14:textId="4D29B6F8"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 xml:space="preserve">Se modifică referința la Regulamentul privind aplicarea măsurilor de protecție împotriva organismelor dăunătoare plantelor, aprobat prin Hotărârea Guvernului nr. 679/2024, însă referința la nr. poziției rămâne neschimbat, deoarece, după ultima modificare a anexei nr. 4, pct. 18 din anexa VI la </w:t>
            </w:r>
            <w:r w:rsidRPr="0046108E">
              <w:rPr>
                <w:rFonts w:ascii="Times New Roman" w:hAnsi="Times New Roman"/>
                <w:sz w:val="24"/>
                <w:szCs w:val="24"/>
                <w:lang w:val="en-US"/>
              </w:rPr>
              <w:t>Regulamentul de punere în aplicare (UE) 2019/2072 este transpus prin poziția a 19-a din anexa nr. 4 la Hotărârea Guvernului nr. 679/2024.</w:t>
            </w:r>
          </w:p>
        </w:tc>
      </w:tr>
      <w:tr w:rsidR="00EF0BCC" w:rsidRPr="00753414" w14:paraId="19A9037A" w14:textId="77777777" w:rsidTr="00EA1A12">
        <w:trPr>
          <w:trHeight w:val="4140"/>
        </w:trPr>
        <w:tc>
          <w:tcPr>
            <w:tcW w:w="3397" w:type="dxa"/>
            <w:vMerge/>
            <w:shd w:val="clear" w:color="auto" w:fill="auto"/>
            <w:vAlign w:val="center"/>
          </w:tcPr>
          <w:p w14:paraId="0683AD14"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4938AB2" w14:textId="178C6F7B"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76.</w:t>
            </w:r>
          </w:p>
        </w:tc>
        <w:tc>
          <w:tcPr>
            <w:tcW w:w="6804" w:type="dxa"/>
            <w:shd w:val="clear" w:color="auto" w:fill="auto"/>
            <w:vAlign w:val="center"/>
          </w:tcPr>
          <w:p w14:paraId="7765F178" w14:textId="77777777"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4.1, ce transpune art. 3 alin. (1) lit. (a) din Regulamentul de punere în aplicare (UE) 2025/1078, în referința la „autoritatea competentă”, menționăm că în Regulamentul de punere în aplicare (UE) 2025/1078 se face referință la Comisie (obiecție valabilă și la subpct. 4.2 și 4.3).</w:t>
            </w:r>
          </w:p>
          <w:p w14:paraId="2B3C8B82" w14:textId="1CED7AB6"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 altă ordine de idei, menționăm că la pct. 5, care transpune art. 3 alin. (2) din Regulamentul de punere în aplicare (UE) 2025/1078, se face referință la autoritatea competentă, ca și în Regulamentul de punere în aplicare (UE) 2025/1078. Prin urmare, în actul normativ național nu mai este asigurată delimitarea dintre Comisie și autoritatea competentă, astfel cum este asigurată în actul Uniunii Europene, motiv pentru care prevederile din proiect urmează a fi revizuite, ținând cont și de regula privind prevederile relevante doar pentru statele Uniunii Europene (ex.: obligația de a raporta Comisiei).</w:t>
            </w:r>
          </w:p>
        </w:tc>
        <w:tc>
          <w:tcPr>
            <w:tcW w:w="3123" w:type="dxa"/>
            <w:shd w:val="clear" w:color="auto" w:fill="auto"/>
          </w:tcPr>
          <w:p w14:paraId="349F760D"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6480A0BF"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4CC0C095" w14:textId="64B29D32"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en-US"/>
              </w:rPr>
            </w:pPr>
            <w:r w:rsidRPr="0046108E">
              <w:rPr>
                <w:rFonts w:ascii="Times New Roman" w:hAnsi="Times New Roman"/>
                <w:sz w:val="24"/>
                <w:szCs w:val="24"/>
                <w:lang w:val="en-US"/>
              </w:rPr>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A9699B" w:rsidRPr="0046108E" w14:paraId="629A1183" w14:textId="77777777" w:rsidTr="00CF4132">
        <w:trPr>
          <w:trHeight w:val="20"/>
        </w:trPr>
        <w:tc>
          <w:tcPr>
            <w:tcW w:w="3397" w:type="dxa"/>
            <w:vMerge/>
            <w:shd w:val="clear" w:color="auto" w:fill="auto"/>
            <w:vAlign w:val="center"/>
          </w:tcPr>
          <w:p w14:paraId="53287C2B" w14:textId="715E5C12" w:rsidR="00A9699B" w:rsidRPr="0046108E" w:rsidRDefault="00A9699B"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33057AF" w14:textId="355EF93D" w:rsidR="00A9699B"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77.</w:t>
            </w:r>
          </w:p>
        </w:tc>
        <w:tc>
          <w:tcPr>
            <w:tcW w:w="6804" w:type="dxa"/>
            <w:shd w:val="clear" w:color="auto" w:fill="auto"/>
            <w:vAlign w:val="center"/>
          </w:tcPr>
          <w:p w14:paraId="00A0BB28" w14:textId="594187D9" w:rsidR="00A9699B" w:rsidRPr="0046108E" w:rsidRDefault="00A9699B"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Întru respectarea condiției preciziei, la pct. 7, textul „la subpct. 1.3.3” va fi succedat cu cuvintele „din anexă la Regulament” (obiecție similară și la pct. 7 din anexa nr. 22 la Regulament).</w:t>
            </w:r>
          </w:p>
        </w:tc>
        <w:tc>
          <w:tcPr>
            <w:tcW w:w="3123" w:type="dxa"/>
            <w:shd w:val="clear" w:color="auto" w:fill="auto"/>
          </w:tcPr>
          <w:p w14:paraId="31389432" w14:textId="3D477CEC" w:rsidR="00A9699B" w:rsidRPr="0046108E" w:rsidRDefault="00A9699B"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EF0BCC" w:rsidRPr="00753414" w14:paraId="4FC9CCE9" w14:textId="77777777" w:rsidTr="00CF4132">
        <w:trPr>
          <w:trHeight w:val="20"/>
        </w:trPr>
        <w:tc>
          <w:tcPr>
            <w:tcW w:w="3397" w:type="dxa"/>
            <w:vMerge/>
            <w:shd w:val="clear" w:color="auto" w:fill="auto"/>
            <w:vAlign w:val="center"/>
          </w:tcPr>
          <w:p w14:paraId="1581B87E" w14:textId="5E06AD93"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C8F848E" w14:textId="465A307F"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78.</w:t>
            </w:r>
          </w:p>
        </w:tc>
        <w:tc>
          <w:tcPr>
            <w:tcW w:w="6804" w:type="dxa"/>
            <w:shd w:val="clear" w:color="auto" w:fill="auto"/>
            <w:vAlign w:val="center"/>
          </w:tcPr>
          <w:p w14:paraId="18DCF9B4" w14:textId="4AF1E7E7"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1.2.3.28 – modificarea anexei nr.22 la Regulamentul privind aplicarea măsurilor de protecție împotriva organismelor dăunătoare plantelor: La pct. 3, ce transpune art. 2 din Regulamentul de punere în aplicare (UE) 2025/1082, textul „poziția a 19-a din anexa nr. 4 la Hotărârea Guvernului nr. 679/2024” se va substitui cu textul „poziția a 15-a din anexa nr. 4 la Regulamentul privind aplicarea măsurilor de protecție împotriva organismelor dăunătoare plantelor, aprobat prin Hotărârea Guvernului nr. 679/2024”, care transpune punctul 18 din Anexa VI la Regulamentul de punere în aplicare (UE) 2019/2072, la care se face referință în art. 2.</w:t>
            </w:r>
          </w:p>
        </w:tc>
        <w:tc>
          <w:tcPr>
            <w:tcW w:w="3123" w:type="dxa"/>
            <w:shd w:val="clear" w:color="auto" w:fill="auto"/>
          </w:tcPr>
          <w:p w14:paraId="58F78C20"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7064381E" w14:textId="23B24239"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r w:rsidRPr="0046108E">
              <w:rPr>
                <w:rFonts w:ascii="Times New Roman" w:hAnsi="Times New Roman"/>
                <w:sz w:val="24"/>
                <w:szCs w:val="24"/>
                <w:lang w:val="ro-MD"/>
              </w:rPr>
              <w:t xml:space="preserve">Se modifică referința la Regulamentul privind aplicarea măsurilor de protecție împotriva organismelor dăunătoare plantelor, aprobat prin Hotărârea Guvernului nr. 679/2024, însă referința la nr. poziției rămâne neschimbat, deoarece, după ultima modificare a anexei nr. 4, pct. 18 din anexa VI la </w:t>
            </w:r>
            <w:r w:rsidRPr="0046108E">
              <w:rPr>
                <w:rFonts w:ascii="Times New Roman" w:hAnsi="Times New Roman"/>
                <w:sz w:val="24"/>
                <w:szCs w:val="24"/>
                <w:lang w:val="en-US"/>
              </w:rPr>
              <w:lastRenderedPageBreak/>
              <w:t>Regulamentul de punere în aplicare (UE) 2019/2072 este transpus prin poziția a 19-a din anexa nr. 4 la Hotărârea Guvernului nr. 679/2024.</w:t>
            </w:r>
          </w:p>
        </w:tc>
      </w:tr>
      <w:tr w:rsidR="00EF0BCC" w:rsidRPr="00753414" w14:paraId="1F11E4CD" w14:textId="77777777" w:rsidTr="00CF4132">
        <w:trPr>
          <w:trHeight w:val="20"/>
        </w:trPr>
        <w:tc>
          <w:tcPr>
            <w:tcW w:w="3397" w:type="dxa"/>
            <w:vMerge/>
            <w:shd w:val="clear" w:color="auto" w:fill="auto"/>
            <w:vAlign w:val="center"/>
          </w:tcPr>
          <w:p w14:paraId="2F4AA178" w14:textId="03D5823A"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D214877" w14:textId="0D0350A1"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79.</w:t>
            </w:r>
          </w:p>
        </w:tc>
        <w:tc>
          <w:tcPr>
            <w:tcW w:w="6804" w:type="dxa"/>
            <w:shd w:val="clear" w:color="auto" w:fill="auto"/>
            <w:vAlign w:val="center"/>
          </w:tcPr>
          <w:p w14:paraId="60E5EF32" w14:textId="0DF44279"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Atragem atenția că la art. 3 alin. (2) din Regulamentul de punere în aplicare (UE) 2025/1082, se face referință la autoritatea competentă ca și la pct. 5 din Regulament (anexa nr. 22 la Regulament), doar că în cazul în care în actul Uniunii Europene se face referință la Comisie, în proiect, se face referință la autoritatea competentă (ex: art. 3 alin. (1) lit. (b) din Regulamentul de punere în aplicare (UE) 2025/1082 și subpct. 4.2 din Regulament care îl transpune). Prin urmare, în proiect nu se mai asigură distincția dintre autorități, fapt pentru care prevederile din proiect urmează a fi revizuite (obiecție valabilă și la pct. 7).</w:t>
            </w:r>
          </w:p>
        </w:tc>
        <w:tc>
          <w:tcPr>
            <w:tcW w:w="3123" w:type="dxa"/>
            <w:shd w:val="clear" w:color="auto" w:fill="auto"/>
          </w:tcPr>
          <w:p w14:paraId="5D3E8539" w14:textId="77777777" w:rsidR="00AD47A1" w:rsidRPr="0046108E" w:rsidRDefault="00AD47A1"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4289CE6C" w14:textId="77777777" w:rsidR="00AD47A1" w:rsidRPr="0046108E" w:rsidRDefault="00AD47A1"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70163591" w14:textId="3BC0E298" w:rsidR="00EF0BCC" w:rsidRPr="0046108E" w:rsidRDefault="00AD47A1"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EF0BCC" w:rsidRPr="0046108E" w14:paraId="177F968E" w14:textId="77777777" w:rsidTr="00CF4132">
        <w:trPr>
          <w:trHeight w:val="20"/>
        </w:trPr>
        <w:tc>
          <w:tcPr>
            <w:tcW w:w="3397" w:type="dxa"/>
            <w:vMerge/>
            <w:shd w:val="clear" w:color="auto" w:fill="auto"/>
            <w:vAlign w:val="center"/>
          </w:tcPr>
          <w:p w14:paraId="0DB3487F"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1F0FB97" w14:textId="5338F7D2"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80.</w:t>
            </w:r>
          </w:p>
        </w:tc>
        <w:tc>
          <w:tcPr>
            <w:tcW w:w="6804" w:type="dxa"/>
            <w:shd w:val="clear" w:color="auto" w:fill="auto"/>
            <w:vAlign w:val="center"/>
          </w:tcPr>
          <w:p w14:paraId="096165F4"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La subpct. 1.2.3.30 – modificarea anexei nr. 23 la Regulamentul privind aplicarea măsurilor de protecție împotriva organismelor dăunătoare plantelor: </w:t>
            </w:r>
          </w:p>
          <w:p w14:paraId="04F0A654" w14:textId="50355C06"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1.2, întru corectitudinea redactării, textul „poziția 24 din anexa nr. 5 la Hotărârea Guvernului nr. 679/2024” se va substitui cu textul „poziția 24 din anexa nr. 5 la Regulamentul privind aplicarea măsurilor de protecție împotriva organismelor dăunătoare plantelor, aprobat prin Hotărârea Guvernului nr. 679/2024” or, anexa nr. 5 constituie anexă la Regulament și nu la hotărârea Guvernului de aprobare a acestuia.</w:t>
            </w:r>
          </w:p>
        </w:tc>
        <w:tc>
          <w:tcPr>
            <w:tcW w:w="3123" w:type="dxa"/>
            <w:shd w:val="clear" w:color="auto" w:fill="auto"/>
          </w:tcPr>
          <w:p w14:paraId="1F298928" w14:textId="530890F1"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EF0BCC" w:rsidRPr="00753414" w14:paraId="00C1F252" w14:textId="77777777" w:rsidTr="00CF4132">
        <w:trPr>
          <w:trHeight w:val="20"/>
        </w:trPr>
        <w:tc>
          <w:tcPr>
            <w:tcW w:w="3397" w:type="dxa"/>
            <w:vMerge/>
            <w:shd w:val="clear" w:color="auto" w:fill="auto"/>
            <w:vAlign w:val="center"/>
          </w:tcPr>
          <w:p w14:paraId="75BAB612"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6E7C608" w14:textId="4B880A21"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81.</w:t>
            </w:r>
          </w:p>
        </w:tc>
        <w:tc>
          <w:tcPr>
            <w:tcW w:w="6804" w:type="dxa"/>
            <w:shd w:val="clear" w:color="auto" w:fill="auto"/>
            <w:vAlign w:val="center"/>
          </w:tcPr>
          <w:p w14:paraId="54A4CD30" w14:textId="2BD19273"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ro-MD"/>
              </w:rPr>
              <w:t>La pct. 8, menționăm că măsurile pentru izolarea și eradicarea organismelor dăunătoare trebuie să fie aprobate de Guvern, cel târziu la data intrării în vigoare a acestei hotărâri, or, în proiect se poate face referință doar la actele normative în vigoare (obiecție similară și la pct. 14 din secțiunea 1 a anexei nr. 1 la Regulament).</w:t>
            </w:r>
          </w:p>
        </w:tc>
        <w:tc>
          <w:tcPr>
            <w:tcW w:w="3123" w:type="dxa"/>
            <w:shd w:val="clear" w:color="auto" w:fill="auto"/>
          </w:tcPr>
          <w:p w14:paraId="4E989137"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p w14:paraId="516091B0" w14:textId="0C46BC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Proiectul de hotărâre a Guvernului privind aprobarea Măsurilor pentru izolarea și eradicarea organismelor dăunătoare, cu nr. unic 968/MAIA/2025, este la etapa de avizare.</w:t>
            </w:r>
          </w:p>
        </w:tc>
      </w:tr>
      <w:tr w:rsidR="00EF0BCC" w:rsidRPr="00753414" w14:paraId="17D35C30" w14:textId="77777777" w:rsidTr="00CF4132">
        <w:trPr>
          <w:trHeight w:val="20"/>
        </w:trPr>
        <w:tc>
          <w:tcPr>
            <w:tcW w:w="3397" w:type="dxa"/>
            <w:vMerge/>
            <w:shd w:val="clear" w:color="auto" w:fill="auto"/>
            <w:vAlign w:val="center"/>
          </w:tcPr>
          <w:p w14:paraId="15329CA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51B0D436" w14:textId="3CF981D5"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82.</w:t>
            </w:r>
          </w:p>
        </w:tc>
        <w:tc>
          <w:tcPr>
            <w:tcW w:w="6804" w:type="dxa"/>
            <w:shd w:val="clear" w:color="auto" w:fill="auto"/>
            <w:vAlign w:val="center"/>
          </w:tcPr>
          <w:p w14:paraId="07CA0D23" w14:textId="719D5C6F"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subpct. 13.2, ce transpune art. 7 alin. (1) lit. (b) din Regulamentul de punere în aplicare (UE) 2025/1289, menționăm că la art. 7 se face referință la Comisie și nu la autoritatea competentă (obiecție similară și la subpct. 17.3, pct. 18 din anexa nr. 1 la Regulament).</w:t>
            </w:r>
          </w:p>
        </w:tc>
        <w:tc>
          <w:tcPr>
            <w:tcW w:w="3123" w:type="dxa"/>
            <w:shd w:val="clear" w:color="auto" w:fill="auto"/>
          </w:tcPr>
          <w:p w14:paraId="320F2AA7" w14:textId="77777777" w:rsidR="00AD47A1" w:rsidRPr="0046108E" w:rsidRDefault="00AD47A1"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 parțial.</w:t>
            </w:r>
          </w:p>
          <w:p w14:paraId="0AE42881" w14:textId="77777777" w:rsidR="00AD47A1" w:rsidRPr="0046108E" w:rsidRDefault="00AD47A1"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6D66B24E" w14:textId="6DF29C8D" w:rsidR="00EF0BCC" w:rsidRPr="0046108E" w:rsidRDefault="00AD47A1"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EF0BCC" w:rsidRPr="00753414" w14:paraId="3683B10A" w14:textId="77777777" w:rsidTr="00CF4132">
        <w:trPr>
          <w:trHeight w:val="20"/>
        </w:trPr>
        <w:tc>
          <w:tcPr>
            <w:tcW w:w="3397" w:type="dxa"/>
            <w:vMerge/>
            <w:shd w:val="clear" w:color="auto" w:fill="auto"/>
            <w:vAlign w:val="center"/>
          </w:tcPr>
          <w:p w14:paraId="0A1B06B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9DDC11F" w14:textId="4AF6AD28"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83.</w:t>
            </w:r>
          </w:p>
        </w:tc>
        <w:tc>
          <w:tcPr>
            <w:tcW w:w="6804" w:type="dxa"/>
            <w:shd w:val="clear" w:color="auto" w:fill="auto"/>
            <w:vAlign w:val="center"/>
          </w:tcPr>
          <w:p w14:paraId="5B469AE7" w14:textId="136B1620"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Atragem atenția că la art. 5 alin. (5) din Regulamentul de punere în aplicare (UE) 2025/1289, transpus prin pct. 9, se face referință la autoritatea competentă, la fel și în pct. 9 din Regulament (anexa nr. 23), doar că în proiect, referința la autoritatea competentă se utilizează și în cazul în care în actul Uniunii Europene se face referință la Comisie (ex., subpct. 13.2 din Regulament; subpct. 17.3, pct. 18 din anexa nr. 1 la Regulament), fapt pentru care în </w:t>
            </w:r>
            <w:r w:rsidRPr="0046108E">
              <w:rPr>
                <w:sz w:val="24"/>
                <w:szCs w:val="24"/>
                <w:lang w:val="en-US"/>
              </w:rPr>
              <w:lastRenderedPageBreak/>
              <w:t>actul normativ național nu se mai asigură această distincție, prin urmare proiectul urmează a fi revizuit în partea enunțată.</w:t>
            </w:r>
          </w:p>
        </w:tc>
        <w:tc>
          <w:tcPr>
            <w:tcW w:w="3123" w:type="dxa"/>
            <w:shd w:val="clear" w:color="auto" w:fill="auto"/>
          </w:tcPr>
          <w:p w14:paraId="5896886F" w14:textId="77777777" w:rsidR="00AD47A1" w:rsidRPr="0046108E" w:rsidRDefault="00AD47A1"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 parțial.</w:t>
            </w:r>
          </w:p>
          <w:p w14:paraId="21FCF639" w14:textId="77777777" w:rsidR="00AD47A1" w:rsidRPr="0046108E" w:rsidRDefault="00AD47A1"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en-US"/>
              </w:rPr>
              <w:t xml:space="preserve">Reformularea efectuată corespunde sistemului juridic național, dar, totodată, păstrează esența, semnificația și scopul prevederilor UE. </w:t>
            </w:r>
          </w:p>
          <w:p w14:paraId="3EB16530" w14:textId="007EB1C4" w:rsidR="00EF0BCC" w:rsidRPr="0046108E" w:rsidRDefault="00AD47A1"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en-US"/>
              </w:rPr>
              <w:lastRenderedPageBreak/>
              <w:t>Astfel, prevedereile stabilite se păstrează, or autoritatea competentă este responsabilă de implementarea politicilor în domeniul protecției plantelor și carantinei fitosanitare, de organizarea controalelor și a altor activități oficiale din acest domeniu.</w:t>
            </w:r>
          </w:p>
        </w:tc>
      </w:tr>
      <w:tr w:rsidR="00EF0BCC" w:rsidRPr="0046108E" w14:paraId="7250E745" w14:textId="77777777" w:rsidTr="00CF4132">
        <w:trPr>
          <w:trHeight w:val="20"/>
        </w:trPr>
        <w:tc>
          <w:tcPr>
            <w:tcW w:w="3397" w:type="dxa"/>
            <w:vMerge/>
            <w:shd w:val="clear" w:color="auto" w:fill="auto"/>
            <w:vAlign w:val="center"/>
          </w:tcPr>
          <w:p w14:paraId="295F71C4"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D9C2A78" w14:textId="745DBD22"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84.</w:t>
            </w:r>
          </w:p>
        </w:tc>
        <w:tc>
          <w:tcPr>
            <w:tcW w:w="6804" w:type="dxa"/>
            <w:shd w:val="clear" w:color="auto" w:fill="auto"/>
            <w:vAlign w:val="center"/>
          </w:tcPr>
          <w:p w14:paraId="7B161542" w14:textId="234706BC"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 xml:space="preserve">La anexa nr. 1 la Regulament: La secțiunea a 2-a, întru asigurarea condiției preciziei, subpct. 17.2 se va completa cu textul „din anexa nr. 23 la Regulament, </w:t>
            </w:r>
          </w:p>
        </w:tc>
        <w:tc>
          <w:tcPr>
            <w:tcW w:w="3123" w:type="dxa"/>
            <w:shd w:val="clear" w:color="auto" w:fill="auto"/>
          </w:tcPr>
          <w:p w14:paraId="193A72C0" w14:textId="567E9735"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EF0BCC" w:rsidRPr="00753414" w14:paraId="5E84E6A0" w14:textId="77777777" w:rsidTr="00CF4132">
        <w:trPr>
          <w:trHeight w:val="20"/>
        </w:trPr>
        <w:tc>
          <w:tcPr>
            <w:tcW w:w="3397" w:type="dxa"/>
            <w:vMerge/>
            <w:shd w:val="clear" w:color="auto" w:fill="auto"/>
            <w:vAlign w:val="center"/>
          </w:tcPr>
          <w:p w14:paraId="07AAC3E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D2A962A" w14:textId="4B2DA6E1"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85.</w:t>
            </w:r>
          </w:p>
        </w:tc>
        <w:tc>
          <w:tcPr>
            <w:tcW w:w="6804" w:type="dxa"/>
            <w:shd w:val="clear" w:color="auto" w:fill="auto"/>
            <w:vAlign w:val="center"/>
          </w:tcPr>
          <w:p w14:paraId="25CF9EE7" w14:textId="76DA2C7D"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anexa nr. 2 la Regulament: La subpct. 2.5, reiterăm că măsurile pentru izolarea și eradicarea organismelor dăunătoare urmează a fi aprobate de Guvern cel târziu la data aprobării proiectului.</w:t>
            </w:r>
          </w:p>
        </w:tc>
        <w:tc>
          <w:tcPr>
            <w:tcW w:w="3123" w:type="dxa"/>
            <w:shd w:val="clear" w:color="auto" w:fill="auto"/>
          </w:tcPr>
          <w:p w14:paraId="17062C5B"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p w14:paraId="290FCEFF" w14:textId="1F2C4543"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sz w:val="24"/>
                <w:szCs w:val="24"/>
                <w:lang w:val="ro-MD"/>
              </w:rPr>
              <w:t>Proiectul de hotărâre a Guvernului privind aprobarea Măsurilor pentru izolarea și eradicarea organismelor dăunătoare, cu nr. unic 968/MAIA/2025, este la etapa de avizare.</w:t>
            </w:r>
          </w:p>
        </w:tc>
      </w:tr>
      <w:tr w:rsidR="00EF0BCC" w:rsidRPr="0046108E" w14:paraId="5A79B0BE" w14:textId="77777777" w:rsidTr="00CF4132">
        <w:trPr>
          <w:trHeight w:val="20"/>
        </w:trPr>
        <w:tc>
          <w:tcPr>
            <w:tcW w:w="3397" w:type="dxa"/>
            <w:vMerge/>
            <w:shd w:val="clear" w:color="auto" w:fill="auto"/>
            <w:vAlign w:val="center"/>
          </w:tcPr>
          <w:p w14:paraId="747E7565"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26A9DE7" w14:textId="3167E460"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86.</w:t>
            </w:r>
          </w:p>
        </w:tc>
        <w:tc>
          <w:tcPr>
            <w:tcW w:w="6804" w:type="dxa"/>
            <w:shd w:val="clear" w:color="auto" w:fill="auto"/>
            <w:vAlign w:val="center"/>
          </w:tcPr>
          <w:p w14:paraId="3F386449" w14:textId="6C5D8126"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3, care transpune dispoziția de la Anexa II ultimul alineat din Regulamentul de punere în aplicare (UE) 2025/1289, textul „la subpct. 11.1” se va substitui cu textul „la pct. 11”, care transpune art. 6 alin. (1) la care se face referire în Anexa II ultimul alineat.</w:t>
            </w:r>
          </w:p>
        </w:tc>
        <w:tc>
          <w:tcPr>
            <w:tcW w:w="3123" w:type="dxa"/>
            <w:shd w:val="clear" w:color="auto" w:fill="auto"/>
          </w:tcPr>
          <w:p w14:paraId="716C154A" w14:textId="103DD148"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EF0BCC" w:rsidRPr="0046108E" w14:paraId="5868A20A" w14:textId="77777777" w:rsidTr="00CF4132">
        <w:trPr>
          <w:trHeight w:val="20"/>
        </w:trPr>
        <w:tc>
          <w:tcPr>
            <w:tcW w:w="3397" w:type="dxa"/>
            <w:vMerge/>
            <w:shd w:val="clear" w:color="auto" w:fill="auto"/>
            <w:vAlign w:val="center"/>
          </w:tcPr>
          <w:p w14:paraId="39B6E78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38DD6CE7" w14:textId="79B0FA28"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87.</w:t>
            </w:r>
          </w:p>
        </w:tc>
        <w:tc>
          <w:tcPr>
            <w:tcW w:w="6804" w:type="dxa"/>
            <w:shd w:val="clear" w:color="auto" w:fill="auto"/>
            <w:vAlign w:val="center"/>
          </w:tcPr>
          <w:p w14:paraId="21A7B69B" w14:textId="71DA4164"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2 din proiectul hotărârii, la subpct. 2.1-2.5, cuvintele „data de” se vor exclude ca fiind excedente.</w:t>
            </w:r>
          </w:p>
        </w:tc>
        <w:tc>
          <w:tcPr>
            <w:tcW w:w="3123" w:type="dxa"/>
            <w:shd w:val="clear" w:color="auto" w:fill="auto"/>
          </w:tcPr>
          <w:p w14:paraId="3A15263C" w14:textId="2E926DB5"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EF0BCC" w:rsidRPr="0046108E" w14:paraId="7CC619A2" w14:textId="77777777" w:rsidTr="00CF4132">
        <w:trPr>
          <w:trHeight w:val="20"/>
        </w:trPr>
        <w:tc>
          <w:tcPr>
            <w:tcW w:w="3397" w:type="dxa"/>
            <w:vMerge/>
            <w:shd w:val="clear" w:color="auto" w:fill="auto"/>
            <w:vAlign w:val="center"/>
          </w:tcPr>
          <w:p w14:paraId="66821663"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7A1CEB3" w14:textId="1579D515"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88.</w:t>
            </w:r>
          </w:p>
        </w:tc>
        <w:tc>
          <w:tcPr>
            <w:tcW w:w="6804" w:type="dxa"/>
            <w:shd w:val="clear" w:color="auto" w:fill="auto"/>
            <w:vAlign w:val="center"/>
          </w:tcPr>
          <w:p w14:paraId="058370BD" w14:textId="1639DBBB" w:rsidR="00EF0BCC" w:rsidRPr="0046108E" w:rsidRDefault="00EF0BCC" w:rsidP="00845051">
            <w:pPr>
              <w:pStyle w:val="Listparagraf"/>
              <w:tabs>
                <w:tab w:val="left" w:pos="851"/>
              </w:tabs>
              <w:spacing w:after="0" w:line="240" w:lineRule="auto"/>
              <w:ind w:left="0" w:right="110" w:firstLine="142"/>
              <w:rPr>
                <w:sz w:val="24"/>
                <w:szCs w:val="24"/>
                <w:lang w:val="ro-MD"/>
              </w:rPr>
            </w:pPr>
            <w:r w:rsidRPr="0046108E">
              <w:rPr>
                <w:sz w:val="24"/>
                <w:szCs w:val="24"/>
                <w:lang w:val="en-US"/>
              </w:rPr>
              <w:t>La pct. 3 din proiectul hotărârii se va indica expres norma, prin care se modifică pct. 2 din secțiunea 1 a anexei nr. 1 la anexa nr. 23.</w:t>
            </w:r>
          </w:p>
        </w:tc>
        <w:tc>
          <w:tcPr>
            <w:tcW w:w="3123" w:type="dxa"/>
            <w:shd w:val="clear" w:color="auto" w:fill="auto"/>
          </w:tcPr>
          <w:p w14:paraId="1E88AF9F" w14:textId="42877539"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t>Se acceptă.</w:t>
            </w:r>
          </w:p>
        </w:tc>
      </w:tr>
      <w:tr w:rsidR="00EF0BCC" w:rsidRPr="0046108E" w14:paraId="5113CBD0" w14:textId="77777777" w:rsidTr="00BF2676">
        <w:trPr>
          <w:trHeight w:val="20"/>
        </w:trPr>
        <w:tc>
          <w:tcPr>
            <w:tcW w:w="3397" w:type="dxa"/>
            <w:vMerge w:val="restart"/>
            <w:shd w:val="clear" w:color="auto" w:fill="auto"/>
            <w:vAlign w:val="center"/>
          </w:tcPr>
          <w:p w14:paraId="74F58F73" w14:textId="47339101"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en-US"/>
              </w:rPr>
            </w:pPr>
            <w:r w:rsidRPr="0046108E">
              <w:rPr>
                <w:rFonts w:ascii="Times New Roman" w:hAnsi="Times New Roman"/>
                <w:sz w:val="24"/>
                <w:szCs w:val="24"/>
                <w:lang w:val="ro-MD"/>
              </w:rPr>
              <w:t>Centrul Național Anticorupție, scrisoarea nr. 06/2/22606 din 15.12.2025</w:t>
            </w:r>
          </w:p>
        </w:tc>
        <w:tc>
          <w:tcPr>
            <w:tcW w:w="1271" w:type="dxa"/>
            <w:vAlign w:val="center"/>
          </w:tcPr>
          <w:p w14:paraId="0B8D3281" w14:textId="7DF0468A"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89.</w:t>
            </w:r>
          </w:p>
        </w:tc>
        <w:tc>
          <w:tcPr>
            <w:tcW w:w="6804" w:type="dxa"/>
            <w:shd w:val="clear" w:color="auto" w:fill="auto"/>
            <w:vAlign w:val="center"/>
          </w:tcPr>
          <w:p w14:paraId="60F844CC"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RAPORT DE EXPERTIZĂ ANTICORUPŢIE </w:t>
            </w:r>
          </w:p>
          <w:p w14:paraId="180E1B84"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Nr. EHG25/11043 din 15.12.2025 </w:t>
            </w:r>
          </w:p>
          <w:p w14:paraId="3D5E8AE8"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lastRenderedPageBreak/>
              <w:t xml:space="preserve">la proiectul de hotărâre a Guvernului privind modificarea Hotărârii Guvernului nr. 679/2024 pentru aprobarea Regulamentului privind aplicarea măsurilor de protecție împotriva organismelor dăunătoare plantelor (număr unic 790/MAIA/2025) </w:t>
            </w:r>
          </w:p>
          <w:p w14:paraId="42D73EED" w14:textId="6F03AC56"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Prezentul raport de expertiză anticorupţie a fost întocmit de Centrul Național Anticorupție al Republicii Moldova în baza Legii nr.100/2017 cu privire la actele normative, a Legii nr.1104/2002 cu privire la Centrul Național Anticorupție, a Legii integrității nr.82/2017 și a Metodologiei de efectuare a expertizei anticorupţie a proiectelor de acte legislative și normative, aprobată prin Hotărârea Colegiului Centrului nr.6 din 20 octombrie 2017. </w:t>
            </w:r>
          </w:p>
        </w:tc>
        <w:tc>
          <w:tcPr>
            <w:tcW w:w="3123" w:type="dxa"/>
            <w:vMerge w:val="restart"/>
            <w:shd w:val="clear" w:color="auto" w:fill="auto"/>
            <w:vAlign w:val="center"/>
          </w:tcPr>
          <w:p w14:paraId="5695EF8D" w14:textId="1168CB4B"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r w:rsidR="00EF0BCC" w:rsidRPr="00753414" w14:paraId="66726520" w14:textId="77777777" w:rsidTr="00BF2676">
        <w:trPr>
          <w:trHeight w:val="20"/>
        </w:trPr>
        <w:tc>
          <w:tcPr>
            <w:tcW w:w="3397" w:type="dxa"/>
            <w:vMerge/>
            <w:shd w:val="clear" w:color="auto" w:fill="auto"/>
            <w:vAlign w:val="center"/>
          </w:tcPr>
          <w:p w14:paraId="2BBDC6B5" w14:textId="77777777" w:rsidR="00EF0BCC" w:rsidRPr="0046108E" w:rsidRDefault="00EF0BCC" w:rsidP="00845051">
            <w:pPr>
              <w:tabs>
                <w:tab w:val="left" w:pos="426"/>
                <w:tab w:val="left" w:pos="1196"/>
              </w:tabs>
              <w:spacing w:after="0" w:line="240" w:lineRule="auto"/>
              <w:ind w:right="110"/>
              <w:contextualSpacing/>
              <w:rPr>
                <w:rFonts w:ascii="Times New Roman" w:hAnsi="Times New Roman"/>
                <w:sz w:val="24"/>
                <w:szCs w:val="24"/>
                <w:lang w:val="ro-MD"/>
              </w:rPr>
            </w:pPr>
          </w:p>
        </w:tc>
        <w:tc>
          <w:tcPr>
            <w:tcW w:w="1271" w:type="dxa"/>
            <w:vAlign w:val="center"/>
          </w:tcPr>
          <w:p w14:paraId="2A7CCB59" w14:textId="05CF1A04"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90.</w:t>
            </w:r>
          </w:p>
        </w:tc>
        <w:tc>
          <w:tcPr>
            <w:tcW w:w="6804" w:type="dxa"/>
            <w:shd w:val="clear" w:color="auto" w:fill="auto"/>
            <w:vAlign w:val="center"/>
          </w:tcPr>
          <w:p w14:paraId="323B8DAF"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 Analiza riscurilor de corupere a procesului de promovare a proiectului </w:t>
            </w:r>
          </w:p>
          <w:p w14:paraId="13DE9ED0" w14:textId="31B75302"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I.1. Pertinența autorului, categoriei propuse a actului și a procedurii de promovare a proiectului </w:t>
            </w:r>
          </w:p>
          <w:p w14:paraId="523251B2"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Autor al proiectului de act normativ este Guvernul, iar autor nemijlocit este Ministerul Agriculturii şi Industriei Alimentare, ceea ce corespunde art.102 din Constituție, art.14 din Legea nr.100/2017 cu privire la actele normative. </w:t>
            </w:r>
          </w:p>
          <w:p w14:paraId="1091D4A6" w14:textId="6F74EABC"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Categoria actului normativ propus este Hotărâre a Guvernului, ceea ce corespunde art.102 din Constituție, art.6 şi art.14 din Legea nr.100/2017 cu privire la actele normative.</w:t>
            </w:r>
          </w:p>
        </w:tc>
        <w:tc>
          <w:tcPr>
            <w:tcW w:w="3123" w:type="dxa"/>
            <w:vMerge/>
            <w:shd w:val="clear" w:color="auto" w:fill="auto"/>
            <w:vAlign w:val="center"/>
          </w:tcPr>
          <w:p w14:paraId="4597AA70"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26AA27C2" w14:textId="77777777" w:rsidTr="00BF2676">
        <w:trPr>
          <w:trHeight w:val="20"/>
        </w:trPr>
        <w:tc>
          <w:tcPr>
            <w:tcW w:w="3397" w:type="dxa"/>
            <w:vMerge/>
            <w:shd w:val="clear" w:color="auto" w:fill="auto"/>
            <w:vAlign w:val="center"/>
          </w:tcPr>
          <w:p w14:paraId="026D1806" w14:textId="77777777" w:rsidR="00EF0BCC" w:rsidRPr="0046108E" w:rsidRDefault="00EF0BCC" w:rsidP="00845051">
            <w:pPr>
              <w:tabs>
                <w:tab w:val="left" w:pos="426"/>
                <w:tab w:val="left" w:pos="1196"/>
              </w:tabs>
              <w:spacing w:after="0" w:line="240" w:lineRule="auto"/>
              <w:ind w:right="110"/>
              <w:contextualSpacing/>
              <w:rPr>
                <w:rFonts w:ascii="Times New Roman" w:hAnsi="Times New Roman"/>
                <w:sz w:val="24"/>
                <w:szCs w:val="24"/>
                <w:lang w:val="ro-MD"/>
              </w:rPr>
            </w:pPr>
          </w:p>
        </w:tc>
        <w:tc>
          <w:tcPr>
            <w:tcW w:w="1271" w:type="dxa"/>
            <w:vAlign w:val="center"/>
          </w:tcPr>
          <w:p w14:paraId="2E3F5BD9" w14:textId="7525C4EC"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91.</w:t>
            </w:r>
          </w:p>
        </w:tc>
        <w:tc>
          <w:tcPr>
            <w:tcW w:w="6804" w:type="dxa"/>
            <w:shd w:val="clear" w:color="auto" w:fill="auto"/>
            <w:vAlign w:val="center"/>
          </w:tcPr>
          <w:p w14:paraId="0E0B7B2F"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I.2. Respectarea rigorilor de transparenţă în procesul decizional la promovarea proiectului </w:t>
            </w:r>
          </w:p>
          <w:p w14:paraId="25CD4677"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Potrivit art.8 al Legii nr.239/2008 privind transparenţa în procesul decizional „etapele asigurării transparenţei procesului de elaborare a deciziilor sunt: </w:t>
            </w:r>
          </w:p>
          <w:p w14:paraId="7506AFDE"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a) informarea publicului referitor la iniţierea elaborării deciziei; </w:t>
            </w:r>
          </w:p>
          <w:p w14:paraId="3A3EE6B0"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b) punerea la dispoziţia părţilor interesate a proiectului de decizie şi a materialelor aferente acestuia; </w:t>
            </w:r>
          </w:p>
          <w:p w14:paraId="0CB575A3"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c) consultarea cetăţenilor, asociaţiilor constituite în corespundere cu legea, altor părţi interesate; </w:t>
            </w:r>
          </w:p>
          <w:p w14:paraId="37DBEDDC"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lastRenderedPageBreak/>
              <w:t xml:space="preserve">d) examinarea recomandărilor cetăţenilor, asociaţiilor constituite în corespundere cu legea, altor părţi interesate în procesul de elaborare a proiectelor de decizii; </w:t>
            </w:r>
          </w:p>
          <w:p w14:paraId="54F0E735"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e) informarea publicului referitor la deciziile adoptate". </w:t>
            </w:r>
          </w:p>
          <w:p w14:paraId="6FCC01B8"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Totodată, art.10 din Legea nr.239/2008 stabileşte expres că: </w:t>
            </w:r>
          </w:p>
          <w:p w14:paraId="158A2BA0"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„(1) Autoritatea publică asigură accesul la proiectele de decizii şi la materialele aferente acestora prin 1 publicarea obligatorie a lor pe pagina web oficială a autorităţii publice, prin asigurarea accesului la sediul autorităţii, precum şi prin expediere prin poştă sau prin alte mijloace disponibile, la solicitarea persoanei interesate.</w:t>
            </w:r>
          </w:p>
          <w:p w14:paraId="6B57FAEB"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(2) Proiectul de decizie şi materialele aferente acestuia se plasează pe pagina web oficială a autorităţii publice responsabile cel puţin pentru perioada recepţionării şi examinării recomandărilor". </w:t>
            </w:r>
          </w:p>
          <w:p w14:paraId="4FB35A1E" w14:textId="2941FBA3"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Materialele aferente proiectului se regăsesc pe pagina web oficială a autorului și pe portalul particip. gov.md, după cum urmează: https://particip.gov.md/ro/document/stages/*/15229. Astfel, în procesul de promovare a proiectului, au fost respectate rigorile de asigurare a transparenței decizionale statuate de prevederile art.8 lit.a)-d) al Legii nr. 239- XVI din 13 noiembrie 2008 privind transparența în procesul decizional.</w:t>
            </w:r>
          </w:p>
        </w:tc>
        <w:tc>
          <w:tcPr>
            <w:tcW w:w="3123" w:type="dxa"/>
            <w:vMerge/>
            <w:shd w:val="clear" w:color="auto" w:fill="auto"/>
            <w:vAlign w:val="center"/>
          </w:tcPr>
          <w:p w14:paraId="2E9509E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7C295AB7" w14:textId="77777777" w:rsidTr="00BF2676">
        <w:trPr>
          <w:trHeight w:val="20"/>
        </w:trPr>
        <w:tc>
          <w:tcPr>
            <w:tcW w:w="3397" w:type="dxa"/>
            <w:vMerge/>
            <w:shd w:val="clear" w:color="auto" w:fill="auto"/>
            <w:vAlign w:val="center"/>
          </w:tcPr>
          <w:p w14:paraId="66183BCF" w14:textId="77777777" w:rsidR="00EF0BCC" w:rsidRPr="0046108E" w:rsidRDefault="00EF0BCC" w:rsidP="00845051">
            <w:pPr>
              <w:tabs>
                <w:tab w:val="left" w:pos="426"/>
                <w:tab w:val="left" w:pos="1196"/>
              </w:tabs>
              <w:spacing w:after="0" w:line="240" w:lineRule="auto"/>
              <w:ind w:right="110"/>
              <w:contextualSpacing/>
              <w:rPr>
                <w:rFonts w:ascii="Times New Roman" w:hAnsi="Times New Roman"/>
                <w:sz w:val="24"/>
                <w:szCs w:val="24"/>
                <w:lang w:val="ro-MD"/>
              </w:rPr>
            </w:pPr>
          </w:p>
        </w:tc>
        <w:tc>
          <w:tcPr>
            <w:tcW w:w="1271" w:type="dxa"/>
            <w:vAlign w:val="center"/>
          </w:tcPr>
          <w:p w14:paraId="4ABB5156" w14:textId="450077C9"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92.</w:t>
            </w:r>
          </w:p>
        </w:tc>
        <w:tc>
          <w:tcPr>
            <w:tcW w:w="6804" w:type="dxa"/>
            <w:shd w:val="clear" w:color="auto" w:fill="auto"/>
            <w:vAlign w:val="center"/>
          </w:tcPr>
          <w:p w14:paraId="615C84FB"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I.3. Scopul anunţat și scopul real al proiectului </w:t>
            </w:r>
          </w:p>
          <w:p w14:paraId="386ED0F6"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Potrivit notei de fundamentare: „Hotărârea Guvernului nr. 679/2024 stabilește o listă a organismelor dăunătoare de carantină pentru Republica Moldova, a organismelor dăunătoare de carantină pentru zone protejate și a organismelor dăunătoare reglementate care nu sunt de carantină, inclusiv cerințe privind introducerea în țară sau circulația pe teritoriul Republicii Moldova a anumitor plante, produse vegetale și a altor obiecte, pentru a preveni intrarea, stabilirea și răspândirea organismelor dăunătoare respective. Urmare a actualizării informațiilor științifice și tehnice, provenite din evaluări, clasificări și analize ale riscurilor determinate de anumite organisme dăunătoare, efectuate de </w:t>
            </w:r>
            <w:r w:rsidRPr="0046108E">
              <w:rPr>
                <w:sz w:val="24"/>
                <w:szCs w:val="24"/>
                <w:lang w:val="en-US"/>
              </w:rPr>
              <w:lastRenderedPageBreak/>
              <w:t xml:space="preserve">Autoritatea Europeană pentru Siguranța Alimentară (EFSA), de OEPP și de statele membre, este necesară modificarea actului național, în vederea listării acestor noi organisme dăunătoare. Prin urmare, se actualizează cerințele speciale pentru introducerea în Republica Moldova și circulația pe teritoriul ei a plantelor, produselor vegetale și a altor obiecte afectate de organismele dăunătoare respective și a transporturilor importate din anumite țări de origine.” </w:t>
            </w:r>
          </w:p>
          <w:p w14:paraId="0F2C219E" w14:textId="0E53348D"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Analizând normele elaborate s-a constatat că scopul declarat de către autor în nota de fundamentare corespunde scopului real al proiectului.</w:t>
            </w:r>
          </w:p>
        </w:tc>
        <w:tc>
          <w:tcPr>
            <w:tcW w:w="3123" w:type="dxa"/>
            <w:vMerge/>
            <w:shd w:val="clear" w:color="auto" w:fill="auto"/>
            <w:vAlign w:val="center"/>
          </w:tcPr>
          <w:p w14:paraId="2B1267EB"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18717A70" w14:textId="77777777" w:rsidTr="00BF2676">
        <w:trPr>
          <w:trHeight w:val="20"/>
        </w:trPr>
        <w:tc>
          <w:tcPr>
            <w:tcW w:w="3397" w:type="dxa"/>
            <w:vMerge/>
            <w:shd w:val="clear" w:color="auto" w:fill="auto"/>
            <w:vAlign w:val="center"/>
          </w:tcPr>
          <w:p w14:paraId="2C4314AB"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47CA3BD" w14:textId="3E004325"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93.</w:t>
            </w:r>
          </w:p>
        </w:tc>
        <w:tc>
          <w:tcPr>
            <w:tcW w:w="6804" w:type="dxa"/>
            <w:shd w:val="clear" w:color="auto" w:fill="auto"/>
            <w:vAlign w:val="center"/>
          </w:tcPr>
          <w:p w14:paraId="0E4E0549"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I.4. Interesul public şi interesele private promovate prin proiect </w:t>
            </w:r>
          </w:p>
          <w:p w14:paraId="5CA2454D" w14:textId="622D88ED"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Implementarea prevederilor propuse, poate contribui la realizarea interesului public vizat de proiect, fapt care nu este în detrimentul interesului public general (în sensul prevăzut de Legea integrităţii nr. 82 din 25 mai 2017).</w:t>
            </w:r>
          </w:p>
        </w:tc>
        <w:tc>
          <w:tcPr>
            <w:tcW w:w="3123" w:type="dxa"/>
            <w:vMerge/>
            <w:shd w:val="clear" w:color="auto" w:fill="auto"/>
            <w:vAlign w:val="center"/>
          </w:tcPr>
          <w:p w14:paraId="58498B4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0556A43C" w14:textId="77777777" w:rsidTr="00BF2676">
        <w:trPr>
          <w:trHeight w:val="20"/>
        </w:trPr>
        <w:tc>
          <w:tcPr>
            <w:tcW w:w="3397" w:type="dxa"/>
            <w:vMerge/>
            <w:shd w:val="clear" w:color="auto" w:fill="auto"/>
            <w:vAlign w:val="center"/>
          </w:tcPr>
          <w:p w14:paraId="300441AD"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E58486A" w14:textId="2B1CB636"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94.</w:t>
            </w:r>
          </w:p>
        </w:tc>
        <w:tc>
          <w:tcPr>
            <w:tcW w:w="6804" w:type="dxa"/>
            <w:shd w:val="clear" w:color="auto" w:fill="auto"/>
            <w:vAlign w:val="center"/>
          </w:tcPr>
          <w:p w14:paraId="3E97484A"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I.5. Justificarea soluțiilor proiectului </w:t>
            </w:r>
          </w:p>
          <w:p w14:paraId="0B64DA29"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I.5.1. Suficienţa argumentării din nota informativă. </w:t>
            </w:r>
          </w:p>
          <w:p w14:paraId="4C01DAB7"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În conformitate cu art.30 al Legii nr.100/2017 cu privire la actele normative, proiectele de acte normative sunt însoțite de „nota de fundamentare care cuprinde: </w:t>
            </w:r>
          </w:p>
          <w:p w14:paraId="256AA91E"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a) denumirea sau numele autorului și, după caz, a/al participanților la elaborarea proiectului actului normativ; </w:t>
            </w:r>
          </w:p>
          <w:p w14:paraId="3694752A"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b) condițiile ce au impus elaborarea proiectului actului normativ; </w:t>
            </w:r>
          </w:p>
          <w:p w14:paraId="08E119D8"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c) obiectivele urmărite și soluțiile propuse; </w:t>
            </w:r>
          </w:p>
          <w:p w14:paraId="79BDE9CA"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d) analiza impactului de reglementare; </w:t>
            </w:r>
          </w:p>
          <w:p w14:paraId="090F04AC"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e) compatibilitatea proiectului actului normativ cu legislația UE; </w:t>
            </w:r>
          </w:p>
          <w:p w14:paraId="5E24996C"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f) avizarea și consultarea publică a proiectului actului normativ; </w:t>
            </w:r>
          </w:p>
          <w:p w14:paraId="5F857851"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h) modul de încorporare a actului în cadrul normativ existent; </w:t>
            </w:r>
          </w:p>
          <w:p w14:paraId="3B9A722D"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 măsurile necesare pentru implementarea prevederilor proiectului actului normativ." </w:t>
            </w:r>
          </w:p>
          <w:p w14:paraId="0BDED7B0" w14:textId="059D368A"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Nota de fundamentare a proiectului a fost întocmită cu respectarea exigențelor de tehnică legislativă statuate de </w:t>
            </w:r>
            <w:r w:rsidRPr="0046108E">
              <w:rPr>
                <w:sz w:val="24"/>
                <w:szCs w:val="24"/>
                <w:lang w:val="en-US"/>
              </w:rPr>
              <w:lastRenderedPageBreak/>
              <w:t xml:space="preserve">prevederile art.30 al Legii cu privire la actele normative nr.100 din 22 decembrie 2017. </w:t>
            </w:r>
          </w:p>
        </w:tc>
        <w:tc>
          <w:tcPr>
            <w:tcW w:w="3123" w:type="dxa"/>
            <w:vMerge/>
            <w:shd w:val="clear" w:color="auto" w:fill="auto"/>
            <w:vAlign w:val="center"/>
          </w:tcPr>
          <w:p w14:paraId="7F0531DB"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57BE3119" w14:textId="77777777" w:rsidTr="00BF2676">
        <w:trPr>
          <w:trHeight w:val="20"/>
        </w:trPr>
        <w:tc>
          <w:tcPr>
            <w:tcW w:w="3397" w:type="dxa"/>
            <w:vMerge/>
            <w:shd w:val="clear" w:color="auto" w:fill="auto"/>
            <w:vAlign w:val="center"/>
          </w:tcPr>
          <w:p w14:paraId="5C1DF359"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040D7DB2" w14:textId="0787124F"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95.</w:t>
            </w:r>
          </w:p>
        </w:tc>
        <w:tc>
          <w:tcPr>
            <w:tcW w:w="6804" w:type="dxa"/>
            <w:shd w:val="clear" w:color="auto" w:fill="auto"/>
            <w:vAlign w:val="center"/>
          </w:tcPr>
          <w:p w14:paraId="2C096B97"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I.5.2. Argumentarea economică-financiară. </w:t>
            </w:r>
          </w:p>
          <w:p w14:paraId="147CF684"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Conform art.30 lit.d) al Legii nr.100/2017 cu privire la actele normative, nota de fundamentare trebuie să conțină „d) analiza impactului de reglementare". </w:t>
            </w:r>
          </w:p>
          <w:p w14:paraId="149BB968" w14:textId="1909E160"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Potrivit autorului: „Costurile pentru implementarea prezentului proiect vor fi acoperite din bugetul anual al Agenției Naționale pentru Siguranța Alimentelor, care este autoritatea responsabilă de efectuarea controalelor oficiale în domeniul fitosanitar. Finanțarea controalelor oficiale se efectuează în temeiul art. 24 din Legea nr. 50/2013 cu privire la controalele oficiale pentru verificarea conformității cu legislația privind hrana pentru animale și produsele alimentare și cu normele de sănătate și de bunăstare a animalelor și art. 4 alin. (5) din Legea nr.131/2012 privind controlul de stat. În acest sens, pentru realizarea programului național de monitorizare și supraveghere în domeniul sănătății plantelor, organismelor modificate genetic la import, suma alocată în anul 2025 din bugetul de stat (programul 51 Dezvoltarea agriculturii, subprogramul 51.06 Securitatea Alimentară), constituie 685,0 mii lei.”</w:t>
            </w:r>
          </w:p>
        </w:tc>
        <w:tc>
          <w:tcPr>
            <w:tcW w:w="3123" w:type="dxa"/>
            <w:vMerge/>
            <w:shd w:val="clear" w:color="auto" w:fill="auto"/>
            <w:vAlign w:val="center"/>
          </w:tcPr>
          <w:p w14:paraId="352496E9"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3229B45E" w14:textId="77777777" w:rsidTr="00BF2676">
        <w:trPr>
          <w:trHeight w:val="20"/>
        </w:trPr>
        <w:tc>
          <w:tcPr>
            <w:tcW w:w="3397" w:type="dxa"/>
            <w:vMerge/>
            <w:shd w:val="clear" w:color="auto" w:fill="auto"/>
            <w:vAlign w:val="center"/>
          </w:tcPr>
          <w:p w14:paraId="7C00B4E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2297356" w14:textId="63D60842"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96.</w:t>
            </w:r>
          </w:p>
        </w:tc>
        <w:tc>
          <w:tcPr>
            <w:tcW w:w="6804" w:type="dxa"/>
            <w:shd w:val="clear" w:color="auto" w:fill="auto"/>
            <w:vAlign w:val="center"/>
          </w:tcPr>
          <w:p w14:paraId="1E88A7F8"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II. Analiza generală a factorilor de risc ale proiectului </w:t>
            </w:r>
          </w:p>
          <w:p w14:paraId="5CC5EB1E"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II.1. Limbajul proiectului </w:t>
            </w:r>
          </w:p>
          <w:p w14:paraId="511100CF"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Potrivit art.54 al Legii nr.100/2017 cu privire la actele normative „textul proiectului actului normativ se elaborează [...] cu respectarea următoarelor reguli: [...] </w:t>
            </w:r>
          </w:p>
          <w:p w14:paraId="341A6A25"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a) se expune într-un limbaj simplu, clar şi concis [...] </w:t>
            </w:r>
          </w:p>
          <w:p w14:paraId="2A9588E6"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c) terminologia utilizată este constantă, uniformă și corespunde celei utilizate în alte acte normative, în legislația Uniunii Europene și în alte instrumente internaționale la care Republica Moldova este parte, cu respectarea prevederilor prezentei legi; [...] </w:t>
            </w:r>
          </w:p>
          <w:p w14:paraId="3392155B"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e) se interzice folosirea neologismelor dacă există sinonime de largă răspândire, [...] </w:t>
            </w:r>
          </w:p>
          <w:p w14:paraId="2D9D6491" w14:textId="064A1C41"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lastRenderedPageBreak/>
              <w:t xml:space="preserve">f) se evită folosirea [...] a cuvintelor și expresiilor [...] care nu sînt utilizate sau cu sens ambiguu; </w:t>
            </w:r>
          </w:p>
          <w:p w14:paraId="4C78BC81" w14:textId="0A27CA8C"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g) se evită tautologiile juridice; </w:t>
            </w:r>
          </w:p>
          <w:p w14:paraId="642A9512"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h) se utilizează, pe cât este posibil, noțiuni monosemantice, [...]".  </w:t>
            </w:r>
          </w:p>
          <w:p w14:paraId="4B3A8DAC" w14:textId="5125DEEE"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Textul proiectului este expus într-un limbaj simplu, clar şi concis, cu respectarea regulilor gramaticale şi de ortografie, întrunind cerinţele prevăzute de art.54 din Legea nr.100/2017. </w:t>
            </w:r>
          </w:p>
        </w:tc>
        <w:tc>
          <w:tcPr>
            <w:tcW w:w="3123" w:type="dxa"/>
            <w:vMerge/>
            <w:shd w:val="clear" w:color="auto" w:fill="auto"/>
            <w:vAlign w:val="center"/>
          </w:tcPr>
          <w:p w14:paraId="2059DAC0"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001827BD" w14:textId="77777777" w:rsidTr="00BF2676">
        <w:trPr>
          <w:trHeight w:val="20"/>
        </w:trPr>
        <w:tc>
          <w:tcPr>
            <w:tcW w:w="3397" w:type="dxa"/>
            <w:vMerge/>
            <w:shd w:val="clear" w:color="auto" w:fill="auto"/>
            <w:vAlign w:val="center"/>
          </w:tcPr>
          <w:p w14:paraId="5457A610" w14:textId="50A5BADD"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18AA541" w14:textId="2507C896"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97.</w:t>
            </w:r>
          </w:p>
        </w:tc>
        <w:tc>
          <w:tcPr>
            <w:tcW w:w="6804" w:type="dxa"/>
            <w:shd w:val="clear" w:color="auto" w:fill="auto"/>
            <w:vAlign w:val="center"/>
          </w:tcPr>
          <w:p w14:paraId="447A2925"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II.2. Coerența legislativă a proiectului </w:t>
            </w:r>
          </w:p>
          <w:p w14:paraId="7EF28899" w14:textId="1D893B13"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În textul proiectului nu au fost identificate norme contradictorii sau conflicte dintre prevederile acestuia cu reglementările altor acte normative în vigoare.</w:t>
            </w:r>
          </w:p>
        </w:tc>
        <w:tc>
          <w:tcPr>
            <w:tcW w:w="3123" w:type="dxa"/>
            <w:vMerge/>
            <w:shd w:val="clear" w:color="auto" w:fill="auto"/>
            <w:vAlign w:val="center"/>
          </w:tcPr>
          <w:p w14:paraId="396F5B8E"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03CB0532" w14:textId="77777777" w:rsidTr="00BF2676">
        <w:trPr>
          <w:trHeight w:val="20"/>
        </w:trPr>
        <w:tc>
          <w:tcPr>
            <w:tcW w:w="3397" w:type="dxa"/>
            <w:vMerge/>
            <w:shd w:val="clear" w:color="auto" w:fill="auto"/>
            <w:vAlign w:val="center"/>
          </w:tcPr>
          <w:p w14:paraId="71E2CF21"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2531269E" w14:textId="36A6D897"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98.</w:t>
            </w:r>
          </w:p>
        </w:tc>
        <w:tc>
          <w:tcPr>
            <w:tcW w:w="6804" w:type="dxa"/>
            <w:shd w:val="clear" w:color="auto" w:fill="auto"/>
            <w:vAlign w:val="center"/>
          </w:tcPr>
          <w:p w14:paraId="67ADF271"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II.3. Activitatea agenţilor publici şi a entităților publice reglementată în proiect </w:t>
            </w:r>
          </w:p>
          <w:p w14:paraId="69A3382A" w14:textId="173AC3E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Proiectul nu reglementează activitatea agenților pupblici și/sau a entităților publice.</w:t>
            </w:r>
          </w:p>
        </w:tc>
        <w:tc>
          <w:tcPr>
            <w:tcW w:w="3123" w:type="dxa"/>
            <w:vMerge/>
            <w:shd w:val="clear" w:color="auto" w:fill="auto"/>
            <w:vAlign w:val="center"/>
          </w:tcPr>
          <w:p w14:paraId="35AE8903"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753414" w14:paraId="42841F5B" w14:textId="77777777" w:rsidTr="00BF2676">
        <w:trPr>
          <w:trHeight w:val="20"/>
        </w:trPr>
        <w:tc>
          <w:tcPr>
            <w:tcW w:w="3397" w:type="dxa"/>
            <w:vMerge/>
            <w:shd w:val="clear" w:color="auto" w:fill="auto"/>
            <w:vAlign w:val="center"/>
          </w:tcPr>
          <w:p w14:paraId="694CC076"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40804EB3" w14:textId="39CFF83D"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99.</w:t>
            </w:r>
          </w:p>
        </w:tc>
        <w:tc>
          <w:tcPr>
            <w:tcW w:w="6804" w:type="dxa"/>
            <w:shd w:val="clear" w:color="auto" w:fill="auto"/>
            <w:vAlign w:val="center"/>
          </w:tcPr>
          <w:p w14:paraId="7F55E218"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II.4. Atingeri ale drepturilor omului care pot fi cauzate la aplicarea proiectului </w:t>
            </w:r>
          </w:p>
          <w:p w14:paraId="15580F15" w14:textId="1CCFB70B"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Prevederile proiectului nu aduc atingere drepturilor fundamentale ale omului consacrate de 3 Constituţia Republicii Moldova, Declaraţia Universală a Drepturilor Omului şi Convenţia Europeană a Drepturilor Omului.</w:t>
            </w:r>
          </w:p>
        </w:tc>
        <w:tc>
          <w:tcPr>
            <w:tcW w:w="3123" w:type="dxa"/>
            <w:vMerge/>
            <w:shd w:val="clear" w:color="auto" w:fill="auto"/>
            <w:vAlign w:val="center"/>
          </w:tcPr>
          <w:p w14:paraId="6E475B3D"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p>
        </w:tc>
      </w:tr>
      <w:tr w:rsidR="00EF0BCC" w:rsidRPr="0046108E" w14:paraId="74B67241" w14:textId="77777777" w:rsidTr="00BF2676">
        <w:trPr>
          <w:trHeight w:val="20"/>
        </w:trPr>
        <w:tc>
          <w:tcPr>
            <w:tcW w:w="3397" w:type="dxa"/>
            <w:vMerge/>
            <w:shd w:val="clear" w:color="auto" w:fill="auto"/>
            <w:vAlign w:val="center"/>
          </w:tcPr>
          <w:p w14:paraId="5A8ADBEA" w14:textId="77777777" w:rsidR="00EF0BCC" w:rsidRPr="0046108E" w:rsidRDefault="00EF0BCC" w:rsidP="00845051">
            <w:pPr>
              <w:tabs>
                <w:tab w:val="left" w:pos="426"/>
                <w:tab w:val="left" w:pos="1196"/>
              </w:tabs>
              <w:spacing w:after="0" w:line="240" w:lineRule="auto"/>
              <w:ind w:right="110" w:firstLine="142"/>
              <w:contextualSpacing/>
              <w:rPr>
                <w:rFonts w:ascii="Times New Roman" w:hAnsi="Times New Roman"/>
                <w:sz w:val="24"/>
                <w:szCs w:val="24"/>
                <w:lang w:val="ro-MD"/>
              </w:rPr>
            </w:pPr>
          </w:p>
        </w:tc>
        <w:tc>
          <w:tcPr>
            <w:tcW w:w="1271" w:type="dxa"/>
            <w:vAlign w:val="center"/>
          </w:tcPr>
          <w:p w14:paraId="1C2398F2" w14:textId="2D70208B" w:rsidR="00EF0BCC" w:rsidRPr="0046108E" w:rsidRDefault="00EF0BCC" w:rsidP="00845051">
            <w:pPr>
              <w:pStyle w:val="NormalWeb"/>
              <w:tabs>
                <w:tab w:val="left" w:pos="426"/>
              </w:tabs>
              <w:ind w:right="110" w:firstLine="142"/>
              <w:contextualSpacing/>
              <w:jc w:val="left"/>
              <w:rPr>
                <w:bCs/>
                <w:iCs/>
                <w:lang w:val="ro-MD" w:eastAsia="en-US"/>
              </w:rPr>
            </w:pPr>
            <w:r w:rsidRPr="0046108E">
              <w:rPr>
                <w:bCs/>
                <w:iCs/>
                <w:lang w:val="ro-MD" w:eastAsia="en-US"/>
              </w:rPr>
              <w:t>100.</w:t>
            </w:r>
          </w:p>
        </w:tc>
        <w:tc>
          <w:tcPr>
            <w:tcW w:w="6804" w:type="dxa"/>
            <w:shd w:val="clear" w:color="auto" w:fill="auto"/>
            <w:vAlign w:val="center"/>
          </w:tcPr>
          <w:p w14:paraId="1676E98E"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III. Concluzia expertizei </w:t>
            </w:r>
          </w:p>
          <w:p w14:paraId="48447DE1"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Proiectul de hotărâre de Guvern de modificare a Hotărârii Guvernului nr. 679/2024 pentru aprobarea Regulamentului privind aplicarea măsurilor de protecție împotriva organismelor dăunătoare plantelor a fost elaborat de Ministerul Agriculturii și Industriei Alimentare. </w:t>
            </w:r>
          </w:p>
          <w:p w14:paraId="7404E40F"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art.36 al Legii nr.100/2017, coroborat cu art.28 al Legii nr.82/2017 - pentru efectuarea expertizei anticorupție. </w:t>
            </w:r>
          </w:p>
          <w:p w14:paraId="0015A35F"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lastRenderedPageBreak/>
              <w:t xml:space="preserve">În procesul de promovare a proiectului, au fost respectate rigorile de asigurare a transparenţei decizionale statuate de prevederile art.8 lit.a)-d) al Legii nr. 239-XVI din 13 noiembrie 2008 privind transparenţa în procesul decizional. </w:t>
            </w:r>
          </w:p>
          <w:p w14:paraId="1AFD4742" w14:textId="77777777"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 xml:space="preserve">Nota de fundamentare a proiectului a fost întocmită cu respectarea exigențelor de tehnică legislativă statuate de prevederile art.30 lit.a)-f) al Legii cu privire la actele normative nr.100 din 22 decembrie 2017. </w:t>
            </w:r>
          </w:p>
          <w:p w14:paraId="1CAF414D" w14:textId="01A37231" w:rsidR="00EF0BCC" w:rsidRPr="0046108E" w:rsidRDefault="00EF0BCC" w:rsidP="00845051">
            <w:pPr>
              <w:pStyle w:val="Listparagraf"/>
              <w:tabs>
                <w:tab w:val="left" w:pos="851"/>
              </w:tabs>
              <w:spacing w:after="0" w:line="240" w:lineRule="auto"/>
              <w:ind w:left="0" w:right="110" w:firstLine="142"/>
              <w:rPr>
                <w:sz w:val="24"/>
                <w:szCs w:val="24"/>
                <w:lang w:val="en-US"/>
              </w:rPr>
            </w:pPr>
            <w:r w:rsidRPr="0046108E">
              <w:rPr>
                <w:sz w:val="24"/>
                <w:szCs w:val="24"/>
                <w:lang w:val="en-US"/>
              </w:rPr>
              <w:t>Implementarea prevederilor propuse, poate contribui la realizarea interesului public vizat de proiect, fapt care nu este în detrimentul interesului public general (în sensul prevăzut în Legea integrităţii nr. 82 din 25 mai 2017).</w:t>
            </w:r>
          </w:p>
        </w:tc>
        <w:tc>
          <w:tcPr>
            <w:tcW w:w="3123" w:type="dxa"/>
            <w:shd w:val="clear" w:color="auto" w:fill="auto"/>
            <w:vAlign w:val="center"/>
          </w:tcPr>
          <w:p w14:paraId="0A68E218" w14:textId="0D8292EC" w:rsidR="00EF0BCC" w:rsidRPr="0046108E" w:rsidRDefault="00EF0BCC" w:rsidP="00845051">
            <w:pPr>
              <w:tabs>
                <w:tab w:val="left" w:pos="426"/>
                <w:tab w:val="left" w:pos="1196"/>
              </w:tabs>
              <w:spacing w:after="0" w:line="240" w:lineRule="auto"/>
              <w:ind w:right="110" w:firstLine="142"/>
              <w:contextualSpacing/>
              <w:rPr>
                <w:rFonts w:ascii="Times New Roman" w:hAnsi="Times New Roman"/>
                <w:b/>
                <w:sz w:val="24"/>
                <w:szCs w:val="24"/>
                <w:lang w:val="ro-MD"/>
              </w:rPr>
            </w:pPr>
            <w:r w:rsidRPr="0046108E">
              <w:rPr>
                <w:rFonts w:ascii="Times New Roman" w:hAnsi="Times New Roman"/>
                <w:b/>
                <w:sz w:val="24"/>
                <w:szCs w:val="24"/>
                <w:lang w:val="ro-MD"/>
              </w:rPr>
              <w:lastRenderedPageBreak/>
              <w:t>Se acceptă.</w:t>
            </w:r>
          </w:p>
        </w:tc>
      </w:tr>
    </w:tbl>
    <w:p w14:paraId="19EB83D7" w14:textId="4F6E2622" w:rsidR="00C70287" w:rsidRPr="0046108E" w:rsidRDefault="00C70287" w:rsidP="00845051">
      <w:pPr>
        <w:pStyle w:val="cb"/>
        <w:tabs>
          <w:tab w:val="left" w:pos="426"/>
        </w:tabs>
        <w:spacing w:before="0" w:beforeAutospacing="0" w:after="0" w:afterAutospacing="0"/>
        <w:ind w:right="110" w:firstLine="142"/>
        <w:contextualSpacing/>
        <w:rPr>
          <w:lang w:val="ro-MD" w:eastAsia="ro-RO"/>
        </w:rPr>
      </w:pPr>
    </w:p>
    <w:sectPr w:rsidR="00C70287" w:rsidRPr="0046108E" w:rsidSect="00845051">
      <w:footerReference w:type="default" r:id="rId11"/>
      <w:pgSz w:w="16838" w:h="11906" w:orient="landscape"/>
      <w:pgMar w:top="1134" w:right="851" w:bottom="113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8B30E" w14:textId="77777777" w:rsidR="007229E1" w:rsidRDefault="007229E1">
      <w:pPr>
        <w:spacing w:after="0" w:line="240" w:lineRule="auto"/>
      </w:pPr>
      <w:r>
        <w:separator/>
      </w:r>
    </w:p>
  </w:endnote>
  <w:endnote w:type="continuationSeparator" w:id="0">
    <w:p w14:paraId="4D23DF68" w14:textId="77777777" w:rsidR="007229E1" w:rsidRDefault="0072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2308B" w14:textId="77777777" w:rsidR="00EA1A12" w:rsidRDefault="00EA1A12">
    <w:pPr>
      <w:pBdr>
        <w:top w:val="nil"/>
        <w:left w:val="nil"/>
        <w:bottom w:val="nil"/>
        <w:right w:val="nil"/>
        <w:between w:val="nil"/>
      </w:pBdr>
      <w:tabs>
        <w:tab w:val="center" w:pos="4677"/>
        <w:tab w:val="right" w:pos="9355"/>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753414">
      <w:rPr>
        <w:rFonts w:eastAsia="Calibri" w:cs="Calibri"/>
        <w:noProof/>
        <w:color w:val="000000"/>
      </w:rPr>
      <w:t>49</w:t>
    </w:r>
    <w:r>
      <w:rPr>
        <w:rFonts w:eastAsia="Calibri" w:cs="Calibri"/>
        <w:color w:val="000000"/>
      </w:rPr>
      <w:fldChar w:fldCharType="end"/>
    </w:r>
  </w:p>
  <w:p w14:paraId="263D1CD7" w14:textId="77777777" w:rsidR="00EA1A12" w:rsidRDefault="00EA1A12">
    <w:pPr>
      <w:pBdr>
        <w:top w:val="nil"/>
        <w:left w:val="nil"/>
        <w:bottom w:val="nil"/>
        <w:right w:val="nil"/>
        <w:between w:val="nil"/>
      </w:pBdr>
      <w:tabs>
        <w:tab w:val="center" w:pos="4677"/>
        <w:tab w:val="right" w:pos="9355"/>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89036" w14:textId="77777777" w:rsidR="007229E1" w:rsidRDefault="007229E1">
      <w:pPr>
        <w:spacing w:after="0" w:line="240" w:lineRule="auto"/>
      </w:pPr>
      <w:r>
        <w:separator/>
      </w:r>
    </w:p>
  </w:footnote>
  <w:footnote w:type="continuationSeparator" w:id="0">
    <w:p w14:paraId="69B5335A" w14:textId="77777777" w:rsidR="007229E1" w:rsidRDefault="00722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3D94204"/>
    <w:multiLevelType w:val="hybridMultilevel"/>
    <w:tmpl w:val="DC6E18DE"/>
    <w:lvl w:ilvl="0" w:tplc="11E61E54">
      <w:start w:val="6"/>
      <w:numFmt w:val="bullet"/>
      <w:lvlText w:val="-"/>
      <w:lvlJc w:val="left"/>
      <w:pPr>
        <w:ind w:left="670" w:hanging="360"/>
      </w:pPr>
      <w:rPr>
        <w:rFonts w:ascii="Times New Roman" w:eastAsia="Times New Roman" w:hAnsi="Times New Roman" w:cs="Times New Roman" w:hint="default"/>
      </w:rPr>
    </w:lvl>
    <w:lvl w:ilvl="1" w:tplc="04190003" w:tentative="1">
      <w:start w:val="1"/>
      <w:numFmt w:val="bullet"/>
      <w:lvlText w:val="o"/>
      <w:lvlJc w:val="left"/>
      <w:pPr>
        <w:ind w:left="1390" w:hanging="360"/>
      </w:pPr>
      <w:rPr>
        <w:rFonts w:ascii="Courier New" w:hAnsi="Courier New" w:cs="Courier New" w:hint="default"/>
      </w:rPr>
    </w:lvl>
    <w:lvl w:ilvl="2" w:tplc="04190005" w:tentative="1">
      <w:start w:val="1"/>
      <w:numFmt w:val="bullet"/>
      <w:lvlText w:val=""/>
      <w:lvlJc w:val="left"/>
      <w:pPr>
        <w:ind w:left="2110" w:hanging="360"/>
      </w:pPr>
      <w:rPr>
        <w:rFonts w:ascii="Wingdings" w:hAnsi="Wingdings" w:hint="default"/>
      </w:rPr>
    </w:lvl>
    <w:lvl w:ilvl="3" w:tplc="04190001" w:tentative="1">
      <w:start w:val="1"/>
      <w:numFmt w:val="bullet"/>
      <w:lvlText w:val=""/>
      <w:lvlJc w:val="left"/>
      <w:pPr>
        <w:ind w:left="2830" w:hanging="360"/>
      </w:pPr>
      <w:rPr>
        <w:rFonts w:ascii="Symbol" w:hAnsi="Symbol" w:hint="default"/>
      </w:rPr>
    </w:lvl>
    <w:lvl w:ilvl="4" w:tplc="04190003" w:tentative="1">
      <w:start w:val="1"/>
      <w:numFmt w:val="bullet"/>
      <w:lvlText w:val="o"/>
      <w:lvlJc w:val="left"/>
      <w:pPr>
        <w:ind w:left="3550" w:hanging="360"/>
      </w:pPr>
      <w:rPr>
        <w:rFonts w:ascii="Courier New" w:hAnsi="Courier New" w:cs="Courier New" w:hint="default"/>
      </w:rPr>
    </w:lvl>
    <w:lvl w:ilvl="5" w:tplc="04190005" w:tentative="1">
      <w:start w:val="1"/>
      <w:numFmt w:val="bullet"/>
      <w:lvlText w:val=""/>
      <w:lvlJc w:val="left"/>
      <w:pPr>
        <w:ind w:left="4270" w:hanging="360"/>
      </w:pPr>
      <w:rPr>
        <w:rFonts w:ascii="Wingdings" w:hAnsi="Wingdings" w:hint="default"/>
      </w:rPr>
    </w:lvl>
    <w:lvl w:ilvl="6" w:tplc="04190001" w:tentative="1">
      <w:start w:val="1"/>
      <w:numFmt w:val="bullet"/>
      <w:lvlText w:val=""/>
      <w:lvlJc w:val="left"/>
      <w:pPr>
        <w:ind w:left="4990" w:hanging="360"/>
      </w:pPr>
      <w:rPr>
        <w:rFonts w:ascii="Symbol" w:hAnsi="Symbol" w:hint="default"/>
      </w:rPr>
    </w:lvl>
    <w:lvl w:ilvl="7" w:tplc="04190003" w:tentative="1">
      <w:start w:val="1"/>
      <w:numFmt w:val="bullet"/>
      <w:lvlText w:val="o"/>
      <w:lvlJc w:val="left"/>
      <w:pPr>
        <w:ind w:left="5710" w:hanging="360"/>
      </w:pPr>
      <w:rPr>
        <w:rFonts w:ascii="Courier New" w:hAnsi="Courier New" w:cs="Courier New" w:hint="default"/>
      </w:rPr>
    </w:lvl>
    <w:lvl w:ilvl="8" w:tplc="04190005" w:tentative="1">
      <w:start w:val="1"/>
      <w:numFmt w:val="bullet"/>
      <w:lvlText w:val=""/>
      <w:lvlJc w:val="left"/>
      <w:pPr>
        <w:ind w:left="6430" w:hanging="360"/>
      </w:pPr>
      <w:rPr>
        <w:rFonts w:ascii="Wingdings" w:hAnsi="Wingdings" w:hint="default"/>
      </w:rPr>
    </w:lvl>
  </w:abstractNum>
  <w:abstractNum w:abstractNumId="2" w15:restartNumberingAfterBreak="0">
    <w:nsid w:val="03FE4B2F"/>
    <w:multiLevelType w:val="multilevel"/>
    <w:tmpl w:val="34A04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4000A"/>
    <w:multiLevelType w:val="hybridMultilevel"/>
    <w:tmpl w:val="4CA275AA"/>
    <w:lvl w:ilvl="0" w:tplc="DF3CB6AA">
      <w:start w:val="1"/>
      <w:numFmt w:val="bullet"/>
      <w:lvlText w:val="-"/>
      <w:lvlJc w:val="left"/>
      <w:pPr>
        <w:ind w:left="1030" w:hanging="360"/>
      </w:pPr>
      <w:rPr>
        <w:rFonts w:ascii="Times New Roman" w:eastAsia="Times New Roman" w:hAnsi="Times New Roman" w:cs="Times New Roman"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4" w15:restartNumberingAfterBreak="0">
    <w:nsid w:val="05011613"/>
    <w:multiLevelType w:val="hybridMultilevel"/>
    <w:tmpl w:val="0A629A32"/>
    <w:lvl w:ilvl="0" w:tplc="1834C21A">
      <w:start w:val="1"/>
      <w:numFmt w:val="decimal"/>
      <w:lvlText w:val="%1."/>
      <w:lvlJc w:val="left"/>
      <w:pPr>
        <w:ind w:left="670" w:hanging="360"/>
      </w:pPr>
      <w:rPr>
        <w:rFonts w:hint="default"/>
        <w:i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5" w15:restartNumberingAfterBreak="0">
    <w:nsid w:val="0AE17A0A"/>
    <w:multiLevelType w:val="multilevel"/>
    <w:tmpl w:val="4412E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F7009D"/>
    <w:multiLevelType w:val="hybridMultilevel"/>
    <w:tmpl w:val="713098D0"/>
    <w:lvl w:ilvl="0" w:tplc="B9A45488">
      <w:start w:val="1"/>
      <w:numFmt w:val="lowerLetter"/>
      <w:lvlText w:val="%1)"/>
      <w:lvlJc w:val="left"/>
      <w:pPr>
        <w:ind w:left="3022" w:hanging="360"/>
      </w:pPr>
      <w:rPr>
        <w:rFonts w:hint="default"/>
      </w:rPr>
    </w:lvl>
    <w:lvl w:ilvl="1" w:tplc="04090019" w:tentative="1">
      <w:start w:val="1"/>
      <w:numFmt w:val="lowerLetter"/>
      <w:lvlText w:val="%2."/>
      <w:lvlJc w:val="left"/>
      <w:pPr>
        <w:ind w:left="3742" w:hanging="360"/>
      </w:pPr>
    </w:lvl>
    <w:lvl w:ilvl="2" w:tplc="0409001B" w:tentative="1">
      <w:start w:val="1"/>
      <w:numFmt w:val="lowerRoman"/>
      <w:lvlText w:val="%3."/>
      <w:lvlJc w:val="right"/>
      <w:pPr>
        <w:ind w:left="4462" w:hanging="180"/>
      </w:pPr>
    </w:lvl>
    <w:lvl w:ilvl="3" w:tplc="0409000F" w:tentative="1">
      <w:start w:val="1"/>
      <w:numFmt w:val="decimal"/>
      <w:lvlText w:val="%4."/>
      <w:lvlJc w:val="left"/>
      <w:pPr>
        <w:ind w:left="5182" w:hanging="360"/>
      </w:pPr>
    </w:lvl>
    <w:lvl w:ilvl="4" w:tplc="04090019" w:tentative="1">
      <w:start w:val="1"/>
      <w:numFmt w:val="lowerLetter"/>
      <w:lvlText w:val="%5."/>
      <w:lvlJc w:val="left"/>
      <w:pPr>
        <w:ind w:left="5902" w:hanging="360"/>
      </w:pPr>
    </w:lvl>
    <w:lvl w:ilvl="5" w:tplc="0409001B" w:tentative="1">
      <w:start w:val="1"/>
      <w:numFmt w:val="lowerRoman"/>
      <w:lvlText w:val="%6."/>
      <w:lvlJc w:val="right"/>
      <w:pPr>
        <w:ind w:left="6622" w:hanging="180"/>
      </w:pPr>
    </w:lvl>
    <w:lvl w:ilvl="6" w:tplc="0409000F" w:tentative="1">
      <w:start w:val="1"/>
      <w:numFmt w:val="decimal"/>
      <w:lvlText w:val="%7."/>
      <w:lvlJc w:val="left"/>
      <w:pPr>
        <w:ind w:left="7342" w:hanging="360"/>
      </w:pPr>
    </w:lvl>
    <w:lvl w:ilvl="7" w:tplc="04090019" w:tentative="1">
      <w:start w:val="1"/>
      <w:numFmt w:val="lowerLetter"/>
      <w:lvlText w:val="%8."/>
      <w:lvlJc w:val="left"/>
      <w:pPr>
        <w:ind w:left="8062" w:hanging="360"/>
      </w:pPr>
    </w:lvl>
    <w:lvl w:ilvl="8" w:tplc="0409001B" w:tentative="1">
      <w:start w:val="1"/>
      <w:numFmt w:val="lowerRoman"/>
      <w:lvlText w:val="%9."/>
      <w:lvlJc w:val="right"/>
      <w:pPr>
        <w:ind w:left="8782" w:hanging="180"/>
      </w:pPr>
    </w:lvl>
  </w:abstractNum>
  <w:abstractNum w:abstractNumId="7" w15:restartNumberingAfterBreak="0">
    <w:nsid w:val="0E503F88"/>
    <w:multiLevelType w:val="hybridMultilevel"/>
    <w:tmpl w:val="CB122C82"/>
    <w:lvl w:ilvl="0" w:tplc="D5C2EA0E">
      <w:start w:val="1"/>
      <w:numFmt w:val="lowerLetter"/>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8" w15:restartNumberingAfterBreak="0">
    <w:nsid w:val="0F7538BE"/>
    <w:multiLevelType w:val="hybridMultilevel"/>
    <w:tmpl w:val="0C6A99A6"/>
    <w:lvl w:ilvl="0" w:tplc="F94A330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D6544D"/>
    <w:multiLevelType w:val="hybridMultilevel"/>
    <w:tmpl w:val="CC543E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B270770"/>
    <w:multiLevelType w:val="hybridMultilevel"/>
    <w:tmpl w:val="0A06FEC6"/>
    <w:lvl w:ilvl="0" w:tplc="3D66060A">
      <w:start w:val="1"/>
      <w:numFmt w:val="upperRoman"/>
      <w:lvlText w:val="%1."/>
      <w:lvlJc w:val="left"/>
      <w:pPr>
        <w:ind w:left="1582" w:hanging="72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3C9C6A85"/>
    <w:multiLevelType w:val="hybridMultilevel"/>
    <w:tmpl w:val="C7EE70E4"/>
    <w:lvl w:ilvl="0" w:tplc="88A0E3AC">
      <w:start w:val="1"/>
      <w:numFmt w:val="decimal"/>
      <w:lvlText w:val="(%1)"/>
      <w:lvlJc w:val="left"/>
      <w:pPr>
        <w:ind w:left="670" w:hanging="360"/>
      </w:pPr>
      <w:rPr>
        <w:rFonts w:hint="default"/>
      </w:rPr>
    </w:lvl>
    <w:lvl w:ilvl="1" w:tplc="04190019" w:tentative="1">
      <w:start w:val="1"/>
      <w:numFmt w:val="lowerLetter"/>
      <w:lvlText w:val="%2."/>
      <w:lvlJc w:val="left"/>
      <w:pPr>
        <w:ind w:left="1390" w:hanging="360"/>
      </w:pPr>
    </w:lvl>
    <w:lvl w:ilvl="2" w:tplc="0419001B" w:tentative="1">
      <w:start w:val="1"/>
      <w:numFmt w:val="lowerRoman"/>
      <w:lvlText w:val="%3."/>
      <w:lvlJc w:val="right"/>
      <w:pPr>
        <w:ind w:left="2110" w:hanging="180"/>
      </w:pPr>
    </w:lvl>
    <w:lvl w:ilvl="3" w:tplc="0419000F" w:tentative="1">
      <w:start w:val="1"/>
      <w:numFmt w:val="decimal"/>
      <w:lvlText w:val="%4."/>
      <w:lvlJc w:val="left"/>
      <w:pPr>
        <w:ind w:left="2830" w:hanging="360"/>
      </w:pPr>
    </w:lvl>
    <w:lvl w:ilvl="4" w:tplc="04190019" w:tentative="1">
      <w:start w:val="1"/>
      <w:numFmt w:val="lowerLetter"/>
      <w:lvlText w:val="%5."/>
      <w:lvlJc w:val="left"/>
      <w:pPr>
        <w:ind w:left="3550" w:hanging="360"/>
      </w:pPr>
    </w:lvl>
    <w:lvl w:ilvl="5" w:tplc="0419001B" w:tentative="1">
      <w:start w:val="1"/>
      <w:numFmt w:val="lowerRoman"/>
      <w:lvlText w:val="%6."/>
      <w:lvlJc w:val="right"/>
      <w:pPr>
        <w:ind w:left="4270" w:hanging="180"/>
      </w:pPr>
    </w:lvl>
    <w:lvl w:ilvl="6" w:tplc="0419000F" w:tentative="1">
      <w:start w:val="1"/>
      <w:numFmt w:val="decimal"/>
      <w:lvlText w:val="%7."/>
      <w:lvlJc w:val="left"/>
      <w:pPr>
        <w:ind w:left="4990" w:hanging="360"/>
      </w:pPr>
    </w:lvl>
    <w:lvl w:ilvl="7" w:tplc="04190019" w:tentative="1">
      <w:start w:val="1"/>
      <w:numFmt w:val="lowerLetter"/>
      <w:lvlText w:val="%8."/>
      <w:lvlJc w:val="left"/>
      <w:pPr>
        <w:ind w:left="5710" w:hanging="360"/>
      </w:pPr>
    </w:lvl>
    <w:lvl w:ilvl="8" w:tplc="0419001B" w:tentative="1">
      <w:start w:val="1"/>
      <w:numFmt w:val="lowerRoman"/>
      <w:lvlText w:val="%9."/>
      <w:lvlJc w:val="right"/>
      <w:pPr>
        <w:ind w:left="6430" w:hanging="180"/>
      </w:pPr>
    </w:lvl>
  </w:abstractNum>
  <w:abstractNum w:abstractNumId="12" w15:restartNumberingAfterBreak="0">
    <w:nsid w:val="3FFA232B"/>
    <w:multiLevelType w:val="hybridMultilevel"/>
    <w:tmpl w:val="25C2F23A"/>
    <w:lvl w:ilvl="0" w:tplc="8500F93C">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3" w15:restartNumberingAfterBreak="0">
    <w:nsid w:val="432A6D0A"/>
    <w:multiLevelType w:val="hybridMultilevel"/>
    <w:tmpl w:val="4BCADCFC"/>
    <w:lvl w:ilvl="0" w:tplc="14FEA8C0">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1A85E99"/>
    <w:multiLevelType w:val="hybridMultilevel"/>
    <w:tmpl w:val="DED67BD6"/>
    <w:lvl w:ilvl="0" w:tplc="25F80660">
      <w:start w:val="1"/>
      <w:numFmt w:val="lowerLetter"/>
      <w:lvlText w:val="%1)"/>
      <w:lvlJc w:val="left"/>
      <w:pPr>
        <w:ind w:left="2662" w:hanging="360"/>
      </w:pPr>
      <w:rPr>
        <w:rFonts w:hint="default"/>
      </w:rPr>
    </w:lvl>
    <w:lvl w:ilvl="1" w:tplc="04090019" w:tentative="1">
      <w:start w:val="1"/>
      <w:numFmt w:val="lowerLetter"/>
      <w:lvlText w:val="%2."/>
      <w:lvlJc w:val="left"/>
      <w:pPr>
        <w:ind w:left="3382" w:hanging="360"/>
      </w:pPr>
    </w:lvl>
    <w:lvl w:ilvl="2" w:tplc="0409001B" w:tentative="1">
      <w:start w:val="1"/>
      <w:numFmt w:val="lowerRoman"/>
      <w:lvlText w:val="%3."/>
      <w:lvlJc w:val="right"/>
      <w:pPr>
        <w:ind w:left="4102" w:hanging="180"/>
      </w:pPr>
    </w:lvl>
    <w:lvl w:ilvl="3" w:tplc="0409000F" w:tentative="1">
      <w:start w:val="1"/>
      <w:numFmt w:val="decimal"/>
      <w:lvlText w:val="%4."/>
      <w:lvlJc w:val="left"/>
      <w:pPr>
        <w:ind w:left="4822" w:hanging="360"/>
      </w:pPr>
    </w:lvl>
    <w:lvl w:ilvl="4" w:tplc="04090019" w:tentative="1">
      <w:start w:val="1"/>
      <w:numFmt w:val="lowerLetter"/>
      <w:lvlText w:val="%5."/>
      <w:lvlJc w:val="left"/>
      <w:pPr>
        <w:ind w:left="5542" w:hanging="360"/>
      </w:pPr>
    </w:lvl>
    <w:lvl w:ilvl="5" w:tplc="0409001B" w:tentative="1">
      <w:start w:val="1"/>
      <w:numFmt w:val="lowerRoman"/>
      <w:lvlText w:val="%6."/>
      <w:lvlJc w:val="right"/>
      <w:pPr>
        <w:ind w:left="6262" w:hanging="180"/>
      </w:pPr>
    </w:lvl>
    <w:lvl w:ilvl="6" w:tplc="0409000F" w:tentative="1">
      <w:start w:val="1"/>
      <w:numFmt w:val="decimal"/>
      <w:lvlText w:val="%7."/>
      <w:lvlJc w:val="left"/>
      <w:pPr>
        <w:ind w:left="6982" w:hanging="360"/>
      </w:pPr>
    </w:lvl>
    <w:lvl w:ilvl="7" w:tplc="04090019" w:tentative="1">
      <w:start w:val="1"/>
      <w:numFmt w:val="lowerLetter"/>
      <w:lvlText w:val="%8."/>
      <w:lvlJc w:val="left"/>
      <w:pPr>
        <w:ind w:left="7702" w:hanging="360"/>
      </w:pPr>
    </w:lvl>
    <w:lvl w:ilvl="8" w:tplc="0409001B" w:tentative="1">
      <w:start w:val="1"/>
      <w:numFmt w:val="lowerRoman"/>
      <w:lvlText w:val="%9."/>
      <w:lvlJc w:val="right"/>
      <w:pPr>
        <w:ind w:left="8422" w:hanging="180"/>
      </w:pPr>
    </w:lvl>
  </w:abstractNum>
  <w:abstractNum w:abstractNumId="15" w15:restartNumberingAfterBreak="0">
    <w:nsid w:val="5AEA7D17"/>
    <w:multiLevelType w:val="multilevel"/>
    <w:tmpl w:val="7A1E40B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4614B1"/>
    <w:multiLevelType w:val="hybridMultilevel"/>
    <w:tmpl w:val="6CC404C8"/>
    <w:lvl w:ilvl="0" w:tplc="4872C894">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7" w15:restartNumberingAfterBreak="0">
    <w:nsid w:val="6A603819"/>
    <w:multiLevelType w:val="hybridMultilevel"/>
    <w:tmpl w:val="0A7A2E58"/>
    <w:lvl w:ilvl="0" w:tplc="8C64777A">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2"/>
  </w:num>
  <w:num w:numId="5">
    <w:abstractNumId w:val="3"/>
  </w:num>
  <w:num w:numId="6">
    <w:abstractNumId w:val="1"/>
  </w:num>
  <w:num w:numId="7">
    <w:abstractNumId w:val="11"/>
  </w:num>
  <w:num w:numId="8">
    <w:abstractNumId w:val="4"/>
  </w:num>
  <w:num w:numId="9">
    <w:abstractNumId w:val="0"/>
  </w:num>
  <w:num w:numId="10">
    <w:abstractNumId w:val="13"/>
  </w:num>
  <w:num w:numId="11">
    <w:abstractNumId w:val="10"/>
  </w:num>
  <w:num w:numId="12">
    <w:abstractNumId w:val="16"/>
  </w:num>
  <w:num w:numId="13">
    <w:abstractNumId w:val="7"/>
  </w:num>
  <w:num w:numId="14">
    <w:abstractNumId w:val="14"/>
  </w:num>
  <w:num w:numId="15">
    <w:abstractNumId w:val="6"/>
  </w:num>
  <w:num w:numId="16">
    <w:abstractNumId w:val="17"/>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BD"/>
    <w:rsid w:val="000009D9"/>
    <w:rsid w:val="000013AA"/>
    <w:rsid w:val="000034B1"/>
    <w:rsid w:val="000043CB"/>
    <w:rsid w:val="00007680"/>
    <w:rsid w:val="000122DA"/>
    <w:rsid w:val="0001333E"/>
    <w:rsid w:val="000140D6"/>
    <w:rsid w:val="000144CF"/>
    <w:rsid w:val="000152EE"/>
    <w:rsid w:val="00015E86"/>
    <w:rsid w:val="00020CD0"/>
    <w:rsid w:val="00030D52"/>
    <w:rsid w:val="0003131C"/>
    <w:rsid w:val="00034836"/>
    <w:rsid w:val="00035333"/>
    <w:rsid w:val="00037F65"/>
    <w:rsid w:val="000422C3"/>
    <w:rsid w:val="00042339"/>
    <w:rsid w:val="00044A3E"/>
    <w:rsid w:val="0005022D"/>
    <w:rsid w:val="00051C2B"/>
    <w:rsid w:val="00056174"/>
    <w:rsid w:val="00056E0C"/>
    <w:rsid w:val="000611AB"/>
    <w:rsid w:val="00061F10"/>
    <w:rsid w:val="0007101A"/>
    <w:rsid w:val="000771DE"/>
    <w:rsid w:val="00077D8F"/>
    <w:rsid w:val="00081824"/>
    <w:rsid w:val="000821FF"/>
    <w:rsid w:val="000836AA"/>
    <w:rsid w:val="000847B2"/>
    <w:rsid w:val="00086603"/>
    <w:rsid w:val="00086940"/>
    <w:rsid w:val="00092832"/>
    <w:rsid w:val="00096368"/>
    <w:rsid w:val="0009719C"/>
    <w:rsid w:val="000A3C46"/>
    <w:rsid w:val="000A4B3B"/>
    <w:rsid w:val="000A4F53"/>
    <w:rsid w:val="000A5482"/>
    <w:rsid w:val="000A636F"/>
    <w:rsid w:val="000B0953"/>
    <w:rsid w:val="000B1285"/>
    <w:rsid w:val="000B4288"/>
    <w:rsid w:val="000B61B2"/>
    <w:rsid w:val="000B72BF"/>
    <w:rsid w:val="000C0537"/>
    <w:rsid w:val="000C18BC"/>
    <w:rsid w:val="000C1902"/>
    <w:rsid w:val="000C4BFD"/>
    <w:rsid w:val="000C50BC"/>
    <w:rsid w:val="000C7721"/>
    <w:rsid w:val="000D04C0"/>
    <w:rsid w:val="000D191D"/>
    <w:rsid w:val="000D230D"/>
    <w:rsid w:val="000D73B8"/>
    <w:rsid w:val="000E18C7"/>
    <w:rsid w:val="000E48A4"/>
    <w:rsid w:val="000E64A4"/>
    <w:rsid w:val="000E6D87"/>
    <w:rsid w:val="000E7939"/>
    <w:rsid w:val="000E7A8D"/>
    <w:rsid w:val="000F50E3"/>
    <w:rsid w:val="000F60A8"/>
    <w:rsid w:val="000F627A"/>
    <w:rsid w:val="001002F6"/>
    <w:rsid w:val="0010144B"/>
    <w:rsid w:val="00102DD7"/>
    <w:rsid w:val="001104FA"/>
    <w:rsid w:val="00110DEF"/>
    <w:rsid w:val="001119BB"/>
    <w:rsid w:val="0011380F"/>
    <w:rsid w:val="0011432C"/>
    <w:rsid w:val="0011622B"/>
    <w:rsid w:val="00116B8A"/>
    <w:rsid w:val="001207C6"/>
    <w:rsid w:val="00122DBB"/>
    <w:rsid w:val="00135EB3"/>
    <w:rsid w:val="00142D42"/>
    <w:rsid w:val="0014319B"/>
    <w:rsid w:val="0015035B"/>
    <w:rsid w:val="00150AE4"/>
    <w:rsid w:val="001515B9"/>
    <w:rsid w:val="0015173D"/>
    <w:rsid w:val="00153391"/>
    <w:rsid w:val="0016043E"/>
    <w:rsid w:val="00160A68"/>
    <w:rsid w:val="00165255"/>
    <w:rsid w:val="00165801"/>
    <w:rsid w:val="00171DE2"/>
    <w:rsid w:val="00172541"/>
    <w:rsid w:val="00175FDF"/>
    <w:rsid w:val="00176CB5"/>
    <w:rsid w:val="00176D9F"/>
    <w:rsid w:val="00180162"/>
    <w:rsid w:val="00180B4B"/>
    <w:rsid w:val="00180D55"/>
    <w:rsid w:val="00184837"/>
    <w:rsid w:val="00191FBC"/>
    <w:rsid w:val="0019373B"/>
    <w:rsid w:val="00194695"/>
    <w:rsid w:val="001966E5"/>
    <w:rsid w:val="0019697B"/>
    <w:rsid w:val="001A2C5E"/>
    <w:rsid w:val="001A2F41"/>
    <w:rsid w:val="001A42C9"/>
    <w:rsid w:val="001A450B"/>
    <w:rsid w:val="001A4818"/>
    <w:rsid w:val="001A5710"/>
    <w:rsid w:val="001A7254"/>
    <w:rsid w:val="001B0DC7"/>
    <w:rsid w:val="001B141E"/>
    <w:rsid w:val="001B46BA"/>
    <w:rsid w:val="001B6DE1"/>
    <w:rsid w:val="001B70F6"/>
    <w:rsid w:val="001C046D"/>
    <w:rsid w:val="001C0501"/>
    <w:rsid w:val="001C0F59"/>
    <w:rsid w:val="001C2AF6"/>
    <w:rsid w:val="001C57E1"/>
    <w:rsid w:val="001C6FCC"/>
    <w:rsid w:val="001C7599"/>
    <w:rsid w:val="001D06B0"/>
    <w:rsid w:val="001D16DA"/>
    <w:rsid w:val="001D1F57"/>
    <w:rsid w:val="001E06CD"/>
    <w:rsid w:val="001F0AB2"/>
    <w:rsid w:val="001F2620"/>
    <w:rsid w:val="001F2B3F"/>
    <w:rsid w:val="001F4561"/>
    <w:rsid w:val="001F67F6"/>
    <w:rsid w:val="00204816"/>
    <w:rsid w:val="002109D4"/>
    <w:rsid w:val="002114BA"/>
    <w:rsid w:val="002137D5"/>
    <w:rsid w:val="0021392A"/>
    <w:rsid w:val="00217878"/>
    <w:rsid w:val="002234C0"/>
    <w:rsid w:val="00223941"/>
    <w:rsid w:val="002248A5"/>
    <w:rsid w:val="00224A31"/>
    <w:rsid w:val="00224AF0"/>
    <w:rsid w:val="0022646A"/>
    <w:rsid w:val="00230C2D"/>
    <w:rsid w:val="00230E94"/>
    <w:rsid w:val="00232F6C"/>
    <w:rsid w:val="00233316"/>
    <w:rsid w:val="002355A9"/>
    <w:rsid w:val="00235692"/>
    <w:rsid w:val="00241359"/>
    <w:rsid w:val="0024271A"/>
    <w:rsid w:val="00244298"/>
    <w:rsid w:val="002463F4"/>
    <w:rsid w:val="00246514"/>
    <w:rsid w:val="0025157A"/>
    <w:rsid w:val="00254ED2"/>
    <w:rsid w:val="002559E3"/>
    <w:rsid w:val="00262B4A"/>
    <w:rsid w:val="00267ACB"/>
    <w:rsid w:val="00270B2C"/>
    <w:rsid w:val="00272AB7"/>
    <w:rsid w:val="00274488"/>
    <w:rsid w:val="002818EC"/>
    <w:rsid w:val="00285A3D"/>
    <w:rsid w:val="002866CB"/>
    <w:rsid w:val="00287160"/>
    <w:rsid w:val="00287FF0"/>
    <w:rsid w:val="00291526"/>
    <w:rsid w:val="00291793"/>
    <w:rsid w:val="002A36AD"/>
    <w:rsid w:val="002B25FD"/>
    <w:rsid w:val="002B33F7"/>
    <w:rsid w:val="002B4B46"/>
    <w:rsid w:val="002B5E68"/>
    <w:rsid w:val="002B65A6"/>
    <w:rsid w:val="002B6A11"/>
    <w:rsid w:val="002B789D"/>
    <w:rsid w:val="002C1D8A"/>
    <w:rsid w:val="002C3406"/>
    <w:rsid w:val="002C44CE"/>
    <w:rsid w:val="002C7272"/>
    <w:rsid w:val="002C7DEB"/>
    <w:rsid w:val="002D266F"/>
    <w:rsid w:val="002D43C8"/>
    <w:rsid w:val="002D6091"/>
    <w:rsid w:val="002E0B98"/>
    <w:rsid w:val="002E1F3A"/>
    <w:rsid w:val="002E2386"/>
    <w:rsid w:val="002E498B"/>
    <w:rsid w:val="002E4F75"/>
    <w:rsid w:val="002F2493"/>
    <w:rsid w:val="002F4613"/>
    <w:rsid w:val="0030020C"/>
    <w:rsid w:val="0030036C"/>
    <w:rsid w:val="00300B58"/>
    <w:rsid w:val="0031429F"/>
    <w:rsid w:val="0031618E"/>
    <w:rsid w:val="00316EAB"/>
    <w:rsid w:val="003217CE"/>
    <w:rsid w:val="00321976"/>
    <w:rsid w:val="00321A85"/>
    <w:rsid w:val="003234F9"/>
    <w:rsid w:val="00323519"/>
    <w:rsid w:val="003317EF"/>
    <w:rsid w:val="00333F68"/>
    <w:rsid w:val="00341394"/>
    <w:rsid w:val="00342F8E"/>
    <w:rsid w:val="00343A67"/>
    <w:rsid w:val="0034513A"/>
    <w:rsid w:val="00351A19"/>
    <w:rsid w:val="003525FF"/>
    <w:rsid w:val="00354542"/>
    <w:rsid w:val="0036677E"/>
    <w:rsid w:val="00371B62"/>
    <w:rsid w:val="003735C6"/>
    <w:rsid w:val="00373C50"/>
    <w:rsid w:val="00377687"/>
    <w:rsid w:val="00380546"/>
    <w:rsid w:val="003822A4"/>
    <w:rsid w:val="00382F37"/>
    <w:rsid w:val="003835B9"/>
    <w:rsid w:val="00384217"/>
    <w:rsid w:val="0038452E"/>
    <w:rsid w:val="0039406D"/>
    <w:rsid w:val="00396DFB"/>
    <w:rsid w:val="0039744D"/>
    <w:rsid w:val="003A1C2F"/>
    <w:rsid w:val="003A4DF9"/>
    <w:rsid w:val="003B0057"/>
    <w:rsid w:val="003B37E8"/>
    <w:rsid w:val="003B4115"/>
    <w:rsid w:val="003B530D"/>
    <w:rsid w:val="003B56DD"/>
    <w:rsid w:val="003B7D1D"/>
    <w:rsid w:val="003C12A7"/>
    <w:rsid w:val="003C71C8"/>
    <w:rsid w:val="003C7650"/>
    <w:rsid w:val="003D48D6"/>
    <w:rsid w:val="003D586E"/>
    <w:rsid w:val="003D6C80"/>
    <w:rsid w:val="003E0645"/>
    <w:rsid w:val="003E2BB0"/>
    <w:rsid w:val="003E42EF"/>
    <w:rsid w:val="003E4FE0"/>
    <w:rsid w:val="003E502F"/>
    <w:rsid w:val="003F0133"/>
    <w:rsid w:val="003F320E"/>
    <w:rsid w:val="003F4608"/>
    <w:rsid w:val="003F4A59"/>
    <w:rsid w:val="003F623E"/>
    <w:rsid w:val="00401C72"/>
    <w:rsid w:val="004031F3"/>
    <w:rsid w:val="00404975"/>
    <w:rsid w:val="0040761B"/>
    <w:rsid w:val="00411F40"/>
    <w:rsid w:val="00413949"/>
    <w:rsid w:val="00414D12"/>
    <w:rsid w:val="00416F21"/>
    <w:rsid w:val="00420B41"/>
    <w:rsid w:val="00421B0D"/>
    <w:rsid w:val="004228D5"/>
    <w:rsid w:val="00423EAD"/>
    <w:rsid w:val="004246C4"/>
    <w:rsid w:val="004248A0"/>
    <w:rsid w:val="00424BCC"/>
    <w:rsid w:val="0042674B"/>
    <w:rsid w:val="00427E59"/>
    <w:rsid w:val="00431324"/>
    <w:rsid w:val="00432FAB"/>
    <w:rsid w:val="00434BAA"/>
    <w:rsid w:val="00435A25"/>
    <w:rsid w:val="004432CF"/>
    <w:rsid w:val="0044466C"/>
    <w:rsid w:val="00445243"/>
    <w:rsid w:val="004523C3"/>
    <w:rsid w:val="0045399F"/>
    <w:rsid w:val="00454BE2"/>
    <w:rsid w:val="0045631A"/>
    <w:rsid w:val="0046108E"/>
    <w:rsid w:val="00462806"/>
    <w:rsid w:val="0046393B"/>
    <w:rsid w:val="00470022"/>
    <w:rsid w:val="0047037C"/>
    <w:rsid w:val="004747C0"/>
    <w:rsid w:val="00474D32"/>
    <w:rsid w:val="0047506A"/>
    <w:rsid w:val="004759FF"/>
    <w:rsid w:val="004813C2"/>
    <w:rsid w:val="00483CBC"/>
    <w:rsid w:val="00484793"/>
    <w:rsid w:val="00485D6F"/>
    <w:rsid w:val="00495928"/>
    <w:rsid w:val="0049645E"/>
    <w:rsid w:val="00496BBD"/>
    <w:rsid w:val="004A17D3"/>
    <w:rsid w:val="004A36A5"/>
    <w:rsid w:val="004A6274"/>
    <w:rsid w:val="004B021C"/>
    <w:rsid w:val="004B111B"/>
    <w:rsid w:val="004B1212"/>
    <w:rsid w:val="004B45E3"/>
    <w:rsid w:val="004B4F6E"/>
    <w:rsid w:val="004B5C63"/>
    <w:rsid w:val="004B6543"/>
    <w:rsid w:val="004B732B"/>
    <w:rsid w:val="004C30AE"/>
    <w:rsid w:val="004C405A"/>
    <w:rsid w:val="004C6151"/>
    <w:rsid w:val="004D0A06"/>
    <w:rsid w:val="004D163A"/>
    <w:rsid w:val="004D1EA9"/>
    <w:rsid w:val="004D39F1"/>
    <w:rsid w:val="004D428C"/>
    <w:rsid w:val="004D5141"/>
    <w:rsid w:val="004D616C"/>
    <w:rsid w:val="004E0418"/>
    <w:rsid w:val="004E0E01"/>
    <w:rsid w:val="004E2757"/>
    <w:rsid w:val="004E2B05"/>
    <w:rsid w:val="004E2C81"/>
    <w:rsid w:val="004E4D9B"/>
    <w:rsid w:val="004E614B"/>
    <w:rsid w:val="004E6390"/>
    <w:rsid w:val="004F2C6B"/>
    <w:rsid w:val="004F4C08"/>
    <w:rsid w:val="004F4E27"/>
    <w:rsid w:val="004F6065"/>
    <w:rsid w:val="004F704D"/>
    <w:rsid w:val="004F7A22"/>
    <w:rsid w:val="00500C97"/>
    <w:rsid w:val="005038E8"/>
    <w:rsid w:val="0050685C"/>
    <w:rsid w:val="005106E0"/>
    <w:rsid w:val="00511CA0"/>
    <w:rsid w:val="00515B21"/>
    <w:rsid w:val="00521507"/>
    <w:rsid w:val="0052369E"/>
    <w:rsid w:val="00525D4F"/>
    <w:rsid w:val="00533D01"/>
    <w:rsid w:val="005369A4"/>
    <w:rsid w:val="00542744"/>
    <w:rsid w:val="00543139"/>
    <w:rsid w:val="00552465"/>
    <w:rsid w:val="00554962"/>
    <w:rsid w:val="00554FBF"/>
    <w:rsid w:val="005564CD"/>
    <w:rsid w:val="00556CDF"/>
    <w:rsid w:val="00556FED"/>
    <w:rsid w:val="00560B4D"/>
    <w:rsid w:val="00563CF4"/>
    <w:rsid w:val="00564D59"/>
    <w:rsid w:val="00565326"/>
    <w:rsid w:val="00567408"/>
    <w:rsid w:val="005678ED"/>
    <w:rsid w:val="0057109A"/>
    <w:rsid w:val="00572CA5"/>
    <w:rsid w:val="005730F8"/>
    <w:rsid w:val="00573113"/>
    <w:rsid w:val="0057471E"/>
    <w:rsid w:val="005760A6"/>
    <w:rsid w:val="00577273"/>
    <w:rsid w:val="00577649"/>
    <w:rsid w:val="005844C9"/>
    <w:rsid w:val="00584BEA"/>
    <w:rsid w:val="00587B68"/>
    <w:rsid w:val="00593346"/>
    <w:rsid w:val="005949AA"/>
    <w:rsid w:val="005977C6"/>
    <w:rsid w:val="00597989"/>
    <w:rsid w:val="005A109C"/>
    <w:rsid w:val="005A1D3A"/>
    <w:rsid w:val="005A1EFF"/>
    <w:rsid w:val="005A7C50"/>
    <w:rsid w:val="005A7DE7"/>
    <w:rsid w:val="005B06AC"/>
    <w:rsid w:val="005B2D8C"/>
    <w:rsid w:val="005C0C06"/>
    <w:rsid w:val="005C1020"/>
    <w:rsid w:val="005C2D86"/>
    <w:rsid w:val="005C45BE"/>
    <w:rsid w:val="005C48F9"/>
    <w:rsid w:val="005C4F97"/>
    <w:rsid w:val="005C5042"/>
    <w:rsid w:val="005D44F6"/>
    <w:rsid w:val="005D4987"/>
    <w:rsid w:val="005E255D"/>
    <w:rsid w:val="005E2A27"/>
    <w:rsid w:val="005E2A30"/>
    <w:rsid w:val="005E36E7"/>
    <w:rsid w:val="005F2732"/>
    <w:rsid w:val="005F4416"/>
    <w:rsid w:val="00600B77"/>
    <w:rsid w:val="00601116"/>
    <w:rsid w:val="00607A03"/>
    <w:rsid w:val="00615F98"/>
    <w:rsid w:val="00616FBC"/>
    <w:rsid w:val="00617024"/>
    <w:rsid w:val="006177D4"/>
    <w:rsid w:val="006223E9"/>
    <w:rsid w:val="006321BF"/>
    <w:rsid w:val="00635538"/>
    <w:rsid w:val="0063758F"/>
    <w:rsid w:val="00640745"/>
    <w:rsid w:val="00641A44"/>
    <w:rsid w:val="006420F0"/>
    <w:rsid w:val="00642C8E"/>
    <w:rsid w:val="00643555"/>
    <w:rsid w:val="006526BE"/>
    <w:rsid w:val="00652E36"/>
    <w:rsid w:val="00653EB4"/>
    <w:rsid w:val="00654C7E"/>
    <w:rsid w:val="00655307"/>
    <w:rsid w:val="00662653"/>
    <w:rsid w:val="006679ED"/>
    <w:rsid w:val="00671082"/>
    <w:rsid w:val="00673EDD"/>
    <w:rsid w:val="00676278"/>
    <w:rsid w:val="00676AF4"/>
    <w:rsid w:val="00680FC4"/>
    <w:rsid w:val="00681520"/>
    <w:rsid w:val="00681894"/>
    <w:rsid w:val="006873A2"/>
    <w:rsid w:val="006907EC"/>
    <w:rsid w:val="0069137B"/>
    <w:rsid w:val="00691413"/>
    <w:rsid w:val="00692D6C"/>
    <w:rsid w:val="00694B8B"/>
    <w:rsid w:val="006958BA"/>
    <w:rsid w:val="006966E8"/>
    <w:rsid w:val="006A4ED2"/>
    <w:rsid w:val="006B05B6"/>
    <w:rsid w:val="006B17EE"/>
    <w:rsid w:val="006B1981"/>
    <w:rsid w:val="006C5DBB"/>
    <w:rsid w:val="006D23F0"/>
    <w:rsid w:val="006D2DE7"/>
    <w:rsid w:val="006D65E6"/>
    <w:rsid w:val="006E2853"/>
    <w:rsid w:val="006E47D6"/>
    <w:rsid w:val="006E6D22"/>
    <w:rsid w:val="00700BEA"/>
    <w:rsid w:val="00702830"/>
    <w:rsid w:val="00706284"/>
    <w:rsid w:val="0071201C"/>
    <w:rsid w:val="00712BB5"/>
    <w:rsid w:val="0071343D"/>
    <w:rsid w:val="00713EA8"/>
    <w:rsid w:val="00717A1D"/>
    <w:rsid w:val="00721A8E"/>
    <w:rsid w:val="007229E1"/>
    <w:rsid w:val="00723908"/>
    <w:rsid w:val="00724C9C"/>
    <w:rsid w:val="00724F47"/>
    <w:rsid w:val="00727355"/>
    <w:rsid w:val="007275AB"/>
    <w:rsid w:val="0073189E"/>
    <w:rsid w:val="007319BC"/>
    <w:rsid w:val="00731AFF"/>
    <w:rsid w:val="00731CF8"/>
    <w:rsid w:val="00733083"/>
    <w:rsid w:val="00736C5A"/>
    <w:rsid w:val="007437C1"/>
    <w:rsid w:val="00744B50"/>
    <w:rsid w:val="0075149F"/>
    <w:rsid w:val="007524E3"/>
    <w:rsid w:val="00752D2C"/>
    <w:rsid w:val="00753414"/>
    <w:rsid w:val="00753D18"/>
    <w:rsid w:val="007546E7"/>
    <w:rsid w:val="007556BC"/>
    <w:rsid w:val="00755909"/>
    <w:rsid w:val="00756BF6"/>
    <w:rsid w:val="0075793B"/>
    <w:rsid w:val="00760498"/>
    <w:rsid w:val="007630F3"/>
    <w:rsid w:val="00766FB2"/>
    <w:rsid w:val="00767BCC"/>
    <w:rsid w:val="00767DC5"/>
    <w:rsid w:val="00770CD4"/>
    <w:rsid w:val="00771C0D"/>
    <w:rsid w:val="0077532C"/>
    <w:rsid w:val="007779F7"/>
    <w:rsid w:val="007834DA"/>
    <w:rsid w:val="00783676"/>
    <w:rsid w:val="007837A8"/>
    <w:rsid w:val="00784530"/>
    <w:rsid w:val="007856B7"/>
    <w:rsid w:val="00792444"/>
    <w:rsid w:val="0079642B"/>
    <w:rsid w:val="007A6312"/>
    <w:rsid w:val="007A6DFB"/>
    <w:rsid w:val="007B22D6"/>
    <w:rsid w:val="007B33BF"/>
    <w:rsid w:val="007B424A"/>
    <w:rsid w:val="007B6718"/>
    <w:rsid w:val="007C453A"/>
    <w:rsid w:val="007D0010"/>
    <w:rsid w:val="007D1A56"/>
    <w:rsid w:val="007D3962"/>
    <w:rsid w:val="007D3CC6"/>
    <w:rsid w:val="007D4862"/>
    <w:rsid w:val="007D5BBA"/>
    <w:rsid w:val="007D5CCD"/>
    <w:rsid w:val="007D6EE9"/>
    <w:rsid w:val="007E1DB8"/>
    <w:rsid w:val="007E28A4"/>
    <w:rsid w:val="007E29CE"/>
    <w:rsid w:val="007E29D5"/>
    <w:rsid w:val="007E440F"/>
    <w:rsid w:val="007E49FF"/>
    <w:rsid w:val="007F15A4"/>
    <w:rsid w:val="007F2DBB"/>
    <w:rsid w:val="007F36F8"/>
    <w:rsid w:val="007F3777"/>
    <w:rsid w:val="007F4BDD"/>
    <w:rsid w:val="008022C6"/>
    <w:rsid w:val="008051CB"/>
    <w:rsid w:val="00806260"/>
    <w:rsid w:val="0080636B"/>
    <w:rsid w:val="00806870"/>
    <w:rsid w:val="00806B2E"/>
    <w:rsid w:val="008102F4"/>
    <w:rsid w:val="00812CF2"/>
    <w:rsid w:val="008139CC"/>
    <w:rsid w:val="00822A04"/>
    <w:rsid w:val="00823B83"/>
    <w:rsid w:val="0082419E"/>
    <w:rsid w:val="0082487A"/>
    <w:rsid w:val="00824A4D"/>
    <w:rsid w:val="00826762"/>
    <w:rsid w:val="00826978"/>
    <w:rsid w:val="00827364"/>
    <w:rsid w:val="00830CC6"/>
    <w:rsid w:val="00833A87"/>
    <w:rsid w:val="00840006"/>
    <w:rsid w:val="008411AB"/>
    <w:rsid w:val="0084146F"/>
    <w:rsid w:val="00843137"/>
    <w:rsid w:val="00845051"/>
    <w:rsid w:val="00850016"/>
    <w:rsid w:val="0085393A"/>
    <w:rsid w:val="0086036C"/>
    <w:rsid w:val="00865391"/>
    <w:rsid w:val="00866795"/>
    <w:rsid w:val="008712B9"/>
    <w:rsid w:val="008735C0"/>
    <w:rsid w:val="00874176"/>
    <w:rsid w:val="008803EF"/>
    <w:rsid w:val="00880F72"/>
    <w:rsid w:val="00881059"/>
    <w:rsid w:val="008823DC"/>
    <w:rsid w:val="00882606"/>
    <w:rsid w:val="00882645"/>
    <w:rsid w:val="00882766"/>
    <w:rsid w:val="00884ADF"/>
    <w:rsid w:val="00885650"/>
    <w:rsid w:val="0088587D"/>
    <w:rsid w:val="00885AAA"/>
    <w:rsid w:val="00886833"/>
    <w:rsid w:val="0089529B"/>
    <w:rsid w:val="0089656B"/>
    <w:rsid w:val="008A083F"/>
    <w:rsid w:val="008A08A7"/>
    <w:rsid w:val="008A0BFA"/>
    <w:rsid w:val="008A178F"/>
    <w:rsid w:val="008A1D9D"/>
    <w:rsid w:val="008A33A1"/>
    <w:rsid w:val="008B17C6"/>
    <w:rsid w:val="008B3719"/>
    <w:rsid w:val="008B46CD"/>
    <w:rsid w:val="008B630F"/>
    <w:rsid w:val="008C238E"/>
    <w:rsid w:val="008C3E5E"/>
    <w:rsid w:val="008C4541"/>
    <w:rsid w:val="008C5802"/>
    <w:rsid w:val="008D36A4"/>
    <w:rsid w:val="008D4599"/>
    <w:rsid w:val="008E55D9"/>
    <w:rsid w:val="008E5E41"/>
    <w:rsid w:val="008E5F15"/>
    <w:rsid w:val="008F5236"/>
    <w:rsid w:val="0090166B"/>
    <w:rsid w:val="00903026"/>
    <w:rsid w:val="00904E1A"/>
    <w:rsid w:val="00905C4E"/>
    <w:rsid w:val="00906599"/>
    <w:rsid w:val="00915C82"/>
    <w:rsid w:val="009169BF"/>
    <w:rsid w:val="00916B07"/>
    <w:rsid w:val="009214E4"/>
    <w:rsid w:val="00921AD1"/>
    <w:rsid w:val="009224EB"/>
    <w:rsid w:val="00922C46"/>
    <w:rsid w:val="00925DE1"/>
    <w:rsid w:val="0092689B"/>
    <w:rsid w:val="00926AD1"/>
    <w:rsid w:val="00927118"/>
    <w:rsid w:val="00930F76"/>
    <w:rsid w:val="00931839"/>
    <w:rsid w:val="00932CFF"/>
    <w:rsid w:val="00934AD9"/>
    <w:rsid w:val="0094024E"/>
    <w:rsid w:val="00940A01"/>
    <w:rsid w:val="00943AAE"/>
    <w:rsid w:val="009509F9"/>
    <w:rsid w:val="0095235B"/>
    <w:rsid w:val="009545CA"/>
    <w:rsid w:val="00955DFC"/>
    <w:rsid w:val="00955E36"/>
    <w:rsid w:val="00957149"/>
    <w:rsid w:val="00957CF3"/>
    <w:rsid w:val="0096078D"/>
    <w:rsid w:val="00961A55"/>
    <w:rsid w:val="00961EAB"/>
    <w:rsid w:val="00963F84"/>
    <w:rsid w:val="00970FCB"/>
    <w:rsid w:val="00974A03"/>
    <w:rsid w:val="00975B50"/>
    <w:rsid w:val="00976F30"/>
    <w:rsid w:val="00977E07"/>
    <w:rsid w:val="00981A43"/>
    <w:rsid w:val="0098203E"/>
    <w:rsid w:val="009857A0"/>
    <w:rsid w:val="009906B4"/>
    <w:rsid w:val="0099260A"/>
    <w:rsid w:val="009976FD"/>
    <w:rsid w:val="009A71EF"/>
    <w:rsid w:val="009B0FEB"/>
    <w:rsid w:val="009B2348"/>
    <w:rsid w:val="009B28C2"/>
    <w:rsid w:val="009B5AC0"/>
    <w:rsid w:val="009B6457"/>
    <w:rsid w:val="009C14F1"/>
    <w:rsid w:val="009C3E16"/>
    <w:rsid w:val="009C5666"/>
    <w:rsid w:val="009C6502"/>
    <w:rsid w:val="009C6E23"/>
    <w:rsid w:val="009E172F"/>
    <w:rsid w:val="009E1A8E"/>
    <w:rsid w:val="009E4241"/>
    <w:rsid w:val="009E542A"/>
    <w:rsid w:val="009E6F27"/>
    <w:rsid w:val="009F0BFD"/>
    <w:rsid w:val="009F219B"/>
    <w:rsid w:val="009F5028"/>
    <w:rsid w:val="009F561B"/>
    <w:rsid w:val="009F6D54"/>
    <w:rsid w:val="00A024A3"/>
    <w:rsid w:val="00A024C9"/>
    <w:rsid w:val="00A04A68"/>
    <w:rsid w:val="00A06559"/>
    <w:rsid w:val="00A068EE"/>
    <w:rsid w:val="00A06C73"/>
    <w:rsid w:val="00A06F72"/>
    <w:rsid w:val="00A079E9"/>
    <w:rsid w:val="00A12DBE"/>
    <w:rsid w:val="00A132B1"/>
    <w:rsid w:val="00A1644D"/>
    <w:rsid w:val="00A16BB3"/>
    <w:rsid w:val="00A266B5"/>
    <w:rsid w:val="00A275BA"/>
    <w:rsid w:val="00A278A1"/>
    <w:rsid w:val="00A32C14"/>
    <w:rsid w:val="00A3304D"/>
    <w:rsid w:val="00A347FC"/>
    <w:rsid w:val="00A36BC7"/>
    <w:rsid w:val="00A44188"/>
    <w:rsid w:val="00A4452A"/>
    <w:rsid w:val="00A45AE9"/>
    <w:rsid w:val="00A46BA3"/>
    <w:rsid w:val="00A50669"/>
    <w:rsid w:val="00A5522D"/>
    <w:rsid w:val="00A62B9B"/>
    <w:rsid w:val="00A63CE5"/>
    <w:rsid w:val="00A65B62"/>
    <w:rsid w:val="00A666C4"/>
    <w:rsid w:val="00A712E8"/>
    <w:rsid w:val="00A718D4"/>
    <w:rsid w:val="00A760E4"/>
    <w:rsid w:val="00A80FAC"/>
    <w:rsid w:val="00A823D2"/>
    <w:rsid w:val="00A842C4"/>
    <w:rsid w:val="00A848EF"/>
    <w:rsid w:val="00A84FD2"/>
    <w:rsid w:val="00A90C8C"/>
    <w:rsid w:val="00A9568E"/>
    <w:rsid w:val="00A961C1"/>
    <w:rsid w:val="00A96667"/>
    <w:rsid w:val="00A9699B"/>
    <w:rsid w:val="00A97051"/>
    <w:rsid w:val="00AA0E01"/>
    <w:rsid w:val="00AA399A"/>
    <w:rsid w:val="00AA492F"/>
    <w:rsid w:val="00AA54D2"/>
    <w:rsid w:val="00AA5958"/>
    <w:rsid w:val="00AB42C0"/>
    <w:rsid w:val="00AB5841"/>
    <w:rsid w:val="00AB7B5C"/>
    <w:rsid w:val="00AC5095"/>
    <w:rsid w:val="00AC7E9A"/>
    <w:rsid w:val="00AD3926"/>
    <w:rsid w:val="00AD47A1"/>
    <w:rsid w:val="00AD7559"/>
    <w:rsid w:val="00AE25D5"/>
    <w:rsid w:val="00AE2FB4"/>
    <w:rsid w:val="00AE49AD"/>
    <w:rsid w:val="00AE4E40"/>
    <w:rsid w:val="00AE4F00"/>
    <w:rsid w:val="00AE7812"/>
    <w:rsid w:val="00AF0D26"/>
    <w:rsid w:val="00AF122D"/>
    <w:rsid w:val="00AF1ACD"/>
    <w:rsid w:val="00AF1B21"/>
    <w:rsid w:val="00AF61FF"/>
    <w:rsid w:val="00AF7D56"/>
    <w:rsid w:val="00B00614"/>
    <w:rsid w:val="00B03AB9"/>
    <w:rsid w:val="00B05225"/>
    <w:rsid w:val="00B138BC"/>
    <w:rsid w:val="00B1406E"/>
    <w:rsid w:val="00B3215C"/>
    <w:rsid w:val="00B326C5"/>
    <w:rsid w:val="00B33B0D"/>
    <w:rsid w:val="00B340CC"/>
    <w:rsid w:val="00B351D9"/>
    <w:rsid w:val="00B35422"/>
    <w:rsid w:val="00B35633"/>
    <w:rsid w:val="00B35DF2"/>
    <w:rsid w:val="00B37728"/>
    <w:rsid w:val="00B41FBA"/>
    <w:rsid w:val="00B42381"/>
    <w:rsid w:val="00B423EE"/>
    <w:rsid w:val="00B43476"/>
    <w:rsid w:val="00B45A84"/>
    <w:rsid w:val="00B5031E"/>
    <w:rsid w:val="00B51105"/>
    <w:rsid w:val="00B557FF"/>
    <w:rsid w:val="00B5708F"/>
    <w:rsid w:val="00B5715F"/>
    <w:rsid w:val="00B6059D"/>
    <w:rsid w:val="00B61217"/>
    <w:rsid w:val="00B62E68"/>
    <w:rsid w:val="00B63433"/>
    <w:rsid w:val="00B677DC"/>
    <w:rsid w:val="00B75C22"/>
    <w:rsid w:val="00B83150"/>
    <w:rsid w:val="00B85728"/>
    <w:rsid w:val="00B914A6"/>
    <w:rsid w:val="00B92265"/>
    <w:rsid w:val="00B93259"/>
    <w:rsid w:val="00B94723"/>
    <w:rsid w:val="00B95DD3"/>
    <w:rsid w:val="00BA17F6"/>
    <w:rsid w:val="00BA43E1"/>
    <w:rsid w:val="00BA4C60"/>
    <w:rsid w:val="00BA4D30"/>
    <w:rsid w:val="00BA6501"/>
    <w:rsid w:val="00BA67D8"/>
    <w:rsid w:val="00BB0FCC"/>
    <w:rsid w:val="00BB3B69"/>
    <w:rsid w:val="00BB5F9F"/>
    <w:rsid w:val="00BB7E4B"/>
    <w:rsid w:val="00BC0AD5"/>
    <w:rsid w:val="00BC1738"/>
    <w:rsid w:val="00BC26A4"/>
    <w:rsid w:val="00BC2B2D"/>
    <w:rsid w:val="00BC32A7"/>
    <w:rsid w:val="00BC42AE"/>
    <w:rsid w:val="00BC4E9C"/>
    <w:rsid w:val="00BC6ED2"/>
    <w:rsid w:val="00BD3823"/>
    <w:rsid w:val="00BD5A6E"/>
    <w:rsid w:val="00BD70BF"/>
    <w:rsid w:val="00BE1598"/>
    <w:rsid w:val="00BE1BE7"/>
    <w:rsid w:val="00BE2A58"/>
    <w:rsid w:val="00BE453F"/>
    <w:rsid w:val="00BE50EE"/>
    <w:rsid w:val="00BE57BE"/>
    <w:rsid w:val="00BE7D55"/>
    <w:rsid w:val="00BF2676"/>
    <w:rsid w:val="00BF46A2"/>
    <w:rsid w:val="00BF7B83"/>
    <w:rsid w:val="00C01DB7"/>
    <w:rsid w:val="00C02424"/>
    <w:rsid w:val="00C02C3E"/>
    <w:rsid w:val="00C05D01"/>
    <w:rsid w:val="00C062A5"/>
    <w:rsid w:val="00C12C58"/>
    <w:rsid w:val="00C1395D"/>
    <w:rsid w:val="00C14AEA"/>
    <w:rsid w:val="00C172E1"/>
    <w:rsid w:val="00C176F6"/>
    <w:rsid w:val="00C200C9"/>
    <w:rsid w:val="00C2294F"/>
    <w:rsid w:val="00C248BE"/>
    <w:rsid w:val="00C26BAF"/>
    <w:rsid w:val="00C26C1D"/>
    <w:rsid w:val="00C364D3"/>
    <w:rsid w:val="00C36AC6"/>
    <w:rsid w:val="00C37DAA"/>
    <w:rsid w:val="00C42752"/>
    <w:rsid w:val="00C42FDF"/>
    <w:rsid w:val="00C43A74"/>
    <w:rsid w:val="00C452A7"/>
    <w:rsid w:val="00C45F93"/>
    <w:rsid w:val="00C47805"/>
    <w:rsid w:val="00C536A8"/>
    <w:rsid w:val="00C53CE0"/>
    <w:rsid w:val="00C53D16"/>
    <w:rsid w:val="00C5587E"/>
    <w:rsid w:val="00C55BED"/>
    <w:rsid w:val="00C56721"/>
    <w:rsid w:val="00C56BAD"/>
    <w:rsid w:val="00C65147"/>
    <w:rsid w:val="00C66EFA"/>
    <w:rsid w:val="00C70287"/>
    <w:rsid w:val="00C71C88"/>
    <w:rsid w:val="00C7278B"/>
    <w:rsid w:val="00C7449E"/>
    <w:rsid w:val="00C77398"/>
    <w:rsid w:val="00C82D88"/>
    <w:rsid w:val="00C84AE0"/>
    <w:rsid w:val="00C84FEC"/>
    <w:rsid w:val="00C86F5E"/>
    <w:rsid w:val="00C87C25"/>
    <w:rsid w:val="00C922F7"/>
    <w:rsid w:val="00C92380"/>
    <w:rsid w:val="00C95499"/>
    <w:rsid w:val="00C95600"/>
    <w:rsid w:val="00C96BD5"/>
    <w:rsid w:val="00C96D8F"/>
    <w:rsid w:val="00CA0A72"/>
    <w:rsid w:val="00CA0ECB"/>
    <w:rsid w:val="00CA265D"/>
    <w:rsid w:val="00CA2B01"/>
    <w:rsid w:val="00CA2B0B"/>
    <w:rsid w:val="00CA40E0"/>
    <w:rsid w:val="00CA49F7"/>
    <w:rsid w:val="00CA511F"/>
    <w:rsid w:val="00CB2F93"/>
    <w:rsid w:val="00CB3967"/>
    <w:rsid w:val="00CB54DF"/>
    <w:rsid w:val="00CC06FC"/>
    <w:rsid w:val="00CC179E"/>
    <w:rsid w:val="00CC431B"/>
    <w:rsid w:val="00CC6254"/>
    <w:rsid w:val="00CC6419"/>
    <w:rsid w:val="00CC7520"/>
    <w:rsid w:val="00CC7A4A"/>
    <w:rsid w:val="00CD3A43"/>
    <w:rsid w:val="00CD439F"/>
    <w:rsid w:val="00CD494C"/>
    <w:rsid w:val="00CD6539"/>
    <w:rsid w:val="00CD6786"/>
    <w:rsid w:val="00CE5F28"/>
    <w:rsid w:val="00CE609B"/>
    <w:rsid w:val="00CF0922"/>
    <w:rsid w:val="00CF2A90"/>
    <w:rsid w:val="00CF2BEF"/>
    <w:rsid w:val="00CF4132"/>
    <w:rsid w:val="00CF4562"/>
    <w:rsid w:val="00CF7600"/>
    <w:rsid w:val="00D03458"/>
    <w:rsid w:val="00D05BA0"/>
    <w:rsid w:val="00D0708D"/>
    <w:rsid w:val="00D10571"/>
    <w:rsid w:val="00D10C4F"/>
    <w:rsid w:val="00D116D9"/>
    <w:rsid w:val="00D12183"/>
    <w:rsid w:val="00D1233C"/>
    <w:rsid w:val="00D12377"/>
    <w:rsid w:val="00D16225"/>
    <w:rsid w:val="00D2225C"/>
    <w:rsid w:val="00D22B23"/>
    <w:rsid w:val="00D236D6"/>
    <w:rsid w:val="00D250F3"/>
    <w:rsid w:val="00D26356"/>
    <w:rsid w:val="00D341DD"/>
    <w:rsid w:val="00D356A1"/>
    <w:rsid w:val="00D410D9"/>
    <w:rsid w:val="00D43C57"/>
    <w:rsid w:val="00D43E4E"/>
    <w:rsid w:val="00D478F2"/>
    <w:rsid w:val="00D50B7D"/>
    <w:rsid w:val="00D53681"/>
    <w:rsid w:val="00D53C20"/>
    <w:rsid w:val="00D57B28"/>
    <w:rsid w:val="00D606E3"/>
    <w:rsid w:val="00D60A6F"/>
    <w:rsid w:val="00D61E78"/>
    <w:rsid w:val="00D649E0"/>
    <w:rsid w:val="00D670E1"/>
    <w:rsid w:val="00D72FFB"/>
    <w:rsid w:val="00D737A8"/>
    <w:rsid w:val="00D73D0B"/>
    <w:rsid w:val="00D77142"/>
    <w:rsid w:val="00D812F2"/>
    <w:rsid w:val="00D81B4F"/>
    <w:rsid w:val="00D820EE"/>
    <w:rsid w:val="00D84F35"/>
    <w:rsid w:val="00D90560"/>
    <w:rsid w:val="00D9110B"/>
    <w:rsid w:val="00D91AFD"/>
    <w:rsid w:val="00D927D8"/>
    <w:rsid w:val="00D93350"/>
    <w:rsid w:val="00D93661"/>
    <w:rsid w:val="00D94D0C"/>
    <w:rsid w:val="00DA04C7"/>
    <w:rsid w:val="00DA1B23"/>
    <w:rsid w:val="00DA2214"/>
    <w:rsid w:val="00DA465D"/>
    <w:rsid w:val="00DA476F"/>
    <w:rsid w:val="00DA52A3"/>
    <w:rsid w:val="00DA67B4"/>
    <w:rsid w:val="00DA6B79"/>
    <w:rsid w:val="00DB377D"/>
    <w:rsid w:val="00DB3C86"/>
    <w:rsid w:val="00DC12C5"/>
    <w:rsid w:val="00DC32CE"/>
    <w:rsid w:val="00DC6833"/>
    <w:rsid w:val="00DC6FBB"/>
    <w:rsid w:val="00DC73B7"/>
    <w:rsid w:val="00DD00B9"/>
    <w:rsid w:val="00DD0A33"/>
    <w:rsid w:val="00DD2BD4"/>
    <w:rsid w:val="00DE161B"/>
    <w:rsid w:val="00DE3903"/>
    <w:rsid w:val="00DE69F7"/>
    <w:rsid w:val="00DF2012"/>
    <w:rsid w:val="00DF2E8F"/>
    <w:rsid w:val="00DF3767"/>
    <w:rsid w:val="00DF417B"/>
    <w:rsid w:val="00DF427F"/>
    <w:rsid w:val="00DF54E3"/>
    <w:rsid w:val="00DF5A4C"/>
    <w:rsid w:val="00E001A0"/>
    <w:rsid w:val="00E009A1"/>
    <w:rsid w:val="00E0404D"/>
    <w:rsid w:val="00E0408F"/>
    <w:rsid w:val="00E066A0"/>
    <w:rsid w:val="00E128BB"/>
    <w:rsid w:val="00E155FA"/>
    <w:rsid w:val="00E15901"/>
    <w:rsid w:val="00E16DFE"/>
    <w:rsid w:val="00E16FCB"/>
    <w:rsid w:val="00E1726C"/>
    <w:rsid w:val="00E1778C"/>
    <w:rsid w:val="00E20E8D"/>
    <w:rsid w:val="00E21AC1"/>
    <w:rsid w:val="00E24CA0"/>
    <w:rsid w:val="00E27A91"/>
    <w:rsid w:val="00E3129A"/>
    <w:rsid w:val="00E31FCC"/>
    <w:rsid w:val="00E336A8"/>
    <w:rsid w:val="00E345F9"/>
    <w:rsid w:val="00E36F80"/>
    <w:rsid w:val="00E44550"/>
    <w:rsid w:val="00E46D8C"/>
    <w:rsid w:val="00E47017"/>
    <w:rsid w:val="00E50EEE"/>
    <w:rsid w:val="00E515E6"/>
    <w:rsid w:val="00E51AD2"/>
    <w:rsid w:val="00E54CE8"/>
    <w:rsid w:val="00E55269"/>
    <w:rsid w:val="00E55EB5"/>
    <w:rsid w:val="00E61A1D"/>
    <w:rsid w:val="00E63886"/>
    <w:rsid w:val="00E665C0"/>
    <w:rsid w:val="00E668F9"/>
    <w:rsid w:val="00E66FF4"/>
    <w:rsid w:val="00E6790A"/>
    <w:rsid w:val="00E70ABD"/>
    <w:rsid w:val="00E718A4"/>
    <w:rsid w:val="00E72813"/>
    <w:rsid w:val="00E73A8C"/>
    <w:rsid w:val="00E80375"/>
    <w:rsid w:val="00E82865"/>
    <w:rsid w:val="00E9136C"/>
    <w:rsid w:val="00E94683"/>
    <w:rsid w:val="00E96B66"/>
    <w:rsid w:val="00EA05CE"/>
    <w:rsid w:val="00EA0F53"/>
    <w:rsid w:val="00EA1A12"/>
    <w:rsid w:val="00EA2676"/>
    <w:rsid w:val="00EA46FC"/>
    <w:rsid w:val="00EA55F2"/>
    <w:rsid w:val="00EA6046"/>
    <w:rsid w:val="00EB0040"/>
    <w:rsid w:val="00EB1173"/>
    <w:rsid w:val="00EB2205"/>
    <w:rsid w:val="00EB2FB8"/>
    <w:rsid w:val="00EB3AA4"/>
    <w:rsid w:val="00EB5FC5"/>
    <w:rsid w:val="00EB658F"/>
    <w:rsid w:val="00ED115B"/>
    <w:rsid w:val="00ED4595"/>
    <w:rsid w:val="00ED45EB"/>
    <w:rsid w:val="00ED5A70"/>
    <w:rsid w:val="00ED676F"/>
    <w:rsid w:val="00ED74EA"/>
    <w:rsid w:val="00ED7C38"/>
    <w:rsid w:val="00EE1653"/>
    <w:rsid w:val="00EE3D46"/>
    <w:rsid w:val="00EE3FFD"/>
    <w:rsid w:val="00EE5291"/>
    <w:rsid w:val="00EE6326"/>
    <w:rsid w:val="00EF0BCC"/>
    <w:rsid w:val="00EF194F"/>
    <w:rsid w:val="00EF1B0E"/>
    <w:rsid w:val="00EF7355"/>
    <w:rsid w:val="00F00521"/>
    <w:rsid w:val="00F02A22"/>
    <w:rsid w:val="00F03734"/>
    <w:rsid w:val="00F039BC"/>
    <w:rsid w:val="00F0542F"/>
    <w:rsid w:val="00F07E85"/>
    <w:rsid w:val="00F138B2"/>
    <w:rsid w:val="00F14EF4"/>
    <w:rsid w:val="00F22E76"/>
    <w:rsid w:val="00F27926"/>
    <w:rsid w:val="00F27DDB"/>
    <w:rsid w:val="00F323C1"/>
    <w:rsid w:val="00F34761"/>
    <w:rsid w:val="00F42CF7"/>
    <w:rsid w:val="00F446CE"/>
    <w:rsid w:val="00F4577C"/>
    <w:rsid w:val="00F45F68"/>
    <w:rsid w:val="00F468FB"/>
    <w:rsid w:val="00F479D8"/>
    <w:rsid w:val="00F51AD0"/>
    <w:rsid w:val="00F52453"/>
    <w:rsid w:val="00F61490"/>
    <w:rsid w:val="00F618CD"/>
    <w:rsid w:val="00F62BBE"/>
    <w:rsid w:val="00F63D95"/>
    <w:rsid w:val="00F65962"/>
    <w:rsid w:val="00F66D16"/>
    <w:rsid w:val="00F66F99"/>
    <w:rsid w:val="00F72D13"/>
    <w:rsid w:val="00F83DF8"/>
    <w:rsid w:val="00F85B89"/>
    <w:rsid w:val="00F87CCD"/>
    <w:rsid w:val="00F90407"/>
    <w:rsid w:val="00F90B37"/>
    <w:rsid w:val="00F90F01"/>
    <w:rsid w:val="00F95209"/>
    <w:rsid w:val="00F95B80"/>
    <w:rsid w:val="00FA1522"/>
    <w:rsid w:val="00FA26BD"/>
    <w:rsid w:val="00FA2F07"/>
    <w:rsid w:val="00FA4A1F"/>
    <w:rsid w:val="00FA7EB7"/>
    <w:rsid w:val="00FB24AB"/>
    <w:rsid w:val="00FB521B"/>
    <w:rsid w:val="00FB77E5"/>
    <w:rsid w:val="00FC2136"/>
    <w:rsid w:val="00FC679A"/>
    <w:rsid w:val="00FC71C9"/>
    <w:rsid w:val="00FD5A2A"/>
    <w:rsid w:val="00FD687F"/>
    <w:rsid w:val="00FE0226"/>
    <w:rsid w:val="00FE1C9D"/>
    <w:rsid w:val="00FE35B5"/>
    <w:rsid w:val="00FE3C96"/>
    <w:rsid w:val="00FE4E96"/>
    <w:rsid w:val="00FE5DA6"/>
    <w:rsid w:val="00FF00F8"/>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DD987"/>
  <w15:docId w15:val="{2A4F64CD-9B88-412B-9F61-8638120D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A21"/>
    <w:rPr>
      <w:rFonts w:eastAsia="Times New Roman" w:cs="Times New Roman"/>
      <w:lang w:val="ru-RU" w:eastAsia="ru-RU"/>
    </w:rPr>
  </w:style>
  <w:style w:type="paragraph" w:styleId="Titlu1">
    <w:name w:val="heading 1"/>
    <w:basedOn w:val="Normal"/>
    <w:next w:val="Normal"/>
    <w:link w:val="Titlu1Caracter"/>
    <w:pPr>
      <w:keepNext/>
      <w:keepLines/>
      <w:spacing w:before="480" w:after="120"/>
      <w:outlineLvl w:val="0"/>
    </w:pPr>
    <w:rPr>
      <w:b/>
      <w:sz w:val="48"/>
      <w:szCs w:val="48"/>
    </w:rPr>
  </w:style>
  <w:style w:type="paragraph" w:styleId="Titlu2">
    <w:name w:val="heading 2"/>
    <w:basedOn w:val="Normal"/>
    <w:next w:val="Normal"/>
    <w:link w:val="Titlu2Caracter"/>
    <w:pPr>
      <w:keepNext/>
      <w:keepLines/>
      <w:spacing w:before="360" w:after="80"/>
      <w:outlineLvl w:val="1"/>
    </w:pPr>
    <w:rPr>
      <w:b/>
      <w:sz w:val="36"/>
      <w:szCs w:val="36"/>
    </w:rPr>
  </w:style>
  <w:style w:type="paragraph" w:styleId="Titlu3">
    <w:name w:val="heading 3"/>
    <w:basedOn w:val="Normal"/>
    <w:next w:val="Normal"/>
    <w:link w:val="Titlu3Caracter"/>
    <w:pPr>
      <w:keepNext/>
      <w:keepLines/>
      <w:spacing w:before="280" w:after="80"/>
      <w:outlineLvl w:val="2"/>
    </w:pPr>
    <w:rPr>
      <w:b/>
      <w:sz w:val="28"/>
      <w:szCs w:val="28"/>
    </w:rPr>
  </w:style>
  <w:style w:type="paragraph" w:styleId="Titlu4">
    <w:name w:val="heading 4"/>
    <w:basedOn w:val="Normal"/>
    <w:next w:val="Normal"/>
    <w:link w:val="Titlu4Caracter"/>
    <w:pPr>
      <w:keepNext/>
      <w:keepLines/>
      <w:spacing w:before="240" w:after="40"/>
      <w:outlineLvl w:val="3"/>
    </w:pPr>
    <w:rPr>
      <w:b/>
      <w:sz w:val="24"/>
      <w:szCs w:val="24"/>
    </w:rPr>
  </w:style>
  <w:style w:type="paragraph" w:styleId="Titlu5">
    <w:name w:val="heading 5"/>
    <w:basedOn w:val="Normal"/>
    <w:next w:val="Normal"/>
    <w:link w:val="Titlu5Caracter"/>
    <w:pPr>
      <w:keepNext/>
      <w:keepLines/>
      <w:spacing w:before="220" w:after="40"/>
      <w:outlineLvl w:val="4"/>
    </w:pPr>
    <w:rPr>
      <w:b/>
    </w:rPr>
  </w:style>
  <w:style w:type="paragraph" w:styleId="Titlu6">
    <w:name w:val="heading 6"/>
    <w:basedOn w:val="Normal"/>
    <w:next w:val="Normal"/>
    <w:link w:val="Titlu6Caracter"/>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link w:val="TitluCaracter"/>
    <w:pPr>
      <w:keepNext/>
      <w:keepLines/>
      <w:spacing w:before="480" w:after="120"/>
    </w:pPr>
    <w:rPr>
      <w:b/>
      <w:sz w:val="72"/>
      <w:szCs w:val="72"/>
    </w:rPr>
  </w:style>
  <w:style w:type="paragraph" w:styleId="Listparagraf">
    <w:name w:val="List Paragraph"/>
    <w:basedOn w:val="Normal"/>
    <w:uiPriority w:val="34"/>
    <w:qFormat/>
    <w:rsid w:val="00B92A21"/>
    <w:pPr>
      <w:ind w:left="720"/>
      <w:contextualSpacing/>
    </w:pPr>
    <w:rPr>
      <w:rFonts w:ascii="Times New Roman" w:hAnsi="Times New Roman"/>
      <w:szCs w:val="20"/>
    </w:rPr>
  </w:style>
  <w:style w:type="paragraph" w:styleId="Antet">
    <w:name w:val="header"/>
    <w:basedOn w:val="Normal"/>
    <w:link w:val="AntetCaracter"/>
    <w:unhideWhenUsed/>
    <w:rsid w:val="00AD342F"/>
    <w:pPr>
      <w:tabs>
        <w:tab w:val="center" w:pos="4677"/>
        <w:tab w:val="right" w:pos="9355"/>
      </w:tabs>
      <w:spacing w:after="0" w:line="240" w:lineRule="auto"/>
    </w:pPr>
  </w:style>
  <w:style w:type="character" w:customStyle="1" w:styleId="AntetCaracter">
    <w:name w:val="Antet Caracter"/>
    <w:basedOn w:val="Fontdeparagrafimplicit"/>
    <w:link w:val="Antet"/>
    <w:rsid w:val="00AD342F"/>
    <w:rPr>
      <w:rFonts w:ascii="Calibri" w:eastAsia="Times New Roman" w:hAnsi="Calibri" w:cs="Times New Roman"/>
      <w:lang w:val="ru-RU" w:eastAsia="ru-RU"/>
    </w:rPr>
  </w:style>
  <w:style w:type="paragraph" w:styleId="Subsol">
    <w:name w:val="footer"/>
    <w:basedOn w:val="Normal"/>
    <w:link w:val="SubsolCaracter"/>
    <w:uiPriority w:val="99"/>
    <w:unhideWhenUsed/>
    <w:rsid w:val="00AD342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D342F"/>
    <w:rPr>
      <w:rFonts w:ascii="Calibri" w:eastAsia="Times New Roman" w:hAnsi="Calibri" w:cs="Times New Roman"/>
      <w:lang w:val="ru-RU" w:eastAsia="ru-RU"/>
    </w:rPr>
  </w:style>
  <w:style w:type="character" w:styleId="Hyperlink">
    <w:name w:val="Hyperlink"/>
    <w:basedOn w:val="Fontdeparagrafimplicit"/>
    <w:uiPriority w:val="99"/>
    <w:unhideWhenUsed/>
    <w:rsid w:val="008F7626"/>
    <w:rPr>
      <w:color w:val="0000FF"/>
      <w:u w:val="single"/>
    </w:rPr>
  </w:style>
  <w:style w:type="character" w:customStyle="1" w:styleId="Bodytext48pt2">
    <w:name w:val="Body text (4) + 8 pt2"/>
    <w:basedOn w:val="Fontdeparagrafimplicit"/>
    <w:uiPriority w:val="99"/>
    <w:rsid w:val="00F8574D"/>
    <w:rPr>
      <w:rFonts w:ascii="Times New Roman" w:hAnsi="Times New Roman" w:cs="Times New Roman"/>
      <w:spacing w:val="0"/>
      <w:sz w:val="16"/>
      <w:szCs w:val="16"/>
    </w:rPr>
  </w:style>
  <w:style w:type="character" w:customStyle="1" w:styleId="Bodytext4Italic1">
    <w:name w:val="Body text (4) + Italic1"/>
    <w:basedOn w:val="Fontdeparagrafimplicit"/>
    <w:uiPriority w:val="99"/>
    <w:rsid w:val="00F8574D"/>
    <w:rPr>
      <w:rFonts w:ascii="Times New Roman" w:hAnsi="Times New Roman" w:cs="Times New Roman"/>
      <w:i/>
      <w:iCs/>
      <w:spacing w:val="0"/>
      <w:sz w:val="18"/>
      <w:szCs w:val="18"/>
    </w:rPr>
  </w:style>
  <w:style w:type="paragraph" w:styleId="NormalWeb">
    <w:name w:val="Normal (Web)"/>
    <w:basedOn w:val="Normal"/>
    <w:uiPriority w:val="99"/>
    <w:unhideWhenUsed/>
    <w:rsid w:val="00595F36"/>
    <w:pPr>
      <w:spacing w:after="0" w:line="240" w:lineRule="auto"/>
      <w:ind w:firstLine="567"/>
      <w:jc w:val="both"/>
    </w:pPr>
    <w:rPr>
      <w:rFonts w:ascii="Times New Roman" w:eastAsia="Calibri" w:hAnsi="Times New Roman"/>
      <w:sz w:val="24"/>
      <w:szCs w:val="24"/>
    </w:rPr>
  </w:style>
  <w:style w:type="character" w:styleId="Referincomentariu">
    <w:name w:val="annotation reference"/>
    <w:basedOn w:val="Fontdeparagrafimplicit"/>
    <w:uiPriority w:val="99"/>
    <w:semiHidden/>
    <w:unhideWhenUsed/>
    <w:rsid w:val="004452BC"/>
    <w:rPr>
      <w:sz w:val="16"/>
      <w:szCs w:val="16"/>
    </w:rPr>
  </w:style>
  <w:style w:type="paragraph" w:styleId="Textcomentariu">
    <w:name w:val="annotation text"/>
    <w:basedOn w:val="Normal"/>
    <w:link w:val="TextcomentariuCaracter"/>
    <w:uiPriority w:val="99"/>
    <w:semiHidden/>
    <w:unhideWhenUsed/>
    <w:rsid w:val="004452B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452BC"/>
    <w:rPr>
      <w:rFonts w:ascii="Calibri" w:eastAsia="Times New Roman" w:hAnsi="Calibri"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4452BC"/>
    <w:rPr>
      <w:b/>
      <w:bCs/>
    </w:rPr>
  </w:style>
  <w:style w:type="character" w:customStyle="1" w:styleId="SubiectComentariuCaracter">
    <w:name w:val="Subiect Comentariu Caracter"/>
    <w:basedOn w:val="TextcomentariuCaracter"/>
    <w:link w:val="SubiectComentariu"/>
    <w:uiPriority w:val="99"/>
    <w:semiHidden/>
    <w:rsid w:val="004452BC"/>
    <w:rPr>
      <w:rFonts w:ascii="Calibri" w:eastAsia="Times New Roman" w:hAnsi="Calibri" w:cs="Times New Roman"/>
      <w:b/>
      <w:bCs/>
      <w:sz w:val="20"/>
      <w:szCs w:val="20"/>
      <w:lang w:val="ru-RU" w:eastAsia="ru-RU"/>
    </w:rPr>
  </w:style>
  <w:style w:type="paragraph" w:styleId="Revizuire">
    <w:name w:val="Revision"/>
    <w:hidden/>
    <w:uiPriority w:val="99"/>
    <w:semiHidden/>
    <w:rsid w:val="004452BC"/>
    <w:pPr>
      <w:spacing w:after="0" w:line="240" w:lineRule="auto"/>
    </w:pPr>
    <w:rPr>
      <w:rFonts w:eastAsia="Times New Roman" w:cs="Times New Roman"/>
      <w:lang w:val="ru-RU" w:eastAsia="ru-RU"/>
    </w:rPr>
  </w:style>
  <w:style w:type="paragraph" w:styleId="TextnBalon">
    <w:name w:val="Balloon Text"/>
    <w:basedOn w:val="Normal"/>
    <w:link w:val="TextnBalonCaracter"/>
    <w:uiPriority w:val="99"/>
    <w:semiHidden/>
    <w:unhideWhenUsed/>
    <w:rsid w:val="004452B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52BC"/>
    <w:rPr>
      <w:rFonts w:ascii="Segoe UI" w:eastAsia="Times New Roman" w:hAnsi="Segoe UI" w:cs="Segoe UI"/>
      <w:sz w:val="18"/>
      <w:szCs w:val="18"/>
      <w:lang w:val="ru-RU" w:eastAsia="ru-RU"/>
    </w:rPr>
  </w:style>
  <w:style w:type="paragraph" w:customStyle="1" w:styleId="Default">
    <w:name w:val="Default"/>
    <w:rsid w:val="00C1529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elgril">
    <w:name w:val="Table Grid"/>
    <w:basedOn w:val="TabelNormal"/>
    <w:uiPriority w:val="59"/>
    <w:rsid w:val="00C1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link w:val="SubtitluCaracter"/>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15" w:type="dxa"/>
        <w:right w:w="115" w:type="dxa"/>
      </w:tblCellMar>
    </w:tblPr>
  </w:style>
  <w:style w:type="paragraph" w:customStyle="1" w:styleId="tt">
    <w:name w:val="tt"/>
    <w:basedOn w:val="Normal"/>
    <w:rsid w:val="00413949"/>
    <w:pPr>
      <w:spacing w:before="100" w:beforeAutospacing="1" w:after="100" w:afterAutospacing="1" w:line="240" w:lineRule="auto"/>
    </w:pPr>
    <w:rPr>
      <w:rFonts w:ascii="Times New Roman" w:hAnsi="Times New Roman"/>
      <w:sz w:val="24"/>
      <w:szCs w:val="24"/>
      <w:lang w:val="ro-RO" w:eastAsia="ro-RO"/>
    </w:rPr>
  </w:style>
  <w:style w:type="paragraph" w:customStyle="1" w:styleId="cn">
    <w:name w:val="cn"/>
    <w:basedOn w:val="Normal"/>
    <w:rsid w:val="007630F3"/>
    <w:pPr>
      <w:spacing w:before="100" w:beforeAutospacing="1" w:after="100" w:afterAutospacing="1" w:line="240" w:lineRule="auto"/>
    </w:pPr>
    <w:rPr>
      <w:rFonts w:ascii="Times New Roman" w:hAnsi="Times New Roman"/>
      <w:sz w:val="24"/>
      <w:szCs w:val="24"/>
      <w:lang w:val="en-US" w:eastAsia="en-US"/>
    </w:rPr>
  </w:style>
  <w:style w:type="paragraph" w:customStyle="1" w:styleId="pb">
    <w:name w:val="pb"/>
    <w:basedOn w:val="Normal"/>
    <w:rsid w:val="007630F3"/>
    <w:pPr>
      <w:spacing w:before="100" w:beforeAutospacing="1" w:after="100" w:afterAutospacing="1" w:line="240" w:lineRule="auto"/>
    </w:pPr>
    <w:rPr>
      <w:rFonts w:ascii="Times New Roman" w:hAnsi="Times New Roman"/>
      <w:sz w:val="24"/>
      <w:szCs w:val="24"/>
      <w:lang w:val="en-US" w:eastAsia="en-US"/>
    </w:rPr>
  </w:style>
  <w:style w:type="paragraph" w:customStyle="1" w:styleId="cb">
    <w:name w:val="cb"/>
    <w:basedOn w:val="Normal"/>
    <w:rsid w:val="007630F3"/>
    <w:pPr>
      <w:spacing w:before="100" w:beforeAutospacing="1" w:after="100" w:afterAutospacing="1" w:line="240" w:lineRule="auto"/>
    </w:pPr>
    <w:rPr>
      <w:rFonts w:ascii="Times New Roman" w:hAnsi="Times New Roman"/>
      <w:sz w:val="24"/>
      <w:szCs w:val="24"/>
      <w:lang w:val="en-US" w:eastAsia="en-US"/>
    </w:rPr>
  </w:style>
  <w:style w:type="character" w:styleId="HyperlinkParcurs">
    <w:name w:val="FollowedHyperlink"/>
    <w:basedOn w:val="Fontdeparagrafimplicit"/>
    <w:uiPriority w:val="99"/>
    <w:semiHidden/>
    <w:unhideWhenUsed/>
    <w:rsid w:val="00906599"/>
    <w:rPr>
      <w:color w:val="800080" w:themeColor="followedHyperlink"/>
      <w:u w:val="single"/>
    </w:rPr>
  </w:style>
  <w:style w:type="paragraph" w:styleId="Frspaiere">
    <w:name w:val="No Spacing"/>
    <w:uiPriority w:val="1"/>
    <w:qFormat/>
    <w:rsid w:val="00C70287"/>
    <w:pPr>
      <w:spacing w:after="0" w:line="240" w:lineRule="auto"/>
    </w:pPr>
    <w:rPr>
      <w:rFonts w:asciiTheme="minorHAnsi" w:eastAsiaTheme="minorHAnsi" w:hAnsiTheme="minorHAnsi" w:cstheme="minorBidi"/>
      <w:kern w:val="2"/>
      <w:lang w:val="ru-RU"/>
    </w:rPr>
  </w:style>
  <w:style w:type="character" w:styleId="Robust">
    <w:name w:val="Strong"/>
    <w:basedOn w:val="Fontdeparagrafimplicit"/>
    <w:uiPriority w:val="22"/>
    <w:qFormat/>
    <w:rsid w:val="00E94683"/>
    <w:rPr>
      <w:b/>
      <w:bCs/>
    </w:rPr>
  </w:style>
  <w:style w:type="paragraph" w:customStyle="1" w:styleId="rg">
    <w:name w:val="rg"/>
    <w:basedOn w:val="Normal"/>
    <w:rsid w:val="00C7278B"/>
    <w:pPr>
      <w:spacing w:before="100" w:beforeAutospacing="1" w:after="100" w:afterAutospacing="1" w:line="240" w:lineRule="auto"/>
    </w:pPr>
    <w:rPr>
      <w:rFonts w:ascii="Times New Roman" w:hAnsi="Times New Roman"/>
      <w:sz w:val="24"/>
      <w:szCs w:val="24"/>
      <w:lang w:val="en-US" w:eastAsia="en-US"/>
    </w:rPr>
  </w:style>
  <w:style w:type="character" w:customStyle="1" w:styleId="Titlu1Caracter">
    <w:name w:val="Titlu 1 Caracter"/>
    <w:basedOn w:val="Fontdeparagrafimplicit"/>
    <w:link w:val="Titlu1"/>
    <w:rsid w:val="00D73D0B"/>
    <w:rPr>
      <w:rFonts w:eastAsia="Times New Roman" w:cs="Times New Roman"/>
      <w:b/>
      <w:sz w:val="48"/>
      <w:szCs w:val="48"/>
      <w:lang w:val="ru-RU" w:eastAsia="ru-RU"/>
    </w:rPr>
  </w:style>
  <w:style w:type="character" w:customStyle="1" w:styleId="Titlu2Caracter">
    <w:name w:val="Titlu 2 Caracter"/>
    <w:basedOn w:val="Fontdeparagrafimplicit"/>
    <w:link w:val="Titlu2"/>
    <w:rsid w:val="00D73D0B"/>
    <w:rPr>
      <w:rFonts w:eastAsia="Times New Roman" w:cs="Times New Roman"/>
      <w:b/>
      <w:sz w:val="36"/>
      <w:szCs w:val="36"/>
      <w:lang w:val="ru-RU" w:eastAsia="ru-RU"/>
    </w:rPr>
  </w:style>
  <w:style w:type="character" w:customStyle="1" w:styleId="Titlu3Caracter">
    <w:name w:val="Titlu 3 Caracter"/>
    <w:basedOn w:val="Fontdeparagrafimplicit"/>
    <w:link w:val="Titlu3"/>
    <w:rsid w:val="00D73D0B"/>
    <w:rPr>
      <w:rFonts w:eastAsia="Times New Roman" w:cs="Times New Roman"/>
      <w:b/>
      <w:sz w:val="28"/>
      <w:szCs w:val="28"/>
      <w:lang w:val="ru-RU" w:eastAsia="ru-RU"/>
    </w:rPr>
  </w:style>
  <w:style w:type="character" w:customStyle="1" w:styleId="Titlu4Caracter">
    <w:name w:val="Titlu 4 Caracter"/>
    <w:basedOn w:val="Fontdeparagrafimplicit"/>
    <w:link w:val="Titlu4"/>
    <w:rsid w:val="00D73D0B"/>
    <w:rPr>
      <w:rFonts w:eastAsia="Times New Roman" w:cs="Times New Roman"/>
      <w:b/>
      <w:sz w:val="24"/>
      <w:szCs w:val="24"/>
      <w:lang w:val="ru-RU" w:eastAsia="ru-RU"/>
    </w:rPr>
  </w:style>
  <w:style w:type="character" w:customStyle="1" w:styleId="Titlu5Caracter">
    <w:name w:val="Titlu 5 Caracter"/>
    <w:basedOn w:val="Fontdeparagrafimplicit"/>
    <w:link w:val="Titlu5"/>
    <w:rsid w:val="00D73D0B"/>
    <w:rPr>
      <w:rFonts w:eastAsia="Times New Roman" w:cs="Times New Roman"/>
      <w:b/>
      <w:lang w:val="ru-RU" w:eastAsia="ru-RU"/>
    </w:rPr>
  </w:style>
  <w:style w:type="character" w:customStyle="1" w:styleId="Titlu6Caracter">
    <w:name w:val="Titlu 6 Caracter"/>
    <w:basedOn w:val="Fontdeparagrafimplicit"/>
    <w:link w:val="Titlu6"/>
    <w:rsid w:val="00D73D0B"/>
    <w:rPr>
      <w:rFonts w:eastAsia="Times New Roman" w:cs="Times New Roman"/>
      <w:b/>
      <w:sz w:val="20"/>
      <w:szCs w:val="20"/>
      <w:lang w:val="ru-RU" w:eastAsia="ru-RU"/>
    </w:rPr>
  </w:style>
  <w:style w:type="character" w:customStyle="1" w:styleId="TitluCaracter">
    <w:name w:val="Titlu Caracter"/>
    <w:basedOn w:val="Fontdeparagrafimplicit"/>
    <w:link w:val="Titlu"/>
    <w:rsid w:val="00D73D0B"/>
    <w:rPr>
      <w:rFonts w:eastAsia="Times New Roman" w:cs="Times New Roman"/>
      <w:b/>
      <w:sz w:val="72"/>
      <w:szCs w:val="72"/>
      <w:lang w:val="ru-RU" w:eastAsia="ru-RU"/>
    </w:rPr>
  </w:style>
  <w:style w:type="character" w:customStyle="1" w:styleId="SubtitluCaracter">
    <w:name w:val="Subtitlu Caracter"/>
    <w:basedOn w:val="Fontdeparagrafimplicit"/>
    <w:link w:val="Subtitlu"/>
    <w:rsid w:val="00D73D0B"/>
    <w:rPr>
      <w:rFonts w:ascii="Georgia" w:eastAsia="Georgia" w:hAnsi="Georgia" w:cs="Georgia"/>
      <w:i/>
      <w:color w:val="666666"/>
      <w:sz w:val="48"/>
      <w:szCs w:val="48"/>
      <w:lang w:val="ru-RU" w:eastAsia="ru-RU"/>
    </w:rPr>
  </w:style>
  <w:style w:type="paragraph" w:styleId="Textnotdesubsol">
    <w:name w:val="footnote text"/>
    <w:basedOn w:val="Normal"/>
    <w:link w:val="TextnotdesubsolCaracter"/>
    <w:rsid w:val="005F4416"/>
    <w:pPr>
      <w:spacing w:after="0" w:line="240" w:lineRule="auto"/>
    </w:pPr>
    <w:rPr>
      <w:rFonts w:ascii="Times New Roman" w:eastAsia="SimSun" w:hAnsi="Times New Roman"/>
      <w:sz w:val="20"/>
      <w:szCs w:val="20"/>
    </w:rPr>
  </w:style>
  <w:style w:type="character" w:customStyle="1" w:styleId="TextnotdesubsolCaracter">
    <w:name w:val="Text notă de subsol Caracter"/>
    <w:basedOn w:val="Fontdeparagrafimplicit"/>
    <w:link w:val="Textnotdesubsol"/>
    <w:rsid w:val="005F4416"/>
    <w:rPr>
      <w:rFonts w:ascii="Times New Roman" w:eastAsia="SimSun" w:hAnsi="Times New Roman" w:cs="Times New Roman"/>
      <w:sz w:val="20"/>
      <w:szCs w:val="20"/>
      <w:lang w:val="ru-RU" w:eastAsia="ru-RU"/>
    </w:rPr>
  </w:style>
  <w:style w:type="character" w:styleId="Referinnotdesubsol">
    <w:name w:val="footnote reference"/>
    <w:rsid w:val="005F4416"/>
    <w:rPr>
      <w:vertAlign w:val="superscript"/>
    </w:rPr>
  </w:style>
  <w:style w:type="character" w:customStyle="1" w:styleId="apple-style-span">
    <w:name w:val="apple-style-span"/>
    <w:basedOn w:val="Fontdeparagrafimplicit"/>
    <w:rsid w:val="005F4416"/>
  </w:style>
  <w:style w:type="character" w:styleId="Accentuat">
    <w:name w:val="Emphasis"/>
    <w:basedOn w:val="Fontdeparagrafimplicit"/>
    <w:uiPriority w:val="20"/>
    <w:qFormat/>
    <w:rsid w:val="00733083"/>
    <w:rPr>
      <w:i/>
      <w:iCs/>
    </w:rPr>
  </w:style>
  <w:style w:type="character" w:customStyle="1" w:styleId="Bodytext5">
    <w:name w:val="Body text (5)"/>
    <w:basedOn w:val="Fontdeparagrafimplicit"/>
    <w:rsid w:val="00B45A8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
    <w:name w:val="Body text (2)"/>
    <w:basedOn w:val="Fontdeparagrafimplicit"/>
    <w:rsid w:val="00B45A8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CalibriItalic">
    <w:name w:val="Body text (2) + Calibri;Italic"/>
    <w:basedOn w:val="Fontdeparagrafimplicit"/>
    <w:rsid w:val="00B45A84"/>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
    <w:name w:val="Body text (6)"/>
    <w:basedOn w:val="Fontdeparagrafimplicit"/>
    <w:rsid w:val="00B45A84"/>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TimesNewRomanNotItalic">
    <w:name w:val="Body text (6) + Times New Roman;Not Italic"/>
    <w:basedOn w:val="Fontdeparagrafimplicit"/>
    <w:rsid w:val="00B45A8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List1">
    <w:name w:val="Listă1"/>
    <w:basedOn w:val="Normal"/>
    <w:rsid w:val="007B22D6"/>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6172">
      <w:bodyDiv w:val="1"/>
      <w:marLeft w:val="0"/>
      <w:marRight w:val="0"/>
      <w:marTop w:val="0"/>
      <w:marBottom w:val="0"/>
      <w:divBdr>
        <w:top w:val="none" w:sz="0" w:space="0" w:color="auto"/>
        <w:left w:val="none" w:sz="0" w:space="0" w:color="auto"/>
        <w:bottom w:val="none" w:sz="0" w:space="0" w:color="auto"/>
        <w:right w:val="none" w:sz="0" w:space="0" w:color="auto"/>
      </w:divBdr>
    </w:div>
    <w:div w:id="158618654">
      <w:bodyDiv w:val="1"/>
      <w:marLeft w:val="0"/>
      <w:marRight w:val="0"/>
      <w:marTop w:val="0"/>
      <w:marBottom w:val="0"/>
      <w:divBdr>
        <w:top w:val="none" w:sz="0" w:space="0" w:color="auto"/>
        <w:left w:val="none" w:sz="0" w:space="0" w:color="auto"/>
        <w:bottom w:val="none" w:sz="0" w:space="0" w:color="auto"/>
        <w:right w:val="none" w:sz="0" w:space="0" w:color="auto"/>
      </w:divBdr>
    </w:div>
    <w:div w:id="171916571">
      <w:bodyDiv w:val="1"/>
      <w:marLeft w:val="0"/>
      <w:marRight w:val="0"/>
      <w:marTop w:val="0"/>
      <w:marBottom w:val="0"/>
      <w:divBdr>
        <w:top w:val="none" w:sz="0" w:space="0" w:color="auto"/>
        <w:left w:val="none" w:sz="0" w:space="0" w:color="auto"/>
        <w:bottom w:val="none" w:sz="0" w:space="0" w:color="auto"/>
        <w:right w:val="none" w:sz="0" w:space="0" w:color="auto"/>
      </w:divBdr>
      <w:divsChild>
        <w:div w:id="1969166081">
          <w:marLeft w:val="0"/>
          <w:marRight w:val="0"/>
          <w:marTop w:val="0"/>
          <w:marBottom w:val="0"/>
          <w:divBdr>
            <w:top w:val="none" w:sz="0" w:space="0" w:color="auto"/>
            <w:left w:val="none" w:sz="0" w:space="0" w:color="auto"/>
            <w:bottom w:val="none" w:sz="0" w:space="0" w:color="auto"/>
            <w:right w:val="none" w:sz="0" w:space="0" w:color="auto"/>
          </w:divBdr>
        </w:div>
      </w:divsChild>
    </w:div>
    <w:div w:id="308174161">
      <w:bodyDiv w:val="1"/>
      <w:marLeft w:val="0"/>
      <w:marRight w:val="0"/>
      <w:marTop w:val="0"/>
      <w:marBottom w:val="0"/>
      <w:divBdr>
        <w:top w:val="none" w:sz="0" w:space="0" w:color="auto"/>
        <w:left w:val="none" w:sz="0" w:space="0" w:color="auto"/>
        <w:bottom w:val="none" w:sz="0" w:space="0" w:color="auto"/>
        <w:right w:val="none" w:sz="0" w:space="0" w:color="auto"/>
      </w:divBdr>
    </w:div>
    <w:div w:id="323318882">
      <w:bodyDiv w:val="1"/>
      <w:marLeft w:val="0"/>
      <w:marRight w:val="0"/>
      <w:marTop w:val="0"/>
      <w:marBottom w:val="0"/>
      <w:divBdr>
        <w:top w:val="none" w:sz="0" w:space="0" w:color="auto"/>
        <w:left w:val="none" w:sz="0" w:space="0" w:color="auto"/>
        <w:bottom w:val="none" w:sz="0" w:space="0" w:color="auto"/>
        <w:right w:val="none" w:sz="0" w:space="0" w:color="auto"/>
      </w:divBdr>
      <w:divsChild>
        <w:div w:id="496651760">
          <w:marLeft w:val="0"/>
          <w:marRight w:val="0"/>
          <w:marTop w:val="0"/>
          <w:marBottom w:val="0"/>
          <w:divBdr>
            <w:top w:val="none" w:sz="0" w:space="0" w:color="auto"/>
            <w:left w:val="none" w:sz="0" w:space="0" w:color="auto"/>
            <w:bottom w:val="none" w:sz="0" w:space="0" w:color="auto"/>
            <w:right w:val="none" w:sz="0" w:space="0" w:color="auto"/>
          </w:divBdr>
        </w:div>
      </w:divsChild>
    </w:div>
    <w:div w:id="386950080">
      <w:bodyDiv w:val="1"/>
      <w:marLeft w:val="0"/>
      <w:marRight w:val="0"/>
      <w:marTop w:val="0"/>
      <w:marBottom w:val="0"/>
      <w:divBdr>
        <w:top w:val="none" w:sz="0" w:space="0" w:color="auto"/>
        <w:left w:val="none" w:sz="0" w:space="0" w:color="auto"/>
        <w:bottom w:val="none" w:sz="0" w:space="0" w:color="auto"/>
        <w:right w:val="none" w:sz="0" w:space="0" w:color="auto"/>
      </w:divBdr>
    </w:div>
    <w:div w:id="468283817">
      <w:bodyDiv w:val="1"/>
      <w:marLeft w:val="0"/>
      <w:marRight w:val="0"/>
      <w:marTop w:val="0"/>
      <w:marBottom w:val="0"/>
      <w:divBdr>
        <w:top w:val="none" w:sz="0" w:space="0" w:color="auto"/>
        <w:left w:val="none" w:sz="0" w:space="0" w:color="auto"/>
        <w:bottom w:val="none" w:sz="0" w:space="0" w:color="auto"/>
        <w:right w:val="none" w:sz="0" w:space="0" w:color="auto"/>
      </w:divBdr>
      <w:divsChild>
        <w:div w:id="1704595988">
          <w:marLeft w:val="0"/>
          <w:marRight w:val="0"/>
          <w:marTop w:val="0"/>
          <w:marBottom w:val="0"/>
          <w:divBdr>
            <w:top w:val="none" w:sz="0" w:space="0" w:color="auto"/>
            <w:left w:val="none" w:sz="0" w:space="0" w:color="auto"/>
            <w:bottom w:val="none" w:sz="0" w:space="0" w:color="auto"/>
            <w:right w:val="none" w:sz="0" w:space="0" w:color="auto"/>
          </w:divBdr>
        </w:div>
      </w:divsChild>
    </w:div>
    <w:div w:id="494953512">
      <w:bodyDiv w:val="1"/>
      <w:marLeft w:val="0"/>
      <w:marRight w:val="0"/>
      <w:marTop w:val="0"/>
      <w:marBottom w:val="0"/>
      <w:divBdr>
        <w:top w:val="none" w:sz="0" w:space="0" w:color="auto"/>
        <w:left w:val="none" w:sz="0" w:space="0" w:color="auto"/>
        <w:bottom w:val="none" w:sz="0" w:space="0" w:color="auto"/>
        <w:right w:val="none" w:sz="0" w:space="0" w:color="auto"/>
      </w:divBdr>
    </w:div>
    <w:div w:id="700479347">
      <w:bodyDiv w:val="1"/>
      <w:marLeft w:val="0"/>
      <w:marRight w:val="0"/>
      <w:marTop w:val="0"/>
      <w:marBottom w:val="0"/>
      <w:divBdr>
        <w:top w:val="none" w:sz="0" w:space="0" w:color="auto"/>
        <w:left w:val="none" w:sz="0" w:space="0" w:color="auto"/>
        <w:bottom w:val="none" w:sz="0" w:space="0" w:color="auto"/>
        <w:right w:val="none" w:sz="0" w:space="0" w:color="auto"/>
      </w:divBdr>
    </w:div>
    <w:div w:id="782454585">
      <w:bodyDiv w:val="1"/>
      <w:marLeft w:val="0"/>
      <w:marRight w:val="0"/>
      <w:marTop w:val="0"/>
      <w:marBottom w:val="0"/>
      <w:divBdr>
        <w:top w:val="none" w:sz="0" w:space="0" w:color="auto"/>
        <w:left w:val="none" w:sz="0" w:space="0" w:color="auto"/>
        <w:bottom w:val="none" w:sz="0" w:space="0" w:color="auto"/>
        <w:right w:val="none" w:sz="0" w:space="0" w:color="auto"/>
      </w:divBdr>
    </w:div>
    <w:div w:id="806900787">
      <w:bodyDiv w:val="1"/>
      <w:marLeft w:val="0"/>
      <w:marRight w:val="0"/>
      <w:marTop w:val="0"/>
      <w:marBottom w:val="0"/>
      <w:divBdr>
        <w:top w:val="none" w:sz="0" w:space="0" w:color="auto"/>
        <w:left w:val="none" w:sz="0" w:space="0" w:color="auto"/>
        <w:bottom w:val="none" w:sz="0" w:space="0" w:color="auto"/>
        <w:right w:val="none" w:sz="0" w:space="0" w:color="auto"/>
      </w:divBdr>
    </w:div>
    <w:div w:id="848829417">
      <w:bodyDiv w:val="1"/>
      <w:marLeft w:val="0"/>
      <w:marRight w:val="0"/>
      <w:marTop w:val="0"/>
      <w:marBottom w:val="0"/>
      <w:divBdr>
        <w:top w:val="none" w:sz="0" w:space="0" w:color="auto"/>
        <w:left w:val="none" w:sz="0" w:space="0" w:color="auto"/>
        <w:bottom w:val="none" w:sz="0" w:space="0" w:color="auto"/>
        <w:right w:val="none" w:sz="0" w:space="0" w:color="auto"/>
      </w:divBdr>
      <w:divsChild>
        <w:div w:id="1262838398">
          <w:marLeft w:val="0"/>
          <w:marRight w:val="0"/>
          <w:marTop w:val="0"/>
          <w:marBottom w:val="0"/>
          <w:divBdr>
            <w:top w:val="none" w:sz="0" w:space="0" w:color="auto"/>
            <w:left w:val="none" w:sz="0" w:space="0" w:color="auto"/>
            <w:bottom w:val="none" w:sz="0" w:space="0" w:color="auto"/>
            <w:right w:val="none" w:sz="0" w:space="0" w:color="auto"/>
          </w:divBdr>
        </w:div>
      </w:divsChild>
    </w:div>
    <w:div w:id="867257840">
      <w:bodyDiv w:val="1"/>
      <w:marLeft w:val="0"/>
      <w:marRight w:val="0"/>
      <w:marTop w:val="0"/>
      <w:marBottom w:val="0"/>
      <w:divBdr>
        <w:top w:val="none" w:sz="0" w:space="0" w:color="auto"/>
        <w:left w:val="none" w:sz="0" w:space="0" w:color="auto"/>
        <w:bottom w:val="none" w:sz="0" w:space="0" w:color="auto"/>
        <w:right w:val="none" w:sz="0" w:space="0" w:color="auto"/>
      </w:divBdr>
      <w:divsChild>
        <w:div w:id="1972051051">
          <w:marLeft w:val="0"/>
          <w:marRight w:val="0"/>
          <w:marTop w:val="0"/>
          <w:marBottom w:val="0"/>
          <w:divBdr>
            <w:top w:val="none" w:sz="0" w:space="0" w:color="auto"/>
            <w:left w:val="none" w:sz="0" w:space="0" w:color="auto"/>
            <w:bottom w:val="none" w:sz="0" w:space="0" w:color="auto"/>
            <w:right w:val="none" w:sz="0" w:space="0" w:color="auto"/>
          </w:divBdr>
        </w:div>
      </w:divsChild>
    </w:div>
    <w:div w:id="924536488">
      <w:bodyDiv w:val="1"/>
      <w:marLeft w:val="0"/>
      <w:marRight w:val="0"/>
      <w:marTop w:val="0"/>
      <w:marBottom w:val="0"/>
      <w:divBdr>
        <w:top w:val="none" w:sz="0" w:space="0" w:color="auto"/>
        <w:left w:val="none" w:sz="0" w:space="0" w:color="auto"/>
        <w:bottom w:val="none" w:sz="0" w:space="0" w:color="auto"/>
        <w:right w:val="none" w:sz="0" w:space="0" w:color="auto"/>
      </w:divBdr>
    </w:div>
    <w:div w:id="1070880363">
      <w:bodyDiv w:val="1"/>
      <w:marLeft w:val="0"/>
      <w:marRight w:val="0"/>
      <w:marTop w:val="0"/>
      <w:marBottom w:val="0"/>
      <w:divBdr>
        <w:top w:val="none" w:sz="0" w:space="0" w:color="auto"/>
        <w:left w:val="none" w:sz="0" w:space="0" w:color="auto"/>
        <w:bottom w:val="none" w:sz="0" w:space="0" w:color="auto"/>
        <w:right w:val="none" w:sz="0" w:space="0" w:color="auto"/>
      </w:divBdr>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sChild>
        <w:div w:id="452602157">
          <w:marLeft w:val="0"/>
          <w:marRight w:val="0"/>
          <w:marTop w:val="0"/>
          <w:marBottom w:val="0"/>
          <w:divBdr>
            <w:top w:val="none" w:sz="0" w:space="0" w:color="auto"/>
            <w:left w:val="none" w:sz="0" w:space="0" w:color="auto"/>
            <w:bottom w:val="none" w:sz="0" w:space="0" w:color="auto"/>
            <w:right w:val="none" w:sz="0" w:space="0" w:color="auto"/>
          </w:divBdr>
          <w:divsChild>
            <w:div w:id="1221087919">
              <w:marLeft w:val="0"/>
              <w:marRight w:val="0"/>
              <w:marTop w:val="0"/>
              <w:marBottom w:val="0"/>
              <w:divBdr>
                <w:top w:val="none" w:sz="0" w:space="0" w:color="auto"/>
                <w:left w:val="none" w:sz="0" w:space="0" w:color="auto"/>
                <w:bottom w:val="none" w:sz="0" w:space="0" w:color="auto"/>
                <w:right w:val="none" w:sz="0" w:space="0" w:color="auto"/>
              </w:divBdr>
              <w:divsChild>
                <w:div w:id="38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47656">
      <w:bodyDiv w:val="1"/>
      <w:marLeft w:val="0"/>
      <w:marRight w:val="0"/>
      <w:marTop w:val="0"/>
      <w:marBottom w:val="0"/>
      <w:divBdr>
        <w:top w:val="none" w:sz="0" w:space="0" w:color="auto"/>
        <w:left w:val="none" w:sz="0" w:space="0" w:color="auto"/>
        <w:bottom w:val="none" w:sz="0" w:space="0" w:color="auto"/>
        <w:right w:val="none" w:sz="0" w:space="0" w:color="auto"/>
      </w:divBdr>
    </w:div>
    <w:div w:id="1292974119">
      <w:bodyDiv w:val="1"/>
      <w:marLeft w:val="0"/>
      <w:marRight w:val="0"/>
      <w:marTop w:val="0"/>
      <w:marBottom w:val="0"/>
      <w:divBdr>
        <w:top w:val="none" w:sz="0" w:space="0" w:color="auto"/>
        <w:left w:val="none" w:sz="0" w:space="0" w:color="auto"/>
        <w:bottom w:val="none" w:sz="0" w:space="0" w:color="auto"/>
        <w:right w:val="none" w:sz="0" w:space="0" w:color="auto"/>
      </w:divBdr>
      <w:divsChild>
        <w:div w:id="1682732973">
          <w:marLeft w:val="0"/>
          <w:marRight w:val="0"/>
          <w:marTop w:val="0"/>
          <w:marBottom w:val="0"/>
          <w:divBdr>
            <w:top w:val="none" w:sz="0" w:space="0" w:color="auto"/>
            <w:left w:val="none" w:sz="0" w:space="0" w:color="auto"/>
            <w:bottom w:val="none" w:sz="0" w:space="0" w:color="auto"/>
            <w:right w:val="none" w:sz="0" w:space="0" w:color="auto"/>
          </w:divBdr>
        </w:div>
      </w:divsChild>
    </w:div>
    <w:div w:id="1423066886">
      <w:bodyDiv w:val="1"/>
      <w:marLeft w:val="0"/>
      <w:marRight w:val="0"/>
      <w:marTop w:val="0"/>
      <w:marBottom w:val="0"/>
      <w:divBdr>
        <w:top w:val="none" w:sz="0" w:space="0" w:color="auto"/>
        <w:left w:val="none" w:sz="0" w:space="0" w:color="auto"/>
        <w:bottom w:val="none" w:sz="0" w:space="0" w:color="auto"/>
        <w:right w:val="none" w:sz="0" w:space="0" w:color="auto"/>
      </w:divBdr>
      <w:divsChild>
        <w:div w:id="1709379203">
          <w:marLeft w:val="0"/>
          <w:marRight w:val="0"/>
          <w:marTop w:val="0"/>
          <w:marBottom w:val="0"/>
          <w:divBdr>
            <w:top w:val="none" w:sz="0" w:space="0" w:color="auto"/>
            <w:left w:val="none" w:sz="0" w:space="0" w:color="auto"/>
            <w:bottom w:val="none" w:sz="0" w:space="0" w:color="auto"/>
            <w:right w:val="none" w:sz="0" w:space="0" w:color="auto"/>
          </w:divBdr>
          <w:divsChild>
            <w:div w:id="842823621">
              <w:marLeft w:val="0"/>
              <w:marRight w:val="0"/>
              <w:marTop w:val="0"/>
              <w:marBottom w:val="0"/>
              <w:divBdr>
                <w:top w:val="none" w:sz="0" w:space="0" w:color="auto"/>
                <w:left w:val="none" w:sz="0" w:space="0" w:color="auto"/>
                <w:bottom w:val="none" w:sz="0" w:space="0" w:color="auto"/>
                <w:right w:val="none" w:sz="0" w:space="0" w:color="auto"/>
              </w:divBdr>
              <w:divsChild>
                <w:div w:id="5674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24080">
      <w:bodyDiv w:val="1"/>
      <w:marLeft w:val="0"/>
      <w:marRight w:val="0"/>
      <w:marTop w:val="0"/>
      <w:marBottom w:val="0"/>
      <w:divBdr>
        <w:top w:val="none" w:sz="0" w:space="0" w:color="auto"/>
        <w:left w:val="none" w:sz="0" w:space="0" w:color="auto"/>
        <w:bottom w:val="none" w:sz="0" w:space="0" w:color="auto"/>
        <w:right w:val="none" w:sz="0" w:space="0" w:color="auto"/>
      </w:divBdr>
      <w:divsChild>
        <w:div w:id="182980084">
          <w:marLeft w:val="0"/>
          <w:marRight w:val="0"/>
          <w:marTop w:val="0"/>
          <w:marBottom w:val="0"/>
          <w:divBdr>
            <w:top w:val="none" w:sz="0" w:space="0" w:color="auto"/>
            <w:left w:val="none" w:sz="0" w:space="0" w:color="auto"/>
            <w:bottom w:val="none" w:sz="0" w:space="0" w:color="auto"/>
            <w:right w:val="none" w:sz="0" w:space="0" w:color="auto"/>
          </w:divBdr>
          <w:divsChild>
            <w:div w:id="1059666855">
              <w:marLeft w:val="0"/>
              <w:marRight w:val="0"/>
              <w:marTop w:val="0"/>
              <w:marBottom w:val="0"/>
              <w:divBdr>
                <w:top w:val="none" w:sz="0" w:space="0" w:color="auto"/>
                <w:left w:val="none" w:sz="0" w:space="0" w:color="auto"/>
                <w:bottom w:val="none" w:sz="0" w:space="0" w:color="auto"/>
                <w:right w:val="none" w:sz="0" w:space="0" w:color="auto"/>
              </w:divBdr>
              <w:divsChild>
                <w:div w:id="2135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13620">
      <w:bodyDiv w:val="1"/>
      <w:marLeft w:val="0"/>
      <w:marRight w:val="0"/>
      <w:marTop w:val="0"/>
      <w:marBottom w:val="0"/>
      <w:divBdr>
        <w:top w:val="none" w:sz="0" w:space="0" w:color="auto"/>
        <w:left w:val="none" w:sz="0" w:space="0" w:color="auto"/>
        <w:bottom w:val="none" w:sz="0" w:space="0" w:color="auto"/>
        <w:right w:val="none" w:sz="0" w:space="0" w:color="auto"/>
      </w:divBdr>
    </w:div>
    <w:div w:id="1725177785">
      <w:bodyDiv w:val="1"/>
      <w:marLeft w:val="0"/>
      <w:marRight w:val="0"/>
      <w:marTop w:val="0"/>
      <w:marBottom w:val="0"/>
      <w:divBdr>
        <w:top w:val="none" w:sz="0" w:space="0" w:color="auto"/>
        <w:left w:val="none" w:sz="0" w:space="0" w:color="auto"/>
        <w:bottom w:val="none" w:sz="0" w:space="0" w:color="auto"/>
        <w:right w:val="none" w:sz="0" w:space="0" w:color="auto"/>
      </w:divBdr>
    </w:div>
    <w:div w:id="1824395819">
      <w:bodyDiv w:val="1"/>
      <w:marLeft w:val="0"/>
      <w:marRight w:val="0"/>
      <w:marTop w:val="0"/>
      <w:marBottom w:val="0"/>
      <w:divBdr>
        <w:top w:val="none" w:sz="0" w:space="0" w:color="auto"/>
        <w:left w:val="none" w:sz="0" w:space="0" w:color="auto"/>
        <w:bottom w:val="none" w:sz="0" w:space="0" w:color="auto"/>
        <w:right w:val="none" w:sz="0" w:space="0" w:color="auto"/>
      </w:divBdr>
    </w:div>
    <w:div w:id="1967464692">
      <w:bodyDiv w:val="1"/>
      <w:marLeft w:val="0"/>
      <w:marRight w:val="0"/>
      <w:marTop w:val="0"/>
      <w:marBottom w:val="0"/>
      <w:divBdr>
        <w:top w:val="none" w:sz="0" w:space="0" w:color="auto"/>
        <w:left w:val="none" w:sz="0" w:space="0" w:color="auto"/>
        <w:bottom w:val="none" w:sz="0" w:space="0" w:color="auto"/>
        <w:right w:val="none" w:sz="0" w:space="0" w:color="auto"/>
      </w:divBdr>
    </w:div>
    <w:div w:id="2132438531">
      <w:bodyDiv w:val="1"/>
      <w:marLeft w:val="0"/>
      <w:marRight w:val="0"/>
      <w:marTop w:val="0"/>
      <w:marBottom w:val="0"/>
      <w:divBdr>
        <w:top w:val="none" w:sz="0" w:space="0" w:color="auto"/>
        <w:left w:val="none" w:sz="0" w:space="0" w:color="auto"/>
        <w:bottom w:val="none" w:sz="0" w:space="0" w:color="auto"/>
        <w:right w:val="none" w:sz="0" w:space="0" w:color="auto"/>
      </w:divBdr>
      <w:divsChild>
        <w:div w:id="11430839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gis.md/cautare/getResults?doc_id=150097&amp;lang=ro" TargetMode="External"/><Relationship Id="rId4" Type="http://schemas.openxmlformats.org/officeDocument/2006/relationships/styles" Target="styles.xml"/><Relationship Id="rId9" Type="http://schemas.openxmlformats.org/officeDocument/2006/relationships/hyperlink" Target="https://particip.gov.md/ro/document/stages/anunt-privind-initierea-elaborarii-proiectului-de-hotarare-de-guvern-privind-aprobarea-standardelor-pentru-masuri-fitosanitare/1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48OL6KaZX0RE9kYkAdSz99urOg==">AMUW2mV6HA4dG0SyA5nELWll4l5rivEoCbnXBK3xP/i9LqsdQ5QmClbtqqwqJiSe8F0YvGhHmjTsmzsAf1xl2+7QeQl1ZDsGkLpP7rnhoZcN9SLavNoqoIRHeQCVaf5JbJH74GqTMrEw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7E7F9C-1476-46E2-83D1-A17428E7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12889</TotalTime>
  <Pages>1</Pages>
  <Words>15489</Words>
  <Characters>88292</Characters>
  <Application>Microsoft Office Word</Application>
  <DocSecurity>0</DocSecurity>
  <Lines>735</Lines>
  <Paragraphs>207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Sarban Cristina</cp:lastModifiedBy>
  <cp:revision>37</cp:revision>
  <cp:lastPrinted>2024-09-03T13:28:00Z</cp:lastPrinted>
  <dcterms:created xsi:type="dcterms:W3CDTF">2023-05-19T06:31:00Z</dcterms:created>
  <dcterms:modified xsi:type="dcterms:W3CDTF">2026-02-20T15:58:00Z</dcterms:modified>
</cp:coreProperties>
</file>