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tblpXSpec="center" w:tblpY="2476"/>
        <w:tblW w:w="5279" w:type="pct"/>
        <w:tblLook w:val="04A0" w:firstRow="1" w:lastRow="0" w:firstColumn="1" w:lastColumn="0" w:noHBand="0" w:noVBand="1"/>
      </w:tblPr>
      <w:tblGrid>
        <w:gridCol w:w="8979"/>
      </w:tblGrid>
      <w:tr w:rsidR="00AC4974" w:rsidRPr="00361BDA" w14:paraId="1734A342" w14:textId="77777777" w:rsidTr="006F2E43">
        <w:trPr>
          <w:trHeight w:val="990"/>
        </w:trPr>
        <w:tc>
          <w:tcPr>
            <w:tcW w:w="5000" w:type="pct"/>
          </w:tcPr>
          <w:p w14:paraId="4127BEA5" w14:textId="7D87F83E" w:rsidR="00AC4974" w:rsidRPr="00361BDA" w:rsidRDefault="006F2E43" w:rsidP="009D03DC">
            <w:pPr>
              <w:spacing w:line="276" w:lineRule="auto"/>
              <w:contextualSpacing/>
              <w:rPr>
                <w:rFonts w:ascii="Times New Roman" w:hAnsi="Times New Roman" w:cs="Times New Roman"/>
                <w:sz w:val="24"/>
                <w:szCs w:val="24"/>
                <w:lang w:val="ro-MD"/>
              </w:rPr>
            </w:pPr>
            <w:r w:rsidRPr="00361BDA">
              <w:rPr>
                <w:rFonts w:ascii="Times New Roman" w:hAnsi="Times New Roman" w:cs="Times New Roman"/>
                <w:noProof/>
                <w:sz w:val="24"/>
                <w:szCs w:val="24"/>
              </w:rPr>
              <w:drawing>
                <wp:anchor distT="0" distB="0" distL="114300" distR="114300" simplePos="0" relativeHeight="251659264" behindDoc="0" locked="0" layoutInCell="0" allowOverlap="1" wp14:anchorId="17DDDF51" wp14:editId="0B3DDDD1">
                  <wp:simplePos x="0" y="0"/>
                  <wp:positionH relativeFrom="column">
                    <wp:posOffset>2445613</wp:posOffset>
                  </wp:positionH>
                  <wp:positionV relativeFrom="line">
                    <wp:posOffset>8255</wp:posOffset>
                  </wp:positionV>
                  <wp:extent cx="676275" cy="773430"/>
                  <wp:effectExtent l="0" t="0" r="952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676275" cy="773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C986C0" w14:textId="77777777" w:rsidR="00AC4974" w:rsidRPr="00361BDA" w:rsidRDefault="00AC4974" w:rsidP="009D03DC">
            <w:pPr>
              <w:spacing w:line="276" w:lineRule="auto"/>
              <w:contextualSpacing/>
              <w:rPr>
                <w:rFonts w:ascii="Times New Roman" w:hAnsi="Times New Roman" w:cs="Times New Roman"/>
                <w:sz w:val="24"/>
                <w:szCs w:val="24"/>
                <w:lang w:val="ro-MD"/>
              </w:rPr>
            </w:pPr>
          </w:p>
          <w:p w14:paraId="7DC4A69F" w14:textId="77777777" w:rsidR="00AC4974" w:rsidRDefault="00AC4974" w:rsidP="009D03DC">
            <w:pPr>
              <w:spacing w:line="276" w:lineRule="auto"/>
              <w:contextualSpacing/>
              <w:rPr>
                <w:rFonts w:ascii="Times New Roman" w:hAnsi="Times New Roman" w:cs="Times New Roman"/>
                <w:sz w:val="24"/>
                <w:szCs w:val="24"/>
                <w:lang w:val="ro-MD"/>
              </w:rPr>
            </w:pPr>
          </w:p>
          <w:p w14:paraId="1061E902" w14:textId="38039DAC" w:rsidR="006F2E43" w:rsidRPr="00361BDA" w:rsidRDefault="006F2E43" w:rsidP="009D03DC">
            <w:pPr>
              <w:spacing w:line="276" w:lineRule="auto"/>
              <w:contextualSpacing/>
              <w:rPr>
                <w:rFonts w:ascii="Times New Roman" w:hAnsi="Times New Roman" w:cs="Times New Roman"/>
                <w:sz w:val="24"/>
                <w:szCs w:val="24"/>
                <w:lang w:val="ro-MD"/>
              </w:rPr>
            </w:pPr>
          </w:p>
        </w:tc>
      </w:tr>
      <w:tr w:rsidR="00AC4974" w:rsidRPr="00361BDA" w14:paraId="459FA085" w14:textId="77777777" w:rsidTr="006F2E43">
        <w:trPr>
          <w:trHeight w:val="2178"/>
        </w:trPr>
        <w:tc>
          <w:tcPr>
            <w:tcW w:w="5000" w:type="pct"/>
          </w:tcPr>
          <w:p w14:paraId="5967D0EC" w14:textId="77777777" w:rsidR="00AC4974" w:rsidRPr="00361BDA" w:rsidRDefault="00AC4974" w:rsidP="009D03DC">
            <w:pPr>
              <w:pStyle w:val="Titlu8"/>
              <w:spacing w:before="0" w:line="276" w:lineRule="auto"/>
              <w:contextualSpacing/>
              <w:rPr>
                <w:rFonts w:ascii="Times New Roman" w:hAnsi="Times New Roman" w:cs="Times New Roman"/>
                <w:color w:val="auto"/>
                <w:sz w:val="10"/>
                <w:lang w:val="ro-MD"/>
              </w:rPr>
            </w:pPr>
          </w:p>
          <w:p w14:paraId="2F60F058" w14:textId="458445DD" w:rsidR="00AC4974" w:rsidRDefault="00AC4974" w:rsidP="00AA2622">
            <w:pPr>
              <w:pStyle w:val="Titlu8"/>
              <w:spacing w:before="0" w:line="276" w:lineRule="auto"/>
              <w:contextualSpacing/>
              <w:jc w:val="center"/>
              <w:rPr>
                <w:rFonts w:ascii="Times New Roman" w:hAnsi="Times New Roman" w:cs="Times New Roman"/>
                <w:color w:val="auto"/>
                <w:spacing w:val="20"/>
                <w:sz w:val="40"/>
                <w:szCs w:val="40"/>
                <w:lang w:val="ro-MD"/>
              </w:rPr>
            </w:pPr>
            <w:r w:rsidRPr="00361BDA">
              <w:rPr>
                <w:rFonts w:ascii="Times New Roman" w:hAnsi="Times New Roman" w:cs="Times New Roman"/>
                <w:color w:val="auto"/>
                <w:spacing w:val="20"/>
                <w:sz w:val="40"/>
                <w:szCs w:val="40"/>
                <w:lang w:val="ro-MD"/>
              </w:rPr>
              <w:t>GUVERNUL  REPUBLICII  MOLDOVA</w:t>
            </w:r>
          </w:p>
          <w:p w14:paraId="7E79194E" w14:textId="77777777" w:rsidR="00AA2622" w:rsidRPr="00AA2622" w:rsidRDefault="00AA2622" w:rsidP="00AA2622">
            <w:pPr>
              <w:rPr>
                <w:lang w:val="ro-MD"/>
              </w:rPr>
            </w:pPr>
          </w:p>
          <w:p w14:paraId="34F13AB5" w14:textId="77777777" w:rsidR="00AC4974" w:rsidRPr="00361BDA" w:rsidRDefault="00AC4974" w:rsidP="009D03DC">
            <w:pPr>
              <w:pStyle w:val="Titlu8"/>
              <w:spacing w:before="0" w:line="276" w:lineRule="auto"/>
              <w:contextualSpacing/>
              <w:jc w:val="center"/>
              <w:rPr>
                <w:rFonts w:ascii="Times New Roman" w:hAnsi="Times New Roman" w:cs="Times New Roman"/>
                <w:color w:val="auto"/>
                <w:sz w:val="34"/>
                <w:szCs w:val="34"/>
                <w:lang w:val="ro-MD"/>
              </w:rPr>
            </w:pPr>
            <w:r w:rsidRPr="00361BDA">
              <w:rPr>
                <w:rFonts w:ascii="Times New Roman" w:hAnsi="Times New Roman" w:cs="Times New Roman"/>
                <w:color w:val="auto"/>
                <w:spacing w:val="40"/>
                <w:sz w:val="32"/>
                <w:szCs w:val="32"/>
                <w:lang w:val="ro-MD"/>
              </w:rPr>
              <w:t>HOTĂRÂRE</w:t>
            </w:r>
            <w:r w:rsidRPr="00361BDA">
              <w:rPr>
                <w:rFonts w:ascii="Times New Roman" w:hAnsi="Times New Roman" w:cs="Times New Roman"/>
                <w:color w:val="auto"/>
                <w:sz w:val="34"/>
                <w:szCs w:val="34"/>
                <w:lang w:val="ro-MD"/>
              </w:rPr>
              <w:t xml:space="preserve"> </w:t>
            </w:r>
            <w:r w:rsidRPr="00361BDA">
              <w:rPr>
                <w:rFonts w:ascii="Times New Roman" w:hAnsi="Times New Roman" w:cs="Times New Roman"/>
                <w:color w:val="auto"/>
                <w:sz w:val="32"/>
                <w:szCs w:val="32"/>
                <w:lang w:val="ro-MD"/>
              </w:rPr>
              <w:t>nr. ____</w:t>
            </w:r>
          </w:p>
          <w:p w14:paraId="25660A52" w14:textId="77777777" w:rsidR="00AC4974" w:rsidRPr="00361BDA" w:rsidRDefault="00AC4974" w:rsidP="009D03DC">
            <w:pPr>
              <w:spacing w:line="276" w:lineRule="auto"/>
              <w:contextualSpacing/>
              <w:jc w:val="center"/>
              <w:rPr>
                <w:rFonts w:ascii="Times New Roman" w:hAnsi="Times New Roman" w:cs="Times New Roman"/>
                <w:lang w:val="ro-MD"/>
              </w:rPr>
            </w:pPr>
          </w:p>
          <w:p w14:paraId="56A6BA17" w14:textId="20396442" w:rsidR="00AC4974" w:rsidRPr="00361BDA" w:rsidRDefault="00AC4974" w:rsidP="009D03DC">
            <w:pPr>
              <w:spacing w:line="276" w:lineRule="auto"/>
              <w:contextualSpacing/>
              <w:jc w:val="center"/>
              <w:rPr>
                <w:rFonts w:ascii="Times New Roman" w:hAnsi="Times New Roman" w:cs="Times New Roman"/>
                <w:b/>
                <w:sz w:val="28"/>
                <w:szCs w:val="28"/>
                <w:lang w:val="ro-MD"/>
              </w:rPr>
            </w:pPr>
            <w:r w:rsidRPr="00361BDA">
              <w:rPr>
                <w:rFonts w:ascii="Times New Roman" w:hAnsi="Times New Roman" w:cs="Times New Roman"/>
                <w:b/>
                <w:sz w:val="28"/>
                <w:szCs w:val="28"/>
                <w:u w:val="single"/>
                <w:lang w:val="ro-MD"/>
              </w:rPr>
              <w:t>din                                        202</w:t>
            </w:r>
            <w:r w:rsidR="00BF5675">
              <w:rPr>
                <w:rFonts w:ascii="Times New Roman" w:hAnsi="Times New Roman" w:cs="Times New Roman"/>
                <w:b/>
                <w:sz w:val="28"/>
                <w:szCs w:val="28"/>
                <w:u w:val="single"/>
                <w:lang w:val="ro-MD"/>
              </w:rPr>
              <w:t>6</w:t>
            </w:r>
          </w:p>
          <w:p w14:paraId="4070E21F" w14:textId="4F115C67" w:rsidR="00050F3B" w:rsidRPr="00050F3B" w:rsidRDefault="00AC4974" w:rsidP="005C1354">
            <w:pPr>
              <w:spacing w:line="276" w:lineRule="auto"/>
              <w:contextualSpacing/>
              <w:jc w:val="center"/>
              <w:rPr>
                <w:rFonts w:ascii="Times New Roman" w:hAnsi="Times New Roman" w:cs="Times New Roman"/>
                <w:b/>
                <w:sz w:val="24"/>
                <w:szCs w:val="24"/>
                <w:lang w:val="ro-MD"/>
              </w:rPr>
            </w:pPr>
            <w:r w:rsidRPr="00361BDA">
              <w:rPr>
                <w:rFonts w:ascii="Times New Roman" w:hAnsi="Times New Roman" w:cs="Times New Roman"/>
                <w:b/>
                <w:sz w:val="24"/>
                <w:szCs w:val="24"/>
                <w:lang w:val="ro-MD"/>
              </w:rPr>
              <w:t>Chișinău</w:t>
            </w:r>
          </w:p>
        </w:tc>
      </w:tr>
    </w:tbl>
    <w:p w14:paraId="2A4BBA22" w14:textId="55E064B9" w:rsidR="00AC4974" w:rsidRDefault="00AC4974" w:rsidP="00AC4974">
      <w:pPr>
        <w:spacing w:after="0" w:line="276" w:lineRule="auto"/>
        <w:ind w:right="26"/>
        <w:contextualSpacing/>
        <w:jc w:val="right"/>
        <w:rPr>
          <w:rFonts w:ascii="Times New Roman" w:hAnsi="Times New Roman" w:cs="Times New Roman"/>
          <w:b/>
          <w:sz w:val="28"/>
          <w:szCs w:val="28"/>
          <w:lang w:val="ro-MD"/>
        </w:rPr>
      </w:pPr>
      <w:r w:rsidRPr="00361BDA">
        <w:rPr>
          <w:rFonts w:ascii="Times New Roman" w:hAnsi="Times New Roman" w:cs="Times New Roman"/>
          <w:b/>
          <w:sz w:val="28"/>
          <w:szCs w:val="28"/>
          <w:lang w:val="ro-MD"/>
        </w:rPr>
        <w:t xml:space="preserve">Proiect </w:t>
      </w:r>
    </w:p>
    <w:p w14:paraId="7E0CBF63" w14:textId="3B63C4F6" w:rsidR="00840669" w:rsidRPr="00AA2622" w:rsidRDefault="00AC4974" w:rsidP="00863814">
      <w:pPr>
        <w:tabs>
          <w:tab w:val="left" w:pos="8080"/>
        </w:tabs>
        <w:spacing w:after="0" w:line="276" w:lineRule="auto"/>
        <w:ind w:right="168"/>
        <w:contextualSpacing/>
        <w:jc w:val="right"/>
        <w:rPr>
          <w:rFonts w:ascii="Times New Roman" w:hAnsi="Times New Roman" w:cs="Times New Roman"/>
          <w:b/>
          <w:sz w:val="28"/>
          <w:szCs w:val="28"/>
          <w:lang w:val="ro-MD"/>
        </w:rPr>
      </w:pPr>
      <w:r w:rsidRPr="00361BDA">
        <w:rPr>
          <w:rFonts w:ascii="Times New Roman" w:hAnsi="Times New Roman" w:cs="Times New Roman"/>
          <w:b/>
          <w:sz w:val="28"/>
          <w:szCs w:val="28"/>
          <w:lang w:val="ro-MD"/>
        </w:rPr>
        <w:t>„UE”</w:t>
      </w:r>
    </w:p>
    <w:p w14:paraId="37B0C944" w14:textId="77777777" w:rsidR="008E4A41" w:rsidRDefault="008E4A41" w:rsidP="007D63E9">
      <w:pPr>
        <w:spacing w:line="360" w:lineRule="auto"/>
        <w:ind w:right="26"/>
        <w:jc w:val="center"/>
        <w:rPr>
          <w:rFonts w:ascii="Times New Roman" w:hAnsi="Times New Roman" w:cs="Times New Roman"/>
          <w:b/>
          <w:sz w:val="28"/>
          <w:szCs w:val="28"/>
        </w:rPr>
      </w:pPr>
      <w:bookmarkStart w:id="0" w:name="_Hlk216874779"/>
    </w:p>
    <w:p w14:paraId="2CA4A7AB" w14:textId="754A1FBF" w:rsidR="00AC4974" w:rsidRPr="00050F3B" w:rsidRDefault="00654881" w:rsidP="00F66109">
      <w:pPr>
        <w:spacing w:line="360" w:lineRule="auto"/>
        <w:ind w:left="426" w:right="282"/>
        <w:jc w:val="center"/>
        <w:rPr>
          <w:rFonts w:ascii="Times New Roman" w:hAnsi="Times New Roman" w:cs="Times New Roman"/>
          <w:b/>
          <w:sz w:val="28"/>
          <w:szCs w:val="28"/>
        </w:rPr>
      </w:pPr>
      <w:r>
        <w:rPr>
          <w:rFonts w:ascii="Times New Roman" w:hAnsi="Times New Roman" w:cs="Times New Roman"/>
          <w:b/>
          <w:sz w:val="28"/>
          <w:szCs w:val="28"/>
        </w:rPr>
        <w:t>cu privire la modificarea unor hotărâri ale Guvernului (</w:t>
      </w:r>
      <w:r w:rsidR="0064640C">
        <w:rPr>
          <w:rFonts w:ascii="Times New Roman" w:hAnsi="Times New Roman" w:cs="Times New Roman"/>
          <w:b/>
          <w:sz w:val="28"/>
          <w:szCs w:val="28"/>
        </w:rPr>
        <w:t xml:space="preserve">completarea </w:t>
      </w:r>
      <w:r w:rsidR="0064640C">
        <w:rPr>
          <w:rFonts w:ascii="Times New Roman" w:hAnsi="Times New Roman" w:cs="Times New Roman"/>
          <w:b/>
          <w:color w:val="000000" w:themeColor="text1"/>
          <w:sz w:val="28"/>
          <w:szCs w:val="28"/>
        </w:rPr>
        <w:t>n</w:t>
      </w:r>
      <w:r w:rsidR="00AC4974" w:rsidRPr="00651EF0">
        <w:rPr>
          <w:rFonts w:ascii="Times New Roman" w:hAnsi="Times New Roman" w:cs="Times New Roman"/>
          <w:b/>
          <w:color w:val="000000" w:themeColor="text1"/>
          <w:sz w:val="28"/>
          <w:szCs w:val="28"/>
        </w:rPr>
        <w:t>orm</w:t>
      </w:r>
      <w:r w:rsidR="0064640C">
        <w:rPr>
          <w:rFonts w:ascii="Times New Roman" w:hAnsi="Times New Roman" w:cs="Times New Roman"/>
          <w:b/>
          <w:color w:val="000000" w:themeColor="text1"/>
          <w:sz w:val="28"/>
          <w:szCs w:val="28"/>
        </w:rPr>
        <w:t>elor</w:t>
      </w:r>
      <w:r w:rsidR="00AC4974" w:rsidRPr="00651EF0">
        <w:rPr>
          <w:rFonts w:ascii="Times New Roman" w:hAnsi="Times New Roman" w:cs="Times New Roman"/>
          <w:b/>
          <w:color w:val="000000" w:themeColor="text1"/>
          <w:sz w:val="28"/>
          <w:szCs w:val="28"/>
        </w:rPr>
        <w:t xml:space="preserve"> privind metodele analit</w:t>
      </w:r>
      <w:r w:rsidR="00AC4974" w:rsidRPr="00AC4974">
        <w:rPr>
          <w:rFonts w:ascii="Times New Roman" w:hAnsi="Times New Roman" w:cs="Times New Roman"/>
          <w:b/>
          <w:sz w:val="28"/>
          <w:szCs w:val="28"/>
        </w:rPr>
        <w:t>ice pentru reziduurile de substanțe farmacologic active</w:t>
      </w:r>
      <w:bookmarkStart w:id="1" w:name="_Hlk214373199"/>
      <w:r>
        <w:rPr>
          <w:rFonts w:ascii="Times New Roman" w:hAnsi="Times New Roman" w:cs="Times New Roman"/>
          <w:b/>
          <w:sz w:val="28"/>
          <w:szCs w:val="28"/>
        </w:rPr>
        <w:t>)</w:t>
      </w:r>
      <w:bookmarkEnd w:id="1"/>
    </w:p>
    <w:bookmarkEnd w:id="0"/>
    <w:p w14:paraId="453E26D4" w14:textId="747E831C" w:rsidR="00AC4974" w:rsidRDefault="004A1341" w:rsidP="00F66109">
      <w:pPr>
        <w:spacing w:line="360" w:lineRule="auto"/>
        <w:ind w:right="-58" w:firstLine="851"/>
        <w:jc w:val="both"/>
        <w:rPr>
          <w:rFonts w:ascii="Times New Roman" w:hAnsi="Times New Roman" w:cs="Times New Roman"/>
          <w:sz w:val="28"/>
          <w:szCs w:val="28"/>
        </w:rPr>
      </w:pPr>
      <w:r w:rsidRPr="00AA2622">
        <w:rPr>
          <w:rFonts w:ascii="Times New Roman" w:hAnsi="Times New Roman" w:cs="Times New Roman"/>
          <w:color w:val="000000" w:themeColor="text1"/>
          <w:sz w:val="28"/>
          <w:szCs w:val="28"/>
        </w:rPr>
        <w:t>În temeiul</w:t>
      </w:r>
      <w:r w:rsidR="00203C0D">
        <w:rPr>
          <w:rFonts w:ascii="Times New Roman" w:hAnsi="Times New Roman" w:cs="Times New Roman"/>
          <w:color w:val="000000" w:themeColor="text1"/>
          <w:sz w:val="28"/>
          <w:szCs w:val="28"/>
        </w:rPr>
        <w:t xml:space="preserve"> art. 2 din Legea nr. 112/2014 </w:t>
      </w:r>
      <w:r w:rsidR="00203C0D" w:rsidRPr="00203C0D">
        <w:rPr>
          <w:rFonts w:ascii="Times New Roman" w:hAnsi="Times New Roman" w:cs="Times New Roman"/>
          <w:color w:val="000000" w:themeColor="text1"/>
          <w:sz w:val="28"/>
          <w:szCs w:val="28"/>
        </w:rPr>
        <w:t>pentru ratificarea Acordului de Asociere</w:t>
      </w:r>
      <w:r w:rsidR="00203C0D">
        <w:rPr>
          <w:rFonts w:ascii="Times New Roman" w:hAnsi="Times New Roman" w:cs="Times New Roman"/>
          <w:color w:val="000000" w:themeColor="text1"/>
          <w:sz w:val="28"/>
          <w:szCs w:val="28"/>
        </w:rPr>
        <w:t xml:space="preserve"> </w:t>
      </w:r>
      <w:r w:rsidR="00203C0D" w:rsidRPr="00203C0D">
        <w:rPr>
          <w:rFonts w:ascii="Times New Roman" w:hAnsi="Times New Roman" w:cs="Times New Roman"/>
          <w:color w:val="000000" w:themeColor="text1"/>
          <w:sz w:val="28"/>
          <w:szCs w:val="28"/>
        </w:rPr>
        <w:t>între Republica Moldova, pe de o parte, şi Uniunea</w:t>
      </w:r>
      <w:r w:rsidR="00203C0D">
        <w:rPr>
          <w:rFonts w:ascii="Times New Roman" w:hAnsi="Times New Roman" w:cs="Times New Roman"/>
          <w:color w:val="000000" w:themeColor="text1"/>
          <w:sz w:val="28"/>
          <w:szCs w:val="28"/>
        </w:rPr>
        <w:t xml:space="preserve"> </w:t>
      </w:r>
      <w:r w:rsidR="00203C0D" w:rsidRPr="00203C0D">
        <w:rPr>
          <w:rFonts w:ascii="Times New Roman" w:hAnsi="Times New Roman" w:cs="Times New Roman"/>
          <w:color w:val="000000" w:themeColor="text1"/>
          <w:sz w:val="28"/>
          <w:szCs w:val="28"/>
        </w:rPr>
        <w:t xml:space="preserve">Europeană şi Comunitatea Europeană </w:t>
      </w:r>
      <w:proofErr w:type="gramStart"/>
      <w:r w:rsidR="0001112C">
        <w:rPr>
          <w:rFonts w:ascii="Times New Roman" w:hAnsi="Times New Roman" w:cs="Times New Roman"/>
          <w:color w:val="000000" w:themeColor="text1"/>
          <w:sz w:val="28"/>
          <w:szCs w:val="28"/>
        </w:rPr>
        <w:t>a</w:t>
      </w:r>
      <w:proofErr w:type="gramEnd"/>
      <w:r w:rsidR="00203C0D" w:rsidRPr="00203C0D">
        <w:rPr>
          <w:rFonts w:ascii="Times New Roman" w:hAnsi="Times New Roman" w:cs="Times New Roman"/>
          <w:color w:val="000000" w:themeColor="text1"/>
          <w:sz w:val="28"/>
          <w:szCs w:val="28"/>
        </w:rPr>
        <w:t xml:space="preserve"> Energiei</w:t>
      </w:r>
      <w:r w:rsidR="00203C0D">
        <w:rPr>
          <w:rFonts w:ascii="Times New Roman" w:hAnsi="Times New Roman" w:cs="Times New Roman"/>
          <w:color w:val="000000" w:themeColor="text1"/>
          <w:sz w:val="28"/>
          <w:szCs w:val="28"/>
        </w:rPr>
        <w:t xml:space="preserve"> </w:t>
      </w:r>
      <w:r w:rsidR="00203C0D" w:rsidRPr="00203C0D">
        <w:rPr>
          <w:rFonts w:ascii="Times New Roman" w:hAnsi="Times New Roman" w:cs="Times New Roman"/>
          <w:color w:val="000000" w:themeColor="text1"/>
          <w:sz w:val="28"/>
          <w:szCs w:val="28"/>
        </w:rPr>
        <w:t>Atomice şi statele membre ale acestora, pe de</w:t>
      </w:r>
      <w:r w:rsidR="00203C0D">
        <w:rPr>
          <w:rFonts w:ascii="Times New Roman" w:hAnsi="Times New Roman" w:cs="Times New Roman"/>
          <w:color w:val="000000" w:themeColor="text1"/>
          <w:sz w:val="28"/>
          <w:szCs w:val="28"/>
        </w:rPr>
        <w:t xml:space="preserve"> </w:t>
      </w:r>
      <w:r w:rsidR="00203C0D" w:rsidRPr="00203C0D">
        <w:rPr>
          <w:rFonts w:ascii="Times New Roman" w:hAnsi="Times New Roman" w:cs="Times New Roman"/>
          <w:color w:val="000000" w:themeColor="text1"/>
          <w:sz w:val="28"/>
          <w:szCs w:val="28"/>
        </w:rPr>
        <w:t>altă parte</w:t>
      </w:r>
      <w:r w:rsidR="00203C0D">
        <w:rPr>
          <w:rFonts w:ascii="Times New Roman" w:hAnsi="Times New Roman" w:cs="Times New Roman"/>
          <w:color w:val="000000" w:themeColor="text1"/>
          <w:sz w:val="28"/>
          <w:szCs w:val="28"/>
        </w:rPr>
        <w:t>, al</w:t>
      </w:r>
      <w:r w:rsidRPr="00AA2622">
        <w:rPr>
          <w:rFonts w:ascii="Times New Roman" w:hAnsi="Times New Roman" w:cs="Times New Roman"/>
          <w:color w:val="000000" w:themeColor="text1"/>
          <w:sz w:val="28"/>
          <w:szCs w:val="28"/>
        </w:rPr>
        <w:t xml:space="preserve"> art. </w:t>
      </w:r>
      <w:r w:rsidR="00AA2622" w:rsidRPr="00AA2622">
        <w:rPr>
          <w:rFonts w:ascii="Times New Roman" w:hAnsi="Times New Roman" w:cs="Times New Roman"/>
          <w:color w:val="000000" w:themeColor="text1"/>
          <w:sz w:val="28"/>
          <w:szCs w:val="28"/>
        </w:rPr>
        <w:t xml:space="preserve">76 </w:t>
      </w:r>
      <w:r w:rsidRPr="00AA2622">
        <w:rPr>
          <w:rFonts w:ascii="Times New Roman" w:hAnsi="Times New Roman" w:cs="Times New Roman"/>
          <w:color w:val="000000" w:themeColor="text1"/>
          <w:sz w:val="28"/>
          <w:szCs w:val="28"/>
        </w:rPr>
        <w:t>alin. (</w:t>
      </w:r>
      <w:r w:rsidR="00AA2622" w:rsidRPr="00AA2622">
        <w:rPr>
          <w:rFonts w:ascii="Times New Roman" w:hAnsi="Times New Roman" w:cs="Times New Roman"/>
          <w:color w:val="000000" w:themeColor="text1"/>
          <w:sz w:val="28"/>
          <w:szCs w:val="28"/>
        </w:rPr>
        <w:t>2</w:t>
      </w:r>
      <w:r w:rsidRPr="00AA2622">
        <w:rPr>
          <w:rFonts w:ascii="Times New Roman" w:hAnsi="Times New Roman" w:cs="Times New Roman"/>
          <w:color w:val="000000" w:themeColor="text1"/>
          <w:sz w:val="28"/>
          <w:szCs w:val="28"/>
        </w:rPr>
        <w:t>)</w:t>
      </w:r>
      <w:r w:rsidR="00AA2622" w:rsidRPr="00AA2622">
        <w:rPr>
          <w:rFonts w:ascii="Times New Roman" w:hAnsi="Times New Roman" w:cs="Times New Roman"/>
          <w:color w:val="000000" w:themeColor="text1"/>
          <w:sz w:val="28"/>
          <w:szCs w:val="28"/>
        </w:rPr>
        <w:t xml:space="preserve"> pct. 1</w:t>
      </w:r>
      <w:r w:rsidR="005461F7">
        <w:rPr>
          <w:rFonts w:ascii="Times New Roman" w:hAnsi="Times New Roman" w:cs="Times New Roman"/>
          <w:color w:val="000000" w:themeColor="text1"/>
          <w:sz w:val="28"/>
          <w:szCs w:val="28"/>
        </w:rPr>
        <w:t>)</w:t>
      </w:r>
      <w:r w:rsidR="00AA2622" w:rsidRPr="00AA2622">
        <w:rPr>
          <w:rFonts w:ascii="Times New Roman" w:hAnsi="Times New Roman" w:cs="Times New Roman"/>
          <w:color w:val="000000" w:themeColor="text1"/>
          <w:sz w:val="28"/>
          <w:szCs w:val="28"/>
        </w:rPr>
        <w:t xml:space="preserve"> lit. a)</w:t>
      </w:r>
      <w:r w:rsidRPr="00AA2622">
        <w:rPr>
          <w:rFonts w:ascii="Times New Roman" w:hAnsi="Times New Roman" w:cs="Times New Roman"/>
          <w:color w:val="000000" w:themeColor="text1"/>
          <w:sz w:val="28"/>
          <w:szCs w:val="28"/>
        </w:rPr>
        <w:t xml:space="preserve"> din Legea nr. </w:t>
      </w:r>
      <w:r w:rsidR="00AA2622" w:rsidRPr="00AA2622">
        <w:rPr>
          <w:rFonts w:ascii="Times New Roman" w:hAnsi="Times New Roman" w:cs="Times New Roman"/>
          <w:color w:val="000000" w:themeColor="text1"/>
          <w:sz w:val="28"/>
          <w:szCs w:val="28"/>
        </w:rPr>
        <w:t>82</w:t>
      </w:r>
      <w:r w:rsidRPr="00AA2622">
        <w:rPr>
          <w:rFonts w:ascii="Times New Roman" w:hAnsi="Times New Roman" w:cs="Times New Roman"/>
          <w:color w:val="000000" w:themeColor="text1"/>
          <w:sz w:val="28"/>
          <w:szCs w:val="28"/>
        </w:rPr>
        <w:t>/20</w:t>
      </w:r>
      <w:r w:rsidR="00AA2622" w:rsidRPr="00AA2622">
        <w:rPr>
          <w:rFonts w:ascii="Times New Roman" w:hAnsi="Times New Roman" w:cs="Times New Roman"/>
          <w:color w:val="000000" w:themeColor="text1"/>
          <w:sz w:val="28"/>
          <w:szCs w:val="28"/>
        </w:rPr>
        <w:t>24</w:t>
      </w:r>
      <w:r w:rsidRPr="00AA2622">
        <w:rPr>
          <w:rFonts w:ascii="Times New Roman" w:hAnsi="Times New Roman" w:cs="Times New Roman"/>
          <w:color w:val="000000" w:themeColor="text1"/>
          <w:sz w:val="28"/>
          <w:szCs w:val="28"/>
        </w:rPr>
        <w:t xml:space="preserve"> privind </w:t>
      </w:r>
      <w:r w:rsidR="00AA2622" w:rsidRPr="00AA2622">
        <w:rPr>
          <w:rFonts w:ascii="Times New Roman" w:hAnsi="Times New Roman" w:cs="Times New Roman"/>
          <w:color w:val="000000" w:themeColor="text1"/>
          <w:sz w:val="28"/>
          <w:szCs w:val="28"/>
        </w:rPr>
        <w:t>controalele oficiale în domeniul agroalimentar,</w:t>
      </w:r>
      <w:r w:rsidR="00E01FD0">
        <w:rPr>
          <w:rFonts w:ascii="Times New Roman" w:hAnsi="Times New Roman" w:cs="Times New Roman"/>
          <w:color w:val="000000" w:themeColor="text1"/>
          <w:sz w:val="28"/>
          <w:szCs w:val="28"/>
        </w:rPr>
        <w:t xml:space="preserve"> </w:t>
      </w:r>
      <w:r w:rsidR="00AA2622" w:rsidRPr="00AA2622">
        <w:rPr>
          <w:rFonts w:ascii="Times New Roman" w:hAnsi="Times New Roman" w:cs="Times New Roman"/>
          <w:color w:val="000000" w:themeColor="text1"/>
          <w:sz w:val="28"/>
          <w:szCs w:val="28"/>
        </w:rPr>
        <w:t>(</w:t>
      </w:r>
      <w:r w:rsidRPr="00AA2622">
        <w:rPr>
          <w:rFonts w:ascii="Times New Roman" w:hAnsi="Times New Roman" w:cs="Times New Roman"/>
          <w:color w:val="000000" w:themeColor="text1"/>
          <w:sz w:val="28"/>
          <w:szCs w:val="28"/>
        </w:rPr>
        <w:t>Monitorul Oficial al Republicii Moldova, 202</w:t>
      </w:r>
      <w:r w:rsidR="00AA2622" w:rsidRPr="00AA2622">
        <w:rPr>
          <w:rFonts w:ascii="Times New Roman" w:hAnsi="Times New Roman" w:cs="Times New Roman"/>
          <w:color w:val="000000" w:themeColor="text1"/>
          <w:sz w:val="28"/>
          <w:szCs w:val="28"/>
        </w:rPr>
        <w:t>4</w:t>
      </w:r>
      <w:r w:rsidRPr="00AA2622">
        <w:rPr>
          <w:rFonts w:ascii="Times New Roman" w:hAnsi="Times New Roman" w:cs="Times New Roman"/>
          <w:color w:val="000000" w:themeColor="text1"/>
          <w:sz w:val="28"/>
          <w:szCs w:val="28"/>
        </w:rPr>
        <w:t>, nr.1</w:t>
      </w:r>
      <w:r w:rsidR="00AA2622" w:rsidRPr="00AA2622">
        <w:rPr>
          <w:rFonts w:ascii="Times New Roman" w:hAnsi="Times New Roman" w:cs="Times New Roman"/>
          <w:color w:val="000000" w:themeColor="text1"/>
          <w:sz w:val="28"/>
          <w:szCs w:val="28"/>
        </w:rPr>
        <w:t>99</w:t>
      </w:r>
      <w:r w:rsidRPr="00AA2622">
        <w:rPr>
          <w:rFonts w:ascii="Times New Roman" w:hAnsi="Times New Roman" w:cs="Times New Roman"/>
          <w:color w:val="000000" w:themeColor="text1"/>
          <w:sz w:val="28"/>
          <w:szCs w:val="28"/>
        </w:rPr>
        <w:t>-20</w:t>
      </w:r>
      <w:r w:rsidR="00AA2622" w:rsidRPr="00AA2622">
        <w:rPr>
          <w:rFonts w:ascii="Times New Roman" w:hAnsi="Times New Roman" w:cs="Times New Roman"/>
          <w:color w:val="000000" w:themeColor="text1"/>
          <w:sz w:val="28"/>
          <w:szCs w:val="28"/>
        </w:rPr>
        <w:t>1</w:t>
      </w:r>
      <w:r w:rsidRPr="00AA2622">
        <w:rPr>
          <w:rFonts w:ascii="Times New Roman" w:hAnsi="Times New Roman" w:cs="Times New Roman"/>
          <w:color w:val="000000" w:themeColor="text1"/>
          <w:sz w:val="28"/>
          <w:szCs w:val="28"/>
        </w:rPr>
        <w:t xml:space="preserve">, art. </w:t>
      </w:r>
      <w:r w:rsidR="00AA2622" w:rsidRPr="00AA2622">
        <w:rPr>
          <w:rFonts w:ascii="Times New Roman" w:hAnsi="Times New Roman" w:cs="Times New Roman"/>
          <w:color w:val="000000" w:themeColor="text1"/>
          <w:sz w:val="28"/>
          <w:szCs w:val="28"/>
        </w:rPr>
        <w:t>265</w:t>
      </w:r>
      <w:r w:rsidRPr="00AA2622">
        <w:rPr>
          <w:rFonts w:ascii="Times New Roman" w:hAnsi="Times New Roman" w:cs="Times New Roman"/>
          <w:color w:val="000000" w:themeColor="text1"/>
          <w:sz w:val="28"/>
          <w:szCs w:val="28"/>
        </w:rPr>
        <w:t>), cu modificările ulterioare</w:t>
      </w:r>
      <w:r w:rsidR="00AA2622" w:rsidRPr="00AA2622">
        <w:rPr>
          <w:rFonts w:ascii="Times New Roman" w:hAnsi="Times New Roman" w:cs="Times New Roman"/>
          <w:color w:val="000000" w:themeColor="text1"/>
          <w:sz w:val="28"/>
          <w:szCs w:val="28"/>
        </w:rPr>
        <w:t>,</w:t>
      </w:r>
      <w:r w:rsidR="00654881">
        <w:rPr>
          <w:rFonts w:ascii="Times New Roman" w:hAnsi="Times New Roman" w:cs="Times New Roman"/>
          <w:color w:val="000000" w:themeColor="text1"/>
          <w:sz w:val="28"/>
          <w:szCs w:val="28"/>
        </w:rPr>
        <w:t xml:space="preserve"> </w:t>
      </w:r>
      <w:r w:rsidRPr="007D2E5E">
        <w:rPr>
          <w:rFonts w:ascii="Times New Roman" w:hAnsi="Times New Roman" w:cs="Times New Roman"/>
          <w:b/>
          <w:sz w:val="28"/>
          <w:szCs w:val="28"/>
        </w:rPr>
        <w:t>Guvernul HOTĂRĂȘTE:</w:t>
      </w:r>
    </w:p>
    <w:p w14:paraId="70FB6895" w14:textId="23DA477A" w:rsidR="0001112C" w:rsidRPr="00D07CAC" w:rsidRDefault="00F66109" w:rsidP="00D07CAC">
      <w:pPr>
        <w:spacing w:line="360" w:lineRule="auto"/>
        <w:ind w:right="-58" w:firstLine="851"/>
        <w:jc w:val="both"/>
        <w:rPr>
          <w:rFonts w:ascii="Times New Roman" w:hAnsi="Times New Roman" w:cs="Times New Roman"/>
          <w:spacing w:val="4"/>
          <w:sz w:val="28"/>
          <w:szCs w:val="28"/>
          <w:shd w:val="clear" w:color="auto" w:fill="FFFFFF"/>
        </w:rPr>
      </w:pPr>
      <w:r w:rsidRPr="00F66109">
        <w:rPr>
          <w:rFonts w:ascii="Times New Roman" w:hAnsi="Times New Roman" w:cs="Times New Roman"/>
          <w:spacing w:val="4"/>
          <w:sz w:val="28"/>
          <w:szCs w:val="28"/>
          <w:shd w:val="clear" w:color="auto" w:fill="FFFFFF"/>
        </w:rPr>
        <w:t>Prezenta Hotărâre</w:t>
      </w:r>
      <w:r w:rsidR="0048398A">
        <w:rPr>
          <w:rFonts w:ascii="Times New Roman" w:hAnsi="Times New Roman" w:cs="Times New Roman"/>
          <w:spacing w:val="4"/>
          <w:sz w:val="28"/>
          <w:szCs w:val="28"/>
          <w:shd w:val="clear" w:color="auto" w:fill="FFFFFF"/>
        </w:rPr>
        <w:t>:</w:t>
      </w:r>
      <w:bookmarkStart w:id="2" w:name="_GoBack"/>
      <w:bookmarkEnd w:id="2"/>
    </w:p>
    <w:p w14:paraId="60A864C5" w14:textId="78F3ADCF" w:rsidR="00F66109" w:rsidRPr="0001112C" w:rsidRDefault="0001112C" w:rsidP="0001112C">
      <w:pPr>
        <w:spacing w:line="360" w:lineRule="auto"/>
        <w:ind w:right="-58"/>
        <w:jc w:val="both"/>
        <w:rPr>
          <w:rFonts w:ascii="Times New Roman" w:hAnsi="Times New Roman" w:cs="Times New Roman"/>
          <w:color w:val="000000" w:themeColor="text1"/>
          <w:sz w:val="28"/>
          <w:szCs w:val="28"/>
        </w:rPr>
      </w:pPr>
      <w:r w:rsidRPr="0001112C">
        <w:rPr>
          <w:rFonts w:ascii="Times New Roman" w:hAnsi="Times New Roman" w:cs="Times New Roman"/>
          <w:color w:val="000000" w:themeColor="text1"/>
          <w:spacing w:val="4"/>
          <w:sz w:val="28"/>
          <w:szCs w:val="28"/>
          <w:shd w:val="clear" w:color="auto" w:fill="FFFFFF"/>
        </w:rPr>
        <w:t>-</w:t>
      </w:r>
      <w:r w:rsidR="00F66109" w:rsidRPr="0001112C">
        <w:rPr>
          <w:rFonts w:ascii="Times New Roman" w:hAnsi="Times New Roman" w:cs="Times New Roman"/>
          <w:color w:val="000000" w:themeColor="text1"/>
          <w:spacing w:val="4"/>
          <w:sz w:val="28"/>
          <w:szCs w:val="28"/>
          <w:shd w:val="clear" w:color="auto" w:fill="FFFFFF"/>
        </w:rPr>
        <w:t xml:space="preserve">transpune Regulamentul (UE) 2019/1871 al Comisiei din 7 noiembrie 2019 privind valorile de referință pentru substanțele farmacologic active nepermise care sunt prezente în alimentele de origine animală și de abrogare a Deciziei 2005/34/CE, publicat în Jurnalul Oficial al Uniunii </w:t>
      </w:r>
      <w:r w:rsidR="00F66109" w:rsidRPr="0001112C">
        <w:rPr>
          <w:rFonts w:ascii="Times New Roman" w:hAnsi="Times New Roman" w:cs="Times New Roman"/>
          <w:color w:val="000000" w:themeColor="text1"/>
          <w:spacing w:val="4"/>
          <w:sz w:val="28"/>
          <w:szCs w:val="28"/>
          <w:shd w:val="clear" w:color="auto" w:fill="FFFFFF"/>
        </w:rPr>
        <w:lastRenderedPageBreak/>
        <w:t>Europene L 289 din 8 noiembrie 2019, CELEX: 32019R1871, așa cum a fost modificat ultima dată prin Regulamentul (UE) 2024/2858</w:t>
      </w:r>
      <w:r w:rsidR="00876050" w:rsidRPr="0001112C">
        <w:rPr>
          <w:rFonts w:ascii="Times New Roman" w:hAnsi="Times New Roman" w:cs="Times New Roman"/>
          <w:color w:val="000000" w:themeColor="text1"/>
          <w:spacing w:val="4"/>
          <w:sz w:val="28"/>
          <w:szCs w:val="28"/>
          <w:shd w:val="clear" w:color="auto" w:fill="FFFFFF"/>
        </w:rPr>
        <w:t>.</w:t>
      </w:r>
    </w:p>
    <w:p w14:paraId="511D2324" w14:textId="0218EFA9" w:rsidR="00975111" w:rsidRPr="00CB7946" w:rsidRDefault="00B96F11" w:rsidP="007D63E9">
      <w:pPr>
        <w:pStyle w:val="Listparagraf"/>
        <w:numPr>
          <w:ilvl w:val="0"/>
          <w:numId w:val="1"/>
        </w:numPr>
        <w:tabs>
          <w:tab w:val="left" w:pos="284"/>
          <w:tab w:val="left" w:pos="1134"/>
        </w:tabs>
        <w:spacing w:line="360" w:lineRule="auto"/>
        <w:ind w:left="0" w:right="-58" w:firstLine="0"/>
        <w:jc w:val="both"/>
        <w:rPr>
          <w:rFonts w:ascii="Times New Roman" w:hAnsi="Times New Roman" w:cs="Times New Roman"/>
          <w:sz w:val="28"/>
          <w:szCs w:val="28"/>
          <w:lang w:val="ro-RO"/>
        </w:rPr>
      </w:pPr>
      <w:r w:rsidRPr="00B96F11">
        <w:rPr>
          <w:rFonts w:ascii="Times New Roman" w:hAnsi="Times New Roman" w:cs="Times New Roman"/>
          <w:sz w:val="28"/>
          <w:szCs w:val="28"/>
        </w:rPr>
        <w:t>Hot</w:t>
      </w:r>
      <w:r w:rsidR="00631033">
        <w:rPr>
          <w:rFonts w:ascii="Times New Roman" w:hAnsi="Times New Roman" w:cs="Times New Roman"/>
          <w:sz w:val="28"/>
          <w:szCs w:val="28"/>
        </w:rPr>
        <w:t>ă</w:t>
      </w:r>
      <w:r w:rsidRPr="00B96F11">
        <w:rPr>
          <w:rFonts w:ascii="Times New Roman" w:hAnsi="Times New Roman" w:cs="Times New Roman"/>
          <w:sz w:val="28"/>
          <w:szCs w:val="28"/>
        </w:rPr>
        <w:t>rârea Guvernului nr.</w:t>
      </w:r>
      <w:r w:rsidR="00EC2027">
        <w:rPr>
          <w:rFonts w:ascii="Times New Roman" w:hAnsi="Times New Roman" w:cs="Times New Roman"/>
          <w:sz w:val="28"/>
          <w:szCs w:val="28"/>
        </w:rPr>
        <w:t xml:space="preserve"> </w:t>
      </w:r>
      <w:r w:rsidRPr="00B96F11">
        <w:rPr>
          <w:rFonts w:ascii="Times New Roman" w:hAnsi="Times New Roman" w:cs="Times New Roman"/>
          <w:sz w:val="28"/>
          <w:szCs w:val="28"/>
        </w:rPr>
        <w:t xml:space="preserve">721/2023 </w:t>
      </w:r>
      <w:r w:rsidRPr="00B96F11">
        <w:rPr>
          <w:rFonts w:ascii="Times New Roman" w:hAnsi="Times New Roman" w:cs="Times New Roman"/>
          <w:bCs/>
          <w:sz w:val="28"/>
          <w:szCs w:val="28"/>
          <w:lang w:val="ro-RO"/>
        </w:rPr>
        <w:t>cu privire la aprobarea Normei sanitare veterinare privind metodele analitice pentru reziduurile de</w:t>
      </w:r>
      <w:r w:rsidR="00654881">
        <w:rPr>
          <w:rFonts w:ascii="Times New Roman" w:hAnsi="Times New Roman" w:cs="Times New Roman"/>
          <w:bCs/>
          <w:sz w:val="28"/>
          <w:szCs w:val="28"/>
          <w:lang w:val="ro-RO"/>
        </w:rPr>
        <w:t xml:space="preserve"> </w:t>
      </w:r>
      <w:r w:rsidRPr="00B96F11">
        <w:rPr>
          <w:rFonts w:ascii="Times New Roman" w:hAnsi="Times New Roman" w:cs="Times New Roman"/>
          <w:bCs/>
          <w:sz w:val="28"/>
          <w:szCs w:val="28"/>
          <w:lang w:val="ro-RO"/>
        </w:rPr>
        <w:t>substanțe farmacologic active utilizate la animalele de la care se obțin produse</w:t>
      </w:r>
      <w:r w:rsidRPr="00B96F11">
        <w:rPr>
          <w:rFonts w:ascii="Times New Roman" w:hAnsi="Times New Roman" w:cs="Times New Roman"/>
          <w:sz w:val="28"/>
          <w:szCs w:val="28"/>
          <w:lang w:val="ro-RO"/>
        </w:rPr>
        <w:t xml:space="preserve"> </w:t>
      </w:r>
      <w:r w:rsidRPr="00B96F11">
        <w:rPr>
          <w:rFonts w:ascii="Times New Roman" w:hAnsi="Times New Roman" w:cs="Times New Roman"/>
          <w:bCs/>
          <w:sz w:val="28"/>
          <w:szCs w:val="28"/>
          <w:lang w:val="ro-RO"/>
        </w:rPr>
        <w:t>alimentare și la interpretarea rezultatelor</w:t>
      </w:r>
      <w:r w:rsidR="00E01FD0">
        <w:rPr>
          <w:rFonts w:ascii="Times New Roman" w:hAnsi="Times New Roman" w:cs="Times New Roman"/>
          <w:bCs/>
          <w:sz w:val="28"/>
          <w:szCs w:val="28"/>
          <w:lang w:val="ro-RO"/>
        </w:rPr>
        <w:t xml:space="preserve"> (Monitorul Oficial al Republicii Moldova, 2023, nr. 437-440</w:t>
      </w:r>
      <w:r>
        <w:rPr>
          <w:rFonts w:ascii="Times New Roman" w:hAnsi="Times New Roman" w:cs="Times New Roman"/>
          <w:bCs/>
          <w:sz w:val="28"/>
          <w:szCs w:val="28"/>
          <w:lang w:val="ro-RO"/>
        </w:rPr>
        <w:t>,</w:t>
      </w:r>
      <w:r w:rsidR="00E01FD0">
        <w:rPr>
          <w:rFonts w:ascii="Times New Roman" w:hAnsi="Times New Roman" w:cs="Times New Roman"/>
          <w:bCs/>
          <w:sz w:val="28"/>
          <w:szCs w:val="28"/>
          <w:lang w:val="ro-RO"/>
        </w:rPr>
        <w:t xml:space="preserve"> art. 1045) </w:t>
      </w:r>
      <w:r>
        <w:rPr>
          <w:rFonts w:ascii="Times New Roman" w:hAnsi="Times New Roman" w:cs="Times New Roman"/>
          <w:bCs/>
          <w:sz w:val="28"/>
          <w:szCs w:val="28"/>
          <w:lang w:val="ro-RO"/>
        </w:rPr>
        <w:t>se modifică după cum urmează:</w:t>
      </w:r>
    </w:p>
    <w:p w14:paraId="6601D0FD" w14:textId="3CD7EC9E" w:rsidR="00B96F11" w:rsidRPr="00975111" w:rsidRDefault="00975111" w:rsidP="007D63E9">
      <w:pPr>
        <w:pStyle w:val="Listparagraf"/>
        <w:numPr>
          <w:ilvl w:val="1"/>
          <w:numId w:val="1"/>
        </w:numPr>
        <w:tabs>
          <w:tab w:val="left" w:pos="0"/>
          <w:tab w:val="left" w:pos="284"/>
        </w:tabs>
        <w:spacing w:line="360" w:lineRule="auto"/>
        <w:ind w:left="0" w:right="-58" w:firstLine="0"/>
        <w:jc w:val="both"/>
        <w:rPr>
          <w:rFonts w:ascii="Times New Roman" w:hAnsi="Times New Roman" w:cs="Times New Roman"/>
          <w:color w:val="000000" w:themeColor="text1"/>
          <w:sz w:val="28"/>
          <w:szCs w:val="28"/>
          <w:lang w:val="ro-RO"/>
        </w:rPr>
      </w:pPr>
      <w:r w:rsidRPr="00975111">
        <w:rPr>
          <w:rFonts w:ascii="Times New Roman" w:hAnsi="Times New Roman" w:cs="Times New Roman"/>
          <w:color w:val="000000" w:themeColor="text1"/>
          <w:sz w:val="28"/>
          <w:szCs w:val="28"/>
          <w:lang w:val="ro-RO"/>
        </w:rPr>
        <w:t>în hotărâre:</w:t>
      </w:r>
    </w:p>
    <w:p w14:paraId="0AED7EDF" w14:textId="77777777" w:rsidR="00975111" w:rsidRPr="00975111" w:rsidRDefault="00975111" w:rsidP="007D63E9">
      <w:pPr>
        <w:pStyle w:val="Listparagraf"/>
        <w:numPr>
          <w:ilvl w:val="2"/>
          <w:numId w:val="1"/>
        </w:numPr>
        <w:tabs>
          <w:tab w:val="left" w:pos="0"/>
          <w:tab w:val="left" w:pos="284"/>
        </w:tabs>
        <w:spacing w:line="360" w:lineRule="auto"/>
        <w:ind w:left="0" w:right="-58" w:firstLine="0"/>
        <w:jc w:val="both"/>
        <w:rPr>
          <w:rFonts w:ascii="Times New Roman" w:hAnsi="Times New Roman" w:cs="Times New Roman"/>
          <w:color w:val="000000" w:themeColor="text1"/>
          <w:sz w:val="28"/>
          <w:szCs w:val="28"/>
        </w:rPr>
      </w:pPr>
      <w:r w:rsidRPr="00975111">
        <w:rPr>
          <w:rFonts w:ascii="Times New Roman" w:hAnsi="Times New Roman" w:cs="Times New Roman"/>
          <w:color w:val="000000" w:themeColor="text1"/>
          <w:sz w:val="28"/>
          <w:szCs w:val="28"/>
          <w:lang w:val="ro-RO"/>
        </w:rPr>
        <w:t xml:space="preserve">clauza de adoptare va avea următorul cuprins: </w:t>
      </w:r>
    </w:p>
    <w:p w14:paraId="1BCDB375" w14:textId="5262A18B" w:rsidR="00983801" w:rsidRPr="00536682" w:rsidRDefault="00975111" w:rsidP="007D63E9">
      <w:pPr>
        <w:pStyle w:val="Listparagraf"/>
        <w:tabs>
          <w:tab w:val="left" w:pos="0"/>
          <w:tab w:val="left" w:pos="284"/>
        </w:tabs>
        <w:spacing w:line="360" w:lineRule="auto"/>
        <w:ind w:left="0" w:right="-58"/>
        <w:jc w:val="both"/>
        <w:rPr>
          <w:rFonts w:ascii="Times New Roman" w:hAnsi="Times New Roman" w:cs="Times New Roman"/>
          <w:sz w:val="28"/>
          <w:szCs w:val="28"/>
        </w:rPr>
      </w:pPr>
      <w:r w:rsidRPr="00975111">
        <w:rPr>
          <w:rFonts w:ascii="Times New Roman" w:hAnsi="Times New Roman" w:cs="Times New Roman"/>
          <w:color w:val="000000" w:themeColor="text1"/>
          <w:sz w:val="28"/>
          <w:szCs w:val="28"/>
          <w:lang w:val="ro-RO"/>
        </w:rPr>
        <w:t>„</w:t>
      </w:r>
      <w:r w:rsidRPr="00975111">
        <w:rPr>
          <w:rFonts w:ascii="Times New Roman" w:hAnsi="Times New Roman" w:cs="Times New Roman"/>
          <w:color w:val="000000" w:themeColor="text1"/>
          <w:sz w:val="28"/>
          <w:szCs w:val="28"/>
        </w:rPr>
        <w:t>În temeiul art. 76 alin. (2) pct. 1</w:t>
      </w:r>
      <w:r w:rsidR="00905748">
        <w:rPr>
          <w:rFonts w:ascii="Times New Roman" w:hAnsi="Times New Roman" w:cs="Times New Roman"/>
          <w:color w:val="000000" w:themeColor="text1"/>
          <w:sz w:val="28"/>
          <w:szCs w:val="28"/>
        </w:rPr>
        <w:t>)</w:t>
      </w:r>
      <w:r w:rsidRPr="00975111">
        <w:rPr>
          <w:rFonts w:ascii="Times New Roman" w:hAnsi="Times New Roman" w:cs="Times New Roman"/>
          <w:color w:val="000000" w:themeColor="text1"/>
          <w:sz w:val="28"/>
          <w:szCs w:val="28"/>
        </w:rPr>
        <w:t xml:space="preserve"> lit. a) din Legea nr. 82/2024 privind controalele oficiale în domeniul agroalimenta</w:t>
      </w:r>
      <w:bookmarkStart w:id="3" w:name="_Hlk216168959"/>
      <w:r w:rsidR="00A72D6A">
        <w:rPr>
          <w:rFonts w:ascii="Times New Roman" w:hAnsi="Times New Roman" w:cs="Times New Roman"/>
          <w:color w:val="000000" w:themeColor="text1"/>
          <w:sz w:val="28"/>
          <w:szCs w:val="28"/>
        </w:rPr>
        <w:t>r,</w:t>
      </w:r>
      <w:r w:rsidRPr="00975111">
        <w:rPr>
          <w:rFonts w:ascii="Times New Roman" w:hAnsi="Times New Roman" w:cs="Times New Roman"/>
          <w:color w:val="FF0000"/>
          <w:sz w:val="28"/>
          <w:szCs w:val="28"/>
        </w:rPr>
        <w:t xml:space="preserve"> </w:t>
      </w:r>
      <w:bookmarkEnd w:id="3"/>
      <w:r w:rsidRPr="00975111">
        <w:rPr>
          <w:rFonts w:ascii="Times New Roman" w:hAnsi="Times New Roman" w:cs="Times New Roman"/>
          <w:color w:val="000000" w:themeColor="text1"/>
          <w:sz w:val="28"/>
          <w:szCs w:val="28"/>
        </w:rPr>
        <w:t xml:space="preserve">(Monitorul Oficial al Republicii Moldova, 2024, nr.199-201, art. 265), cu modificările ulterioare, </w:t>
      </w:r>
      <w:r w:rsidRPr="00975111">
        <w:rPr>
          <w:rFonts w:ascii="Times New Roman" w:hAnsi="Times New Roman" w:cs="Times New Roman"/>
          <w:sz w:val="28"/>
          <w:szCs w:val="28"/>
        </w:rPr>
        <w:t>Guvernul HOTĂRĂȘTE:</w:t>
      </w:r>
      <w:r>
        <w:rPr>
          <w:rFonts w:ascii="Times New Roman" w:hAnsi="Times New Roman" w:cs="Times New Roman"/>
          <w:sz w:val="28"/>
          <w:szCs w:val="28"/>
        </w:rPr>
        <w:t>”</w:t>
      </w:r>
    </w:p>
    <w:p w14:paraId="429D4350" w14:textId="013D65E2" w:rsidR="00975111" w:rsidRDefault="00CB7946" w:rsidP="007D63E9">
      <w:pPr>
        <w:pStyle w:val="Listparagraf"/>
        <w:numPr>
          <w:ilvl w:val="2"/>
          <w:numId w:val="1"/>
        </w:numPr>
        <w:tabs>
          <w:tab w:val="left" w:pos="0"/>
          <w:tab w:val="left" w:pos="284"/>
        </w:tabs>
        <w:spacing w:line="360" w:lineRule="auto"/>
        <w:ind w:left="0" w:firstLine="0"/>
        <w:jc w:val="both"/>
        <w:rPr>
          <w:rFonts w:ascii="Times New Roman" w:hAnsi="Times New Roman" w:cs="Times New Roman"/>
          <w:color w:val="000000" w:themeColor="text1"/>
          <w:sz w:val="28"/>
          <w:szCs w:val="28"/>
          <w:lang w:val="ro-RO"/>
        </w:rPr>
      </w:pPr>
      <w:r w:rsidRPr="00CB7946">
        <w:rPr>
          <w:rFonts w:ascii="Times New Roman" w:hAnsi="Times New Roman" w:cs="Times New Roman"/>
          <w:color w:val="000000" w:themeColor="text1"/>
          <w:sz w:val="28"/>
          <w:szCs w:val="28"/>
          <w:lang w:val="ro-RO"/>
        </w:rPr>
        <w:t>punctul 1 va avea următorul cuprins:</w:t>
      </w:r>
    </w:p>
    <w:p w14:paraId="69948907" w14:textId="44088349" w:rsidR="00CB7946" w:rsidRDefault="00CB7946" w:rsidP="007D63E9">
      <w:pPr>
        <w:pStyle w:val="Listparagraf"/>
        <w:tabs>
          <w:tab w:val="left" w:pos="0"/>
        </w:tabs>
        <w:spacing w:line="360" w:lineRule="auto"/>
        <w:ind w:left="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w:t>
      </w:r>
      <w:r w:rsidRPr="00CB62F8">
        <w:rPr>
          <w:rFonts w:ascii="Times New Roman" w:hAnsi="Times New Roman" w:cs="Times New Roman"/>
          <w:b/>
          <w:color w:val="000000" w:themeColor="text1"/>
          <w:sz w:val="28"/>
          <w:szCs w:val="28"/>
          <w:lang w:val="ro-RO"/>
        </w:rPr>
        <w:t>1</w:t>
      </w:r>
      <w:r>
        <w:rPr>
          <w:rFonts w:ascii="Times New Roman" w:hAnsi="Times New Roman" w:cs="Times New Roman"/>
          <w:color w:val="000000" w:themeColor="text1"/>
          <w:sz w:val="28"/>
          <w:szCs w:val="28"/>
          <w:lang w:val="ro-RO"/>
        </w:rPr>
        <w:t>. Se aprobă:</w:t>
      </w:r>
    </w:p>
    <w:p w14:paraId="62CEA0B7" w14:textId="23702BCE" w:rsidR="00CB7946" w:rsidRDefault="00CB7946" w:rsidP="007D63E9">
      <w:pPr>
        <w:tabs>
          <w:tab w:val="left" w:pos="142"/>
        </w:tabs>
        <w:spacing w:line="360" w:lineRule="auto"/>
        <w:jc w:val="both"/>
        <w:rPr>
          <w:rFonts w:ascii="Times New Roman" w:hAnsi="Times New Roman" w:cs="Times New Roman"/>
          <w:color w:val="000000" w:themeColor="text1"/>
          <w:sz w:val="28"/>
          <w:szCs w:val="28"/>
          <w:lang w:val="ro-RO"/>
        </w:rPr>
      </w:pPr>
      <w:r w:rsidRPr="00CB7946">
        <w:rPr>
          <w:rFonts w:ascii="Times New Roman" w:hAnsi="Times New Roman" w:cs="Times New Roman"/>
          <w:color w:val="000000" w:themeColor="text1"/>
          <w:sz w:val="28"/>
          <w:szCs w:val="28"/>
          <w:lang w:val="ro-RO"/>
        </w:rPr>
        <w:t>1.</w:t>
      </w:r>
      <w:r>
        <w:rPr>
          <w:rFonts w:ascii="Times New Roman" w:hAnsi="Times New Roman" w:cs="Times New Roman"/>
          <w:color w:val="000000" w:themeColor="text1"/>
          <w:sz w:val="28"/>
          <w:szCs w:val="28"/>
          <w:lang w:val="ro-RO"/>
        </w:rPr>
        <w:t>1. Norma sanitar veterinară privind metodele analitice pentru reziduurile de substanțe farmacologic active utilizate la animale</w:t>
      </w:r>
      <w:r w:rsidR="008C080B">
        <w:rPr>
          <w:rFonts w:ascii="Times New Roman" w:hAnsi="Times New Roman" w:cs="Times New Roman"/>
          <w:color w:val="000000" w:themeColor="text1"/>
          <w:sz w:val="28"/>
          <w:szCs w:val="28"/>
          <w:lang w:val="ro-RO"/>
        </w:rPr>
        <w:t>le</w:t>
      </w:r>
      <w:r>
        <w:rPr>
          <w:rFonts w:ascii="Times New Roman" w:hAnsi="Times New Roman" w:cs="Times New Roman"/>
          <w:color w:val="000000" w:themeColor="text1"/>
          <w:sz w:val="28"/>
          <w:szCs w:val="28"/>
          <w:lang w:val="ro-RO"/>
        </w:rPr>
        <w:t xml:space="preserve"> de la care se obțin produse alimentare, conform anexei nr. 1;</w:t>
      </w:r>
    </w:p>
    <w:p w14:paraId="298A9855" w14:textId="26819044" w:rsidR="00CB7946" w:rsidRDefault="00CB7946" w:rsidP="007D63E9">
      <w:pPr>
        <w:tabs>
          <w:tab w:val="left" w:pos="142"/>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w:t>
      </w:r>
      <w:r w:rsidR="00EE3A4F">
        <w:rPr>
          <w:rFonts w:ascii="Times New Roman" w:hAnsi="Times New Roman" w:cs="Times New Roman"/>
          <w:color w:val="000000" w:themeColor="text1"/>
          <w:sz w:val="28"/>
          <w:szCs w:val="28"/>
          <w:lang w:val="ro-RO"/>
        </w:rPr>
        <w:t xml:space="preserve"> Norma</w:t>
      </w:r>
      <w:r w:rsidR="00674694">
        <w:rPr>
          <w:rFonts w:ascii="Times New Roman" w:hAnsi="Times New Roman" w:cs="Times New Roman"/>
          <w:color w:val="000000" w:themeColor="text1"/>
          <w:sz w:val="28"/>
          <w:szCs w:val="28"/>
          <w:lang w:val="ro-RO"/>
        </w:rPr>
        <w:t xml:space="preserve"> privind v</w:t>
      </w:r>
      <w:r>
        <w:rPr>
          <w:rFonts w:ascii="Times New Roman" w:hAnsi="Times New Roman" w:cs="Times New Roman"/>
          <w:color w:val="000000" w:themeColor="text1"/>
          <w:sz w:val="28"/>
          <w:szCs w:val="28"/>
          <w:lang w:val="ro-RO"/>
        </w:rPr>
        <w:t>alorile de referință pentru substanțele farmacologic active nepermise care sunt prezente în alimentele de origine animală, conform anexei nr. 2.</w:t>
      </w:r>
      <w:r w:rsidR="00674694">
        <w:rPr>
          <w:rFonts w:ascii="Times New Roman" w:hAnsi="Times New Roman" w:cs="Times New Roman"/>
          <w:color w:val="000000" w:themeColor="text1"/>
          <w:sz w:val="28"/>
          <w:szCs w:val="28"/>
          <w:lang w:val="ro-RO"/>
        </w:rPr>
        <w:t>”</w:t>
      </w:r>
    </w:p>
    <w:p w14:paraId="768EFC66" w14:textId="21C00A9D" w:rsidR="003022B2" w:rsidRDefault="003022B2" w:rsidP="007D63E9">
      <w:pPr>
        <w:tabs>
          <w:tab w:val="left" w:pos="142"/>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o-RO"/>
        </w:rPr>
        <w:t>1.1.</w:t>
      </w:r>
      <w:r w:rsidR="007D63E9">
        <w:rPr>
          <w:rFonts w:ascii="Times New Roman" w:hAnsi="Times New Roman" w:cs="Times New Roman"/>
          <w:color w:val="000000" w:themeColor="text1"/>
          <w:sz w:val="28"/>
          <w:szCs w:val="28"/>
          <w:lang w:val="ro-RO"/>
        </w:rPr>
        <w:t>4</w:t>
      </w:r>
      <w:r>
        <w:rPr>
          <w:rFonts w:ascii="Times New Roman" w:hAnsi="Times New Roman" w:cs="Times New Roman"/>
          <w:color w:val="000000" w:themeColor="text1"/>
          <w:sz w:val="28"/>
          <w:szCs w:val="28"/>
          <w:lang w:val="ro-RO"/>
        </w:rPr>
        <w:t xml:space="preserve">. </w:t>
      </w:r>
      <w:r w:rsidRPr="003022B2">
        <w:rPr>
          <w:rFonts w:ascii="Times New Roman" w:hAnsi="Times New Roman" w:cs="Times New Roman"/>
          <w:color w:val="000000" w:themeColor="text1"/>
          <w:sz w:val="28"/>
          <w:szCs w:val="28"/>
        </w:rPr>
        <w:t> se completează cu punctul 4 cu următorul cuprins:</w:t>
      </w:r>
    </w:p>
    <w:p w14:paraId="138F4010" w14:textId="4E2DF1EA" w:rsidR="003022B2" w:rsidRPr="00CB7946" w:rsidRDefault="003022B2" w:rsidP="007D63E9">
      <w:pPr>
        <w:tabs>
          <w:tab w:val="left" w:pos="142"/>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w:t>
      </w:r>
      <w:r w:rsidRPr="003022B2">
        <w:rPr>
          <w:rFonts w:ascii="Times New Roman" w:hAnsi="Times New Roman" w:cs="Times New Roman"/>
          <w:b/>
          <w:color w:val="000000" w:themeColor="text1"/>
          <w:sz w:val="28"/>
          <w:szCs w:val="28"/>
          <w:lang w:val="ro-RO"/>
        </w:rPr>
        <w:t>4.</w:t>
      </w:r>
      <w:r>
        <w:rPr>
          <w:rFonts w:ascii="Times New Roman" w:hAnsi="Times New Roman" w:cs="Times New Roman"/>
          <w:color w:val="000000" w:themeColor="text1"/>
          <w:sz w:val="28"/>
          <w:szCs w:val="28"/>
          <w:lang w:val="ro-RO"/>
        </w:rPr>
        <w:t xml:space="preserve"> </w:t>
      </w:r>
      <w:r w:rsidR="00854B63">
        <w:rPr>
          <w:rFonts w:ascii="Times New Roman" w:hAnsi="Times New Roman" w:cs="Times New Roman"/>
          <w:color w:val="000000" w:themeColor="text1"/>
          <w:sz w:val="28"/>
          <w:szCs w:val="28"/>
          <w:lang w:val="ro-RO"/>
        </w:rPr>
        <w:t xml:space="preserve">Prezenta </w:t>
      </w:r>
      <w:r w:rsidR="00854B63" w:rsidRPr="00854B63">
        <w:rPr>
          <w:rFonts w:ascii="Times New Roman" w:hAnsi="Times New Roman" w:cs="Times New Roman"/>
          <w:color w:val="000000" w:themeColor="text1"/>
          <w:sz w:val="28"/>
          <w:szCs w:val="28"/>
        </w:rPr>
        <w:t>hotărâre intră în vigoare la data intrării în vigoare a Legii nr. 82/2024 privind controalele oficiale în domeniul agroalimentar</w:t>
      </w:r>
      <w:r w:rsidR="00CA6AFB">
        <w:rPr>
          <w:rFonts w:ascii="Times New Roman" w:hAnsi="Times New Roman" w:cs="Times New Roman"/>
          <w:color w:val="000000" w:themeColor="text1"/>
          <w:sz w:val="28"/>
          <w:szCs w:val="28"/>
        </w:rPr>
        <w:t xml:space="preserve"> </w:t>
      </w:r>
      <w:r w:rsidR="00CA6AFB" w:rsidRPr="00CA6AFB">
        <w:rPr>
          <w:rFonts w:ascii="Times New Roman" w:hAnsi="Times New Roman" w:cs="Times New Roman"/>
          <w:color w:val="000000" w:themeColor="text1"/>
          <w:sz w:val="28"/>
          <w:szCs w:val="28"/>
        </w:rPr>
        <w:t>și se abrogă la data aderării Republicii Moldova la Uniunea Europeană.</w:t>
      </w:r>
      <w:r w:rsidR="002C3404">
        <w:rPr>
          <w:rFonts w:ascii="Times New Roman" w:hAnsi="Times New Roman" w:cs="Times New Roman"/>
          <w:color w:val="000000" w:themeColor="text1"/>
          <w:sz w:val="28"/>
          <w:szCs w:val="28"/>
        </w:rPr>
        <w:t>”</w:t>
      </w:r>
    </w:p>
    <w:p w14:paraId="7D84F7E2" w14:textId="2D669D32" w:rsidR="00B96F11" w:rsidRDefault="00B96F11" w:rsidP="007D63E9">
      <w:pPr>
        <w:pStyle w:val="Listparagraf"/>
        <w:numPr>
          <w:ilvl w:val="1"/>
          <w:numId w:val="1"/>
        </w:numPr>
        <w:tabs>
          <w:tab w:val="left" w:pos="142"/>
        </w:tabs>
        <w:spacing w:line="360" w:lineRule="auto"/>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Norma sanitar veterinară privind metodele analitice pentru reziduurile de substanțe farmacologic active utilizate la animalele de la care se obțin produse alimentare, se modifică după cum urmează:</w:t>
      </w:r>
    </w:p>
    <w:p w14:paraId="5DD83A0B" w14:textId="228F241E" w:rsidR="00CB7946" w:rsidRDefault="00CB7946" w:rsidP="007D63E9">
      <w:pPr>
        <w:pStyle w:val="Listparagraf"/>
        <w:tabs>
          <w:tab w:val="left" w:pos="142"/>
        </w:tabs>
        <w:spacing w:line="36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1.2.1. parafa </w:t>
      </w:r>
      <w:r w:rsidR="008C69FB">
        <w:rPr>
          <w:rFonts w:ascii="Times New Roman" w:hAnsi="Times New Roman" w:cs="Times New Roman"/>
          <w:sz w:val="28"/>
          <w:szCs w:val="28"/>
          <w:lang w:val="ro-RO"/>
        </w:rPr>
        <w:t xml:space="preserve">de aprobare </w:t>
      </w:r>
      <w:r>
        <w:rPr>
          <w:rFonts w:ascii="Times New Roman" w:hAnsi="Times New Roman" w:cs="Times New Roman"/>
          <w:sz w:val="28"/>
          <w:szCs w:val="28"/>
          <w:lang w:val="ro-RO"/>
        </w:rPr>
        <w:t>va avea următorul cuprins:</w:t>
      </w:r>
    </w:p>
    <w:p w14:paraId="4232A278" w14:textId="515D0A68" w:rsidR="008C080B" w:rsidRDefault="00CB7946" w:rsidP="007D63E9">
      <w:pPr>
        <w:pStyle w:val="Listparagraf"/>
        <w:tabs>
          <w:tab w:val="left" w:pos="567"/>
          <w:tab w:val="left" w:pos="6237"/>
        </w:tabs>
        <w:spacing w:line="360" w:lineRule="auto"/>
        <w:ind w:left="426" w:right="1983"/>
        <w:jc w:val="right"/>
        <w:rPr>
          <w:rFonts w:ascii="Times New Roman" w:hAnsi="Times New Roman" w:cs="Times New Roman"/>
          <w:sz w:val="28"/>
          <w:szCs w:val="28"/>
          <w:lang w:val="ro-RO"/>
        </w:rPr>
      </w:pPr>
      <w:r>
        <w:rPr>
          <w:rFonts w:ascii="Times New Roman" w:hAnsi="Times New Roman" w:cs="Times New Roman"/>
          <w:sz w:val="28"/>
          <w:szCs w:val="28"/>
          <w:lang w:val="ro-RO"/>
        </w:rPr>
        <w:t>„</w:t>
      </w:r>
      <w:r w:rsidR="0059356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Anexa nr. 1 </w:t>
      </w:r>
    </w:p>
    <w:p w14:paraId="6EE6A72B" w14:textId="6335ABE3" w:rsidR="00CB7946" w:rsidRDefault="00CB7946" w:rsidP="007D63E9">
      <w:pPr>
        <w:pStyle w:val="Listparagraf"/>
        <w:tabs>
          <w:tab w:val="left" w:pos="567"/>
        </w:tabs>
        <w:spacing w:line="360" w:lineRule="auto"/>
        <w:ind w:left="426"/>
        <w:jc w:val="right"/>
        <w:rPr>
          <w:rFonts w:ascii="Times New Roman" w:hAnsi="Times New Roman" w:cs="Times New Roman"/>
          <w:sz w:val="28"/>
          <w:szCs w:val="28"/>
          <w:lang w:val="ro-RO"/>
        </w:rPr>
      </w:pPr>
      <w:r>
        <w:rPr>
          <w:rFonts w:ascii="Times New Roman" w:hAnsi="Times New Roman" w:cs="Times New Roman"/>
          <w:sz w:val="28"/>
          <w:szCs w:val="28"/>
          <w:lang w:val="ro-RO"/>
        </w:rPr>
        <w:t>la Hotărârea Guvernului nr. 721/2023</w:t>
      </w:r>
      <w:r w:rsidR="008C080B">
        <w:rPr>
          <w:rFonts w:ascii="Times New Roman" w:hAnsi="Times New Roman" w:cs="Times New Roman"/>
          <w:sz w:val="28"/>
          <w:szCs w:val="28"/>
          <w:lang w:val="ro-RO"/>
        </w:rPr>
        <w:t>”;</w:t>
      </w:r>
    </w:p>
    <w:p w14:paraId="3B75C53F" w14:textId="77777777" w:rsidR="0071685D" w:rsidRDefault="008C080B" w:rsidP="007D63E9">
      <w:pPr>
        <w:spacing w:line="360" w:lineRule="auto"/>
        <w:jc w:val="both"/>
        <w:rPr>
          <w:rFonts w:ascii="Times New Roman" w:hAnsi="Times New Roman" w:cs="Times New Roman"/>
          <w:color w:val="000000" w:themeColor="text1"/>
          <w:sz w:val="28"/>
          <w:szCs w:val="28"/>
          <w:lang w:val="ro-RO"/>
        </w:rPr>
      </w:pPr>
      <w:r w:rsidRPr="00A42CEA">
        <w:rPr>
          <w:rFonts w:ascii="Times New Roman" w:hAnsi="Times New Roman" w:cs="Times New Roman"/>
          <w:color w:val="000000" w:themeColor="text1"/>
          <w:sz w:val="28"/>
          <w:szCs w:val="28"/>
          <w:lang w:val="ro-RO"/>
        </w:rPr>
        <w:t xml:space="preserve">1.2.2.  </w:t>
      </w:r>
      <w:r w:rsidR="00FC7704">
        <w:rPr>
          <w:rFonts w:ascii="Times New Roman" w:hAnsi="Times New Roman" w:cs="Times New Roman"/>
          <w:color w:val="000000" w:themeColor="text1"/>
          <w:sz w:val="28"/>
          <w:szCs w:val="28"/>
          <w:lang w:val="ro-RO"/>
        </w:rPr>
        <w:t>C</w:t>
      </w:r>
      <w:r w:rsidR="00B96F11" w:rsidRPr="00A42CEA">
        <w:rPr>
          <w:rFonts w:ascii="Times New Roman" w:hAnsi="Times New Roman" w:cs="Times New Roman"/>
          <w:color w:val="000000" w:themeColor="text1"/>
          <w:sz w:val="28"/>
          <w:szCs w:val="28"/>
          <w:lang w:val="ro-RO"/>
        </w:rPr>
        <w:t>lauza de armonizare</w:t>
      </w:r>
      <w:r w:rsidRPr="00A42CEA">
        <w:rPr>
          <w:rFonts w:ascii="Times New Roman" w:hAnsi="Times New Roman" w:cs="Times New Roman"/>
          <w:color w:val="000000" w:themeColor="text1"/>
          <w:sz w:val="28"/>
          <w:szCs w:val="28"/>
          <w:lang w:val="ro-RO"/>
        </w:rPr>
        <w:t xml:space="preserve"> </w:t>
      </w:r>
      <w:r w:rsidR="00FC7704">
        <w:rPr>
          <w:rFonts w:ascii="Times New Roman" w:hAnsi="Times New Roman" w:cs="Times New Roman"/>
          <w:color w:val="000000" w:themeColor="text1"/>
          <w:sz w:val="28"/>
          <w:szCs w:val="28"/>
          <w:lang w:val="ro-RO"/>
        </w:rPr>
        <w:t xml:space="preserve">va avea următorul cuprins: </w:t>
      </w:r>
    </w:p>
    <w:p w14:paraId="352F2E08" w14:textId="301CE1F2" w:rsidR="00AC4974" w:rsidRPr="00A42CEA" w:rsidRDefault="00FC7704" w:rsidP="007D63E9">
      <w:pPr>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w:t>
      </w:r>
      <w:r w:rsidR="0071685D">
        <w:rPr>
          <w:rFonts w:ascii="Times New Roman" w:hAnsi="Times New Roman" w:cs="Times New Roman"/>
          <w:color w:val="000000" w:themeColor="text1"/>
          <w:sz w:val="28"/>
          <w:szCs w:val="28"/>
          <w:lang w:val="ro-RO"/>
        </w:rPr>
        <w:t xml:space="preserve"> </w:t>
      </w:r>
      <w:r w:rsidRPr="00FC7704">
        <w:rPr>
          <w:rFonts w:ascii="Times New Roman" w:hAnsi="Times New Roman" w:cs="Times New Roman"/>
          <w:sz w:val="28"/>
          <w:szCs w:val="28"/>
        </w:rPr>
        <w:t xml:space="preserve">Prezenta Normă transpune </w:t>
      </w:r>
      <w:bookmarkStart w:id="4" w:name="_Hlk222752689"/>
      <w:r w:rsidRPr="00FC7704">
        <w:rPr>
          <w:rFonts w:ascii="Times New Roman" w:hAnsi="Times New Roman" w:cs="Times New Roman"/>
          <w:sz w:val="28"/>
          <w:szCs w:val="28"/>
        </w:rPr>
        <w:t>Regulamentul de punere în aplicare (UE) 2021/808 al Comisiei din 22 martie 2021 privind performanța metodelor analitice pentru reziduurile de substanțe farmacologic active utilizate la animalele de la care se obțin produse alimentare și privind interpretarea rezultatelor, precum și privind metodele care trebuie utilizate pentru prelevarea de probe și de abrogare a Deciziilor 2002/657/CE și 98/179/CE, publicat în Jurnalul Oficial al Uniunii Europene L 180 din 21 mai 2021, CELEX: 32021R0808, așa cum a fost modificat ultima dată prin Regulamentul de punere în aplicare (UE) 2025/127 al Comisiei din 27 ianuarie 2025</w:t>
      </w:r>
      <w:r w:rsidR="00A15F66">
        <w:rPr>
          <w:rFonts w:ascii="Times New Roman" w:hAnsi="Times New Roman" w:cs="Times New Roman"/>
          <w:sz w:val="28"/>
          <w:szCs w:val="28"/>
        </w:rPr>
        <w:t>.</w:t>
      </w:r>
      <w:bookmarkEnd w:id="4"/>
      <w:r w:rsidRPr="00FC7704">
        <w:rPr>
          <w:rFonts w:ascii="Times New Roman" w:hAnsi="Times New Roman" w:cs="Times New Roman"/>
          <w:sz w:val="28"/>
          <w:szCs w:val="28"/>
        </w:rPr>
        <w:t>”</w:t>
      </w:r>
    </w:p>
    <w:p w14:paraId="76D46EA5" w14:textId="1F9D4254" w:rsidR="00174DCC" w:rsidRPr="00A42CEA" w:rsidRDefault="00A42CEA" w:rsidP="007D63E9">
      <w:pPr>
        <w:tabs>
          <w:tab w:val="left" w:pos="0"/>
        </w:tabs>
        <w:spacing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1.2.3. </w:t>
      </w:r>
      <w:r w:rsidR="00E346DD">
        <w:rPr>
          <w:rFonts w:ascii="Times New Roman" w:hAnsi="Times New Roman" w:cs="Times New Roman"/>
          <w:sz w:val="28"/>
          <w:szCs w:val="28"/>
          <w:lang w:val="ro-RO"/>
        </w:rPr>
        <w:t>p</w:t>
      </w:r>
      <w:r>
        <w:rPr>
          <w:rFonts w:ascii="Times New Roman" w:hAnsi="Times New Roman" w:cs="Times New Roman"/>
          <w:sz w:val="28"/>
          <w:szCs w:val="28"/>
          <w:lang w:val="ro-RO"/>
        </w:rPr>
        <w:t>unctul</w:t>
      </w:r>
      <w:r w:rsidR="00174DCC" w:rsidRPr="00A42CEA">
        <w:rPr>
          <w:rFonts w:ascii="Times New Roman" w:hAnsi="Times New Roman" w:cs="Times New Roman"/>
          <w:sz w:val="28"/>
          <w:szCs w:val="28"/>
          <w:lang w:val="ro-RO"/>
        </w:rPr>
        <w:t xml:space="preserve"> 1 </w:t>
      </w:r>
      <w:r w:rsidR="00034A06">
        <w:rPr>
          <w:rFonts w:ascii="Times New Roman" w:hAnsi="Times New Roman" w:cs="Times New Roman"/>
          <w:sz w:val="28"/>
          <w:szCs w:val="28"/>
          <w:lang w:val="ro-RO"/>
        </w:rPr>
        <w:t>va avea următorul cuprins</w:t>
      </w:r>
      <w:r w:rsidR="00174DCC" w:rsidRPr="00A42CEA">
        <w:rPr>
          <w:rFonts w:ascii="Times New Roman" w:hAnsi="Times New Roman" w:cs="Times New Roman"/>
          <w:sz w:val="28"/>
          <w:szCs w:val="28"/>
          <w:lang w:val="ro-RO"/>
        </w:rPr>
        <w:t>:</w:t>
      </w:r>
    </w:p>
    <w:p w14:paraId="4CC04732" w14:textId="5AF96002" w:rsidR="00174DCC" w:rsidRDefault="00174DCC" w:rsidP="007D63E9">
      <w:pPr>
        <w:tabs>
          <w:tab w:val="left" w:pos="567"/>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b/>
          <w:sz w:val="28"/>
          <w:szCs w:val="28"/>
          <w:lang w:val="ro-RO"/>
        </w:rPr>
        <w:t>„</w:t>
      </w:r>
      <w:r w:rsidRPr="00174DCC">
        <w:rPr>
          <w:rFonts w:ascii="Times New Roman" w:hAnsi="Times New Roman" w:cs="Times New Roman"/>
          <w:b/>
          <w:sz w:val="28"/>
          <w:szCs w:val="28"/>
          <w:lang w:val="ro-RO"/>
        </w:rPr>
        <w:t>1.</w:t>
      </w:r>
      <w:r>
        <w:rPr>
          <w:rFonts w:ascii="Times New Roman" w:hAnsi="Times New Roman" w:cs="Times New Roman"/>
          <w:b/>
          <w:sz w:val="28"/>
          <w:szCs w:val="28"/>
          <w:lang w:val="ro-RO"/>
        </w:rPr>
        <w:t xml:space="preserve"> </w:t>
      </w:r>
      <w:r w:rsidRPr="00174DCC">
        <w:rPr>
          <w:rFonts w:ascii="Times New Roman" w:hAnsi="Times New Roman" w:cs="Times New Roman"/>
          <w:sz w:val="28"/>
          <w:szCs w:val="28"/>
          <w:lang w:val="ro-RO"/>
        </w:rPr>
        <w:t xml:space="preserve">Norma sanitară veterinară privind metodele analitice pentru reziduurile de substanțe farmacologic active utilizate la animalele de la care se obțin produse alimentare (în continuare – </w:t>
      </w:r>
      <w:r w:rsidRPr="00174DCC">
        <w:rPr>
          <w:rFonts w:ascii="Times New Roman" w:hAnsi="Times New Roman" w:cs="Times New Roman"/>
          <w:i/>
          <w:sz w:val="28"/>
          <w:szCs w:val="28"/>
          <w:lang w:val="ro-RO"/>
        </w:rPr>
        <w:t>Normă sanitar</w:t>
      </w:r>
      <w:r w:rsidR="00CA6AFB">
        <w:rPr>
          <w:rFonts w:ascii="Times New Roman" w:hAnsi="Times New Roman" w:cs="Times New Roman"/>
          <w:i/>
          <w:sz w:val="28"/>
          <w:szCs w:val="28"/>
          <w:lang w:val="ro-RO"/>
        </w:rPr>
        <w:t>ă</w:t>
      </w:r>
      <w:r w:rsidRPr="00174DCC">
        <w:rPr>
          <w:rFonts w:ascii="Times New Roman" w:hAnsi="Times New Roman" w:cs="Times New Roman"/>
          <w:i/>
          <w:sz w:val="28"/>
          <w:szCs w:val="28"/>
          <w:lang w:val="ro-RO"/>
        </w:rPr>
        <w:t xml:space="preserve"> veterinară</w:t>
      </w:r>
      <w:r w:rsidRPr="00174DCC">
        <w:rPr>
          <w:rFonts w:ascii="Times New Roman" w:hAnsi="Times New Roman" w:cs="Times New Roman"/>
          <w:sz w:val="28"/>
          <w:szCs w:val="28"/>
          <w:lang w:val="ro-RO"/>
        </w:rPr>
        <w:t>) stabilește norme privind metodele de analiză</w:t>
      </w:r>
      <w:r>
        <w:rPr>
          <w:rFonts w:ascii="Times New Roman" w:hAnsi="Times New Roman" w:cs="Times New Roman"/>
          <w:sz w:val="28"/>
          <w:szCs w:val="28"/>
          <w:lang w:val="ro-RO"/>
        </w:rPr>
        <w:t xml:space="preserve"> </w:t>
      </w:r>
      <w:r>
        <w:rPr>
          <w:rFonts w:ascii="Times New Roman" w:hAnsi="Times New Roman" w:cs="Times New Roman"/>
          <w:color w:val="000000" w:themeColor="text1"/>
          <w:sz w:val="28"/>
          <w:szCs w:val="28"/>
          <w:lang w:val="ro-RO"/>
        </w:rPr>
        <w:t xml:space="preserve">în cadrul planurilor naționale definite la pct. 4 din anexa nr. 2 </w:t>
      </w:r>
      <w:r w:rsidR="008A1DE2" w:rsidRPr="008A1DE2">
        <w:rPr>
          <w:rFonts w:ascii="Times New Roman" w:hAnsi="Times New Roman" w:cs="Times New Roman"/>
          <w:color w:val="000000" w:themeColor="text1"/>
          <w:sz w:val="28"/>
          <w:szCs w:val="28"/>
          <w:lang w:val="ro-RO"/>
        </w:rPr>
        <w:t xml:space="preserve">la </w:t>
      </w:r>
      <w:r w:rsidR="008A1DE2">
        <w:rPr>
          <w:rFonts w:ascii="Times New Roman" w:hAnsi="Times New Roman" w:cs="Times New Roman"/>
          <w:color w:val="000000" w:themeColor="text1"/>
          <w:sz w:val="28"/>
          <w:szCs w:val="28"/>
          <w:lang w:val="ro-RO"/>
        </w:rPr>
        <w:t>C</w:t>
      </w:r>
      <w:r w:rsidR="008A1DE2" w:rsidRPr="008A1DE2">
        <w:rPr>
          <w:rFonts w:ascii="Times New Roman" w:hAnsi="Times New Roman" w:cs="Times New Roman"/>
          <w:color w:val="000000" w:themeColor="text1"/>
          <w:sz w:val="28"/>
          <w:szCs w:val="28"/>
          <w:lang w:val="ro-RO"/>
        </w:rPr>
        <w:t xml:space="preserve">erințe specifice pentru efectuarea controalelor oficiale vizând utilizarea substanțelor farmacologic active autorizate ca medicamente de uz veterinar sau ca aditivi furajeri și a substanțelor </w:t>
      </w:r>
      <w:r w:rsidR="008A1DE2" w:rsidRPr="008A1DE2">
        <w:rPr>
          <w:rFonts w:ascii="Times New Roman" w:hAnsi="Times New Roman" w:cs="Times New Roman"/>
          <w:color w:val="000000" w:themeColor="text1"/>
          <w:sz w:val="28"/>
          <w:szCs w:val="28"/>
          <w:lang w:val="ro-RO"/>
        </w:rPr>
        <w:lastRenderedPageBreak/>
        <w:t>farmacologic active interzise sau neautorizate și a reziduurilor acestora</w:t>
      </w:r>
      <w:r w:rsidRPr="000A71A0">
        <w:rPr>
          <w:rFonts w:ascii="Times New Roman" w:hAnsi="Times New Roman" w:cs="Times New Roman"/>
          <w:color w:val="000000" w:themeColor="text1"/>
          <w:sz w:val="28"/>
          <w:szCs w:val="28"/>
          <w:lang w:val="ro-RO"/>
        </w:rPr>
        <w:t>, aprobate prin Hotărârea Guvernului nr.    /2026.</w:t>
      </w:r>
    </w:p>
    <w:p w14:paraId="04280758" w14:textId="0FE9ACFC" w:rsidR="00174DCC" w:rsidRDefault="00174DCC" w:rsidP="007D63E9">
      <w:pPr>
        <w:tabs>
          <w:tab w:val="left" w:pos="567"/>
        </w:tabs>
        <w:spacing w:line="360" w:lineRule="auto"/>
        <w:ind w:firstLine="567"/>
        <w:jc w:val="both"/>
        <w:rPr>
          <w:rFonts w:ascii="Times New Roman" w:hAnsi="Times New Roman" w:cs="Times New Roman"/>
          <w:color w:val="000000" w:themeColor="text1"/>
          <w:sz w:val="28"/>
          <w:szCs w:val="28"/>
          <w:lang w:val="ro-RO"/>
        </w:rPr>
      </w:pPr>
      <w:r w:rsidRPr="000A71A0">
        <w:rPr>
          <w:rFonts w:ascii="Times New Roman" w:hAnsi="Times New Roman" w:cs="Times New Roman"/>
          <w:color w:val="000000" w:themeColor="text1"/>
          <w:sz w:val="28"/>
          <w:szCs w:val="28"/>
          <w:lang w:val="ro-RO"/>
        </w:rPr>
        <w:t>Prezenta Normă se aplică în cazul controalelor oficiale menite să verifice respectarea cerințelor privind prezența reziduurilor de substanțe farmacologic active.”</w:t>
      </w:r>
    </w:p>
    <w:p w14:paraId="129E00F6" w14:textId="11935C65" w:rsidR="00EE3D94" w:rsidRDefault="00EE3D94" w:rsidP="007D63E9">
      <w:pPr>
        <w:tabs>
          <w:tab w:val="left" w:pos="567"/>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1.2.4.  punctul 2:</w:t>
      </w:r>
    </w:p>
    <w:p w14:paraId="530E95C7" w14:textId="598C1BF7" w:rsidR="002545A0" w:rsidRDefault="002545A0" w:rsidP="007D63E9">
      <w:pPr>
        <w:tabs>
          <w:tab w:val="left" w:pos="567"/>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1.2.4.1</w:t>
      </w:r>
      <w:r w:rsidR="00C01C05">
        <w:rPr>
          <w:rFonts w:ascii="Times New Roman" w:hAnsi="Times New Roman" w:cs="Times New Roman"/>
          <w:color w:val="000000" w:themeColor="text1"/>
          <w:sz w:val="28"/>
          <w:szCs w:val="28"/>
          <w:lang w:val="ro-RO"/>
        </w:rPr>
        <w:t xml:space="preserve"> se completează cu referința </w:t>
      </w:r>
      <w:r w:rsidR="00552F92">
        <w:rPr>
          <w:rFonts w:ascii="Times New Roman" w:hAnsi="Times New Roman" w:cs="Times New Roman"/>
          <w:color w:val="000000" w:themeColor="text1"/>
          <w:sz w:val="28"/>
          <w:szCs w:val="28"/>
          <w:lang w:val="ro-RO"/>
        </w:rPr>
        <w:t>cu următorul cuprins:</w:t>
      </w:r>
      <w:r w:rsidR="00C01C05">
        <w:rPr>
          <w:rFonts w:ascii="Times New Roman" w:hAnsi="Times New Roman" w:cs="Times New Roman"/>
          <w:color w:val="000000" w:themeColor="text1"/>
          <w:sz w:val="28"/>
          <w:szCs w:val="28"/>
          <w:lang w:val="ro-RO"/>
        </w:rPr>
        <w:t xml:space="preserve"> „N</w:t>
      </w:r>
      <w:r w:rsidR="00C01C05" w:rsidRPr="00C01C05">
        <w:rPr>
          <w:rFonts w:ascii="Times New Roman" w:hAnsi="Times New Roman" w:cs="Times New Roman"/>
          <w:color w:val="000000" w:themeColor="text1"/>
          <w:sz w:val="28"/>
          <w:szCs w:val="28"/>
          <w:lang w:val="ro-RO"/>
        </w:rPr>
        <w:t>orma sanitară veterinară</w:t>
      </w:r>
      <w:r w:rsidR="00C01C05">
        <w:rPr>
          <w:rFonts w:ascii="Times New Roman" w:hAnsi="Times New Roman" w:cs="Times New Roman"/>
          <w:color w:val="000000" w:themeColor="text1"/>
          <w:sz w:val="28"/>
          <w:szCs w:val="28"/>
          <w:lang w:val="ro-RO"/>
        </w:rPr>
        <w:t xml:space="preserve"> </w:t>
      </w:r>
      <w:r w:rsidR="00C01C05" w:rsidRPr="00C01C05">
        <w:rPr>
          <w:rFonts w:ascii="Times New Roman" w:hAnsi="Times New Roman" w:cs="Times New Roman"/>
          <w:color w:val="000000" w:themeColor="text1"/>
          <w:sz w:val="28"/>
          <w:szCs w:val="28"/>
          <w:lang w:val="ro-RO"/>
        </w:rPr>
        <w:t>privind modul de examinare a neconformităților suspectate</w:t>
      </w:r>
      <w:r w:rsidR="00C01C05">
        <w:rPr>
          <w:rFonts w:ascii="Times New Roman" w:hAnsi="Times New Roman" w:cs="Times New Roman"/>
          <w:color w:val="000000" w:themeColor="text1"/>
          <w:sz w:val="28"/>
          <w:szCs w:val="28"/>
          <w:lang w:val="ro-RO"/>
        </w:rPr>
        <w:t xml:space="preserve"> </w:t>
      </w:r>
      <w:r w:rsidR="00C01C05" w:rsidRPr="00C01C05">
        <w:rPr>
          <w:rFonts w:ascii="Times New Roman" w:hAnsi="Times New Roman" w:cs="Times New Roman"/>
          <w:color w:val="000000" w:themeColor="text1"/>
          <w:sz w:val="28"/>
          <w:szCs w:val="28"/>
          <w:lang w:val="ro-RO"/>
        </w:rPr>
        <w:t>sau confirmate, ca urmare a utilizării reziduurilor substanțelor</w:t>
      </w:r>
      <w:r w:rsidR="00C01C05">
        <w:rPr>
          <w:rFonts w:ascii="Times New Roman" w:hAnsi="Times New Roman" w:cs="Times New Roman"/>
          <w:color w:val="000000" w:themeColor="text1"/>
          <w:sz w:val="28"/>
          <w:szCs w:val="28"/>
          <w:lang w:val="ro-RO"/>
        </w:rPr>
        <w:t xml:space="preserve"> </w:t>
      </w:r>
      <w:r w:rsidR="00C01C05" w:rsidRPr="00C01C05">
        <w:rPr>
          <w:rFonts w:ascii="Times New Roman" w:hAnsi="Times New Roman" w:cs="Times New Roman"/>
          <w:color w:val="000000" w:themeColor="text1"/>
          <w:sz w:val="28"/>
          <w:szCs w:val="28"/>
          <w:lang w:val="ro-RO"/>
        </w:rPr>
        <w:t>farmacologic active autorizate în medicamentele de uz</w:t>
      </w:r>
      <w:r w:rsidR="00C01C05">
        <w:rPr>
          <w:rFonts w:ascii="Times New Roman" w:hAnsi="Times New Roman" w:cs="Times New Roman"/>
          <w:color w:val="000000" w:themeColor="text1"/>
          <w:sz w:val="28"/>
          <w:szCs w:val="28"/>
          <w:lang w:val="ro-RO"/>
        </w:rPr>
        <w:t xml:space="preserve"> </w:t>
      </w:r>
      <w:r w:rsidR="00C01C05" w:rsidRPr="00C01C05">
        <w:rPr>
          <w:rFonts w:ascii="Times New Roman" w:hAnsi="Times New Roman" w:cs="Times New Roman"/>
          <w:color w:val="000000" w:themeColor="text1"/>
          <w:sz w:val="28"/>
          <w:szCs w:val="28"/>
          <w:lang w:val="ro-RO"/>
        </w:rPr>
        <w:t>veterinar sau ca aditivi pentru hrana animalelor, neautorizate</w:t>
      </w:r>
      <w:r w:rsidR="00C01C05">
        <w:rPr>
          <w:rFonts w:ascii="Times New Roman" w:hAnsi="Times New Roman" w:cs="Times New Roman"/>
          <w:color w:val="000000" w:themeColor="text1"/>
          <w:sz w:val="28"/>
          <w:szCs w:val="28"/>
          <w:lang w:val="ro-RO"/>
        </w:rPr>
        <w:t xml:space="preserve"> </w:t>
      </w:r>
      <w:r w:rsidR="00C01C05" w:rsidRPr="00C01C05">
        <w:rPr>
          <w:rFonts w:ascii="Times New Roman" w:hAnsi="Times New Roman" w:cs="Times New Roman"/>
          <w:color w:val="000000" w:themeColor="text1"/>
          <w:sz w:val="28"/>
          <w:szCs w:val="28"/>
          <w:lang w:val="ro-RO"/>
        </w:rPr>
        <w:t>sau interzise</w:t>
      </w:r>
      <w:r w:rsidR="00C01C05">
        <w:rPr>
          <w:rFonts w:ascii="Times New Roman" w:hAnsi="Times New Roman" w:cs="Times New Roman"/>
          <w:color w:val="000000" w:themeColor="text1"/>
          <w:sz w:val="28"/>
          <w:szCs w:val="28"/>
          <w:lang w:val="ro-RO"/>
        </w:rPr>
        <w:t>, aprobată prin Hotărârea Guvernului nr. 505/2025”</w:t>
      </w:r>
    </w:p>
    <w:p w14:paraId="423A2EDF" w14:textId="4500037E" w:rsidR="00180432" w:rsidRDefault="00180432" w:rsidP="007D63E9">
      <w:pPr>
        <w:tabs>
          <w:tab w:val="left" w:pos="567"/>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1.2.4.2.  noțiunea „ </w:t>
      </w:r>
      <w:r w:rsidRPr="003848E0">
        <w:rPr>
          <w:rFonts w:ascii="Times New Roman" w:hAnsi="Times New Roman" w:cs="Times New Roman"/>
          <w:i/>
          <w:color w:val="000000" w:themeColor="text1"/>
          <w:sz w:val="28"/>
          <w:szCs w:val="28"/>
          <w:lang w:val="ro-RO"/>
        </w:rPr>
        <w:t>nivel considerat</w:t>
      </w:r>
      <w:r>
        <w:rPr>
          <w:rFonts w:ascii="Times New Roman" w:hAnsi="Times New Roman" w:cs="Times New Roman"/>
          <w:color w:val="000000" w:themeColor="text1"/>
          <w:sz w:val="28"/>
          <w:szCs w:val="28"/>
          <w:lang w:val="ro-RO"/>
        </w:rPr>
        <w:t>”</w:t>
      </w:r>
      <w:r w:rsidR="00C612F5">
        <w:rPr>
          <w:rFonts w:ascii="Times New Roman" w:hAnsi="Times New Roman" w:cs="Times New Roman"/>
          <w:color w:val="000000" w:themeColor="text1"/>
          <w:sz w:val="28"/>
          <w:szCs w:val="28"/>
          <w:lang w:val="ro-RO"/>
        </w:rPr>
        <w:t xml:space="preserve">, </w:t>
      </w:r>
      <w:r w:rsidR="00C612F5" w:rsidRPr="00C612F5">
        <w:rPr>
          <w:rFonts w:ascii="Times New Roman" w:hAnsi="Times New Roman" w:cs="Times New Roman"/>
          <w:color w:val="000000" w:themeColor="text1"/>
          <w:sz w:val="28"/>
          <w:szCs w:val="28"/>
          <w:lang w:val="ro-RO"/>
        </w:rPr>
        <w:t xml:space="preserve">la a doua liniuță, </w:t>
      </w:r>
      <w:r w:rsidR="00D452C2">
        <w:rPr>
          <w:rFonts w:ascii="Times New Roman" w:hAnsi="Times New Roman" w:cs="Times New Roman"/>
          <w:color w:val="000000" w:themeColor="text1"/>
          <w:sz w:val="28"/>
          <w:szCs w:val="28"/>
          <w:lang w:val="ro-RO"/>
        </w:rPr>
        <w:t>textul</w:t>
      </w:r>
      <w:r w:rsidR="00C612F5" w:rsidRPr="00C612F5">
        <w:rPr>
          <w:rFonts w:ascii="Times New Roman" w:hAnsi="Times New Roman" w:cs="Times New Roman"/>
          <w:color w:val="000000" w:themeColor="text1"/>
          <w:sz w:val="28"/>
          <w:szCs w:val="28"/>
          <w:lang w:val="ro-RO"/>
        </w:rPr>
        <w:t xml:space="preserve">: „ </w:t>
      </w:r>
      <w:r w:rsidR="00C612F5" w:rsidRPr="00C612F5">
        <w:rPr>
          <w:rFonts w:ascii="Times New Roman" w:hAnsi="Times New Roman" w:cs="Times New Roman"/>
          <w:color w:val="000000" w:themeColor="text1"/>
          <w:sz w:val="28"/>
          <w:szCs w:val="28"/>
        </w:rPr>
        <w:t xml:space="preserve">în conformitate cu prevederile capitolului VI ” se substituie cu </w:t>
      </w:r>
      <w:r w:rsidR="000D25A4">
        <w:rPr>
          <w:rFonts w:ascii="Times New Roman" w:hAnsi="Times New Roman" w:cs="Times New Roman"/>
          <w:color w:val="000000" w:themeColor="text1"/>
          <w:sz w:val="28"/>
          <w:szCs w:val="28"/>
        </w:rPr>
        <w:t>textul</w:t>
      </w:r>
      <w:r w:rsidR="00C612F5" w:rsidRPr="00C612F5">
        <w:rPr>
          <w:rFonts w:ascii="Times New Roman" w:hAnsi="Times New Roman" w:cs="Times New Roman"/>
          <w:color w:val="000000" w:themeColor="text1"/>
          <w:sz w:val="28"/>
          <w:szCs w:val="28"/>
        </w:rPr>
        <w:t>: „ în conformitate cu anexa nr. 2”</w:t>
      </w:r>
    </w:p>
    <w:p w14:paraId="0D36B876" w14:textId="3E76AFCF" w:rsidR="00EE3D94" w:rsidRDefault="00EE3D94" w:rsidP="007D63E9">
      <w:pPr>
        <w:tabs>
          <w:tab w:val="left" w:pos="567"/>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1.2.4.</w:t>
      </w:r>
      <w:r w:rsidR="00180432">
        <w:rPr>
          <w:rFonts w:ascii="Times New Roman" w:hAnsi="Times New Roman" w:cs="Times New Roman"/>
          <w:color w:val="000000" w:themeColor="text1"/>
          <w:sz w:val="28"/>
          <w:szCs w:val="28"/>
          <w:lang w:val="ro-RO"/>
        </w:rPr>
        <w:t>3</w:t>
      </w:r>
      <w:r>
        <w:rPr>
          <w:rFonts w:ascii="Times New Roman" w:hAnsi="Times New Roman" w:cs="Times New Roman"/>
          <w:color w:val="000000" w:themeColor="text1"/>
          <w:sz w:val="28"/>
          <w:szCs w:val="28"/>
          <w:lang w:val="ro-RO"/>
        </w:rPr>
        <w:t xml:space="preserve">. noțiunea </w:t>
      </w:r>
      <w:r w:rsidRPr="00EE3D94">
        <w:rPr>
          <w:rFonts w:ascii="Times New Roman" w:hAnsi="Times New Roman" w:cs="Times New Roman"/>
          <w:color w:val="000000" w:themeColor="text1"/>
          <w:sz w:val="28"/>
          <w:szCs w:val="28"/>
          <w:lang w:val="ro-RO"/>
        </w:rPr>
        <w:t>„</w:t>
      </w:r>
      <w:r w:rsidRPr="00EE3D94">
        <w:rPr>
          <w:rFonts w:ascii="Times New Roman" w:hAnsi="Times New Roman" w:cs="Times New Roman"/>
          <w:i/>
          <w:color w:val="000000" w:themeColor="text1"/>
          <w:sz w:val="28"/>
          <w:szCs w:val="28"/>
          <w:lang w:val="ro-RO"/>
        </w:rPr>
        <w:t>reproductibilitate</w:t>
      </w:r>
      <w:r w:rsidRPr="00EE3D94">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va avea următorul cuprins: </w:t>
      </w:r>
    </w:p>
    <w:p w14:paraId="4646B02B" w14:textId="51B5A0B5" w:rsidR="00EE3D94" w:rsidRDefault="00EE3D94" w:rsidP="007D63E9">
      <w:pPr>
        <w:tabs>
          <w:tab w:val="left" w:pos="567"/>
        </w:tabs>
        <w:spacing w:line="360" w:lineRule="auto"/>
        <w:jc w:val="both"/>
        <w:rPr>
          <w:rFonts w:ascii="Times New Roman" w:hAnsi="Times New Roman" w:cs="Times New Roman"/>
          <w:color w:val="000000" w:themeColor="text1"/>
          <w:sz w:val="28"/>
          <w:szCs w:val="28"/>
          <w:lang w:val="ro-RO"/>
        </w:rPr>
      </w:pPr>
      <w:r w:rsidRPr="00EE3D94">
        <w:rPr>
          <w:rFonts w:ascii="Times New Roman" w:hAnsi="Times New Roman" w:cs="Times New Roman"/>
          <w:color w:val="000000" w:themeColor="text1"/>
          <w:sz w:val="28"/>
          <w:szCs w:val="28"/>
          <w:lang w:val="ro-RO"/>
        </w:rPr>
        <w:t>„</w:t>
      </w:r>
      <w:r w:rsidRPr="00EE3D94">
        <w:rPr>
          <w:rFonts w:ascii="Times New Roman" w:hAnsi="Times New Roman" w:cs="Times New Roman"/>
          <w:i/>
          <w:color w:val="000000" w:themeColor="text1"/>
          <w:sz w:val="28"/>
          <w:szCs w:val="28"/>
          <w:lang w:val="ro-RO"/>
        </w:rPr>
        <w:t>reproductibilitate</w:t>
      </w:r>
      <w:r w:rsidRPr="00EE3D94">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w:t>
      </w:r>
      <w:r w:rsidRPr="00EE3D94">
        <w:rPr>
          <w:rFonts w:ascii="Times New Roman" w:hAnsi="Times New Roman" w:cs="Times New Roman"/>
          <w:color w:val="000000" w:themeColor="text1"/>
          <w:sz w:val="28"/>
          <w:szCs w:val="28"/>
          <w:lang w:val="ro-RO"/>
        </w:rPr>
        <w:t xml:space="preserve"> precizia în condiții în care rezultatele testelor sunt obținute prin aplicarea aceleiași metode pe preparate de testare identice în laboratoare diferite, de către operatori diferiți și folosind echipamente diferite</w:t>
      </w:r>
      <w:r>
        <w:rPr>
          <w:rFonts w:ascii="Times New Roman" w:hAnsi="Times New Roman" w:cs="Times New Roman"/>
          <w:color w:val="000000" w:themeColor="text1"/>
          <w:sz w:val="28"/>
          <w:szCs w:val="28"/>
          <w:lang w:val="ro-RO"/>
        </w:rPr>
        <w:t xml:space="preserve"> (</w:t>
      </w:r>
      <w:r w:rsidR="00E01FD0">
        <w:rPr>
          <w:rFonts w:ascii="Times New Roman" w:hAnsi="Times New Roman" w:cs="Times New Roman"/>
          <w:color w:val="000000" w:themeColor="text1"/>
          <w:sz w:val="28"/>
          <w:szCs w:val="28"/>
          <w:lang w:val="ro-RO"/>
        </w:rPr>
        <w:t xml:space="preserve"> SM </w:t>
      </w:r>
      <w:r w:rsidRPr="00EE3D94">
        <w:rPr>
          <w:rFonts w:ascii="Times New Roman" w:hAnsi="Times New Roman" w:cs="Times New Roman"/>
          <w:color w:val="000000" w:themeColor="text1"/>
          <w:sz w:val="28"/>
          <w:szCs w:val="28"/>
          <w:lang w:val="ro-RO"/>
        </w:rPr>
        <w:t>ISO 5725-1:2023 Exactitatea (justețea și fidelitatea) metodelor de măsurare și a rezultatelor măsurărilor – Partea 1: Principii generale și definiții (capitolul 3)</w:t>
      </w:r>
      <w:r>
        <w:rPr>
          <w:rFonts w:ascii="Times New Roman" w:hAnsi="Times New Roman" w:cs="Times New Roman"/>
          <w:color w:val="000000" w:themeColor="text1"/>
          <w:sz w:val="28"/>
          <w:szCs w:val="28"/>
          <w:lang w:val="ro-RO"/>
        </w:rPr>
        <w:t>”</w:t>
      </w:r>
    </w:p>
    <w:p w14:paraId="2D4ED4BD" w14:textId="3A21484B" w:rsidR="00EE3D94" w:rsidRDefault="00EE3D94" w:rsidP="007D63E9">
      <w:pPr>
        <w:tabs>
          <w:tab w:val="left" w:pos="567"/>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1.2.4.</w:t>
      </w:r>
      <w:r w:rsidR="00180432">
        <w:rPr>
          <w:rFonts w:ascii="Times New Roman" w:hAnsi="Times New Roman" w:cs="Times New Roman"/>
          <w:color w:val="000000" w:themeColor="text1"/>
          <w:sz w:val="28"/>
          <w:szCs w:val="28"/>
          <w:lang w:val="ro-RO"/>
        </w:rPr>
        <w:t>4</w:t>
      </w:r>
      <w:r>
        <w:rPr>
          <w:rFonts w:ascii="Times New Roman" w:hAnsi="Times New Roman" w:cs="Times New Roman"/>
          <w:color w:val="000000" w:themeColor="text1"/>
          <w:sz w:val="28"/>
          <w:szCs w:val="28"/>
          <w:lang w:val="ro-RO"/>
        </w:rPr>
        <w:t>. noțiunea „</w:t>
      </w:r>
      <w:r w:rsidRPr="00EE3D94">
        <w:rPr>
          <w:rFonts w:ascii="Times New Roman" w:hAnsi="Times New Roman" w:cs="Times New Roman"/>
          <w:i/>
          <w:color w:val="000000" w:themeColor="text1"/>
          <w:sz w:val="28"/>
          <w:szCs w:val="28"/>
          <w:lang w:val="ro-RO"/>
        </w:rPr>
        <w:t>unități</w:t>
      </w:r>
      <w:r>
        <w:rPr>
          <w:rFonts w:ascii="Times New Roman" w:hAnsi="Times New Roman" w:cs="Times New Roman"/>
          <w:color w:val="000000" w:themeColor="text1"/>
          <w:sz w:val="28"/>
          <w:szCs w:val="28"/>
          <w:lang w:val="ro-RO"/>
        </w:rPr>
        <w:t>” va avea următorul cuprins:</w:t>
      </w:r>
    </w:p>
    <w:p w14:paraId="15371153" w14:textId="561AB910" w:rsidR="00EE3D94" w:rsidRDefault="00EE3D94" w:rsidP="007D63E9">
      <w:pPr>
        <w:tabs>
          <w:tab w:val="left" w:pos="567"/>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o-RO"/>
        </w:rPr>
        <w:lastRenderedPageBreak/>
        <w:t>„</w:t>
      </w:r>
      <w:r w:rsidR="00EF6A8A">
        <w:rPr>
          <w:rFonts w:ascii="Times New Roman" w:hAnsi="Times New Roman" w:cs="Times New Roman"/>
          <w:color w:val="000000" w:themeColor="text1"/>
          <w:sz w:val="28"/>
          <w:szCs w:val="28"/>
          <w:lang w:val="ro-RO"/>
        </w:rPr>
        <w:t xml:space="preserve">unități- </w:t>
      </w:r>
      <w:r w:rsidR="00EF6A8A" w:rsidRPr="00EF6A8A">
        <w:rPr>
          <w:rFonts w:ascii="Times New Roman" w:hAnsi="Times New Roman" w:cs="Times New Roman"/>
          <w:color w:val="000000" w:themeColor="text1"/>
          <w:sz w:val="28"/>
          <w:szCs w:val="28"/>
          <w:lang w:val="ro-RO"/>
        </w:rPr>
        <w:t xml:space="preserve">unitățile descrise în </w:t>
      </w:r>
      <w:r w:rsidR="002658BF">
        <w:rPr>
          <w:rFonts w:ascii="Times New Roman" w:hAnsi="Times New Roman" w:cs="Times New Roman"/>
          <w:color w:val="000000" w:themeColor="text1"/>
          <w:sz w:val="28"/>
          <w:szCs w:val="28"/>
          <w:lang w:val="ro-RO"/>
        </w:rPr>
        <w:t xml:space="preserve"> SM </w:t>
      </w:r>
      <w:r w:rsidR="00EF6A8A" w:rsidRPr="00EF6A8A">
        <w:rPr>
          <w:rFonts w:ascii="Times New Roman" w:hAnsi="Times New Roman" w:cs="Times New Roman"/>
          <w:color w:val="000000" w:themeColor="text1"/>
          <w:sz w:val="28"/>
          <w:szCs w:val="28"/>
          <w:lang w:val="ro-RO"/>
        </w:rPr>
        <w:t>ISO 80000-1:2022</w:t>
      </w:r>
      <w:r w:rsidR="00EF6A8A">
        <w:rPr>
          <w:rFonts w:ascii="Times New Roman" w:hAnsi="Times New Roman" w:cs="Times New Roman"/>
          <w:color w:val="000000" w:themeColor="text1"/>
          <w:sz w:val="28"/>
          <w:szCs w:val="28"/>
          <w:lang w:val="ro-RO"/>
        </w:rPr>
        <w:t xml:space="preserve"> </w:t>
      </w:r>
      <w:r w:rsidR="00EF6A8A" w:rsidRPr="00EF6A8A">
        <w:rPr>
          <w:rFonts w:ascii="Times New Roman" w:hAnsi="Times New Roman" w:cs="Times New Roman"/>
          <w:color w:val="000000" w:themeColor="text1"/>
          <w:sz w:val="28"/>
          <w:szCs w:val="28"/>
          <w:lang w:val="ro-RO"/>
        </w:rPr>
        <w:t>[Cantitățile și unitățile – Partea 1: generalități (introducere)]</w:t>
      </w:r>
      <w:r w:rsidR="00EF6A8A">
        <w:rPr>
          <w:rFonts w:ascii="Times New Roman" w:hAnsi="Times New Roman" w:cs="Times New Roman"/>
          <w:color w:val="000000" w:themeColor="text1"/>
          <w:sz w:val="28"/>
          <w:szCs w:val="28"/>
          <w:lang w:val="ro-RO"/>
        </w:rPr>
        <w:t xml:space="preserve"> </w:t>
      </w:r>
      <w:r w:rsidR="00EF6A8A" w:rsidRPr="00EF6A8A">
        <w:rPr>
          <w:rFonts w:ascii="Times New Roman" w:hAnsi="Times New Roman" w:cs="Times New Roman"/>
          <w:color w:val="000000" w:themeColor="text1"/>
          <w:sz w:val="28"/>
          <w:szCs w:val="28"/>
        </w:rPr>
        <w:t>și în Hotărârea Guvernului nr. 909/2014 cu privire la aprobarea unităților de măsură legale;</w:t>
      </w:r>
      <w:r w:rsidR="00EF6A8A">
        <w:rPr>
          <w:rFonts w:ascii="Times New Roman" w:hAnsi="Times New Roman" w:cs="Times New Roman"/>
          <w:color w:val="000000" w:themeColor="text1"/>
          <w:sz w:val="28"/>
          <w:szCs w:val="28"/>
        </w:rPr>
        <w:t>”</w:t>
      </w:r>
    </w:p>
    <w:p w14:paraId="47428617" w14:textId="49885BB5" w:rsidR="007F2890" w:rsidRDefault="007F2890" w:rsidP="007D63E9">
      <w:pPr>
        <w:tabs>
          <w:tab w:val="left" w:pos="567"/>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1.2.5. </w:t>
      </w:r>
      <w:r w:rsidR="00FC5B80">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punctul 4:</w:t>
      </w:r>
    </w:p>
    <w:p w14:paraId="4E34BEFB" w14:textId="51B934E0" w:rsidR="007F2890" w:rsidRDefault="00257CE7" w:rsidP="007D63E9">
      <w:pPr>
        <w:tabs>
          <w:tab w:val="left" w:pos="567"/>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1.2.5.1.</w:t>
      </w:r>
      <w:r w:rsidR="007F2890">
        <w:rPr>
          <w:rFonts w:ascii="Times New Roman" w:hAnsi="Times New Roman" w:cs="Times New Roman"/>
          <w:color w:val="000000" w:themeColor="text1"/>
          <w:sz w:val="28"/>
          <w:szCs w:val="28"/>
          <w:lang w:val="ro-RO"/>
        </w:rPr>
        <w:t xml:space="preserve"> </w:t>
      </w:r>
      <w:r w:rsidR="00571B5F">
        <w:rPr>
          <w:rFonts w:ascii="Times New Roman" w:hAnsi="Times New Roman" w:cs="Times New Roman"/>
          <w:color w:val="000000" w:themeColor="text1"/>
          <w:sz w:val="28"/>
          <w:szCs w:val="28"/>
          <w:lang w:val="ro-RO"/>
        </w:rPr>
        <w:t>la punctul 4</w:t>
      </w:r>
      <w:r w:rsidR="00417A59">
        <w:rPr>
          <w:rFonts w:ascii="Times New Roman" w:hAnsi="Times New Roman" w:cs="Times New Roman"/>
          <w:color w:val="000000" w:themeColor="text1"/>
          <w:sz w:val="28"/>
          <w:szCs w:val="28"/>
          <w:lang w:val="ro-RO"/>
        </w:rPr>
        <w:t>, partea introductivă va avea următorul cuprins</w:t>
      </w:r>
      <w:r w:rsidR="0051657B">
        <w:rPr>
          <w:rFonts w:ascii="Times New Roman" w:hAnsi="Times New Roman" w:cs="Times New Roman"/>
          <w:color w:val="000000" w:themeColor="text1"/>
          <w:sz w:val="28"/>
          <w:szCs w:val="28"/>
          <w:lang w:val="ro-RO"/>
        </w:rPr>
        <w:t xml:space="preserve">: </w:t>
      </w:r>
    </w:p>
    <w:p w14:paraId="3E77B8EE" w14:textId="4E614E7F" w:rsidR="0051657B" w:rsidRPr="000A71A0" w:rsidRDefault="0051657B" w:rsidP="007D63E9">
      <w:pPr>
        <w:tabs>
          <w:tab w:val="left" w:pos="567"/>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w:t>
      </w:r>
      <w:r w:rsidRPr="0051657B">
        <w:rPr>
          <w:rFonts w:ascii="Times New Roman" w:hAnsi="Times New Roman" w:cs="Times New Roman"/>
          <w:b/>
          <w:color w:val="000000" w:themeColor="text1"/>
          <w:sz w:val="28"/>
          <w:szCs w:val="28"/>
          <w:lang w:val="ro-RO"/>
        </w:rPr>
        <w:t>4.</w:t>
      </w:r>
      <w:r>
        <w:rPr>
          <w:rFonts w:ascii="Times New Roman" w:hAnsi="Times New Roman" w:cs="Times New Roman"/>
          <w:b/>
          <w:color w:val="000000" w:themeColor="text1"/>
          <w:sz w:val="28"/>
          <w:szCs w:val="28"/>
          <w:lang w:val="ro-RO"/>
        </w:rPr>
        <w:t xml:space="preserve"> </w:t>
      </w:r>
      <w:r w:rsidRPr="0051657B">
        <w:rPr>
          <w:rFonts w:ascii="Times New Roman" w:hAnsi="Times New Roman" w:cs="Times New Roman"/>
          <w:color w:val="000000" w:themeColor="text1"/>
          <w:sz w:val="28"/>
          <w:szCs w:val="28"/>
          <w:lang w:val="ro-RO"/>
        </w:rPr>
        <w:t>Agenția</w:t>
      </w:r>
      <w:r>
        <w:rPr>
          <w:rFonts w:ascii="Times New Roman" w:hAnsi="Times New Roman" w:cs="Times New Roman"/>
          <w:color w:val="000000" w:themeColor="text1"/>
          <w:sz w:val="28"/>
          <w:szCs w:val="28"/>
          <w:lang w:val="ro-RO"/>
        </w:rPr>
        <w:t xml:space="preserve"> se asigură că probele prelevate în conformitate cu art. 32 din Legea nr. 82/2024 </w:t>
      </w:r>
      <w:r w:rsidRPr="0051657B">
        <w:rPr>
          <w:rFonts w:ascii="Times New Roman" w:hAnsi="Times New Roman" w:cs="Times New Roman"/>
          <w:bCs/>
          <w:color w:val="000000" w:themeColor="text1"/>
          <w:sz w:val="28"/>
          <w:szCs w:val="28"/>
          <w:lang w:val="ro-RO"/>
        </w:rPr>
        <w:t>privind controalele oficiale în domeniul</w:t>
      </w:r>
      <w:r w:rsidRPr="0051657B">
        <w:rPr>
          <w:rFonts w:ascii="Times New Roman" w:hAnsi="Times New Roman" w:cs="Times New Roman"/>
          <w:bCs/>
          <w:color w:val="000000" w:themeColor="text1"/>
          <w:sz w:val="28"/>
          <w:szCs w:val="28"/>
          <w:lang w:val="ro-RO"/>
        </w:rPr>
        <w:br/>
        <w:t>agroalimentar</w:t>
      </w:r>
      <w:r>
        <w:rPr>
          <w:rFonts w:ascii="Times New Roman" w:hAnsi="Times New Roman" w:cs="Times New Roman"/>
          <w:color w:val="000000" w:themeColor="text1"/>
          <w:sz w:val="28"/>
          <w:szCs w:val="28"/>
          <w:lang w:val="ro-RO"/>
        </w:rPr>
        <w:t xml:space="preserve"> sunt analizate utilizând metode care respectă următoarele cerințe:”</w:t>
      </w:r>
    </w:p>
    <w:p w14:paraId="6394F152" w14:textId="006D3D7E" w:rsidR="00270637" w:rsidRDefault="00A42CEA" w:rsidP="007D63E9">
      <w:pPr>
        <w:tabs>
          <w:tab w:val="left" w:pos="851"/>
        </w:tabs>
        <w:spacing w:line="360" w:lineRule="auto"/>
        <w:jc w:val="both"/>
        <w:rPr>
          <w:rFonts w:ascii="Times New Roman" w:hAnsi="Times New Roman" w:cs="Times New Roman"/>
          <w:color w:val="000000" w:themeColor="text1"/>
          <w:sz w:val="28"/>
          <w:szCs w:val="28"/>
          <w:lang w:val="ro-RO"/>
        </w:rPr>
      </w:pPr>
      <w:r w:rsidRPr="000A71A0">
        <w:rPr>
          <w:rFonts w:ascii="Times New Roman" w:hAnsi="Times New Roman" w:cs="Times New Roman"/>
          <w:color w:val="000000" w:themeColor="text1"/>
          <w:sz w:val="28"/>
          <w:szCs w:val="28"/>
          <w:lang w:val="ro-RO"/>
        </w:rPr>
        <w:t>1.2.</w:t>
      </w:r>
      <w:r w:rsidR="00EE3D94">
        <w:rPr>
          <w:rFonts w:ascii="Times New Roman" w:hAnsi="Times New Roman" w:cs="Times New Roman"/>
          <w:color w:val="000000" w:themeColor="text1"/>
          <w:sz w:val="28"/>
          <w:szCs w:val="28"/>
          <w:lang w:val="ro-RO"/>
        </w:rPr>
        <w:t>5</w:t>
      </w:r>
      <w:r w:rsidRPr="000A71A0">
        <w:rPr>
          <w:rFonts w:ascii="Times New Roman" w:hAnsi="Times New Roman" w:cs="Times New Roman"/>
          <w:color w:val="000000" w:themeColor="text1"/>
          <w:sz w:val="28"/>
          <w:szCs w:val="28"/>
          <w:lang w:val="ro-RO"/>
        </w:rPr>
        <w:t>.</w:t>
      </w:r>
      <w:r w:rsidR="00257CE7">
        <w:rPr>
          <w:rFonts w:ascii="Times New Roman" w:hAnsi="Times New Roman" w:cs="Times New Roman"/>
          <w:color w:val="000000" w:themeColor="text1"/>
          <w:sz w:val="28"/>
          <w:szCs w:val="28"/>
          <w:lang w:val="ro-RO"/>
        </w:rPr>
        <w:t>2.</w:t>
      </w:r>
      <w:r w:rsidR="0051657B">
        <w:rPr>
          <w:rFonts w:ascii="Times New Roman" w:hAnsi="Times New Roman" w:cs="Times New Roman"/>
          <w:color w:val="000000" w:themeColor="text1"/>
          <w:sz w:val="28"/>
          <w:szCs w:val="28"/>
          <w:lang w:val="ro-RO"/>
        </w:rPr>
        <w:t xml:space="preserve"> </w:t>
      </w:r>
      <w:r w:rsidR="00135241">
        <w:rPr>
          <w:rFonts w:ascii="Times New Roman" w:hAnsi="Times New Roman" w:cs="Times New Roman"/>
          <w:color w:val="000000" w:themeColor="text1"/>
          <w:sz w:val="28"/>
          <w:szCs w:val="28"/>
          <w:lang w:val="ro-RO"/>
        </w:rPr>
        <w:t>S</w:t>
      </w:r>
      <w:r w:rsidR="00993996">
        <w:rPr>
          <w:rFonts w:ascii="Times New Roman" w:hAnsi="Times New Roman" w:cs="Times New Roman"/>
          <w:color w:val="000000" w:themeColor="text1"/>
          <w:sz w:val="28"/>
          <w:szCs w:val="28"/>
          <w:lang w:val="ro-RO"/>
        </w:rPr>
        <w:t>ubpu</w:t>
      </w:r>
      <w:r w:rsidR="00257CE7">
        <w:rPr>
          <w:rFonts w:ascii="Times New Roman" w:hAnsi="Times New Roman" w:cs="Times New Roman"/>
          <w:color w:val="000000" w:themeColor="text1"/>
          <w:sz w:val="28"/>
          <w:szCs w:val="28"/>
          <w:lang w:val="ro-RO"/>
        </w:rPr>
        <w:t>nctul 4</w:t>
      </w:r>
      <w:r w:rsidR="00C056B5">
        <w:rPr>
          <w:rFonts w:ascii="Times New Roman" w:hAnsi="Times New Roman" w:cs="Times New Roman"/>
          <w:color w:val="000000" w:themeColor="text1"/>
          <w:sz w:val="28"/>
          <w:szCs w:val="28"/>
          <w:lang w:val="ro-RO"/>
        </w:rPr>
        <w:t>)</w:t>
      </w:r>
      <w:r w:rsidR="00270637">
        <w:rPr>
          <w:rFonts w:ascii="Times New Roman" w:hAnsi="Times New Roman" w:cs="Times New Roman"/>
          <w:color w:val="000000" w:themeColor="text1"/>
          <w:sz w:val="28"/>
          <w:szCs w:val="28"/>
          <w:lang w:val="ro-RO"/>
        </w:rPr>
        <w:t xml:space="preserve"> va avea următorul cuprins:</w:t>
      </w:r>
    </w:p>
    <w:p w14:paraId="12A0B4CE" w14:textId="25A86887" w:rsidR="00EB0B6C" w:rsidRDefault="001B0DE8" w:rsidP="007D63E9">
      <w:pPr>
        <w:tabs>
          <w:tab w:val="left" w:pos="851"/>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w:t>
      </w:r>
      <w:r w:rsidR="00270637">
        <w:rPr>
          <w:rFonts w:ascii="Times New Roman" w:hAnsi="Times New Roman" w:cs="Times New Roman"/>
          <w:color w:val="000000" w:themeColor="text1"/>
          <w:sz w:val="28"/>
          <w:szCs w:val="28"/>
          <w:lang w:val="ro-RO"/>
        </w:rPr>
        <w:t xml:space="preserve">4) </w:t>
      </w:r>
      <w:r w:rsidR="00270637" w:rsidRPr="00270637">
        <w:rPr>
          <w:rFonts w:ascii="Times New Roman" w:hAnsi="Times New Roman" w:cs="Times New Roman"/>
          <w:color w:val="000000" w:themeColor="text1"/>
          <w:sz w:val="28"/>
          <w:szCs w:val="28"/>
        </w:rPr>
        <w:t xml:space="preserve">permit asigurarea respectării valorilor de referință prevăzute în </w:t>
      </w:r>
      <w:r w:rsidR="00270637">
        <w:rPr>
          <w:rFonts w:ascii="Times New Roman" w:hAnsi="Times New Roman" w:cs="Times New Roman"/>
          <w:color w:val="000000" w:themeColor="text1"/>
          <w:sz w:val="28"/>
          <w:szCs w:val="28"/>
        </w:rPr>
        <w:t>anexa nr. 2</w:t>
      </w:r>
      <w:r w:rsidR="00270637" w:rsidRPr="00270637">
        <w:rPr>
          <w:rFonts w:ascii="Times New Roman" w:hAnsi="Times New Roman" w:cs="Times New Roman"/>
          <w:color w:val="000000" w:themeColor="text1"/>
          <w:sz w:val="28"/>
          <w:szCs w:val="28"/>
        </w:rPr>
        <w:t>, identificarea prezenței substanțelor interzise și neautorizate și asigurarea respectării limitelor maxime, care au fost stabilite în temeiul Hotărârii Guvernului nr. 520/2010 cu privire la aprobarea Regulamentului sanitar privind contaminanții din produsele alimentare și al Hotărârii Guvernului nr.657/2014 cu privire la aprobarea limitelor maxime pentru prezența coccidiostaticelor sau a histomonostaticelor în alimente în urma transferului inevitabil al acestor substanțe în furaje.</w:t>
      </w:r>
      <w:r w:rsidR="00464231" w:rsidRPr="000A71A0">
        <w:rPr>
          <w:rFonts w:ascii="Times New Roman" w:hAnsi="Times New Roman" w:cs="Times New Roman"/>
          <w:color w:val="000000" w:themeColor="text1"/>
          <w:sz w:val="28"/>
          <w:szCs w:val="28"/>
          <w:lang w:val="ro-RO"/>
        </w:rPr>
        <w:t xml:space="preserve"> Atunci când, în cursul validării, s-au observat deviații de la criteriile stabilite în tabelele 1 și 2 din anexa </w:t>
      </w:r>
      <w:r w:rsidR="00CA6AFB" w:rsidRPr="000A71A0">
        <w:rPr>
          <w:rFonts w:ascii="Times New Roman" w:hAnsi="Times New Roman" w:cs="Times New Roman"/>
          <w:color w:val="000000" w:themeColor="text1"/>
          <w:sz w:val="28"/>
          <w:szCs w:val="28"/>
          <w:lang w:val="ro-RO"/>
        </w:rPr>
        <w:t>la Norma sanitară veterinară</w:t>
      </w:r>
      <w:r w:rsidR="00464231" w:rsidRPr="000A71A0">
        <w:rPr>
          <w:rFonts w:ascii="Times New Roman" w:hAnsi="Times New Roman" w:cs="Times New Roman"/>
          <w:color w:val="000000" w:themeColor="text1"/>
          <w:sz w:val="28"/>
          <w:szCs w:val="28"/>
          <w:lang w:val="ro-RO"/>
        </w:rPr>
        <w:t>, impactul acelor deviații asupra rezultatului validării se analizează într-un mod documentat și trasabil.”</w:t>
      </w:r>
    </w:p>
    <w:p w14:paraId="3819D779" w14:textId="60C81DB5" w:rsidR="002F3947" w:rsidRPr="000A71A0" w:rsidRDefault="002F3947" w:rsidP="007D63E9">
      <w:pPr>
        <w:tabs>
          <w:tab w:val="left" w:pos="1276"/>
        </w:tabs>
        <w:spacing w:line="36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1.2.6. </w:t>
      </w:r>
      <w:r w:rsidR="00E346DD">
        <w:rPr>
          <w:rFonts w:ascii="Times New Roman" w:hAnsi="Times New Roman" w:cs="Times New Roman"/>
          <w:color w:val="000000" w:themeColor="text1"/>
          <w:sz w:val="28"/>
          <w:szCs w:val="28"/>
          <w:lang w:val="ro-RO"/>
        </w:rPr>
        <w:t>l</w:t>
      </w:r>
      <w:r>
        <w:rPr>
          <w:rFonts w:ascii="Times New Roman" w:hAnsi="Times New Roman" w:cs="Times New Roman"/>
          <w:color w:val="000000" w:themeColor="text1"/>
          <w:sz w:val="28"/>
          <w:szCs w:val="28"/>
          <w:lang w:val="ro-RO"/>
        </w:rPr>
        <w:t xml:space="preserve">a punctul </w:t>
      </w:r>
      <w:r w:rsidR="009C7D19">
        <w:rPr>
          <w:rFonts w:ascii="Times New Roman" w:hAnsi="Times New Roman" w:cs="Times New Roman"/>
          <w:color w:val="000000" w:themeColor="text1"/>
          <w:sz w:val="28"/>
          <w:szCs w:val="28"/>
          <w:lang w:val="ro-RO"/>
        </w:rPr>
        <w:t>5</w:t>
      </w:r>
      <w:r w:rsidR="002C3404">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textul: „</w:t>
      </w:r>
      <w:r w:rsidRPr="002F3947">
        <w:rPr>
          <w:rFonts w:ascii="Times New Roman" w:hAnsi="Times New Roman" w:cs="Times New Roman"/>
          <w:color w:val="000000" w:themeColor="text1"/>
          <w:sz w:val="28"/>
          <w:szCs w:val="28"/>
          <w:lang w:val="ro-RO"/>
        </w:rPr>
        <w:t xml:space="preserve">în temeiul Legii nr. 50/2013 cu privire la controalele oficiale pentru verificarea conformității cu legislația privind hrana pentru animale și produsele alimentare şi cu normele de sănătate și de </w:t>
      </w:r>
      <w:r w:rsidRPr="002F3947">
        <w:rPr>
          <w:rFonts w:ascii="Times New Roman" w:hAnsi="Times New Roman" w:cs="Times New Roman"/>
          <w:color w:val="000000" w:themeColor="text1"/>
          <w:sz w:val="28"/>
          <w:szCs w:val="28"/>
          <w:lang w:val="ro-RO"/>
        </w:rPr>
        <w:lastRenderedPageBreak/>
        <w:t>bunăstare a animalelor</w:t>
      </w:r>
      <w:r>
        <w:rPr>
          <w:rFonts w:ascii="Times New Roman" w:hAnsi="Times New Roman" w:cs="Times New Roman"/>
          <w:color w:val="000000" w:themeColor="text1"/>
          <w:sz w:val="28"/>
          <w:szCs w:val="28"/>
          <w:lang w:val="ro-RO"/>
        </w:rPr>
        <w:t xml:space="preserve">” se substituie cu </w:t>
      </w:r>
      <w:r w:rsidR="002A5E65">
        <w:rPr>
          <w:rFonts w:ascii="Times New Roman" w:hAnsi="Times New Roman" w:cs="Times New Roman"/>
          <w:color w:val="000000" w:themeColor="text1"/>
          <w:sz w:val="28"/>
          <w:szCs w:val="28"/>
          <w:lang w:val="ro-RO"/>
        </w:rPr>
        <w:t>textul</w:t>
      </w:r>
      <w:r>
        <w:rPr>
          <w:rFonts w:ascii="Times New Roman" w:hAnsi="Times New Roman" w:cs="Times New Roman"/>
          <w:color w:val="000000" w:themeColor="text1"/>
          <w:sz w:val="28"/>
          <w:szCs w:val="28"/>
          <w:lang w:val="ro-RO"/>
        </w:rPr>
        <w:t>: „în temeiul Legii nr. 8</w:t>
      </w:r>
      <w:r w:rsidR="00252916">
        <w:rPr>
          <w:rFonts w:ascii="Times New Roman" w:hAnsi="Times New Roman" w:cs="Times New Roman"/>
          <w:color w:val="000000" w:themeColor="text1"/>
          <w:sz w:val="28"/>
          <w:szCs w:val="28"/>
          <w:lang w:val="ro-RO"/>
        </w:rPr>
        <w:t>2</w:t>
      </w:r>
      <w:r>
        <w:rPr>
          <w:rFonts w:ascii="Times New Roman" w:hAnsi="Times New Roman" w:cs="Times New Roman"/>
          <w:color w:val="000000" w:themeColor="text1"/>
          <w:sz w:val="28"/>
          <w:szCs w:val="28"/>
          <w:lang w:val="ro-RO"/>
        </w:rPr>
        <w:t>/2024 privind controalele oficiale în domeniul agroalimentar”</w:t>
      </w:r>
    </w:p>
    <w:p w14:paraId="06A4E67D" w14:textId="77777777" w:rsidR="00944AE8" w:rsidRDefault="00CA6AFB" w:rsidP="007D63E9">
      <w:pPr>
        <w:pStyle w:val="Listparagraf"/>
        <w:numPr>
          <w:ilvl w:val="1"/>
          <w:numId w:val="1"/>
        </w:numPr>
        <w:tabs>
          <w:tab w:val="left" w:pos="567"/>
          <w:tab w:val="left" w:pos="1134"/>
        </w:tabs>
        <w:spacing w:line="360" w:lineRule="auto"/>
        <w:ind w:left="0" w:firstLine="0"/>
        <w:rPr>
          <w:rFonts w:ascii="Times New Roman" w:hAnsi="Times New Roman" w:cs="Times New Roman"/>
          <w:b/>
          <w:bCs/>
          <w:color w:val="000000" w:themeColor="text1"/>
          <w:sz w:val="28"/>
          <w:szCs w:val="28"/>
          <w:lang w:val="ro-RO" w:eastAsia="ro-RO"/>
        </w:rPr>
      </w:pPr>
      <w:r w:rsidRPr="000A71A0">
        <w:rPr>
          <w:rFonts w:ascii="Times New Roman" w:hAnsi="Times New Roman" w:cs="Times New Roman"/>
          <w:color w:val="000000" w:themeColor="text1"/>
          <w:sz w:val="28"/>
          <w:szCs w:val="28"/>
          <w:lang w:val="ro-RO"/>
        </w:rPr>
        <w:t>În a</w:t>
      </w:r>
      <w:r w:rsidR="00F41DD2" w:rsidRPr="000A71A0">
        <w:rPr>
          <w:rFonts w:ascii="Times New Roman" w:hAnsi="Times New Roman" w:cs="Times New Roman"/>
          <w:color w:val="000000" w:themeColor="text1"/>
          <w:sz w:val="28"/>
          <w:szCs w:val="28"/>
          <w:lang w:val="ro-RO"/>
        </w:rPr>
        <w:t>nexa</w:t>
      </w:r>
      <w:r w:rsidRPr="000A71A0">
        <w:rPr>
          <w:rFonts w:ascii="Times New Roman" w:hAnsi="Times New Roman" w:cs="Times New Roman"/>
          <w:color w:val="000000" w:themeColor="text1"/>
          <w:sz w:val="28"/>
          <w:szCs w:val="28"/>
          <w:lang w:val="ro-RO"/>
        </w:rPr>
        <w:t xml:space="preserve">:   </w:t>
      </w:r>
    </w:p>
    <w:p w14:paraId="348E966E" w14:textId="16EA1F51" w:rsidR="00944AE8" w:rsidRDefault="00944AE8" w:rsidP="007D63E9">
      <w:pPr>
        <w:pStyle w:val="Listparagraf"/>
        <w:tabs>
          <w:tab w:val="left" w:pos="567"/>
          <w:tab w:val="left" w:pos="1134"/>
        </w:tabs>
        <w:spacing w:line="360" w:lineRule="auto"/>
        <w:ind w:left="0"/>
        <w:jc w:val="both"/>
        <w:rPr>
          <w:rFonts w:ascii="Times New Roman" w:hAnsi="Times New Roman" w:cs="Times New Roman"/>
          <w:bCs/>
          <w:color w:val="000000" w:themeColor="text1"/>
          <w:sz w:val="28"/>
          <w:szCs w:val="28"/>
          <w:lang w:val="ro-RO" w:eastAsia="ro-RO"/>
        </w:rPr>
      </w:pPr>
      <w:r w:rsidRPr="00944AE8">
        <w:rPr>
          <w:rFonts w:ascii="Times New Roman" w:hAnsi="Times New Roman" w:cs="Times New Roman"/>
          <w:bCs/>
          <w:color w:val="000000" w:themeColor="text1"/>
          <w:sz w:val="28"/>
          <w:szCs w:val="28"/>
          <w:lang w:val="ro-RO" w:eastAsia="ro-RO"/>
        </w:rPr>
        <w:t xml:space="preserve">1.3.1. </w:t>
      </w:r>
      <w:r>
        <w:rPr>
          <w:rFonts w:ascii="Times New Roman" w:hAnsi="Times New Roman" w:cs="Times New Roman"/>
          <w:bCs/>
          <w:color w:val="000000" w:themeColor="text1"/>
          <w:sz w:val="28"/>
          <w:szCs w:val="28"/>
          <w:lang w:val="ro-RO" w:eastAsia="ro-RO"/>
        </w:rPr>
        <w:t>pe tot parcursul textului:</w:t>
      </w:r>
    </w:p>
    <w:p w14:paraId="515D5466" w14:textId="3B89A2FD" w:rsidR="00944AE8" w:rsidRPr="00180432" w:rsidRDefault="00944AE8" w:rsidP="007D63E9">
      <w:pPr>
        <w:pStyle w:val="Listparagraf"/>
        <w:tabs>
          <w:tab w:val="left" w:pos="567"/>
          <w:tab w:val="left" w:pos="1134"/>
        </w:tabs>
        <w:spacing w:line="360" w:lineRule="auto"/>
        <w:ind w:left="0"/>
        <w:jc w:val="both"/>
        <w:rPr>
          <w:rFonts w:ascii="Times New Roman" w:hAnsi="Times New Roman" w:cs="Times New Roman"/>
          <w:bCs/>
          <w:color w:val="000000" w:themeColor="text1"/>
          <w:sz w:val="28"/>
          <w:szCs w:val="28"/>
          <w:lang w:val="ro-RO" w:eastAsia="ro-RO"/>
        </w:rPr>
      </w:pPr>
      <w:r w:rsidRPr="00180432">
        <w:rPr>
          <w:rFonts w:ascii="Times New Roman" w:hAnsi="Times New Roman" w:cs="Times New Roman"/>
          <w:bCs/>
          <w:color w:val="000000" w:themeColor="text1"/>
          <w:sz w:val="28"/>
          <w:szCs w:val="28"/>
          <w:lang w:val="ro-RO" w:eastAsia="ro-RO"/>
        </w:rPr>
        <w:t>1.3.1.1</w:t>
      </w:r>
      <w:r w:rsidR="00FD2116" w:rsidRPr="00180432">
        <w:rPr>
          <w:rFonts w:ascii="Times New Roman" w:hAnsi="Times New Roman" w:cs="Times New Roman"/>
          <w:bCs/>
          <w:color w:val="000000" w:themeColor="text1"/>
          <w:sz w:val="28"/>
          <w:szCs w:val="28"/>
          <w:lang w:val="ro-RO" w:eastAsia="ro-RO"/>
        </w:rPr>
        <w:t xml:space="preserve"> </w:t>
      </w:r>
      <w:r w:rsidR="00FD2116" w:rsidRPr="00180432">
        <w:rPr>
          <w:rFonts w:ascii="Times New Roman" w:hAnsi="Times New Roman" w:cs="Times New Roman"/>
          <w:bCs/>
          <w:color w:val="000000" w:themeColor="text1"/>
          <w:sz w:val="28"/>
          <w:szCs w:val="28"/>
          <w:lang w:eastAsia="ro-RO"/>
        </w:rPr>
        <w:t xml:space="preserve">cuvintele „în conformitate cu prevederile capitolului VI” </w:t>
      </w:r>
      <w:r w:rsidR="004B1A64">
        <w:rPr>
          <w:rFonts w:ascii="Times New Roman" w:hAnsi="Times New Roman" w:cs="Times New Roman"/>
          <w:bCs/>
          <w:color w:val="000000" w:themeColor="text1"/>
          <w:sz w:val="28"/>
          <w:szCs w:val="28"/>
          <w:lang w:eastAsia="ro-RO"/>
        </w:rPr>
        <w:t xml:space="preserve">și „în temeiul prevederilor capitolului VI” </w:t>
      </w:r>
      <w:r w:rsidR="00FD2116" w:rsidRPr="00180432">
        <w:rPr>
          <w:rFonts w:ascii="Times New Roman" w:hAnsi="Times New Roman" w:cs="Times New Roman"/>
          <w:bCs/>
          <w:color w:val="000000" w:themeColor="text1"/>
          <w:sz w:val="28"/>
          <w:szCs w:val="28"/>
          <w:lang w:eastAsia="ro-RO"/>
        </w:rPr>
        <w:t>se substituie cu cuvintele „în conformitate cu prevederile din anexa nr. 2”</w:t>
      </w:r>
      <w:r w:rsidR="00856360">
        <w:rPr>
          <w:rFonts w:ascii="Times New Roman" w:hAnsi="Times New Roman" w:cs="Times New Roman"/>
          <w:bCs/>
          <w:color w:val="000000" w:themeColor="text1"/>
          <w:sz w:val="28"/>
          <w:szCs w:val="28"/>
          <w:lang w:eastAsia="ro-RO"/>
        </w:rPr>
        <w:t>.</w:t>
      </w:r>
    </w:p>
    <w:p w14:paraId="4DC9F967" w14:textId="3792823F" w:rsidR="00C37328" w:rsidRDefault="00C37328" w:rsidP="007D63E9">
      <w:pPr>
        <w:pStyle w:val="Listparagraf"/>
        <w:tabs>
          <w:tab w:val="left" w:pos="567"/>
          <w:tab w:val="left" w:pos="1134"/>
        </w:tabs>
        <w:spacing w:line="360" w:lineRule="auto"/>
        <w:ind w:left="0"/>
        <w:jc w:val="both"/>
        <w:rPr>
          <w:rFonts w:ascii="Times New Roman" w:hAnsi="Times New Roman" w:cs="Times New Roman"/>
          <w:bCs/>
          <w:color w:val="000000" w:themeColor="text1"/>
          <w:sz w:val="28"/>
          <w:szCs w:val="28"/>
          <w:lang w:val="ro-RO" w:eastAsia="ro-RO"/>
        </w:rPr>
      </w:pPr>
      <w:r w:rsidRPr="00C37328">
        <w:rPr>
          <w:rFonts w:ascii="Times New Roman" w:hAnsi="Times New Roman" w:cs="Times New Roman"/>
          <w:bCs/>
          <w:color w:val="000000" w:themeColor="text1"/>
          <w:sz w:val="28"/>
          <w:szCs w:val="28"/>
          <w:lang w:val="ro-RO" w:eastAsia="ro-RO"/>
        </w:rPr>
        <w:t>1.3.</w:t>
      </w:r>
      <w:r w:rsidR="00944AE8">
        <w:rPr>
          <w:rFonts w:ascii="Times New Roman" w:hAnsi="Times New Roman" w:cs="Times New Roman"/>
          <w:bCs/>
          <w:color w:val="000000" w:themeColor="text1"/>
          <w:sz w:val="28"/>
          <w:szCs w:val="28"/>
          <w:lang w:val="ro-RO" w:eastAsia="ro-RO"/>
        </w:rPr>
        <w:t>2</w:t>
      </w:r>
      <w:r w:rsidRPr="00C37328">
        <w:rPr>
          <w:rFonts w:ascii="Times New Roman" w:hAnsi="Times New Roman" w:cs="Times New Roman"/>
          <w:bCs/>
          <w:color w:val="000000" w:themeColor="text1"/>
          <w:sz w:val="28"/>
          <w:szCs w:val="28"/>
          <w:lang w:val="ro-RO" w:eastAsia="ro-RO"/>
        </w:rPr>
        <w:t>.</w:t>
      </w:r>
      <w:r>
        <w:rPr>
          <w:rFonts w:ascii="Times New Roman" w:hAnsi="Times New Roman" w:cs="Times New Roman"/>
          <w:bCs/>
          <w:color w:val="000000" w:themeColor="text1"/>
          <w:sz w:val="28"/>
          <w:szCs w:val="28"/>
          <w:lang w:val="ro-RO" w:eastAsia="ro-RO"/>
        </w:rPr>
        <w:t xml:space="preserve"> </w:t>
      </w:r>
      <w:r w:rsidR="00E346DD">
        <w:rPr>
          <w:rFonts w:ascii="Times New Roman" w:hAnsi="Times New Roman" w:cs="Times New Roman"/>
          <w:bCs/>
          <w:color w:val="000000" w:themeColor="text1"/>
          <w:sz w:val="28"/>
          <w:szCs w:val="28"/>
          <w:lang w:val="ro-RO" w:eastAsia="ro-RO"/>
        </w:rPr>
        <w:t>p</w:t>
      </w:r>
      <w:r>
        <w:rPr>
          <w:rFonts w:ascii="Times New Roman" w:hAnsi="Times New Roman" w:cs="Times New Roman"/>
          <w:bCs/>
          <w:color w:val="000000" w:themeColor="text1"/>
          <w:sz w:val="28"/>
          <w:szCs w:val="28"/>
          <w:lang w:val="ro-RO" w:eastAsia="ro-RO"/>
        </w:rPr>
        <w:t>unctul 9 va avea următorul cuprins:</w:t>
      </w:r>
    </w:p>
    <w:p w14:paraId="4054261F" w14:textId="7AFD560D" w:rsidR="00C37328" w:rsidRPr="00C37328" w:rsidRDefault="00C37328" w:rsidP="007D63E9">
      <w:pPr>
        <w:pStyle w:val="Listparagraf"/>
        <w:tabs>
          <w:tab w:val="left" w:pos="567"/>
          <w:tab w:val="left" w:pos="1134"/>
        </w:tabs>
        <w:spacing w:line="360" w:lineRule="auto"/>
        <w:ind w:left="0"/>
        <w:jc w:val="both"/>
        <w:rPr>
          <w:rFonts w:ascii="Times New Roman" w:hAnsi="Times New Roman" w:cs="Times New Roman"/>
          <w:b/>
          <w:bCs/>
          <w:color w:val="000000" w:themeColor="text1"/>
          <w:sz w:val="28"/>
          <w:szCs w:val="28"/>
          <w:lang w:val="ro-RO" w:eastAsia="ro-RO"/>
        </w:rPr>
      </w:pPr>
      <w:r>
        <w:rPr>
          <w:rFonts w:ascii="Times New Roman" w:hAnsi="Times New Roman" w:cs="Times New Roman"/>
          <w:b/>
          <w:bCs/>
          <w:color w:val="000000" w:themeColor="text1"/>
          <w:sz w:val="28"/>
          <w:szCs w:val="28"/>
          <w:lang w:val="ro-RO" w:eastAsia="ro-RO"/>
        </w:rPr>
        <w:t>„</w:t>
      </w:r>
      <w:r w:rsidRPr="00C37328">
        <w:rPr>
          <w:rFonts w:ascii="Times New Roman" w:hAnsi="Times New Roman" w:cs="Times New Roman"/>
          <w:b/>
          <w:bCs/>
          <w:color w:val="000000" w:themeColor="text1"/>
          <w:sz w:val="28"/>
          <w:szCs w:val="28"/>
          <w:lang w:val="ro-RO" w:eastAsia="ro-RO"/>
        </w:rPr>
        <w:t>9.</w:t>
      </w:r>
      <w:r>
        <w:rPr>
          <w:rFonts w:ascii="Times New Roman" w:hAnsi="Times New Roman" w:cs="Times New Roman"/>
          <w:b/>
          <w:bCs/>
          <w:color w:val="000000" w:themeColor="text1"/>
          <w:sz w:val="28"/>
          <w:szCs w:val="28"/>
          <w:lang w:val="ro-RO" w:eastAsia="ro-RO"/>
        </w:rPr>
        <w:t xml:space="preserve"> </w:t>
      </w:r>
      <w:r w:rsidRPr="00C37328">
        <w:rPr>
          <w:rFonts w:ascii="Times New Roman" w:hAnsi="Times New Roman" w:cs="Times New Roman"/>
          <w:bCs/>
          <w:color w:val="000000" w:themeColor="text1"/>
          <w:sz w:val="28"/>
          <w:szCs w:val="28"/>
          <w:lang w:eastAsia="ro-RO"/>
        </w:rPr>
        <w:t>În cazul în care este necesar în conformitate cu metoda de confirmare, se adaugă un etalon intern adecvat cantității de testare la începutul procedurii de extracție. În funcție de disponibilități, se utilizează fie forme de analit marcate cu un izotop stabil, recomandate în special pentru detecția prin spectrometrie de masă, fie compuși analogi, care sunt înrudiți îndeaproape din punct de vedere structural cu analitul</w:t>
      </w:r>
      <w:r>
        <w:rPr>
          <w:rFonts w:ascii="Times New Roman" w:hAnsi="Times New Roman" w:cs="Times New Roman"/>
          <w:bCs/>
          <w:color w:val="000000" w:themeColor="text1"/>
          <w:sz w:val="28"/>
          <w:szCs w:val="28"/>
          <w:lang w:eastAsia="ro-RO"/>
        </w:rPr>
        <w:t xml:space="preserve">. În cazul în care nu este posibil </w:t>
      </w:r>
      <w:r w:rsidRPr="00C37328">
        <w:rPr>
          <w:rFonts w:ascii="Times New Roman" w:hAnsi="Times New Roman" w:cs="Times New Roman"/>
          <w:bCs/>
          <w:color w:val="000000" w:themeColor="text1"/>
          <w:sz w:val="28"/>
          <w:szCs w:val="28"/>
          <w:lang w:eastAsia="ro-RO"/>
        </w:rPr>
        <w:t>să se utilizeze un etalon intern adecvat, identificarea analitului se confirmă, de preferință, prin co-cromatografie</w:t>
      </w:r>
      <w:r w:rsidR="004C3B9D">
        <w:rPr>
          <w:rFonts w:ascii="Times New Roman" w:hAnsi="Times New Roman" w:cs="Times New Roman"/>
          <w:bCs/>
          <w:color w:val="000000" w:themeColor="text1"/>
          <w:sz w:val="28"/>
          <w:szCs w:val="28"/>
          <w:lang w:eastAsia="ro-RO"/>
        </w:rPr>
        <w:t>.</w:t>
      </w:r>
      <w:r w:rsidR="004C3B9D" w:rsidRPr="004C3B9D">
        <w:rPr>
          <w:color w:val="333333"/>
          <w:sz w:val="19"/>
          <w:szCs w:val="19"/>
          <w:shd w:val="clear" w:color="auto" w:fill="FFFFFF"/>
        </w:rPr>
        <w:t xml:space="preserve"> </w:t>
      </w:r>
      <w:r w:rsidR="004C3B9D" w:rsidRPr="004C3B9D">
        <w:rPr>
          <w:rFonts w:ascii="Times New Roman" w:hAnsi="Times New Roman" w:cs="Times New Roman"/>
          <w:bCs/>
          <w:color w:val="000000" w:themeColor="text1"/>
          <w:sz w:val="28"/>
          <w:szCs w:val="28"/>
          <w:lang w:eastAsia="ro-RO"/>
        </w:rPr>
        <w:t>Co-cromatografia este o metodă în care se împarte în două fracții extractul supus testării înainte de etapa sau etapele cromatografice.</w:t>
      </w:r>
      <w:r w:rsidR="00783606">
        <w:rPr>
          <w:rFonts w:ascii="Times New Roman" w:hAnsi="Times New Roman" w:cs="Times New Roman"/>
          <w:bCs/>
          <w:color w:val="000000" w:themeColor="text1"/>
          <w:sz w:val="28"/>
          <w:szCs w:val="28"/>
          <w:lang w:eastAsia="ro-RO"/>
        </w:rPr>
        <w:t xml:space="preserve"> </w:t>
      </w:r>
      <w:r w:rsidR="004C3B9D" w:rsidRPr="004C3B9D">
        <w:rPr>
          <w:rFonts w:ascii="Times New Roman" w:hAnsi="Times New Roman" w:cs="Times New Roman"/>
          <w:bCs/>
          <w:color w:val="000000" w:themeColor="text1"/>
          <w:sz w:val="28"/>
          <w:szCs w:val="28"/>
          <w:lang w:eastAsia="ro-RO"/>
        </w:rPr>
        <w:t xml:space="preserve">O fracție este analizată cromatografic ca atare. A doua fracție este amestecată cu analitul etalon care urmează să fie măsurat. Acest amestec este apoi analizat cromatografic. Cantitatea de analit etalon adăugată trebuie să fie apropiată de cantitatea de analit estimată în extract. Co-cromatografia este utilizată pentru </w:t>
      </w:r>
      <w:proofErr w:type="gramStart"/>
      <w:r w:rsidR="004C3B9D" w:rsidRPr="004C3B9D">
        <w:rPr>
          <w:rFonts w:ascii="Times New Roman" w:hAnsi="Times New Roman" w:cs="Times New Roman"/>
          <w:bCs/>
          <w:color w:val="000000" w:themeColor="text1"/>
          <w:sz w:val="28"/>
          <w:szCs w:val="28"/>
          <w:lang w:eastAsia="ro-RO"/>
        </w:rPr>
        <w:t>a</w:t>
      </w:r>
      <w:proofErr w:type="gramEnd"/>
      <w:r w:rsidR="004C3B9D" w:rsidRPr="004C3B9D">
        <w:rPr>
          <w:rFonts w:ascii="Times New Roman" w:hAnsi="Times New Roman" w:cs="Times New Roman"/>
          <w:bCs/>
          <w:color w:val="000000" w:themeColor="text1"/>
          <w:sz w:val="28"/>
          <w:szCs w:val="28"/>
          <w:lang w:eastAsia="ro-RO"/>
        </w:rPr>
        <w:t xml:space="preserve"> ameliora identificarea unui analit prin metode cromatografice, în special în cazul în care este imposibil să se utilizeze un etalon intern adecvat.</w:t>
      </w:r>
      <w:r w:rsidR="004C3B9D" w:rsidRPr="004C3B9D">
        <w:rPr>
          <w:color w:val="333333"/>
          <w:sz w:val="27"/>
          <w:szCs w:val="27"/>
          <w:shd w:val="clear" w:color="auto" w:fill="FFFFFF"/>
        </w:rPr>
        <w:t xml:space="preserve"> </w:t>
      </w:r>
      <w:r w:rsidR="004C3B9D" w:rsidRPr="004C3B9D">
        <w:rPr>
          <w:rFonts w:ascii="Times New Roman" w:hAnsi="Times New Roman" w:cs="Times New Roman"/>
          <w:bCs/>
          <w:color w:val="000000" w:themeColor="text1"/>
          <w:sz w:val="28"/>
          <w:szCs w:val="28"/>
          <w:lang w:eastAsia="ro-RO"/>
        </w:rPr>
        <w:t>În acest caz se obține un singur pic, creșterea înălțimii (sau a suprafeței) intensificate a picului echivalând cu cantitatea de analit adăugată. În cazul în care acest lucru nu este posibil, se utilizează etaloane cu adaptarea matricei sau cu îmbogățirea matricei.</w:t>
      </w:r>
      <w:r w:rsidR="004C3B9D">
        <w:rPr>
          <w:rFonts w:ascii="Times New Roman" w:hAnsi="Times New Roman" w:cs="Times New Roman"/>
          <w:bCs/>
          <w:color w:val="000000" w:themeColor="text1"/>
          <w:sz w:val="28"/>
          <w:szCs w:val="28"/>
          <w:lang w:eastAsia="ro-RO"/>
        </w:rPr>
        <w:t>”</w:t>
      </w:r>
    </w:p>
    <w:p w14:paraId="3AFDF6EF" w14:textId="096DFA32" w:rsidR="00CA6AFB" w:rsidRPr="000A71A0" w:rsidRDefault="00CA6AFB" w:rsidP="007D63E9">
      <w:pPr>
        <w:pStyle w:val="Listparagraf"/>
        <w:tabs>
          <w:tab w:val="left" w:pos="567"/>
          <w:tab w:val="left" w:pos="1134"/>
        </w:tabs>
        <w:spacing w:line="360" w:lineRule="auto"/>
        <w:ind w:left="0"/>
        <w:rPr>
          <w:rFonts w:ascii="Times New Roman" w:hAnsi="Times New Roman" w:cs="Times New Roman"/>
          <w:bCs/>
          <w:color w:val="000000" w:themeColor="text1"/>
          <w:sz w:val="28"/>
          <w:szCs w:val="28"/>
          <w:lang w:val="ro-RO" w:eastAsia="ro-RO"/>
        </w:rPr>
      </w:pPr>
      <w:r w:rsidRPr="000A71A0">
        <w:rPr>
          <w:rFonts w:ascii="Times New Roman" w:hAnsi="Times New Roman" w:cs="Times New Roman"/>
          <w:bCs/>
          <w:color w:val="000000" w:themeColor="text1"/>
          <w:sz w:val="28"/>
          <w:szCs w:val="28"/>
          <w:lang w:val="ro-RO" w:eastAsia="ro-RO"/>
        </w:rPr>
        <w:lastRenderedPageBreak/>
        <w:t>1.3.</w:t>
      </w:r>
      <w:r w:rsidR="00944AE8">
        <w:rPr>
          <w:rFonts w:ascii="Times New Roman" w:hAnsi="Times New Roman" w:cs="Times New Roman"/>
          <w:bCs/>
          <w:color w:val="000000" w:themeColor="text1"/>
          <w:sz w:val="28"/>
          <w:szCs w:val="28"/>
          <w:lang w:val="ro-RO" w:eastAsia="ro-RO"/>
        </w:rPr>
        <w:t>3</w:t>
      </w:r>
      <w:r w:rsidRPr="000A71A0">
        <w:rPr>
          <w:rFonts w:ascii="Times New Roman" w:hAnsi="Times New Roman" w:cs="Times New Roman"/>
          <w:bCs/>
          <w:color w:val="000000" w:themeColor="text1"/>
          <w:sz w:val="28"/>
          <w:szCs w:val="28"/>
          <w:lang w:val="ro-RO" w:eastAsia="ro-RO"/>
        </w:rPr>
        <w:t xml:space="preserve">. </w:t>
      </w:r>
      <w:r w:rsidR="00E346DD">
        <w:rPr>
          <w:rFonts w:ascii="Times New Roman" w:hAnsi="Times New Roman" w:cs="Times New Roman"/>
          <w:bCs/>
          <w:color w:val="000000" w:themeColor="text1"/>
          <w:sz w:val="28"/>
          <w:szCs w:val="28"/>
          <w:lang w:val="ro-RO" w:eastAsia="ro-RO"/>
        </w:rPr>
        <w:t>p</w:t>
      </w:r>
      <w:r w:rsidR="00ED5AF9" w:rsidRPr="000A71A0">
        <w:rPr>
          <w:rFonts w:ascii="Times New Roman" w:hAnsi="Times New Roman" w:cs="Times New Roman"/>
          <w:bCs/>
          <w:color w:val="000000" w:themeColor="text1"/>
          <w:sz w:val="28"/>
          <w:szCs w:val="28"/>
          <w:lang w:val="ro-RO" w:eastAsia="ro-RO"/>
        </w:rPr>
        <w:t>unc</w:t>
      </w:r>
      <w:r w:rsidR="000A71A0" w:rsidRPr="000A71A0">
        <w:rPr>
          <w:rFonts w:ascii="Times New Roman" w:hAnsi="Times New Roman" w:cs="Times New Roman"/>
          <w:bCs/>
          <w:color w:val="000000" w:themeColor="text1"/>
          <w:sz w:val="28"/>
          <w:szCs w:val="28"/>
          <w:lang w:val="ro-RO" w:eastAsia="ro-RO"/>
        </w:rPr>
        <w:t>tu</w:t>
      </w:r>
      <w:r w:rsidR="00ED5AF9" w:rsidRPr="000A71A0">
        <w:rPr>
          <w:rFonts w:ascii="Times New Roman" w:hAnsi="Times New Roman" w:cs="Times New Roman"/>
          <w:bCs/>
          <w:color w:val="000000" w:themeColor="text1"/>
          <w:sz w:val="28"/>
          <w:szCs w:val="28"/>
          <w:lang w:val="ro-RO" w:eastAsia="ro-RO"/>
        </w:rPr>
        <w:t xml:space="preserve">l </w:t>
      </w:r>
      <w:r w:rsidR="000A71A0" w:rsidRPr="000A71A0">
        <w:rPr>
          <w:rFonts w:ascii="Times New Roman" w:hAnsi="Times New Roman" w:cs="Times New Roman"/>
          <w:bCs/>
          <w:color w:val="000000" w:themeColor="text1"/>
          <w:sz w:val="28"/>
          <w:szCs w:val="28"/>
          <w:lang w:val="ro-RO" w:eastAsia="ro-RO"/>
        </w:rPr>
        <w:t>13</w:t>
      </w:r>
      <w:r w:rsidR="00ED5AF9" w:rsidRPr="000A71A0">
        <w:rPr>
          <w:rFonts w:ascii="Times New Roman" w:hAnsi="Times New Roman" w:cs="Times New Roman"/>
          <w:bCs/>
          <w:color w:val="000000" w:themeColor="text1"/>
          <w:sz w:val="28"/>
          <w:szCs w:val="28"/>
          <w:lang w:val="ro-RO" w:eastAsia="ro-RO"/>
        </w:rPr>
        <w:t xml:space="preserve"> v</w:t>
      </w:r>
      <w:r w:rsidR="000A71A0" w:rsidRPr="000A71A0">
        <w:rPr>
          <w:rFonts w:ascii="Times New Roman" w:hAnsi="Times New Roman" w:cs="Times New Roman"/>
          <w:bCs/>
          <w:color w:val="000000" w:themeColor="text1"/>
          <w:sz w:val="28"/>
          <w:szCs w:val="28"/>
          <w:lang w:val="ro-RO" w:eastAsia="ro-RO"/>
        </w:rPr>
        <w:t>a</w:t>
      </w:r>
      <w:r w:rsidR="00ED5AF9" w:rsidRPr="000A71A0">
        <w:rPr>
          <w:rFonts w:ascii="Times New Roman" w:hAnsi="Times New Roman" w:cs="Times New Roman"/>
          <w:bCs/>
          <w:color w:val="000000" w:themeColor="text1"/>
          <w:sz w:val="28"/>
          <w:szCs w:val="28"/>
          <w:lang w:val="ro-RO" w:eastAsia="ro-RO"/>
        </w:rPr>
        <w:t xml:space="preserve"> avea următorul cuprins:</w:t>
      </w:r>
    </w:p>
    <w:p w14:paraId="2F693D9A" w14:textId="4489DAE4" w:rsidR="00F50F58" w:rsidRPr="000A71A0" w:rsidRDefault="00ED5AF9" w:rsidP="007D63E9">
      <w:pPr>
        <w:pStyle w:val="Listparagraf"/>
        <w:tabs>
          <w:tab w:val="left" w:pos="567"/>
          <w:tab w:val="left" w:pos="1134"/>
        </w:tabs>
        <w:spacing w:line="360" w:lineRule="auto"/>
        <w:ind w:left="0"/>
        <w:jc w:val="both"/>
        <w:rPr>
          <w:rFonts w:ascii="Times New Roman" w:hAnsi="Times New Roman" w:cs="Times New Roman"/>
          <w:bCs/>
          <w:color w:val="000000" w:themeColor="text1"/>
          <w:sz w:val="28"/>
          <w:szCs w:val="28"/>
          <w:lang w:val="ro-RO" w:eastAsia="ro-RO"/>
        </w:rPr>
      </w:pPr>
      <w:r w:rsidRPr="000A71A0">
        <w:rPr>
          <w:rFonts w:ascii="Times New Roman" w:hAnsi="Times New Roman" w:cs="Times New Roman"/>
          <w:bCs/>
          <w:color w:val="000000" w:themeColor="text1"/>
          <w:sz w:val="28"/>
          <w:szCs w:val="28"/>
          <w:lang w:val="ro-RO" w:eastAsia="ro-RO"/>
        </w:rPr>
        <w:t>„</w:t>
      </w:r>
      <w:r w:rsidR="00B37B61" w:rsidRPr="000A71A0">
        <w:rPr>
          <w:rFonts w:ascii="Times New Roman" w:hAnsi="Times New Roman" w:cs="Times New Roman"/>
          <w:b/>
          <w:bCs/>
          <w:color w:val="000000" w:themeColor="text1"/>
          <w:sz w:val="28"/>
          <w:szCs w:val="28"/>
          <w:lang w:val="ro-RO"/>
        </w:rPr>
        <w:t>13</w:t>
      </w:r>
      <w:r w:rsidR="00B37B61" w:rsidRPr="000A71A0">
        <w:rPr>
          <w:rFonts w:ascii="Times New Roman" w:hAnsi="Times New Roman" w:cs="Times New Roman"/>
          <w:bCs/>
          <w:color w:val="000000" w:themeColor="text1"/>
          <w:sz w:val="28"/>
          <w:szCs w:val="28"/>
          <w:lang w:val="ro-RO"/>
        </w:rPr>
        <w:t xml:space="preserve">. </w:t>
      </w:r>
      <w:r w:rsidR="00B37B61" w:rsidRPr="00C67C0F">
        <w:rPr>
          <w:rFonts w:ascii="Times New Roman" w:hAnsi="Times New Roman" w:cs="Times New Roman"/>
          <w:bCs/>
          <w:color w:val="000000" w:themeColor="text1"/>
          <w:sz w:val="28"/>
          <w:szCs w:val="28"/>
        </w:rPr>
        <w:t>În ceea ce privește analizele efectuate în condiții de repetabilitate, coeficientul de variație în condiții de repetabilitate este de obicei mai mic decât două treimi din valorile enumerate în tabelul 2 și este mai mic decât sau egal cu coeficientul de variație în condiții de reproductibilitate.</w:t>
      </w:r>
      <w:r w:rsidR="000A71A0" w:rsidRPr="00C67C0F">
        <w:rPr>
          <w:rFonts w:ascii="Times New Roman" w:hAnsi="Times New Roman" w:cs="Times New Roman"/>
          <w:bCs/>
          <w:color w:val="000000" w:themeColor="text1"/>
          <w:sz w:val="28"/>
          <w:szCs w:val="28"/>
        </w:rPr>
        <w:t>”</w:t>
      </w:r>
    </w:p>
    <w:p w14:paraId="22436B1A" w14:textId="7D679049" w:rsidR="004C3B9D" w:rsidRDefault="00E43D5C"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bookmarkStart w:id="5" w:name="_Hlk215662467"/>
      <w:r w:rsidRPr="00E43D5C">
        <w:rPr>
          <w:rFonts w:ascii="Times New Roman" w:hAnsi="Times New Roman" w:cs="Times New Roman"/>
          <w:bCs/>
          <w:color w:val="000000" w:themeColor="text1"/>
          <w:sz w:val="28"/>
          <w:szCs w:val="28"/>
          <w:lang w:val="ro-RO"/>
        </w:rPr>
        <w:t>1.3.</w:t>
      </w:r>
      <w:r w:rsidR="00944AE8">
        <w:rPr>
          <w:rFonts w:ascii="Times New Roman" w:hAnsi="Times New Roman" w:cs="Times New Roman"/>
          <w:bCs/>
          <w:color w:val="000000" w:themeColor="text1"/>
          <w:sz w:val="28"/>
          <w:szCs w:val="28"/>
          <w:lang w:val="ro-RO"/>
        </w:rPr>
        <w:t>4</w:t>
      </w:r>
      <w:r w:rsidRPr="00E43D5C">
        <w:rPr>
          <w:rFonts w:ascii="Times New Roman" w:hAnsi="Times New Roman" w:cs="Times New Roman"/>
          <w:bCs/>
          <w:color w:val="000000" w:themeColor="text1"/>
          <w:sz w:val="28"/>
          <w:szCs w:val="28"/>
          <w:lang w:val="ro-RO"/>
        </w:rPr>
        <w:t>.</w:t>
      </w:r>
      <w:r>
        <w:rPr>
          <w:rFonts w:ascii="Times New Roman" w:hAnsi="Times New Roman" w:cs="Times New Roman"/>
          <w:bCs/>
          <w:color w:val="000000" w:themeColor="text1"/>
          <w:sz w:val="28"/>
          <w:szCs w:val="28"/>
          <w:lang w:val="ro-RO"/>
        </w:rPr>
        <w:t xml:space="preserve"> Tabelul </w:t>
      </w:r>
      <w:r w:rsidR="003A4FF0">
        <w:rPr>
          <w:rFonts w:ascii="Times New Roman" w:hAnsi="Times New Roman" w:cs="Times New Roman"/>
          <w:bCs/>
          <w:color w:val="000000" w:themeColor="text1"/>
          <w:sz w:val="28"/>
          <w:szCs w:val="28"/>
          <w:lang w:val="ro-RO"/>
        </w:rPr>
        <w:t xml:space="preserve">nr. </w:t>
      </w:r>
      <w:r>
        <w:rPr>
          <w:rFonts w:ascii="Times New Roman" w:hAnsi="Times New Roman" w:cs="Times New Roman"/>
          <w:bCs/>
          <w:color w:val="000000" w:themeColor="text1"/>
          <w:sz w:val="28"/>
          <w:szCs w:val="28"/>
          <w:lang w:val="ro-RO"/>
        </w:rPr>
        <w:t>5</w:t>
      </w:r>
      <w:r w:rsidR="000E17E2">
        <w:rPr>
          <w:rFonts w:ascii="Times New Roman" w:hAnsi="Times New Roman" w:cs="Times New Roman"/>
          <w:bCs/>
          <w:color w:val="000000" w:themeColor="text1"/>
          <w:sz w:val="28"/>
          <w:szCs w:val="28"/>
          <w:lang w:val="ro-RO"/>
        </w:rPr>
        <w:t xml:space="preserve"> va avea următorul cuprins</w:t>
      </w:r>
      <w:r>
        <w:rPr>
          <w:rFonts w:ascii="Times New Roman" w:hAnsi="Times New Roman" w:cs="Times New Roman"/>
          <w:bCs/>
          <w:color w:val="000000" w:themeColor="text1"/>
          <w:sz w:val="28"/>
          <w:szCs w:val="28"/>
          <w:lang w:val="ro-RO"/>
        </w:rPr>
        <w:t>:</w:t>
      </w:r>
    </w:p>
    <w:p w14:paraId="2EDBCBED" w14:textId="40FAB6EA" w:rsidR="00E43D5C" w:rsidRPr="00E43D5C" w:rsidRDefault="00E43D5C" w:rsidP="007D63E9">
      <w:pPr>
        <w:tabs>
          <w:tab w:val="left" w:pos="567"/>
          <w:tab w:val="left" w:pos="1134"/>
        </w:tabs>
        <w:spacing w:line="360" w:lineRule="auto"/>
        <w:jc w:val="right"/>
        <w:rPr>
          <w:rFonts w:ascii="Times New Roman" w:hAnsi="Times New Roman" w:cs="Times New Roman"/>
          <w:bCs/>
          <w:color w:val="000000" w:themeColor="text1"/>
          <w:sz w:val="28"/>
          <w:szCs w:val="28"/>
          <w:lang w:val="ro-RO"/>
        </w:rPr>
      </w:pPr>
      <w:r w:rsidRPr="00E43D5C">
        <w:rPr>
          <w:rFonts w:ascii="Times New Roman" w:hAnsi="Times New Roman" w:cs="Times New Roman"/>
          <w:bCs/>
          <w:i/>
          <w:iCs/>
          <w:color w:val="000000" w:themeColor="text1"/>
          <w:sz w:val="28"/>
          <w:szCs w:val="28"/>
          <w:lang w:val="ro-RO"/>
        </w:rPr>
        <w:t xml:space="preserve">„Tabelul </w:t>
      </w:r>
      <w:r w:rsidR="00AC4462">
        <w:rPr>
          <w:rFonts w:ascii="Times New Roman" w:hAnsi="Times New Roman" w:cs="Times New Roman"/>
          <w:bCs/>
          <w:i/>
          <w:iCs/>
          <w:color w:val="000000" w:themeColor="text1"/>
          <w:sz w:val="28"/>
          <w:szCs w:val="28"/>
          <w:lang w:val="ro-RO"/>
        </w:rPr>
        <w:t xml:space="preserve">nr. </w:t>
      </w:r>
      <w:r w:rsidRPr="00E43D5C">
        <w:rPr>
          <w:rFonts w:ascii="Times New Roman" w:hAnsi="Times New Roman" w:cs="Times New Roman"/>
          <w:bCs/>
          <w:i/>
          <w:iCs/>
          <w:color w:val="000000" w:themeColor="text1"/>
          <w:sz w:val="28"/>
          <w:szCs w:val="28"/>
          <w:lang w:val="ro-RO"/>
        </w:rPr>
        <w:t>5</w:t>
      </w:r>
    </w:p>
    <w:p w14:paraId="412B0077" w14:textId="77777777" w:rsidR="00E43D5C" w:rsidRPr="00E43D5C" w:rsidRDefault="00E43D5C" w:rsidP="007D63E9">
      <w:pPr>
        <w:tabs>
          <w:tab w:val="left" w:pos="567"/>
          <w:tab w:val="left" w:pos="1134"/>
        </w:tabs>
        <w:spacing w:line="360" w:lineRule="auto"/>
        <w:jc w:val="center"/>
        <w:rPr>
          <w:rFonts w:ascii="Times New Roman" w:hAnsi="Times New Roman" w:cs="Times New Roman"/>
          <w:bCs/>
          <w:color w:val="000000" w:themeColor="text1"/>
          <w:sz w:val="28"/>
          <w:szCs w:val="28"/>
          <w:lang w:val="ro-RO"/>
        </w:rPr>
      </w:pPr>
      <w:r w:rsidRPr="00E43D5C">
        <w:rPr>
          <w:rFonts w:ascii="Times New Roman" w:hAnsi="Times New Roman" w:cs="Times New Roman"/>
          <w:b/>
          <w:bCs/>
          <w:color w:val="000000" w:themeColor="text1"/>
          <w:sz w:val="28"/>
          <w:szCs w:val="28"/>
          <w:lang w:val="ro-RO"/>
        </w:rPr>
        <w:t>Clasificarea metodelor de analiză după caracteristicile de performanță care trebuie determinate</w:t>
      </w:r>
    </w:p>
    <w:tbl>
      <w:tblPr>
        <w:tblW w:w="5033" w:type="pct"/>
        <w:tblInd w:w="1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51"/>
        <w:gridCol w:w="1129"/>
        <w:gridCol w:w="1419"/>
        <w:gridCol w:w="994"/>
        <w:gridCol w:w="1844"/>
        <w:gridCol w:w="1307"/>
      </w:tblGrid>
      <w:tr w:rsidR="00E43D5C" w:rsidRPr="00783606" w14:paraId="6C6BCE6A" w14:textId="77777777" w:rsidTr="00590975">
        <w:trPr>
          <w:trHeight w:val="215"/>
        </w:trPr>
        <w:tc>
          <w:tcPr>
            <w:tcW w:w="18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9BDA601"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Metodă</w:t>
            </w:r>
          </w:p>
        </w:tc>
        <w:tc>
          <w:tcPr>
            <w:tcW w:w="254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B9646DB"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Confirmare</w:t>
            </w:r>
          </w:p>
        </w:tc>
        <w:tc>
          <w:tcPr>
            <w:tcW w:w="414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F293F3C"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Screening</w:t>
            </w:r>
          </w:p>
        </w:tc>
      </w:tr>
      <w:tr w:rsidR="00E43D5C" w:rsidRPr="00783606" w14:paraId="78B1CBAF" w14:textId="77777777" w:rsidTr="00590975">
        <w:trPr>
          <w:trHeight w:val="64"/>
        </w:trPr>
        <w:tc>
          <w:tcPr>
            <w:tcW w:w="18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AAED1"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p>
        </w:tc>
        <w:tc>
          <w:tcPr>
            <w:tcW w:w="1129" w:type="dxa"/>
            <w:tcBorders>
              <w:top w:val="single" w:sz="6" w:space="0" w:color="000000"/>
              <w:left w:val="single" w:sz="6" w:space="0" w:color="000000"/>
              <w:bottom w:val="single" w:sz="6" w:space="0" w:color="000000"/>
              <w:right w:val="single" w:sz="6" w:space="0" w:color="000000"/>
            </w:tcBorders>
            <w:shd w:val="clear" w:color="auto" w:fill="FFFFFF"/>
            <w:hideMark/>
          </w:tcPr>
          <w:p w14:paraId="267180F0"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Calitativă</w:t>
            </w: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6B6C3826"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Cantitativă</w:t>
            </w: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31B2F627"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Calitativ</w:t>
            </w: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399A02D2" w14:textId="58F95121"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Semicantitativ</w:t>
            </w:r>
            <w:r w:rsidR="00590975" w:rsidRPr="00590975">
              <w:rPr>
                <w:rFonts w:ascii="Times New Roman" w:hAnsi="Times New Roman" w:cs="Times New Roman"/>
                <w:b/>
                <w:bCs/>
                <w:color w:val="000000" w:themeColor="text1"/>
                <w:sz w:val="24"/>
                <w:szCs w:val="24"/>
                <w:vertAlign w:val="superscript"/>
                <w:lang w:val="ro-RO"/>
              </w:rPr>
              <w:t>(1)</w:t>
            </w: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646B0528" w14:textId="77777777" w:rsidR="00E43D5C" w:rsidRPr="00783606" w:rsidRDefault="00E43D5C" w:rsidP="00E43D5C">
            <w:pPr>
              <w:tabs>
                <w:tab w:val="left" w:pos="567"/>
                <w:tab w:val="left" w:pos="1134"/>
              </w:tabs>
              <w:spacing w:line="276" w:lineRule="auto"/>
              <w:jc w:val="center"/>
              <w:rPr>
                <w:rFonts w:ascii="Times New Roman" w:hAnsi="Times New Roman" w:cs="Times New Roman"/>
                <w:b/>
                <w:bCs/>
                <w:color w:val="000000" w:themeColor="text1"/>
                <w:sz w:val="24"/>
                <w:szCs w:val="24"/>
                <w:lang w:val="ro-RO"/>
              </w:rPr>
            </w:pPr>
            <w:r w:rsidRPr="00783606">
              <w:rPr>
                <w:rFonts w:ascii="Times New Roman" w:hAnsi="Times New Roman" w:cs="Times New Roman"/>
                <w:b/>
                <w:bCs/>
                <w:color w:val="000000" w:themeColor="text1"/>
                <w:sz w:val="24"/>
                <w:szCs w:val="24"/>
                <w:lang w:val="ro-RO"/>
              </w:rPr>
              <w:t>Cantitativ</w:t>
            </w:r>
          </w:p>
        </w:tc>
      </w:tr>
      <w:tr w:rsidR="00E43D5C" w:rsidRPr="00783606" w14:paraId="32992BDF" w14:textId="77777777" w:rsidTr="00590975">
        <w:trPr>
          <w:trHeight w:val="208"/>
        </w:trPr>
        <w:tc>
          <w:tcPr>
            <w:tcW w:w="1851" w:type="dxa"/>
            <w:tcBorders>
              <w:top w:val="single" w:sz="6" w:space="0" w:color="000000"/>
              <w:left w:val="single" w:sz="6" w:space="0" w:color="000000"/>
              <w:bottom w:val="single" w:sz="6" w:space="0" w:color="000000"/>
              <w:right w:val="single" w:sz="6" w:space="0" w:color="000000"/>
            </w:tcBorders>
            <w:shd w:val="clear" w:color="auto" w:fill="FFFFFF"/>
            <w:hideMark/>
          </w:tcPr>
          <w:p w14:paraId="57DFF7F4"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Substanțe</w:t>
            </w:r>
          </w:p>
        </w:tc>
        <w:tc>
          <w:tcPr>
            <w:tcW w:w="1129" w:type="dxa"/>
            <w:tcBorders>
              <w:top w:val="single" w:sz="6" w:space="0" w:color="000000"/>
              <w:left w:val="single" w:sz="6" w:space="0" w:color="000000"/>
              <w:bottom w:val="single" w:sz="6" w:space="0" w:color="000000"/>
              <w:right w:val="single" w:sz="6" w:space="0" w:color="000000"/>
            </w:tcBorders>
            <w:shd w:val="clear" w:color="auto" w:fill="FFFFFF"/>
            <w:hideMark/>
          </w:tcPr>
          <w:p w14:paraId="46381D63"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w:t>
            </w: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71CC3F52"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 B</w:t>
            </w: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43A61D42"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 B</w:t>
            </w: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56BD392D"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 B</w:t>
            </w: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34476923"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 B</w:t>
            </w:r>
          </w:p>
        </w:tc>
      </w:tr>
      <w:tr w:rsidR="00E43D5C" w:rsidRPr="00783606" w14:paraId="1D0DA234" w14:textId="77777777" w:rsidTr="00590975">
        <w:trPr>
          <w:trHeight w:val="505"/>
        </w:trPr>
        <w:tc>
          <w:tcPr>
            <w:tcW w:w="1851" w:type="dxa"/>
            <w:tcBorders>
              <w:top w:val="single" w:sz="6" w:space="0" w:color="000000"/>
              <w:left w:val="single" w:sz="6" w:space="0" w:color="000000"/>
              <w:bottom w:val="single" w:sz="6" w:space="0" w:color="000000"/>
              <w:right w:val="single" w:sz="6" w:space="0" w:color="000000"/>
            </w:tcBorders>
            <w:shd w:val="clear" w:color="auto" w:fill="FFFFFF"/>
            <w:hideMark/>
          </w:tcPr>
          <w:p w14:paraId="3934E0C8"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Identificare în conformitate cu punctul 1.2.</w:t>
            </w:r>
          </w:p>
        </w:tc>
        <w:tc>
          <w:tcPr>
            <w:tcW w:w="1129" w:type="dxa"/>
            <w:tcBorders>
              <w:top w:val="single" w:sz="6" w:space="0" w:color="000000"/>
              <w:left w:val="single" w:sz="6" w:space="0" w:color="000000"/>
              <w:bottom w:val="single" w:sz="6" w:space="0" w:color="000000"/>
              <w:right w:val="single" w:sz="6" w:space="0" w:color="000000"/>
            </w:tcBorders>
            <w:shd w:val="clear" w:color="auto" w:fill="FFFFFF"/>
            <w:hideMark/>
          </w:tcPr>
          <w:p w14:paraId="3CA0192C"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64F26F85"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43AD268B" w14:textId="08F631B4"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64AC8B8B" w14:textId="67DD844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4A7246A9" w14:textId="38289958"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r>
      <w:tr w:rsidR="00E43D5C" w:rsidRPr="00783606" w14:paraId="6DA73F2D" w14:textId="77777777" w:rsidTr="00590975">
        <w:trPr>
          <w:trHeight w:val="208"/>
        </w:trPr>
        <w:tc>
          <w:tcPr>
            <w:tcW w:w="1851" w:type="dxa"/>
            <w:tcBorders>
              <w:top w:val="single" w:sz="6" w:space="0" w:color="000000"/>
              <w:left w:val="single" w:sz="6" w:space="0" w:color="000000"/>
              <w:bottom w:val="single" w:sz="6" w:space="0" w:color="000000"/>
              <w:right w:val="single" w:sz="6" w:space="0" w:color="000000"/>
            </w:tcBorders>
            <w:shd w:val="clear" w:color="auto" w:fill="FFFFFF"/>
            <w:hideMark/>
          </w:tcPr>
          <w:p w14:paraId="2F147271"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CCα</w:t>
            </w:r>
          </w:p>
        </w:tc>
        <w:tc>
          <w:tcPr>
            <w:tcW w:w="1129" w:type="dxa"/>
            <w:tcBorders>
              <w:top w:val="single" w:sz="6" w:space="0" w:color="000000"/>
              <w:left w:val="single" w:sz="6" w:space="0" w:color="000000"/>
              <w:bottom w:val="single" w:sz="6" w:space="0" w:color="000000"/>
              <w:right w:val="single" w:sz="6" w:space="0" w:color="000000"/>
            </w:tcBorders>
            <w:shd w:val="clear" w:color="auto" w:fill="FFFFFF"/>
            <w:hideMark/>
          </w:tcPr>
          <w:p w14:paraId="3E7732D1"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7DE546A0"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5FD36BFF" w14:textId="088FA0FC"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4CE309DA" w14:textId="091F9920"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3CFDBF78" w14:textId="1C420F3C"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r>
      <w:tr w:rsidR="00E43D5C" w:rsidRPr="00783606" w14:paraId="49F6C4C2" w14:textId="77777777" w:rsidTr="00590975">
        <w:trPr>
          <w:trHeight w:val="215"/>
        </w:trPr>
        <w:tc>
          <w:tcPr>
            <w:tcW w:w="1851" w:type="dxa"/>
            <w:tcBorders>
              <w:top w:val="single" w:sz="6" w:space="0" w:color="000000"/>
              <w:left w:val="single" w:sz="6" w:space="0" w:color="000000"/>
              <w:bottom w:val="single" w:sz="6" w:space="0" w:color="000000"/>
              <w:right w:val="single" w:sz="6" w:space="0" w:color="000000"/>
            </w:tcBorders>
            <w:shd w:val="clear" w:color="auto" w:fill="FFFFFF"/>
            <w:hideMark/>
          </w:tcPr>
          <w:p w14:paraId="442F805B"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CCβ</w:t>
            </w:r>
          </w:p>
        </w:tc>
        <w:tc>
          <w:tcPr>
            <w:tcW w:w="112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5C092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w:t>
            </w: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7ED94003" w14:textId="2D4F2386"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6F79C1AD"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2D07FD2A"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2687FCB7"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2B8E4CD5" w14:textId="77777777" w:rsidTr="00590975">
        <w:trPr>
          <w:trHeight w:val="215"/>
        </w:trPr>
        <w:tc>
          <w:tcPr>
            <w:tcW w:w="1851" w:type="dxa"/>
            <w:tcBorders>
              <w:top w:val="single" w:sz="6" w:space="0" w:color="000000"/>
              <w:left w:val="single" w:sz="6" w:space="0" w:color="000000"/>
              <w:bottom w:val="single" w:sz="6" w:space="0" w:color="000000"/>
              <w:right w:val="single" w:sz="6" w:space="0" w:color="000000"/>
            </w:tcBorders>
            <w:shd w:val="clear" w:color="auto" w:fill="FFFFFF"/>
            <w:hideMark/>
          </w:tcPr>
          <w:p w14:paraId="1AE71CD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Fidelitate</w:t>
            </w:r>
          </w:p>
        </w:tc>
        <w:tc>
          <w:tcPr>
            <w:tcW w:w="11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B5B0C"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78F0B27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44FCBBDB" w14:textId="5012A465"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2EBF9501" w14:textId="763992ED"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06C4160B"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5469C640" w14:textId="77777777" w:rsidTr="00590975">
        <w:trPr>
          <w:trHeight w:val="215"/>
        </w:trPr>
        <w:tc>
          <w:tcPr>
            <w:tcW w:w="1851" w:type="dxa"/>
            <w:tcBorders>
              <w:top w:val="single" w:sz="6" w:space="0" w:color="000000"/>
              <w:left w:val="single" w:sz="6" w:space="0" w:color="000000"/>
              <w:bottom w:val="single" w:sz="6" w:space="0" w:color="000000"/>
              <w:right w:val="single" w:sz="6" w:space="0" w:color="000000"/>
            </w:tcBorders>
            <w:shd w:val="clear" w:color="auto" w:fill="FFFFFF"/>
            <w:hideMark/>
          </w:tcPr>
          <w:p w14:paraId="0D2660F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Precizie</w:t>
            </w:r>
          </w:p>
        </w:tc>
        <w:tc>
          <w:tcPr>
            <w:tcW w:w="11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3D368"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54B1FC2B"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4B23F116" w14:textId="19C67EF1"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3CE4AF4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2C264D21"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5A877434" w14:textId="77777777" w:rsidTr="00590975">
        <w:trPr>
          <w:trHeight w:val="498"/>
        </w:trPr>
        <w:tc>
          <w:tcPr>
            <w:tcW w:w="1851" w:type="dxa"/>
            <w:tcBorders>
              <w:top w:val="single" w:sz="6" w:space="0" w:color="000000"/>
              <w:left w:val="single" w:sz="6" w:space="0" w:color="000000"/>
              <w:bottom w:val="single" w:sz="6" w:space="0" w:color="000000"/>
              <w:right w:val="single" w:sz="6" w:space="0" w:color="000000"/>
            </w:tcBorders>
            <w:shd w:val="clear" w:color="auto" w:fill="FFFFFF"/>
            <w:hideMark/>
          </w:tcPr>
          <w:p w14:paraId="78E7683A" w14:textId="4F86A341"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Efect matricial relativ/recuperare absolută</w:t>
            </w:r>
            <w:r w:rsidR="00590975" w:rsidRPr="00590975">
              <w:rPr>
                <w:rFonts w:ascii="Times New Roman" w:hAnsi="Times New Roman" w:cs="Times New Roman"/>
                <w:bCs/>
                <w:color w:val="000000" w:themeColor="text1"/>
                <w:sz w:val="24"/>
                <w:szCs w:val="24"/>
                <w:vertAlign w:val="superscript"/>
                <w:lang w:val="ro-RO"/>
              </w:rPr>
              <w:t>(2)</w:t>
            </w:r>
          </w:p>
        </w:tc>
        <w:tc>
          <w:tcPr>
            <w:tcW w:w="11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6773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0769A799"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7B4F47C9" w14:textId="6F00AC4E"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2B81D47F" w14:textId="07DF147D"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2EC1C3F6"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7534AE4E" w14:textId="77777777" w:rsidTr="00590975">
        <w:trPr>
          <w:trHeight w:val="248"/>
        </w:trPr>
        <w:tc>
          <w:tcPr>
            <w:tcW w:w="1851" w:type="dxa"/>
            <w:tcBorders>
              <w:top w:val="single" w:sz="6" w:space="0" w:color="000000"/>
              <w:left w:val="single" w:sz="6" w:space="0" w:color="000000"/>
              <w:bottom w:val="single" w:sz="6" w:space="0" w:color="000000"/>
              <w:right w:val="single" w:sz="6" w:space="0" w:color="000000"/>
            </w:tcBorders>
            <w:shd w:val="clear" w:color="auto" w:fill="FFFFFF"/>
            <w:hideMark/>
          </w:tcPr>
          <w:p w14:paraId="2D04CFDF" w14:textId="77777777" w:rsidR="00365377" w:rsidRPr="00365377" w:rsidRDefault="00E43D5C" w:rsidP="00365377">
            <w:pPr>
              <w:pStyle w:val="Frspaiere"/>
              <w:jc w:val="center"/>
              <w:rPr>
                <w:rFonts w:ascii="Times New Roman" w:hAnsi="Times New Roman" w:cs="Times New Roman"/>
                <w:sz w:val="24"/>
                <w:szCs w:val="24"/>
                <w:lang w:val="ro-RO"/>
              </w:rPr>
            </w:pPr>
            <w:r w:rsidRPr="00365377">
              <w:rPr>
                <w:rFonts w:ascii="Times New Roman" w:hAnsi="Times New Roman" w:cs="Times New Roman"/>
                <w:sz w:val="24"/>
                <w:szCs w:val="24"/>
                <w:lang w:val="ro-RO"/>
              </w:rPr>
              <w:t>Selectivitate/</w:t>
            </w:r>
          </w:p>
          <w:p w14:paraId="1981E5CE" w14:textId="6E0E133C" w:rsidR="00E43D5C" w:rsidRPr="00783606" w:rsidRDefault="00E43D5C" w:rsidP="00365377">
            <w:pPr>
              <w:pStyle w:val="Frspaiere"/>
              <w:jc w:val="center"/>
              <w:rPr>
                <w:lang w:val="ro-RO"/>
              </w:rPr>
            </w:pPr>
            <w:r w:rsidRPr="00365377">
              <w:rPr>
                <w:rFonts w:ascii="Times New Roman" w:hAnsi="Times New Roman" w:cs="Times New Roman"/>
                <w:sz w:val="24"/>
                <w:szCs w:val="24"/>
                <w:lang w:val="ro-RO"/>
              </w:rPr>
              <w:t>specificitate</w:t>
            </w:r>
          </w:p>
        </w:tc>
        <w:tc>
          <w:tcPr>
            <w:tcW w:w="11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9CD6E"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3B2AB447"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7052CDEC"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33B2D78A"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6F0385E6"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6AC6C3B3" w14:textId="77777777" w:rsidTr="00590975">
        <w:trPr>
          <w:trHeight w:val="215"/>
        </w:trPr>
        <w:tc>
          <w:tcPr>
            <w:tcW w:w="1851" w:type="dxa"/>
            <w:tcBorders>
              <w:top w:val="single" w:sz="6" w:space="0" w:color="000000"/>
              <w:left w:val="single" w:sz="6" w:space="0" w:color="000000"/>
              <w:bottom w:val="single" w:sz="6" w:space="0" w:color="000000"/>
              <w:right w:val="single" w:sz="6" w:space="0" w:color="000000"/>
            </w:tcBorders>
            <w:shd w:val="clear" w:color="auto" w:fill="FFFFFF"/>
            <w:hideMark/>
          </w:tcPr>
          <w:p w14:paraId="010FD9F4" w14:textId="16E73B90"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Stabilitate</w:t>
            </w:r>
            <w:r w:rsidR="00590975" w:rsidRPr="00590975">
              <w:rPr>
                <w:rFonts w:ascii="Times New Roman" w:hAnsi="Times New Roman" w:cs="Times New Roman"/>
                <w:bCs/>
                <w:color w:val="000000" w:themeColor="text1"/>
                <w:sz w:val="24"/>
                <w:szCs w:val="24"/>
                <w:vertAlign w:val="superscript"/>
                <w:lang w:val="ro-RO"/>
              </w:rPr>
              <w:t>(3)</w:t>
            </w:r>
          </w:p>
        </w:tc>
        <w:tc>
          <w:tcPr>
            <w:tcW w:w="11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9239B"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3D47D377"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07885F97"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15C7D1CA"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2DC7F31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5FCFFC37" w14:textId="77777777" w:rsidTr="00590975">
        <w:trPr>
          <w:trHeight w:val="215"/>
        </w:trPr>
        <w:tc>
          <w:tcPr>
            <w:tcW w:w="1851" w:type="dxa"/>
            <w:tcBorders>
              <w:top w:val="single" w:sz="6" w:space="0" w:color="000000"/>
              <w:left w:val="single" w:sz="6" w:space="0" w:color="000000"/>
              <w:bottom w:val="single" w:sz="6" w:space="0" w:color="000000"/>
              <w:right w:val="single" w:sz="6" w:space="0" w:color="000000"/>
            </w:tcBorders>
            <w:shd w:val="clear" w:color="auto" w:fill="FFFFFF"/>
            <w:hideMark/>
          </w:tcPr>
          <w:p w14:paraId="664EA941"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Robustețe</w:t>
            </w:r>
          </w:p>
        </w:tc>
        <w:tc>
          <w:tcPr>
            <w:tcW w:w="11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00CEF"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hideMark/>
          </w:tcPr>
          <w:p w14:paraId="4CBD235C"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994" w:type="dxa"/>
            <w:tcBorders>
              <w:top w:val="single" w:sz="6" w:space="0" w:color="000000"/>
              <w:left w:val="single" w:sz="6" w:space="0" w:color="000000"/>
              <w:bottom w:val="single" w:sz="6" w:space="0" w:color="000000"/>
              <w:right w:val="single" w:sz="6" w:space="0" w:color="000000"/>
            </w:tcBorders>
            <w:shd w:val="clear" w:color="auto" w:fill="FFFFFF"/>
            <w:hideMark/>
          </w:tcPr>
          <w:p w14:paraId="0F02680D"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844" w:type="dxa"/>
            <w:tcBorders>
              <w:top w:val="single" w:sz="6" w:space="0" w:color="000000"/>
              <w:left w:val="single" w:sz="6" w:space="0" w:color="000000"/>
              <w:bottom w:val="single" w:sz="6" w:space="0" w:color="000000"/>
              <w:right w:val="single" w:sz="6" w:space="0" w:color="000000"/>
            </w:tcBorders>
            <w:shd w:val="clear" w:color="auto" w:fill="FFFFFF"/>
            <w:hideMark/>
          </w:tcPr>
          <w:p w14:paraId="6A5E7637"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1304" w:type="dxa"/>
            <w:tcBorders>
              <w:top w:val="single" w:sz="6" w:space="0" w:color="000000"/>
              <w:left w:val="single" w:sz="6" w:space="0" w:color="000000"/>
              <w:bottom w:val="single" w:sz="6" w:space="0" w:color="000000"/>
              <w:right w:val="single" w:sz="6" w:space="0" w:color="000000"/>
            </w:tcBorders>
            <w:shd w:val="clear" w:color="auto" w:fill="FFFFFF"/>
            <w:hideMark/>
          </w:tcPr>
          <w:p w14:paraId="44E9FE5D" w14:textId="77777777" w:rsidR="00E43D5C" w:rsidRPr="00783606" w:rsidRDefault="00E43D5C" w:rsidP="00E43D5C">
            <w:pPr>
              <w:tabs>
                <w:tab w:val="left" w:pos="567"/>
                <w:tab w:val="left" w:pos="1134"/>
              </w:tabs>
              <w:spacing w:line="276" w:lineRule="auto"/>
              <w:jc w:val="center"/>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r>
      <w:tr w:rsidR="00E43D5C" w:rsidRPr="00783606" w14:paraId="6ADE6876" w14:textId="77777777" w:rsidTr="000A7A1F">
        <w:trPr>
          <w:trHeight w:val="8292"/>
        </w:trPr>
        <w:tc>
          <w:tcPr>
            <w:tcW w:w="8544" w:type="dxa"/>
            <w:gridSpan w:val="6"/>
            <w:shd w:val="clear" w:color="auto" w:fill="FFFFFF"/>
            <w:vAlign w:val="center"/>
            <w:hideMark/>
          </w:tcPr>
          <w:tbl>
            <w:tblPr>
              <w:tblW w:w="4981" w:type="pct"/>
              <w:tblLayout w:type="fixed"/>
              <w:tblCellMar>
                <w:left w:w="0" w:type="dxa"/>
                <w:right w:w="0" w:type="dxa"/>
              </w:tblCellMar>
              <w:tblLook w:val="04A0" w:firstRow="1" w:lastRow="0" w:firstColumn="1" w:lastColumn="0" w:noHBand="0" w:noVBand="1"/>
            </w:tblPr>
            <w:tblGrid>
              <w:gridCol w:w="495"/>
              <w:gridCol w:w="8002"/>
            </w:tblGrid>
            <w:tr w:rsidR="00E43D5C" w:rsidRPr="00783606" w14:paraId="4C1D6535" w14:textId="77777777" w:rsidTr="007B3DBC">
              <w:trPr>
                <w:trHeight w:val="629"/>
              </w:trPr>
              <w:tc>
                <w:tcPr>
                  <w:tcW w:w="495" w:type="dxa"/>
                  <w:shd w:val="clear" w:color="auto" w:fill="auto"/>
                  <w:hideMark/>
                </w:tcPr>
                <w:p w14:paraId="490BC04B" w14:textId="77777777" w:rsidR="00E43D5C" w:rsidRPr="00783606" w:rsidRDefault="00E43D5C" w:rsidP="000A7A1F">
                  <w:pPr>
                    <w:tabs>
                      <w:tab w:val="left" w:pos="567"/>
                      <w:tab w:val="left" w:pos="1134"/>
                    </w:tabs>
                    <w:spacing w:line="276" w:lineRule="auto"/>
                    <w:ind w:firstLine="146"/>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lastRenderedPageBreak/>
                    <w:t>x:</w:t>
                  </w:r>
                </w:p>
              </w:tc>
              <w:tc>
                <w:tcPr>
                  <w:tcW w:w="8002" w:type="dxa"/>
                  <w:shd w:val="clear" w:color="auto" w:fill="auto"/>
                  <w:hideMark/>
                </w:tcPr>
                <w:p w14:paraId="62DCCFD1" w14:textId="77777777" w:rsidR="00E43D5C" w:rsidRPr="00783606" w:rsidRDefault="00E43D5C" w:rsidP="000A7A1F">
                  <w:pPr>
                    <w:tabs>
                      <w:tab w:val="left" w:pos="567"/>
                      <w:tab w:val="left" w:pos="1134"/>
                    </w:tabs>
                    <w:spacing w:line="276" w:lineRule="auto"/>
                    <w:ind w:left="206"/>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Este necesar să se demonstreze, prin validare, că sunt îndeplinite cerințele pentru caracteristica de performanță.</w:t>
                  </w:r>
                </w:p>
              </w:tc>
            </w:tr>
          </w:tbl>
          <w:p w14:paraId="1EC08BC1" w14:textId="77777777" w:rsidR="00E43D5C" w:rsidRPr="00783606" w:rsidRDefault="00E43D5C" w:rsidP="000A7A1F">
            <w:pPr>
              <w:tabs>
                <w:tab w:val="left" w:pos="567"/>
                <w:tab w:val="left" w:pos="1134"/>
              </w:tabs>
              <w:spacing w:line="276" w:lineRule="auto"/>
              <w:ind w:firstLine="146"/>
              <w:jc w:val="both"/>
              <w:rPr>
                <w:rFonts w:ascii="Times New Roman" w:hAnsi="Times New Roman" w:cs="Times New Roman"/>
                <w:bCs/>
                <w:vanish/>
                <w:color w:val="000000" w:themeColor="text1"/>
                <w:sz w:val="24"/>
                <w:szCs w:val="24"/>
                <w:lang w:val="ro-RO"/>
              </w:rPr>
            </w:pPr>
          </w:p>
          <w:tbl>
            <w:tblPr>
              <w:tblW w:w="8497" w:type="dxa"/>
              <w:tblLayout w:type="fixed"/>
              <w:tblCellMar>
                <w:left w:w="0" w:type="dxa"/>
                <w:right w:w="0" w:type="dxa"/>
              </w:tblCellMar>
              <w:tblLook w:val="04A0" w:firstRow="1" w:lastRow="0" w:firstColumn="1" w:lastColumn="0" w:noHBand="0" w:noVBand="1"/>
            </w:tblPr>
            <w:tblGrid>
              <w:gridCol w:w="506"/>
              <w:gridCol w:w="7991"/>
            </w:tblGrid>
            <w:tr w:rsidR="00E43D5C" w:rsidRPr="00783606" w14:paraId="69F7E272" w14:textId="77777777" w:rsidTr="007B3DBC">
              <w:trPr>
                <w:trHeight w:val="497"/>
              </w:trPr>
              <w:tc>
                <w:tcPr>
                  <w:tcW w:w="506" w:type="dxa"/>
                  <w:shd w:val="clear" w:color="auto" w:fill="auto"/>
                  <w:hideMark/>
                </w:tcPr>
                <w:p w14:paraId="5BBE3B5C" w14:textId="77777777" w:rsidR="00E43D5C" w:rsidRPr="00783606" w:rsidRDefault="00E43D5C" w:rsidP="000A7A1F">
                  <w:pPr>
                    <w:tabs>
                      <w:tab w:val="left" w:pos="567"/>
                      <w:tab w:val="left" w:pos="1134"/>
                    </w:tabs>
                    <w:spacing w:line="276" w:lineRule="auto"/>
                    <w:ind w:firstLine="146"/>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(x)</w:t>
                  </w:r>
                </w:p>
              </w:tc>
              <w:tc>
                <w:tcPr>
                  <w:tcW w:w="7991" w:type="dxa"/>
                  <w:shd w:val="clear" w:color="auto" w:fill="auto"/>
                  <w:hideMark/>
                </w:tcPr>
                <w:p w14:paraId="2BF826DE" w14:textId="4B76DC32" w:rsidR="00E43D5C" w:rsidRPr="00783606" w:rsidRDefault="00E43D5C" w:rsidP="000A7A1F">
                  <w:pPr>
                    <w:tabs>
                      <w:tab w:val="left" w:pos="567"/>
                      <w:tab w:val="left" w:pos="1134"/>
                    </w:tabs>
                    <w:spacing w:line="276" w:lineRule="auto"/>
                    <w:ind w:left="194"/>
                    <w:jc w:val="both"/>
                    <w:rPr>
                      <w:rFonts w:ascii="Times New Roman" w:hAnsi="Times New Roman" w:cs="Times New Roman"/>
                      <w:bCs/>
                      <w:color w:val="000000" w:themeColor="text1"/>
                      <w:sz w:val="24"/>
                      <w:szCs w:val="24"/>
                      <w:lang w:val="ro-RO"/>
                    </w:rPr>
                  </w:pPr>
                  <w:r w:rsidRPr="000C5796">
                    <w:rPr>
                      <w:rFonts w:ascii="Times New Roman" w:hAnsi="Times New Roman" w:cs="Times New Roman"/>
                      <w:bCs/>
                      <w:color w:val="000000" w:themeColor="text1"/>
                      <w:sz w:val="24"/>
                      <w:szCs w:val="24"/>
                      <w:lang w:val="ro-RO"/>
                    </w:rPr>
                    <w:t xml:space="preserve">Nu este necesar să fie îndeplinite cerințele de precizie </w:t>
                  </w:r>
                  <w:r w:rsidR="002B5037">
                    <w:rPr>
                      <w:rFonts w:ascii="Times New Roman" w:hAnsi="Times New Roman" w:cs="Times New Roman"/>
                      <w:bCs/>
                      <w:color w:val="000000" w:themeColor="text1"/>
                      <w:sz w:val="24"/>
                      <w:szCs w:val="24"/>
                      <w:lang w:val="ro-RO"/>
                    </w:rPr>
                    <w:t>menționate la pct. 12</w:t>
                  </w:r>
                  <w:r w:rsidRPr="000C5796">
                    <w:rPr>
                      <w:rFonts w:ascii="Times New Roman" w:hAnsi="Times New Roman" w:cs="Times New Roman"/>
                      <w:bCs/>
                      <w:color w:val="000000" w:themeColor="text1"/>
                      <w:sz w:val="24"/>
                      <w:szCs w:val="24"/>
                      <w:lang w:val="ro-RO"/>
                    </w:rPr>
                    <w:t xml:space="preserve"> </w:t>
                  </w:r>
                  <w:r w:rsidRPr="00783606">
                    <w:rPr>
                      <w:rFonts w:ascii="Times New Roman" w:hAnsi="Times New Roman" w:cs="Times New Roman"/>
                      <w:bCs/>
                      <w:color w:val="000000" w:themeColor="text1"/>
                      <w:sz w:val="24"/>
                      <w:szCs w:val="24"/>
                      <w:lang w:val="ro-RO"/>
                    </w:rPr>
                    <w:t>pentru metodele de screening semicantitative. Cu toate acestea, precizia se determină pentru a demonstra caracterul adecvat al metodei pentru evitarea rezultatelor fals conforme în urma analizei.</w:t>
                  </w:r>
                </w:p>
              </w:tc>
            </w:tr>
          </w:tbl>
          <w:p w14:paraId="65B71A69" w14:textId="77777777" w:rsidR="00E43D5C" w:rsidRPr="00783606" w:rsidRDefault="00E43D5C" w:rsidP="00D748BF">
            <w:pPr>
              <w:tabs>
                <w:tab w:val="left" w:pos="567"/>
                <w:tab w:val="left" w:pos="1134"/>
              </w:tabs>
              <w:spacing w:line="276" w:lineRule="auto"/>
              <w:ind w:firstLine="149"/>
              <w:jc w:val="both"/>
              <w:rPr>
                <w:rFonts w:ascii="Times New Roman" w:hAnsi="Times New Roman" w:cs="Times New Roman"/>
                <w:bCs/>
                <w:vanish/>
                <w:color w:val="000000" w:themeColor="text1"/>
                <w:sz w:val="24"/>
                <w:szCs w:val="24"/>
                <w:lang w:val="ro-RO"/>
              </w:rPr>
            </w:pPr>
          </w:p>
          <w:tbl>
            <w:tblPr>
              <w:tblW w:w="4981" w:type="pct"/>
              <w:tblLayout w:type="fixed"/>
              <w:tblCellMar>
                <w:left w:w="0" w:type="dxa"/>
                <w:right w:w="0" w:type="dxa"/>
              </w:tblCellMar>
              <w:tblLook w:val="04A0" w:firstRow="1" w:lastRow="0" w:firstColumn="1" w:lastColumn="0" w:noHBand="0" w:noVBand="1"/>
            </w:tblPr>
            <w:tblGrid>
              <w:gridCol w:w="496"/>
              <w:gridCol w:w="8001"/>
            </w:tblGrid>
            <w:tr w:rsidR="00E43D5C" w:rsidRPr="00783606" w14:paraId="71D1F04D" w14:textId="77777777" w:rsidTr="007B3DBC">
              <w:trPr>
                <w:trHeight w:val="175"/>
              </w:trPr>
              <w:tc>
                <w:tcPr>
                  <w:tcW w:w="496" w:type="dxa"/>
                  <w:shd w:val="clear" w:color="auto" w:fill="auto"/>
                  <w:hideMark/>
                </w:tcPr>
                <w:p w14:paraId="3C7D16AC" w14:textId="77777777" w:rsidR="00E43D5C" w:rsidRPr="00783606" w:rsidRDefault="00E43D5C" w:rsidP="00D748BF">
                  <w:pPr>
                    <w:tabs>
                      <w:tab w:val="left" w:pos="567"/>
                      <w:tab w:val="left" w:pos="1134"/>
                    </w:tabs>
                    <w:spacing w:line="276" w:lineRule="auto"/>
                    <w:ind w:firstLine="149"/>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A:</w:t>
                  </w:r>
                </w:p>
              </w:tc>
              <w:tc>
                <w:tcPr>
                  <w:tcW w:w="8001" w:type="dxa"/>
                  <w:shd w:val="clear" w:color="auto" w:fill="auto"/>
                  <w:hideMark/>
                </w:tcPr>
                <w:p w14:paraId="25DB86DF" w14:textId="3A005784" w:rsidR="00E43D5C" w:rsidRPr="00783606" w:rsidRDefault="00812DBE" w:rsidP="00D748BF">
                  <w:pPr>
                    <w:tabs>
                      <w:tab w:val="left" w:pos="567"/>
                      <w:tab w:val="left" w:pos="1134"/>
                    </w:tabs>
                    <w:spacing w:line="276" w:lineRule="auto"/>
                    <w:ind w:firstLine="149"/>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 </w:t>
                  </w:r>
                  <w:r w:rsidR="00E43D5C" w:rsidRPr="00783606">
                    <w:rPr>
                      <w:rFonts w:ascii="Times New Roman" w:hAnsi="Times New Roman" w:cs="Times New Roman"/>
                      <w:bCs/>
                      <w:color w:val="000000" w:themeColor="text1"/>
                      <w:sz w:val="24"/>
                      <w:szCs w:val="24"/>
                      <w:lang w:val="ro-RO"/>
                    </w:rPr>
                    <w:t>substanțe interzise sau neautorizate</w:t>
                  </w:r>
                </w:p>
              </w:tc>
            </w:tr>
          </w:tbl>
          <w:p w14:paraId="1DFCAB44" w14:textId="77777777" w:rsidR="00E43D5C" w:rsidRPr="00783606" w:rsidRDefault="00E43D5C" w:rsidP="00D748BF">
            <w:pPr>
              <w:tabs>
                <w:tab w:val="left" w:pos="567"/>
                <w:tab w:val="left" w:pos="1134"/>
              </w:tabs>
              <w:spacing w:line="276" w:lineRule="auto"/>
              <w:ind w:firstLine="149"/>
              <w:jc w:val="both"/>
              <w:rPr>
                <w:rFonts w:ascii="Times New Roman" w:hAnsi="Times New Roman" w:cs="Times New Roman"/>
                <w:bCs/>
                <w:vanish/>
                <w:color w:val="000000" w:themeColor="text1"/>
                <w:sz w:val="24"/>
                <w:szCs w:val="24"/>
                <w:lang w:val="ro-RO"/>
              </w:rPr>
            </w:pPr>
          </w:p>
          <w:tbl>
            <w:tblPr>
              <w:tblW w:w="4981" w:type="pct"/>
              <w:tblLayout w:type="fixed"/>
              <w:tblCellMar>
                <w:left w:w="0" w:type="dxa"/>
                <w:right w:w="0" w:type="dxa"/>
              </w:tblCellMar>
              <w:tblLook w:val="04A0" w:firstRow="1" w:lastRow="0" w:firstColumn="1" w:lastColumn="0" w:noHBand="0" w:noVBand="1"/>
            </w:tblPr>
            <w:tblGrid>
              <w:gridCol w:w="501"/>
              <w:gridCol w:w="7996"/>
            </w:tblGrid>
            <w:tr w:rsidR="008E516F" w:rsidRPr="00783606" w14:paraId="5C54AE21" w14:textId="77777777" w:rsidTr="007B3DBC">
              <w:trPr>
                <w:trHeight w:val="119"/>
              </w:trPr>
              <w:tc>
                <w:tcPr>
                  <w:tcW w:w="501" w:type="dxa"/>
                  <w:shd w:val="clear" w:color="auto" w:fill="auto"/>
                  <w:hideMark/>
                </w:tcPr>
                <w:p w14:paraId="01431BC2" w14:textId="77777777" w:rsidR="00E43D5C" w:rsidRPr="00783606" w:rsidRDefault="00E43D5C" w:rsidP="00D748BF">
                  <w:pPr>
                    <w:tabs>
                      <w:tab w:val="left" w:pos="567"/>
                      <w:tab w:val="left" w:pos="1134"/>
                    </w:tabs>
                    <w:spacing w:line="276" w:lineRule="auto"/>
                    <w:ind w:firstLine="149"/>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B:</w:t>
                  </w:r>
                </w:p>
              </w:tc>
              <w:tc>
                <w:tcPr>
                  <w:tcW w:w="7996" w:type="dxa"/>
                  <w:shd w:val="clear" w:color="auto" w:fill="auto"/>
                  <w:hideMark/>
                </w:tcPr>
                <w:p w14:paraId="068CA2F8" w14:textId="3A2A372C" w:rsidR="00E43D5C" w:rsidRPr="00783606" w:rsidRDefault="00812DBE" w:rsidP="00D748BF">
                  <w:pPr>
                    <w:tabs>
                      <w:tab w:val="left" w:pos="567"/>
                      <w:tab w:val="left" w:pos="1134"/>
                    </w:tabs>
                    <w:spacing w:line="276" w:lineRule="auto"/>
                    <w:ind w:firstLine="149"/>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 </w:t>
                  </w:r>
                  <w:r w:rsidR="00E43D5C" w:rsidRPr="00783606">
                    <w:rPr>
                      <w:rFonts w:ascii="Times New Roman" w:hAnsi="Times New Roman" w:cs="Times New Roman"/>
                      <w:bCs/>
                      <w:color w:val="000000" w:themeColor="text1"/>
                      <w:sz w:val="24"/>
                      <w:szCs w:val="24"/>
                      <w:lang w:val="ro-RO"/>
                    </w:rPr>
                    <w:t>substanțe autorizate</w:t>
                  </w:r>
                </w:p>
              </w:tc>
            </w:tr>
            <w:tr w:rsidR="00E43D5C" w:rsidRPr="00783606" w14:paraId="20843268" w14:textId="77777777" w:rsidTr="007B3DBC">
              <w:trPr>
                <w:trHeight w:val="826"/>
              </w:trPr>
              <w:tc>
                <w:tcPr>
                  <w:tcW w:w="501" w:type="dxa"/>
                  <w:shd w:val="clear" w:color="auto" w:fill="auto"/>
                </w:tcPr>
                <w:p w14:paraId="3FEF2CFD" w14:textId="71384353" w:rsidR="00E43D5C" w:rsidRPr="00783606" w:rsidRDefault="00E43D5C" w:rsidP="00D748BF">
                  <w:pPr>
                    <w:tabs>
                      <w:tab w:val="left" w:pos="567"/>
                      <w:tab w:val="left" w:pos="1134"/>
                    </w:tabs>
                    <w:spacing w:line="276" w:lineRule="auto"/>
                    <w:ind w:firstLine="149"/>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(1)</w:t>
                  </w:r>
                </w:p>
              </w:tc>
              <w:tc>
                <w:tcPr>
                  <w:tcW w:w="7996" w:type="dxa"/>
                  <w:shd w:val="clear" w:color="auto" w:fill="auto"/>
                </w:tcPr>
                <w:p w14:paraId="559DC465" w14:textId="5D5A28A2" w:rsidR="00E43D5C" w:rsidRPr="00783606" w:rsidRDefault="00E43D5C" w:rsidP="00747A4A">
                  <w:pPr>
                    <w:tabs>
                      <w:tab w:val="left" w:pos="567"/>
                      <w:tab w:val="left" w:pos="1134"/>
                    </w:tabs>
                    <w:spacing w:line="276" w:lineRule="auto"/>
                    <w:ind w:left="206" w:right="5"/>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rPr>
                    <w:t>O metodă de screening semicantitativă este o metodă de screening care duce la rezultate cantitative, dar nu respectă cerințele privind precizia incluse în tabelul</w:t>
                  </w:r>
                  <w:r w:rsidR="0041311B">
                    <w:rPr>
                      <w:rFonts w:ascii="Times New Roman" w:hAnsi="Times New Roman" w:cs="Times New Roman"/>
                      <w:bCs/>
                      <w:color w:val="000000" w:themeColor="text1"/>
                      <w:sz w:val="24"/>
                      <w:szCs w:val="24"/>
                    </w:rPr>
                    <w:t xml:space="preserve"> nr.</w:t>
                  </w:r>
                  <w:r w:rsidRPr="00783606">
                    <w:rPr>
                      <w:rFonts w:ascii="Times New Roman" w:hAnsi="Times New Roman" w:cs="Times New Roman"/>
                      <w:bCs/>
                      <w:color w:val="000000" w:themeColor="text1"/>
                      <w:sz w:val="24"/>
                      <w:szCs w:val="24"/>
                    </w:rPr>
                    <w:t xml:space="preserve"> 2 din anex</w:t>
                  </w:r>
                  <w:r w:rsidR="0041311B">
                    <w:rPr>
                      <w:rFonts w:ascii="Times New Roman" w:hAnsi="Times New Roman" w:cs="Times New Roman"/>
                      <w:bCs/>
                      <w:color w:val="000000" w:themeColor="text1"/>
                      <w:sz w:val="24"/>
                      <w:szCs w:val="24"/>
                    </w:rPr>
                    <w:t>ă</w:t>
                  </w:r>
                  <w:r w:rsidRPr="00783606">
                    <w:rPr>
                      <w:rFonts w:ascii="Times New Roman" w:hAnsi="Times New Roman" w:cs="Times New Roman"/>
                      <w:bCs/>
                      <w:color w:val="000000" w:themeColor="text1"/>
                      <w:sz w:val="24"/>
                      <w:szCs w:val="24"/>
                    </w:rPr>
                    <w:t>.</w:t>
                  </w:r>
                </w:p>
              </w:tc>
            </w:tr>
            <w:tr w:rsidR="00E43D5C" w:rsidRPr="00783606" w14:paraId="5C41B22A" w14:textId="77777777" w:rsidTr="007B3DBC">
              <w:trPr>
                <w:trHeight w:val="1852"/>
              </w:trPr>
              <w:tc>
                <w:tcPr>
                  <w:tcW w:w="501" w:type="dxa"/>
                  <w:shd w:val="clear" w:color="auto" w:fill="auto"/>
                </w:tcPr>
                <w:p w14:paraId="574E874F" w14:textId="094510C6" w:rsidR="00E43D5C" w:rsidRPr="00783606" w:rsidRDefault="00E43D5C" w:rsidP="00D748BF">
                  <w:pPr>
                    <w:tabs>
                      <w:tab w:val="left" w:pos="567"/>
                      <w:tab w:val="left" w:pos="1134"/>
                    </w:tabs>
                    <w:spacing w:line="276" w:lineRule="auto"/>
                    <w:ind w:firstLine="149"/>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(2)</w:t>
                  </w:r>
                </w:p>
              </w:tc>
              <w:tc>
                <w:tcPr>
                  <w:tcW w:w="7996" w:type="dxa"/>
                  <w:shd w:val="clear" w:color="auto" w:fill="auto"/>
                </w:tcPr>
                <w:p w14:paraId="7AA9B996" w14:textId="63CE2C41" w:rsidR="00E43D5C" w:rsidRPr="00783606" w:rsidRDefault="00E43D5C" w:rsidP="00747A4A">
                  <w:pPr>
                    <w:tabs>
                      <w:tab w:val="left" w:pos="567"/>
                      <w:tab w:val="left" w:pos="1134"/>
                    </w:tabs>
                    <w:spacing w:line="276" w:lineRule="auto"/>
                    <w:ind w:left="206" w:right="5"/>
                    <w:jc w:val="both"/>
                    <w:rPr>
                      <w:rFonts w:ascii="Times New Roman" w:hAnsi="Times New Roman" w:cs="Times New Roman"/>
                      <w:bCs/>
                      <w:color w:val="000000" w:themeColor="text1"/>
                      <w:sz w:val="24"/>
                      <w:szCs w:val="24"/>
                    </w:rPr>
                  </w:pPr>
                  <w:r w:rsidRPr="00783606">
                    <w:rPr>
                      <w:rFonts w:ascii="Times New Roman" w:hAnsi="Times New Roman" w:cs="Times New Roman"/>
                      <w:bCs/>
                      <w:color w:val="000000" w:themeColor="text1"/>
                      <w:sz w:val="24"/>
                      <w:szCs w:val="24"/>
                    </w:rPr>
                    <w:t>Relevanță pentru metodele MS cu scopul de a demonstra, prin validare, că sunt îndeplinite cerințele pentru caracteristicile de performanță. Efectul matricial relativ al metodei se determină în cazul în care acest efect nu a fost evaluat pe parcursul procedurii de validare. Recuperarea absolută a metodei se determină în cazul în care nu se utilizează niciun etalon intern sau nicio etalonare cu îmbogățirea matricei.</w:t>
                  </w:r>
                </w:p>
              </w:tc>
            </w:tr>
            <w:tr w:rsidR="00E43D5C" w:rsidRPr="00783606" w14:paraId="324511C8" w14:textId="77777777" w:rsidTr="007B3DBC">
              <w:trPr>
                <w:trHeight w:val="1641"/>
              </w:trPr>
              <w:tc>
                <w:tcPr>
                  <w:tcW w:w="501" w:type="dxa"/>
                  <w:shd w:val="clear" w:color="auto" w:fill="auto"/>
                </w:tcPr>
                <w:p w14:paraId="3827D878" w14:textId="024A7890" w:rsidR="00E43D5C" w:rsidRPr="00783606" w:rsidRDefault="00E43D5C" w:rsidP="00D748BF">
                  <w:pPr>
                    <w:tabs>
                      <w:tab w:val="left" w:pos="567"/>
                      <w:tab w:val="left" w:pos="1134"/>
                    </w:tabs>
                    <w:spacing w:line="276" w:lineRule="auto"/>
                    <w:ind w:firstLine="149"/>
                    <w:jc w:val="both"/>
                    <w:rPr>
                      <w:rFonts w:ascii="Times New Roman" w:hAnsi="Times New Roman" w:cs="Times New Roman"/>
                      <w:bCs/>
                      <w:color w:val="000000" w:themeColor="text1"/>
                      <w:sz w:val="24"/>
                      <w:szCs w:val="24"/>
                      <w:lang w:val="ro-RO"/>
                    </w:rPr>
                  </w:pPr>
                  <w:r w:rsidRPr="00783606">
                    <w:rPr>
                      <w:rFonts w:ascii="Times New Roman" w:hAnsi="Times New Roman" w:cs="Times New Roman"/>
                      <w:bCs/>
                      <w:color w:val="000000" w:themeColor="text1"/>
                      <w:sz w:val="24"/>
                      <w:szCs w:val="24"/>
                      <w:lang w:val="ro-RO"/>
                    </w:rPr>
                    <w:t>(3)</w:t>
                  </w:r>
                </w:p>
              </w:tc>
              <w:tc>
                <w:tcPr>
                  <w:tcW w:w="7996" w:type="dxa"/>
                  <w:shd w:val="clear" w:color="auto" w:fill="auto"/>
                </w:tcPr>
                <w:p w14:paraId="6BA84AA8" w14:textId="00C0DF8A" w:rsidR="00E43D5C" w:rsidRPr="00783606" w:rsidRDefault="00E43D5C" w:rsidP="00747A4A">
                  <w:pPr>
                    <w:tabs>
                      <w:tab w:val="left" w:pos="567"/>
                      <w:tab w:val="left" w:pos="1134"/>
                    </w:tabs>
                    <w:spacing w:line="276" w:lineRule="auto"/>
                    <w:ind w:left="206" w:right="5"/>
                    <w:jc w:val="both"/>
                    <w:rPr>
                      <w:rFonts w:ascii="Times New Roman" w:hAnsi="Times New Roman" w:cs="Times New Roman"/>
                      <w:bCs/>
                      <w:color w:val="000000" w:themeColor="text1"/>
                      <w:sz w:val="24"/>
                      <w:szCs w:val="24"/>
                    </w:rPr>
                  </w:pPr>
                  <w:r w:rsidRPr="00783606">
                    <w:rPr>
                      <w:rFonts w:ascii="Times New Roman" w:hAnsi="Times New Roman" w:cs="Times New Roman"/>
                      <w:bCs/>
                      <w:color w:val="000000" w:themeColor="text1"/>
                      <w:sz w:val="24"/>
                      <w:szCs w:val="24"/>
                    </w:rPr>
                    <w:t>Dacă datele referitoare la stabilitate pentru analiții dintr-o matrice sunt disponibile din literatura științifică sau provin de la un alt laborator, nu este necesar ca aceste date să fie determinate din nou de laboratorul în cauză. Cu toate acestea, o trimitere la datele disponibile referitoare la stabilitate în ceea ce privește analiții în soluție este acceptabilă numai dacă se aplică aceleași condiții.</w:t>
                  </w:r>
                </w:p>
              </w:tc>
            </w:tr>
          </w:tbl>
          <w:p w14:paraId="37A90981" w14:textId="77777777" w:rsidR="00E43D5C" w:rsidRPr="00783606" w:rsidRDefault="00E43D5C" w:rsidP="00D748BF">
            <w:pPr>
              <w:tabs>
                <w:tab w:val="left" w:pos="567"/>
                <w:tab w:val="left" w:pos="1134"/>
              </w:tabs>
              <w:spacing w:line="276" w:lineRule="auto"/>
              <w:ind w:firstLine="7"/>
              <w:jc w:val="both"/>
              <w:rPr>
                <w:rFonts w:ascii="Times New Roman" w:hAnsi="Times New Roman" w:cs="Times New Roman"/>
                <w:bCs/>
                <w:color w:val="000000" w:themeColor="text1"/>
                <w:sz w:val="24"/>
                <w:szCs w:val="24"/>
                <w:lang w:val="ro-RO"/>
              </w:rPr>
            </w:pPr>
          </w:p>
        </w:tc>
      </w:tr>
    </w:tbl>
    <w:p w14:paraId="2A2BDD64" w14:textId="77777777" w:rsidR="008E516F" w:rsidRDefault="008E516F" w:rsidP="00812DBE">
      <w:pPr>
        <w:tabs>
          <w:tab w:val="left" w:pos="567"/>
          <w:tab w:val="left" w:pos="1134"/>
        </w:tabs>
        <w:spacing w:line="276" w:lineRule="auto"/>
        <w:ind w:right="140"/>
        <w:jc w:val="both"/>
        <w:rPr>
          <w:rFonts w:ascii="Times New Roman" w:hAnsi="Times New Roman" w:cs="Times New Roman"/>
          <w:bCs/>
          <w:color w:val="000000" w:themeColor="text1"/>
          <w:sz w:val="28"/>
          <w:szCs w:val="28"/>
          <w:lang w:val="ro-RO"/>
        </w:rPr>
      </w:pPr>
    </w:p>
    <w:p w14:paraId="500FF6A4" w14:textId="11EB6263" w:rsidR="00E43D5C" w:rsidRDefault="008E516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1.3.</w:t>
      </w:r>
      <w:r w:rsidR="00944AE8">
        <w:rPr>
          <w:rFonts w:ascii="Times New Roman" w:hAnsi="Times New Roman" w:cs="Times New Roman"/>
          <w:bCs/>
          <w:color w:val="000000" w:themeColor="text1"/>
          <w:sz w:val="28"/>
          <w:szCs w:val="28"/>
          <w:lang w:val="ro-RO"/>
        </w:rPr>
        <w:t>5</w:t>
      </w:r>
      <w:r>
        <w:rPr>
          <w:rFonts w:ascii="Times New Roman" w:hAnsi="Times New Roman" w:cs="Times New Roman"/>
          <w:bCs/>
          <w:color w:val="000000" w:themeColor="text1"/>
          <w:sz w:val="28"/>
          <w:szCs w:val="28"/>
          <w:lang w:val="ro-RO"/>
        </w:rPr>
        <w:t xml:space="preserve">. </w:t>
      </w:r>
      <w:r w:rsidR="00E346DD">
        <w:rPr>
          <w:rFonts w:ascii="Times New Roman" w:hAnsi="Times New Roman" w:cs="Times New Roman"/>
          <w:bCs/>
          <w:color w:val="000000" w:themeColor="text1"/>
          <w:sz w:val="28"/>
          <w:szCs w:val="28"/>
          <w:lang w:val="ro-RO"/>
        </w:rPr>
        <w:t>p</w:t>
      </w:r>
      <w:r>
        <w:rPr>
          <w:rFonts w:ascii="Times New Roman" w:hAnsi="Times New Roman" w:cs="Times New Roman"/>
          <w:bCs/>
          <w:color w:val="000000" w:themeColor="text1"/>
          <w:sz w:val="28"/>
          <w:szCs w:val="28"/>
          <w:lang w:val="ro-RO"/>
        </w:rPr>
        <w:t>unctul 39 va avea următorul cuprins:</w:t>
      </w:r>
    </w:p>
    <w:p w14:paraId="43254794" w14:textId="24446432" w:rsidR="008E516F" w:rsidRDefault="008E516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8E516F">
        <w:rPr>
          <w:rFonts w:ascii="Times New Roman" w:hAnsi="Times New Roman" w:cs="Times New Roman"/>
          <w:bCs/>
          <w:color w:val="000000" w:themeColor="text1"/>
          <w:sz w:val="28"/>
          <w:szCs w:val="28"/>
          <w:lang w:val="ro-RO"/>
        </w:rPr>
        <w:t>„</w:t>
      </w:r>
      <w:r>
        <w:rPr>
          <w:rFonts w:ascii="Times New Roman" w:hAnsi="Times New Roman" w:cs="Times New Roman"/>
          <w:b/>
          <w:bCs/>
          <w:color w:val="000000" w:themeColor="text1"/>
          <w:sz w:val="28"/>
          <w:szCs w:val="28"/>
          <w:lang w:val="ro-RO"/>
        </w:rPr>
        <w:t xml:space="preserve"> </w:t>
      </w:r>
      <w:r w:rsidRPr="008E516F">
        <w:rPr>
          <w:rFonts w:ascii="Times New Roman" w:hAnsi="Times New Roman" w:cs="Times New Roman"/>
          <w:b/>
          <w:bCs/>
          <w:color w:val="000000" w:themeColor="text1"/>
          <w:sz w:val="28"/>
          <w:szCs w:val="28"/>
          <w:lang w:val="ro-RO"/>
        </w:rPr>
        <w:t xml:space="preserve">39. </w:t>
      </w:r>
      <w:r>
        <w:rPr>
          <w:rFonts w:ascii="Times New Roman" w:hAnsi="Times New Roman" w:cs="Times New Roman"/>
          <w:b/>
          <w:bCs/>
          <w:color w:val="000000" w:themeColor="text1"/>
          <w:sz w:val="28"/>
          <w:szCs w:val="28"/>
          <w:lang w:val="ro-RO"/>
        </w:rPr>
        <w:t xml:space="preserve"> </w:t>
      </w:r>
      <w:r w:rsidRPr="008E516F">
        <w:rPr>
          <w:rFonts w:ascii="Times New Roman" w:hAnsi="Times New Roman" w:cs="Times New Roman"/>
          <w:bCs/>
          <w:color w:val="000000" w:themeColor="text1"/>
          <w:sz w:val="28"/>
          <w:szCs w:val="28"/>
          <w:lang w:val="ro-RO"/>
        </w:rPr>
        <w:t xml:space="preserve">Pentru calculul parametrilor după metodele clasice, este necesară realizarea mai multor experimente individuale (a se vedea tabelul </w:t>
      </w:r>
      <w:r w:rsidR="008F7AF7">
        <w:rPr>
          <w:rFonts w:ascii="Times New Roman" w:hAnsi="Times New Roman" w:cs="Times New Roman"/>
          <w:bCs/>
          <w:color w:val="000000" w:themeColor="text1"/>
          <w:sz w:val="28"/>
          <w:szCs w:val="28"/>
          <w:lang w:val="ro-RO"/>
        </w:rPr>
        <w:t xml:space="preserve">nr. </w:t>
      </w:r>
      <w:r w:rsidRPr="008E516F">
        <w:rPr>
          <w:rFonts w:ascii="Times New Roman" w:hAnsi="Times New Roman" w:cs="Times New Roman"/>
          <w:bCs/>
          <w:color w:val="000000" w:themeColor="text1"/>
          <w:sz w:val="28"/>
          <w:szCs w:val="28"/>
          <w:lang w:val="ro-RO"/>
        </w:rPr>
        <w:t xml:space="preserve">5). În ceea ce privește variațiile majore, trebuie verificată valabilitatea continuă a caracteristicilor de performanță. Pentru metodele multianalit, pot fi analizați simultan mai mulți analiți în cazul în care au fost excluse eventualele interferențe relevante. Pot fi determinate în același mod mai multe caracteristici de performanță. Astfel, pentru a reduce volumul de muncă, se recomandă combinarea pe cât posibil a experimentelor (de exemplu, </w:t>
      </w:r>
      <w:r w:rsidRPr="008E516F">
        <w:rPr>
          <w:rFonts w:ascii="Times New Roman" w:hAnsi="Times New Roman" w:cs="Times New Roman"/>
          <w:bCs/>
          <w:color w:val="000000" w:themeColor="text1"/>
          <w:sz w:val="28"/>
          <w:szCs w:val="28"/>
          <w:lang w:val="ro-RO"/>
        </w:rPr>
        <w:lastRenderedPageBreak/>
        <w:t>repetabilitatea și reproductibilitatea intralaborator cu specificitatea, analiza probelor-martor pentru a determina limita de decizie pentru confirmare și testul de specificitate).”</w:t>
      </w:r>
    </w:p>
    <w:p w14:paraId="7C00202E" w14:textId="67F74DE8" w:rsidR="0067156B" w:rsidRDefault="0067156B"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67156B">
        <w:rPr>
          <w:rFonts w:ascii="Times New Roman" w:hAnsi="Times New Roman" w:cs="Times New Roman"/>
          <w:bCs/>
          <w:color w:val="000000" w:themeColor="text1"/>
          <w:sz w:val="28"/>
          <w:szCs w:val="28"/>
          <w:lang w:val="ro-RO"/>
        </w:rPr>
        <w:t>1.3.</w:t>
      </w:r>
      <w:r w:rsidR="00944AE8">
        <w:rPr>
          <w:rFonts w:ascii="Times New Roman" w:hAnsi="Times New Roman" w:cs="Times New Roman"/>
          <w:bCs/>
          <w:color w:val="000000" w:themeColor="text1"/>
          <w:sz w:val="28"/>
          <w:szCs w:val="28"/>
          <w:lang w:val="ro-RO"/>
        </w:rPr>
        <w:t>6</w:t>
      </w:r>
      <w:r w:rsidRPr="0067156B">
        <w:rPr>
          <w:rFonts w:ascii="Times New Roman" w:hAnsi="Times New Roman" w:cs="Times New Roman"/>
          <w:bCs/>
          <w:color w:val="000000" w:themeColor="text1"/>
          <w:sz w:val="28"/>
          <w:szCs w:val="28"/>
          <w:lang w:val="ro-RO"/>
        </w:rPr>
        <w:t>.</w:t>
      </w:r>
      <w:r>
        <w:rPr>
          <w:rFonts w:ascii="Times New Roman" w:hAnsi="Times New Roman" w:cs="Times New Roman"/>
          <w:bCs/>
          <w:color w:val="000000" w:themeColor="text1"/>
          <w:sz w:val="28"/>
          <w:szCs w:val="28"/>
          <w:lang w:val="ro-RO"/>
        </w:rPr>
        <w:t xml:space="preserve"> </w:t>
      </w:r>
      <w:r w:rsidR="00E346DD">
        <w:rPr>
          <w:rFonts w:ascii="Times New Roman" w:hAnsi="Times New Roman" w:cs="Times New Roman"/>
          <w:bCs/>
          <w:color w:val="000000" w:themeColor="text1"/>
          <w:sz w:val="28"/>
          <w:szCs w:val="28"/>
          <w:lang w:val="ro-RO"/>
        </w:rPr>
        <w:t>p</w:t>
      </w:r>
      <w:r>
        <w:rPr>
          <w:rFonts w:ascii="Times New Roman" w:hAnsi="Times New Roman" w:cs="Times New Roman"/>
          <w:bCs/>
          <w:color w:val="000000" w:themeColor="text1"/>
          <w:sz w:val="28"/>
          <w:szCs w:val="28"/>
          <w:lang w:val="ro-RO"/>
        </w:rPr>
        <w:t>unctul 42, subpunctul 1</w:t>
      </w:r>
      <w:r w:rsidR="00621C92">
        <w:rPr>
          <w:rFonts w:ascii="Times New Roman" w:hAnsi="Times New Roman" w:cs="Times New Roman"/>
          <w:bCs/>
          <w:color w:val="000000" w:themeColor="text1"/>
          <w:sz w:val="28"/>
          <w:szCs w:val="28"/>
          <w:lang w:val="ro-RO"/>
        </w:rPr>
        <w:t>)</w:t>
      </w:r>
      <w:r>
        <w:rPr>
          <w:rFonts w:ascii="Times New Roman" w:hAnsi="Times New Roman" w:cs="Times New Roman"/>
          <w:bCs/>
          <w:color w:val="000000" w:themeColor="text1"/>
          <w:sz w:val="28"/>
          <w:szCs w:val="28"/>
          <w:lang w:val="ro-RO"/>
        </w:rPr>
        <w:t xml:space="preserve">, litera a) va avea următorul cuprins: </w:t>
      </w:r>
    </w:p>
    <w:p w14:paraId="741B0DFE" w14:textId="338FFA2B" w:rsidR="008E516F" w:rsidRPr="0067156B" w:rsidRDefault="0067156B"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„a) 0,5  (d</w:t>
      </w:r>
      <w:r w:rsidRPr="0067156B">
        <w:rPr>
          <w:rFonts w:ascii="Times New Roman" w:hAnsi="Times New Roman" w:cs="Times New Roman"/>
          <w:bCs/>
          <w:color w:val="000000" w:themeColor="text1"/>
          <w:sz w:val="28"/>
          <w:szCs w:val="28"/>
        </w:rPr>
        <w:t>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w:t>
      </w:r>
      <w:r>
        <w:rPr>
          <w:rFonts w:ascii="Times New Roman" w:hAnsi="Times New Roman" w:cs="Times New Roman"/>
          <w:bCs/>
          <w:color w:val="000000" w:themeColor="text1"/>
          <w:sz w:val="28"/>
          <w:szCs w:val="28"/>
        </w:rPr>
        <w:t>)</w:t>
      </w:r>
      <w:r w:rsidRPr="0067156B">
        <w:rPr>
          <w:rFonts w:ascii="Times New Roman" w:hAnsi="Times New Roman" w:cs="Times New Roman"/>
          <w:bCs/>
          <w:color w:val="000000" w:themeColor="text1"/>
          <w:sz w:val="28"/>
          <w:szCs w:val="28"/>
        </w:rPr>
        <w:t xml:space="preserve">, 1,0 și 1,5 ori valoarea de referință; sau </w:t>
      </w:r>
      <w:r w:rsidR="002C3404">
        <w:rPr>
          <w:rFonts w:ascii="Times New Roman" w:hAnsi="Times New Roman" w:cs="Times New Roman"/>
          <w:bCs/>
          <w:color w:val="000000" w:themeColor="text1"/>
          <w:sz w:val="28"/>
          <w:szCs w:val="28"/>
        </w:rPr>
        <w:t>”</w:t>
      </w:r>
    </w:p>
    <w:p w14:paraId="23150904" w14:textId="20163CA8" w:rsidR="008E516F" w:rsidRDefault="0067156B"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67156B">
        <w:rPr>
          <w:rFonts w:ascii="Times New Roman" w:hAnsi="Times New Roman" w:cs="Times New Roman"/>
          <w:bCs/>
          <w:color w:val="000000" w:themeColor="text1"/>
          <w:sz w:val="28"/>
          <w:szCs w:val="28"/>
          <w:lang w:val="ro-RO"/>
        </w:rPr>
        <w:t>1.3.</w:t>
      </w:r>
      <w:r w:rsidR="00944AE8">
        <w:rPr>
          <w:rFonts w:ascii="Times New Roman" w:hAnsi="Times New Roman" w:cs="Times New Roman"/>
          <w:bCs/>
          <w:color w:val="000000" w:themeColor="text1"/>
          <w:sz w:val="28"/>
          <w:szCs w:val="28"/>
          <w:lang w:val="ro-RO"/>
        </w:rPr>
        <w:t>7</w:t>
      </w:r>
      <w:r w:rsidRPr="0067156B">
        <w:rPr>
          <w:rFonts w:ascii="Times New Roman" w:hAnsi="Times New Roman" w:cs="Times New Roman"/>
          <w:bCs/>
          <w:color w:val="000000" w:themeColor="text1"/>
          <w:sz w:val="28"/>
          <w:szCs w:val="28"/>
          <w:lang w:val="ro-RO"/>
        </w:rPr>
        <w:t>.</w:t>
      </w:r>
      <w:r>
        <w:rPr>
          <w:rFonts w:ascii="Times New Roman" w:hAnsi="Times New Roman" w:cs="Times New Roman"/>
          <w:bCs/>
          <w:color w:val="000000" w:themeColor="text1"/>
          <w:sz w:val="28"/>
          <w:szCs w:val="28"/>
          <w:lang w:val="ro-RO"/>
        </w:rPr>
        <w:t xml:space="preserve"> </w:t>
      </w:r>
      <w:r w:rsidR="00E346DD">
        <w:rPr>
          <w:rFonts w:ascii="Times New Roman" w:hAnsi="Times New Roman" w:cs="Times New Roman"/>
          <w:bCs/>
          <w:color w:val="000000" w:themeColor="text1"/>
          <w:sz w:val="28"/>
          <w:szCs w:val="28"/>
          <w:lang w:val="ro-RO"/>
        </w:rPr>
        <w:t>p</w:t>
      </w:r>
      <w:r>
        <w:rPr>
          <w:rFonts w:ascii="Times New Roman" w:hAnsi="Times New Roman" w:cs="Times New Roman"/>
          <w:bCs/>
          <w:color w:val="000000" w:themeColor="text1"/>
          <w:sz w:val="28"/>
          <w:szCs w:val="28"/>
          <w:lang w:val="ro-RO"/>
        </w:rPr>
        <w:t>unctul 45, subpunctul 1</w:t>
      </w:r>
      <w:r w:rsidR="00621C92">
        <w:rPr>
          <w:rFonts w:ascii="Times New Roman" w:hAnsi="Times New Roman" w:cs="Times New Roman"/>
          <w:bCs/>
          <w:color w:val="000000" w:themeColor="text1"/>
          <w:sz w:val="28"/>
          <w:szCs w:val="28"/>
          <w:lang w:val="ro-RO"/>
        </w:rPr>
        <w:t>)</w:t>
      </w:r>
      <w:r>
        <w:rPr>
          <w:rFonts w:ascii="Times New Roman" w:hAnsi="Times New Roman" w:cs="Times New Roman"/>
          <w:bCs/>
          <w:color w:val="000000" w:themeColor="text1"/>
          <w:sz w:val="28"/>
          <w:szCs w:val="28"/>
          <w:lang w:val="ro-RO"/>
        </w:rPr>
        <w:t xml:space="preserve"> va avea următorul cuprins:</w:t>
      </w:r>
    </w:p>
    <w:p w14:paraId="5EA6B382" w14:textId="3E9EDFF8" w:rsidR="0067156B" w:rsidRDefault="0067156B" w:rsidP="007D63E9">
      <w:pPr>
        <w:tabs>
          <w:tab w:val="left" w:pos="567"/>
          <w:tab w:val="left" w:pos="1134"/>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ro-RO"/>
        </w:rPr>
        <w:t>„1) 0,5 (</w:t>
      </w:r>
      <w:r w:rsidRPr="0067156B">
        <w:rPr>
          <w:rFonts w:ascii="Times New Roman" w:hAnsi="Times New Roman" w:cs="Times New Roman"/>
          <w:bCs/>
          <w:color w:val="000000" w:themeColor="text1"/>
          <w:sz w:val="28"/>
          <w:szCs w:val="28"/>
        </w:rPr>
        <w:t>Dacă,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w:t>
      </w:r>
      <w:r>
        <w:rPr>
          <w:rFonts w:ascii="Times New Roman" w:hAnsi="Times New Roman" w:cs="Times New Roman"/>
          <w:bCs/>
          <w:color w:val="000000" w:themeColor="text1"/>
          <w:sz w:val="28"/>
          <w:szCs w:val="28"/>
        </w:rPr>
        <w:t>), 1,0 și 1,5 ori valoarea de referință; sau</w:t>
      </w:r>
      <w:r w:rsidR="008F6DD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p>
    <w:p w14:paraId="38198611" w14:textId="2B432E7B" w:rsidR="0067156B" w:rsidRDefault="00D90606" w:rsidP="007D63E9">
      <w:pPr>
        <w:tabs>
          <w:tab w:val="left" w:pos="567"/>
          <w:tab w:val="left" w:pos="1134"/>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w:t>
      </w:r>
      <w:r w:rsidR="00944AE8">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 xml:space="preserve">. </w:t>
      </w:r>
      <w:r w:rsidR="00E346DD">
        <w:rPr>
          <w:rFonts w:ascii="Times New Roman" w:hAnsi="Times New Roman" w:cs="Times New Roman"/>
          <w:bCs/>
          <w:color w:val="000000" w:themeColor="text1"/>
          <w:sz w:val="28"/>
          <w:szCs w:val="28"/>
        </w:rPr>
        <w:t>p</w:t>
      </w:r>
      <w:r>
        <w:rPr>
          <w:rFonts w:ascii="Times New Roman" w:hAnsi="Times New Roman" w:cs="Times New Roman"/>
          <w:bCs/>
          <w:color w:val="000000" w:themeColor="text1"/>
          <w:sz w:val="28"/>
          <w:szCs w:val="28"/>
        </w:rPr>
        <w:t>unctul 46, subpunctul 4</w:t>
      </w:r>
      <w:r w:rsidR="0067156B">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va avea următorul cuprins:</w:t>
      </w:r>
    </w:p>
    <w:p w14:paraId="3E53F521" w14:textId="694A9F30" w:rsidR="00D90606" w:rsidRDefault="00D90606" w:rsidP="007D63E9">
      <w:pPr>
        <w:tabs>
          <w:tab w:val="left" w:pos="567"/>
          <w:tab w:val="left" w:pos="1134"/>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 s</w:t>
      </w:r>
      <w:r w:rsidRPr="00D90606">
        <w:rPr>
          <w:rFonts w:ascii="Times New Roman" w:hAnsi="Times New Roman" w:cs="Times New Roman"/>
          <w:bCs/>
          <w:color w:val="000000" w:themeColor="text1"/>
          <w:sz w:val="28"/>
          <w:szCs w:val="28"/>
        </w:rPr>
        <w:t>e repetă aceste operațiuni cel puțin de încă două ori pentru un minim total de 18 replici per nivel</w:t>
      </w:r>
    </w:p>
    <w:p w14:paraId="6EC9E461" w14:textId="16034075" w:rsidR="00CE00E4" w:rsidRDefault="00CE00E4" w:rsidP="007D63E9">
      <w:pPr>
        <w:tabs>
          <w:tab w:val="left" w:pos="567"/>
          <w:tab w:val="left" w:pos="1134"/>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w:t>
      </w:r>
      <w:r w:rsidR="00944AE8">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 xml:space="preserve">. </w:t>
      </w:r>
      <w:r w:rsidR="00E346DD">
        <w:rPr>
          <w:rFonts w:ascii="Times New Roman" w:hAnsi="Times New Roman" w:cs="Times New Roman"/>
          <w:bCs/>
          <w:color w:val="000000" w:themeColor="text1"/>
          <w:sz w:val="28"/>
          <w:szCs w:val="28"/>
        </w:rPr>
        <w:t>p</w:t>
      </w:r>
      <w:r>
        <w:rPr>
          <w:rFonts w:ascii="Times New Roman" w:hAnsi="Times New Roman" w:cs="Times New Roman"/>
          <w:bCs/>
          <w:color w:val="000000" w:themeColor="text1"/>
          <w:sz w:val="28"/>
          <w:szCs w:val="28"/>
        </w:rPr>
        <w:t>unctul 49</w:t>
      </w:r>
      <w:r w:rsidR="00952134">
        <w:rPr>
          <w:rFonts w:ascii="Times New Roman" w:hAnsi="Times New Roman" w:cs="Times New Roman"/>
          <w:bCs/>
          <w:color w:val="000000" w:themeColor="text1"/>
          <w:sz w:val="28"/>
          <w:szCs w:val="28"/>
        </w:rPr>
        <w:t>,</w:t>
      </w:r>
      <w:r w:rsidR="00656CFC">
        <w:rPr>
          <w:rFonts w:ascii="Times New Roman" w:hAnsi="Times New Roman" w:cs="Times New Roman"/>
          <w:bCs/>
          <w:color w:val="000000" w:themeColor="text1"/>
          <w:sz w:val="28"/>
          <w:szCs w:val="28"/>
        </w:rPr>
        <w:t xml:space="preserve"> subpunctul 1)</w:t>
      </w:r>
      <w:r>
        <w:rPr>
          <w:rFonts w:ascii="Times New Roman" w:hAnsi="Times New Roman" w:cs="Times New Roman"/>
          <w:bCs/>
          <w:color w:val="000000" w:themeColor="text1"/>
          <w:sz w:val="28"/>
          <w:szCs w:val="28"/>
        </w:rPr>
        <w:t xml:space="preserve"> va avea următorul cuprins: </w:t>
      </w:r>
    </w:p>
    <w:p w14:paraId="4B3AB2B9" w14:textId="5C46D808" w:rsidR="00CE00E4" w:rsidRDefault="00CE00E4" w:rsidP="007D63E9">
      <w:pPr>
        <w:tabs>
          <w:tab w:val="left" w:pos="567"/>
          <w:tab w:val="left" w:pos="1134"/>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Pr="00CE00E4">
        <w:rPr>
          <w:rFonts w:ascii="Times New Roman" w:hAnsi="Times New Roman" w:cs="Times New Roman"/>
          <w:b/>
          <w:bCs/>
          <w:color w:val="000000" w:themeColor="text1"/>
          <w:sz w:val="28"/>
          <w:szCs w:val="28"/>
        </w:rPr>
        <w:t>49.</w:t>
      </w:r>
      <w:r>
        <w:rPr>
          <w:rFonts w:ascii="Times New Roman" w:hAnsi="Times New Roman" w:cs="Times New Roman"/>
          <w:b/>
          <w:bCs/>
          <w:color w:val="000000" w:themeColor="text1"/>
          <w:sz w:val="28"/>
          <w:szCs w:val="28"/>
        </w:rPr>
        <w:t xml:space="preserve"> </w:t>
      </w:r>
      <w:r w:rsidRPr="00CE00E4">
        <w:rPr>
          <w:rFonts w:ascii="Times New Roman" w:hAnsi="Times New Roman" w:cs="Times New Roman"/>
          <w:bCs/>
          <w:color w:val="000000" w:themeColor="text1"/>
          <w:sz w:val="28"/>
          <w:szCs w:val="28"/>
        </w:rPr>
        <w:t>0,5 (</w:t>
      </w:r>
      <w:r w:rsidRPr="00CE00E4">
        <w:rPr>
          <w:rFonts w:ascii="Times New Roman" w:hAnsi="Times New Roman" w:cs="Times New Roman" w:hint="eastAsia"/>
          <w:bCs/>
          <w:color w:val="000000" w:themeColor="text1"/>
          <w:sz w:val="28"/>
          <w:szCs w:val="28"/>
        </w:rPr>
        <w:t xml:space="preserve">Dacă, pentru o substanță farmacologic activă nepermisă, validarea unei concentrații de 0,5 ori valoarea de referință nu este realizabilă în mod </w:t>
      </w:r>
      <w:r w:rsidRPr="00CE00E4">
        <w:rPr>
          <w:rFonts w:ascii="Times New Roman" w:hAnsi="Times New Roman" w:cs="Times New Roman" w:hint="eastAsia"/>
          <w:bCs/>
          <w:color w:val="000000" w:themeColor="text1"/>
          <w:sz w:val="28"/>
          <w:szCs w:val="28"/>
        </w:rPr>
        <w:lastRenderedPageBreak/>
        <w:t>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w:t>
      </w:r>
      <w:r>
        <w:rPr>
          <w:rFonts w:ascii="Times New Roman" w:hAnsi="Times New Roman" w:cs="Times New Roman"/>
          <w:bCs/>
          <w:color w:val="000000" w:themeColor="text1"/>
          <w:sz w:val="28"/>
          <w:szCs w:val="28"/>
        </w:rPr>
        <w:t xml:space="preserve">), </w:t>
      </w:r>
      <w:r w:rsidRPr="00CE00E4">
        <w:rPr>
          <w:rFonts w:ascii="Times New Roman" w:hAnsi="Times New Roman" w:cs="Times New Roman" w:hint="eastAsia"/>
          <w:bCs/>
          <w:color w:val="000000" w:themeColor="text1"/>
          <w:sz w:val="28"/>
          <w:szCs w:val="28"/>
        </w:rPr>
        <w:t>1,0 și 1,5 ori valoarea de referință; sau</w:t>
      </w:r>
      <w:r>
        <w:rPr>
          <w:rFonts w:ascii="Times New Roman" w:hAnsi="Times New Roman" w:cs="Times New Roman" w:hint="eastAsia"/>
          <w:bCs/>
          <w:color w:val="000000" w:themeColor="text1"/>
          <w:sz w:val="28"/>
          <w:szCs w:val="28"/>
        </w:rPr>
        <w:t>”</w:t>
      </w:r>
    </w:p>
    <w:p w14:paraId="249A9A72" w14:textId="04DBCD96" w:rsidR="00CE00E4" w:rsidRDefault="00CE00E4" w:rsidP="007D63E9">
      <w:pPr>
        <w:tabs>
          <w:tab w:val="left" w:pos="567"/>
          <w:tab w:val="left" w:pos="1134"/>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w:t>
      </w:r>
      <w:r w:rsidR="00944AE8">
        <w:rPr>
          <w:rFonts w:ascii="Times New Roman" w:hAnsi="Times New Roman" w:cs="Times New Roman"/>
          <w:bCs/>
          <w:color w:val="000000" w:themeColor="text1"/>
          <w:sz w:val="28"/>
          <w:szCs w:val="28"/>
        </w:rPr>
        <w:t>10</w:t>
      </w:r>
      <w:r>
        <w:rPr>
          <w:rFonts w:ascii="Times New Roman" w:hAnsi="Times New Roman" w:cs="Times New Roman"/>
          <w:bCs/>
          <w:color w:val="000000" w:themeColor="text1"/>
          <w:sz w:val="28"/>
          <w:szCs w:val="28"/>
        </w:rPr>
        <w:t xml:space="preserve">. </w:t>
      </w:r>
      <w:r w:rsidR="00E346DD">
        <w:rPr>
          <w:rFonts w:ascii="Times New Roman" w:hAnsi="Times New Roman" w:cs="Times New Roman"/>
          <w:bCs/>
          <w:color w:val="000000" w:themeColor="text1"/>
          <w:sz w:val="28"/>
          <w:szCs w:val="28"/>
        </w:rPr>
        <w:t>p</w:t>
      </w:r>
      <w:r>
        <w:rPr>
          <w:rFonts w:ascii="Times New Roman" w:hAnsi="Times New Roman" w:cs="Times New Roman"/>
          <w:bCs/>
          <w:color w:val="000000" w:themeColor="text1"/>
          <w:sz w:val="28"/>
          <w:szCs w:val="28"/>
        </w:rPr>
        <w:t>unctul 50, subpunctul 3, va avea următorul cuprins:</w:t>
      </w:r>
    </w:p>
    <w:p w14:paraId="3EC6B125" w14:textId="61AC420D" w:rsidR="00CE00E4" w:rsidRDefault="00272B05" w:rsidP="007D63E9">
      <w:pPr>
        <w:tabs>
          <w:tab w:val="left" w:pos="567"/>
          <w:tab w:val="left" w:pos="1134"/>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r w:rsidRPr="00272B05">
        <w:rPr>
          <w:rFonts w:ascii="Arial Unicode MS" w:eastAsia="Arial Unicode MS" w:hAnsi="Arial Unicode MS" w:cs="Arial Unicode MS" w:hint="eastAsia"/>
          <w:color w:val="333333"/>
          <w:sz w:val="21"/>
          <w:szCs w:val="21"/>
          <w:shd w:val="clear" w:color="auto" w:fill="FFFFFF"/>
        </w:rPr>
        <w:t xml:space="preserve"> </w:t>
      </w:r>
      <w:r w:rsidRPr="00272B05">
        <w:rPr>
          <w:rFonts w:ascii="Times New Roman" w:hAnsi="Times New Roman" w:cs="Times New Roman" w:hint="eastAsia"/>
          <w:bCs/>
          <w:color w:val="000000" w:themeColor="text1"/>
          <w:sz w:val="28"/>
          <w:szCs w:val="28"/>
        </w:rPr>
        <w:t xml:space="preserve">Se repetă aceste operațiuni cel puțin de încă două ori (pentru un minim total de 18 replici per nivel), cu loturi diferite de material-martor, operatori diferiți și cât mai multe condiții ambiante diferite posibil, de exemplu loturi diferite de reactivi, solvenți, temperaturi ambiante diferite, instrumente diferite sau o variație </w:t>
      </w:r>
      <w:proofErr w:type="gramStart"/>
      <w:r w:rsidRPr="00272B05">
        <w:rPr>
          <w:rFonts w:ascii="Times New Roman" w:hAnsi="Times New Roman" w:cs="Times New Roman" w:hint="eastAsia"/>
          <w:bCs/>
          <w:color w:val="000000" w:themeColor="text1"/>
          <w:sz w:val="28"/>
          <w:szCs w:val="28"/>
        </w:rPr>
        <w:t>a</w:t>
      </w:r>
      <w:proofErr w:type="gramEnd"/>
      <w:r w:rsidRPr="00272B05">
        <w:rPr>
          <w:rFonts w:ascii="Times New Roman" w:hAnsi="Times New Roman" w:cs="Times New Roman" w:hint="eastAsia"/>
          <w:bCs/>
          <w:color w:val="000000" w:themeColor="text1"/>
          <w:sz w:val="28"/>
          <w:szCs w:val="28"/>
        </w:rPr>
        <w:t xml:space="preserve"> altor parametri.</w:t>
      </w:r>
      <w:r>
        <w:rPr>
          <w:rFonts w:ascii="Times New Roman" w:hAnsi="Times New Roman" w:cs="Times New Roman" w:hint="eastAsia"/>
          <w:bCs/>
          <w:color w:val="000000" w:themeColor="text1"/>
          <w:sz w:val="28"/>
          <w:szCs w:val="28"/>
        </w:rPr>
        <w:t>”</w:t>
      </w:r>
    </w:p>
    <w:p w14:paraId="286ED8C5" w14:textId="1528449E" w:rsidR="00FD26A6" w:rsidRDefault="00FD26A6" w:rsidP="007D63E9">
      <w:pPr>
        <w:tabs>
          <w:tab w:val="left" w:pos="0"/>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1.3.1</w:t>
      </w:r>
      <w:r w:rsidR="00944AE8">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 xml:space="preserve">. Nota referitoare la tabelul 6 se completează cu cuvintele: „ au de </w:t>
      </w:r>
      <w:r w:rsidRPr="00FD26A6">
        <w:rPr>
          <w:rFonts w:ascii="Times New Roman" w:hAnsi="Times New Roman" w:cs="Times New Roman" w:hint="eastAsia"/>
          <w:bCs/>
          <w:color w:val="000000" w:themeColor="text1"/>
          <w:sz w:val="28"/>
          <w:szCs w:val="28"/>
        </w:rPr>
        <w:t>sau de</w:t>
      </w:r>
      <w:r w:rsidR="00BD2DE9">
        <w:rPr>
          <w:rFonts w:ascii="Times New Roman" w:hAnsi="Times New Roman" w:cs="Times New Roman"/>
          <w:bCs/>
          <w:color w:val="000000" w:themeColor="text1"/>
          <w:sz w:val="28"/>
          <w:szCs w:val="28"/>
        </w:rPr>
        <w:t xml:space="preserve"> </w:t>
      </w:r>
      <w:r w:rsidR="002658BF">
        <w:rPr>
          <w:rFonts w:ascii="Times New Roman" w:hAnsi="Times New Roman" w:cs="Times New Roman"/>
          <w:bCs/>
          <w:color w:val="000000" w:themeColor="text1"/>
          <w:sz w:val="28"/>
          <w:szCs w:val="28"/>
        </w:rPr>
        <w:t>SM</w:t>
      </w:r>
      <w:r w:rsidRPr="00FD26A6">
        <w:rPr>
          <w:rFonts w:ascii="Times New Roman" w:hAnsi="Times New Roman" w:cs="Times New Roman" w:hint="eastAsia"/>
          <w:bCs/>
          <w:color w:val="000000" w:themeColor="text1"/>
          <w:sz w:val="28"/>
          <w:szCs w:val="28"/>
        </w:rPr>
        <w:t> ISO/TS 23471:2022</w:t>
      </w:r>
      <w:r>
        <w:rPr>
          <w:rFonts w:ascii="Times New Roman" w:hAnsi="Times New Roman" w:cs="Times New Roman"/>
          <w:bCs/>
          <w:color w:val="000000" w:themeColor="text1"/>
          <w:sz w:val="28"/>
          <w:szCs w:val="28"/>
        </w:rPr>
        <w:t xml:space="preserve"> (</w:t>
      </w:r>
      <w:r w:rsidRPr="00FD26A6">
        <w:rPr>
          <w:rFonts w:ascii="Times New Roman" w:hAnsi="Times New Roman" w:cs="Times New Roman" w:hint="eastAsia"/>
          <w:bCs/>
          <w:color w:val="000000" w:themeColor="text1"/>
          <w:sz w:val="28"/>
          <w:szCs w:val="28"/>
        </w:rPr>
        <w:t xml:space="preserve">Proiecte experimentale pentru evaluarea incertitudinii </w:t>
      </w:r>
      <w:r w:rsidRPr="00FD26A6">
        <w:rPr>
          <w:rFonts w:ascii="Times New Roman" w:hAnsi="Times New Roman" w:cs="Times New Roman" w:hint="eastAsia"/>
          <w:bCs/>
          <w:color w:val="000000" w:themeColor="text1"/>
          <w:sz w:val="28"/>
          <w:szCs w:val="28"/>
        </w:rPr>
        <w:t>–</w:t>
      </w:r>
      <w:r w:rsidRPr="00FD26A6">
        <w:rPr>
          <w:rFonts w:ascii="Times New Roman" w:hAnsi="Times New Roman" w:cs="Times New Roman" w:hint="eastAsia"/>
          <w:bCs/>
          <w:color w:val="000000" w:themeColor="text1"/>
          <w:sz w:val="28"/>
          <w:szCs w:val="28"/>
        </w:rPr>
        <w:t xml:space="preserve"> Utilizarea modelelor factoriale pentru determinarea funcțiilor de incertitudine).</w:t>
      </w:r>
      <w:r>
        <w:rPr>
          <w:rFonts w:ascii="Times New Roman" w:hAnsi="Times New Roman" w:cs="Times New Roman" w:hint="eastAsia"/>
          <w:bCs/>
          <w:color w:val="000000" w:themeColor="text1"/>
          <w:sz w:val="28"/>
          <w:szCs w:val="28"/>
        </w:rPr>
        <w:t>”</w:t>
      </w:r>
    </w:p>
    <w:p w14:paraId="43F60082" w14:textId="0903E896" w:rsidR="00071DF8" w:rsidRDefault="000D01C9" w:rsidP="007D63E9">
      <w:pPr>
        <w:tabs>
          <w:tab w:val="left" w:pos="567"/>
          <w:tab w:val="left" w:pos="1134"/>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1.3.1</w:t>
      </w:r>
      <w:r w:rsidR="00944AE8">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 xml:space="preserve">. </w:t>
      </w:r>
      <w:r w:rsidR="00E346DD">
        <w:rPr>
          <w:rFonts w:ascii="Times New Roman" w:hAnsi="Times New Roman" w:cs="Times New Roman"/>
          <w:bCs/>
          <w:color w:val="000000" w:themeColor="text1"/>
          <w:sz w:val="28"/>
          <w:szCs w:val="28"/>
        </w:rPr>
        <w:t>p</w:t>
      </w:r>
      <w:r>
        <w:rPr>
          <w:rFonts w:ascii="Times New Roman" w:hAnsi="Times New Roman" w:cs="Times New Roman"/>
          <w:bCs/>
          <w:color w:val="000000" w:themeColor="text1"/>
          <w:sz w:val="28"/>
          <w:szCs w:val="28"/>
        </w:rPr>
        <w:t>unctul 62 va avea următorul cuprins:</w:t>
      </w:r>
    </w:p>
    <w:p w14:paraId="7728D651" w14:textId="542D4685" w:rsidR="000D01C9" w:rsidRDefault="000D01C9" w:rsidP="007D63E9">
      <w:pPr>
        <w:tabs>
          <w:tab w:val="left" w:pos="567"/>
          <w:tab w:val="left" w:pos="1134"/>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Pr="000D01C9">
        <w:rPr>
          <w:rFonts w:ascii="Times New Roman" w:hAnsi="Times New Roman" w:cs="Times New Roman"/>
          <w:b/>
          <w:bCs/>
          <w:color w:val="000000" w:themeColor="text1"/>
          <w:sz w:val="28"/>
          <w:szCs w:val="28"/>
        </w:rPr>
        <w:t>62</w:t>
      </w:r>
      <w:r w:rsidRPr="000D01C9">
        <w:rPr>
          <w:rFonts w:ascii="Times New Roman" w:hAnsi="Times New Roman" w:cs="Times New Roman"/>
          <w:bCs/>
          <w:color w:val="000000" w:themeColor="text1"/>
          <w:sz w:val="28"/>
          <w:szCs w:val="28"/>
        </w:rPr>
        <w:t>.</w:t>
      </w:r>
      <w:r w:rsidR="00947EBD">
        <w:rPr>
          <w:rFonts w:ascii="Times New Roman" w:hAnsi="Times New Roman" w:cs="Times New Roman"/>
          <w:bCs/>
          <w:color w:val="000000" w:themeColor="text1"/>
          <w:sz w:val="28"/>
          <w:szCs w:val="28"/>
        </w:rPr>
        <w:t xml:space="preserve"> </w:t>
      </w:r>
      <w:r w:rsidRPr="000D01C9">
        <w:rPr>
          <w:rFonts w:ascii="Times New Roman" w:hAnsi="Times New Roman" w:cs="Times New Roman"/>
          <w:bCs/>
          <w:color w:val="000000" w:themeColor="text1"/>
          <w:sz w:val="28"/>
          <w:szCs w:val="28"/>
        </w:rPr>
        <w:t>În cazul în care nu sunt disponibile datele necesare referitoare la stabilitate, ar trebui utilizate următoarele abordări. În plus, și aplicarea unei metode izocrone</w:t>
      </w:r>
      <w:r>
        <w:rPr>
          <w:rFonts w:ascii="Times New Roman" w:hAnsi="Times New Roman" w:cs="Times New Roman"/>
          <w:bCs/>
          <w:color w:val="000000" w:themeColor="text1"/>
          <w:sz w:val="28"/>
          <w:szCs w:val="28"/>
        </w:rPr>
        <w:t xml:space="preserve"> (s</w:t>
      </w:r>
      <w:r w:rsidRPr="000D01C9">
        <w:rPr>
          <w:rFonts w:ascii="Times New Roman" w:hAnsi="Times New Roman" w:cs="Times New Roman"/>
          <w:bCs/>
          <w:color w:val="000000" w:themeColor="text1"/>
          <w:sz w:val="28"/>
          <w:szCs w:val="28"/>
        </w:rPr>
        <w:t>tudiul stabilității materialelor de referință prin măsurători izocrone</w:t>
      </w:r>
      <w:r>
        <w:rPr>
          <w:rFonts w:ascii="Times New Roman" w:hAnsi="Times New Roman" w:cs="Times New Roman"/>
          <w:bCs/>
          <w:color w:val="000000" w:themeColor="text1"/>
          <w:sz w:val="28"/>
          <w:szCs w:val="28"/>
        </w:rPr>
        <w:t>)</w:t>
      </w:r>
      <w:r w:rsidRPr="000D01C9">
        <w:rPr>
          <w:rFonts w:ascii="Times New Roman" w:hAnsi="Times New Roman" w:cs="Times New Roman"/>
          <w:bCs/>
          <w:color w:val="000000" w:themeColor="text1"/>
          <w:sz w:val="28"/>
          <w:szCs w:val="28"/>
        </w:rPr>
        <w:t xml:space="preserve"> cu o schemă de temperatură de depozitare similară celei din tabelul </w:t>
      </w:r>
      <w:r w:rsidR="008F7AF7">
        <w:rPr>
          <w:rFonts w:ascii="Times New Roman" w:hAnsi="Times New Roman" w:cs="Times New Roman"/>
          <w:bCs/>
          <w:color w:val="000000" w:themeColor="text1"/>
          <w:sz w:val="28"/>
          <w:szCs w:val="28"/>
        </w:rPr>
        <w:t xml:space="preserve">nr. </w:t>
      </w:r>
      <w:r w:rsidRPr="000D01C9">
        <w:rPr>
          <w:rFonts w:ascii="Times New Roman" w:hAnsi="Times New Roman" w:cs="Times New Roman"/>
          <w:bCs/>
          <w:color w:val="000000" w:themeColor="text1"/>
          <w:sz w:val="28"/>
          <w:szCs w:val="28"/>
        </w:rPr>
        <w:t>7</w:t>
      </w:r>
      <w:r w:rsidR="00621C92">
        <w:rPr>
          <w:rFonts w:ascii="Times New Roman" w:hAnsi="Times New Roman" w:cs="Times New Roman"/>
          <w:bCs/>
          <w:color w:val="000000" w:themeColor="text1"/>
          <w:sz w:val="28"/>
          <w:szCs w:val="28"/>
        </w:rPr>
        <w:t xml:space="preserve"> </w:t>
      </w:r>
      <w:r w:rsidRPr="000D01C9">
        <w:rPr>
          <w:rFonts w:ascii="Times New Roman" w:hAnsi="Times New Roman" w:cs="Times New Roman"/>
          <w:bCs/>
          <w:color w:val="000000" w:themeColor="text1"/>
          <w:sz w:val="28"/>
          <w:szCs w:val="28"/>
        </w:rPr>
        <w:t>permite determinarea potențialelor instabilități ale analitului și, totodată, o estimare a perioadelor adecvate de depozitare, și poate fi, de asemenea, utilizată.</w:t>
      </w:r>
      <w:r>
        <w:rPr>
          <w:rFonts w:ascii="Times New Roman" w:hAnsi="Times New Roman" w:cs="Times New Roman"/>
          <w:bCs/>
          <w:color w:val="000000" w:themeColor="text1"/>
          <w:sz w:val="28"/>
          <w:szCs w:val="28"/>
        </w:rPr>
        <w:t>”</w:t>
      </w:r>
    </w:p>
    <w:p w14:paraId="4C0C4BF1" w14:textId="714EA746" w:rsidR="000D01C9" w:rsidRDefault="000D01C9" w:rsidP="007D63E9">
      <w:pPr>
        <w:tabs>
          <w:tab w:val="left" w:pos="567"/>
          <w:tab w:val="left" w:pos="1134"/>
        </w:tabs>
        <w:spacing w:line="360" w:lineRule="auto"/>
        <w:jc w:val="both"/>
        <w:rPr>
          <w:rFonts w:ascii="Times New Roman" w:hAnsi="Times New Roman" w:cs="Times New Roman"/>
          <w:bCs/>
          <w:iCs/>
          <w:color w:val="000000" w:themeColor="text1"/>
          <w:sz w:val="28"/>
          <w:szCs w:val="28"/>
        </w:rPr>
      </w:pPr>
      <w:r>
        <w:rPr>
          <w:rFonts w:ascii="Times New Roman" w:hAnsi="Times New Roman" w:cs="Times New Roman"/>
          <w:bCs/>
          <w:color w:val="000000" w:themeColor="text1"/>
          <w:sz w:val="28"/>
          <w:szCs w:val="28"/>
        </w:rPr>
        <w:t>1.3.1</w:t>
      </w:r>
      <w:r w:rsidR="00944AE8">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 xml:space="preserve">. </w:t>
      </w:r>
      <w:r w:rsidR="00E346DD">
        <w:rPr>
          <w:rFonts w:ascii="Times New Roman" w:hAnsi="Times New Roman" w:cs="Times New Roman"/>
          <w:bCs/>
          <w:color w:val="000000" w:themeColor="text1"/>
          <w:sz w:val="28"/>
          <w:szCs w:val="28"/>
        </w:rPr>
        <w:t>p</w:t>
      </w:r>
      <w:r>
        <w:rPr>
          <w:rFonts w:ascii="Times New Roman" w:hAnsi="Times New Roman" w:cs="Times New Roman"/>
          <w:bCs/>
          <w:color w:val="000000" w:themeColor="text1"/>
          <w:sz w:val="28"/>
          <w:szCs w:val="28"/>
        </w:rPr>
        <w:t>unctul 62</w:t>
      </w:r>
      <w:r w:rsidR="00970CC2">
        <w:rPr>
          <w:rFonts w:ascii="Times New Roman" w:hAnsi="Times New Roman" w:cs="Times New Roman"/>
          <w:bCs/>
          <w:color w:val="000000" w:themeColor="text1"/>
          <w:sz w:val="28"/>
          <w:szCs w:val="28"/>
          <w:lang w:val="ro-RO"/>
        </w:rPr>
        <w:t xml:space="preserve">, </w:t>
      </w:r>
      <w:r w:rsidR="004625B9">
        <w:rPr>
          <w:rFonts w:ascii="Times New Roman" w:hAnsi="Times New Roman" w:cs="Times New Roman"/>
          <w:bCs/>
          <w:color w:val="000000" w:themeColor="text1"/>
          <w:sz w:val="28"/>
          <w:szCs w:val="28"/>
          <w:lang w:val="ro-RO"/>
        </w:rPr>
        <w:t>alineatul</w:t>
      </w:r>
      <w:r w:rsidR="00970CC2">
        <w:rPr>
          <w:rFonts w:ascii="Times New Roman" w:hAnsi="Times New Roman" w:cs="Times New Roman"/>
          <w:bCs/>
          <w:color w:val="000000" w:themeColor="text1"/>
          <w:sz w:val="28"/>
          <w:szCs w:val="28"/>
          <w:lang w:val="ro-RO"/>
        </w:rPr>
        <w:t xml:space="preserve"> </w:t>
      </w:r>
      <w:r w:rsidR="00970CC2" w:rsidRPr="00970CC2">
        <w:rPr>
          <w:rFonts w:ascii="Times New Roman" w:hAnsi="Times New Roman" w:cs="Times New Roman"/>
          <w:bCs/>
          <w:i/>
          <w:iCs/>
          <w:color w:val="000000" w:themeColor="text1"/>
          <w:sz w:val="28"/>
          <w:szCs w:val="28"/>
        </w:rPr>
        <w:t>Determinarea stabilității analitului (analiților) în matrice</w:t>
      </w:r>
      <w:r w:rsidR="00970CC2">
        <w:rPr>
          <w:rFonts w:ascii="Times New Roman" w:hAnsi="Times New Roman" w:cs="Times New Roman"/>
          <w:bCs/>
          <w:i/>
          <w:iCs/>
          <w:color w:val="000000" w:themeColor="text1"/>
          <w:sz w:val="28"/>
          <w:szCs w:val="28"/>
        </w:rPr>
        <w:t xml:space="preserve">, </w:t>
      </w:r>
      <w:r w:rsidR="00970CC2" w:rsidRPr="00970CC2">
        <w:rPr>
          <w:rFonts w:ascii="Times New Roman" w:hAnsi="Times New Roman" w:cs="Times New Roman"/>
          <w:bCs/>
          <w:iCs/>
          <w:color w:val="000000" w:themeColor="text1"/>
          <w:sz w:val="28"/>
          <w:szCs w:val="28"/>
        </w:rPr>
        <w:t>subpunct</w:t>
      </w:r>
      <w:r w:rsidR="00CF7DD2">
        <w:rPr>
          <w:rFonts w:ascii="Times New Roman" w:hAnsi="Times New Roman" w:cs="Times New Roman"/>
          <w:bCs/>
          <w:iCs/>
          <w:color w:val="000000" w:themeColor="text1"/>
          <w:sz w:val="28"/>
          <w:szCs w:val="28"/>
        </w:rPr>
        <w:t>e</w:t>
      </w:r>
      <w:r w:rsidR="00970CC2" w:rsidRPr="00970CC2">
        <w:rPr>
          <w:rFonts w:ascii="Times New Roman" w:hAnsi="Times New Roman" w:cs="Times New Roman"/>
          <w:bCs/>
          <w:iCs/>
          <w:color w:val="000000" w:themeColor="text1"/>
          <w:sz w:val="28"/>
          <w:szCs w:val="28"/>
        </w:rPr>
        <w:t>l</w:t>
      </w:r>
      <w:r w:rsidR="00CF7DD2">
        <w:rPr>
          <w:rFonts w:ascii="Times New Roman" w:hAnsi="Times New Roman" w:cs="Times New Roman"/>
          <w:bCs/>
          <w:iCs/>
          <w:color w:val="000000" w:themeColor="text1"/>
          <w:sz w:val="28"/>
          <w:szCs w:val="28"/>
        </w:rPr>
        <w:t>e</w:t>
      </w:r>
      <w:r w:rsidR="00970CC2" w:rsidRPr="00970CC2">
        <w:rPr>
          <w:rFonts w:ascii="Times New Roman" w:hAnsi="Times New Roman" w:cs="Times New Roman"/>
          <w:bCs/>
          <w:iCs/>
          <w:color w:val="000000" w:themeColor="text1"/>
          <w:sz w:val="28"/>
          <w:szCs w:val="28"/>
        </w:rPr>
        <w:t xml:space="preserve"> 2</w:t>
      </w:r>
      <w:r w:rsidR="002C4EFC">
        <w:rPr>
          <w:rFonts w:ascii="Times New Roman" w:hAnsi="Times New Roman" w:cs="Times New Roman"/>
          <w:bCs/>
          <w:iCs/>
          <w:color w:val="000000" w:themeColor="text1"/>
          <w:sz w:val="28"/>
          <w:szCs w:val="28"/>
        </w:rPr>
        <w:t>)</w:t>
      </w:r>
      <w:r w:rsidR="00970CC2">
        <w:rPr>
          <w:rFonts w:ascii="Times New Roman" w:hAnsi="Times New Roman" w:cs="Times New Roman"/>
          <w:bCs/>
          <w:iCs/>
          <w:color w:val="000000" w:themeColor="text1"/>
          <w:sz w:val="28"/>
          <w:szCs w:val="28"/>
        </w:rPr>
        <w:t>,</w:t>
      </w:r>
      <w:r w:rsidR="00CF7DD2">
        <w:rPr>
          <w:rFonts w:ascii="Times New Roman" w:hAnsi="Times New Roman" w:cs="Times New Roman"/>
          <w:bCs/>
          <w:iCs/>
          <w:color w:val="000000" w:themeColor="text1"/>
          <w:sz w:val="28"/>
          <w:szCs w:val="28"/>
        </w:rPr>
        <w:t xml:space="preserve"> 3</w:t>
      </w:r>
      <w:r w:rsidR="002C4EFC">
        <w:rPr>
          <w:rFonts w:ascii="Times New Roman" w:hAnsi="Times New Roman" w:cs="Times New Roman"/>
          <w:bCs/>
          <w:iCs/>
          <w:color w:val="000000" w:themeColor="text1"/>
          <w:sz w:val="28"/>
          <w:szCs w:val="28"/>
        </w:rPr>
        <w:t>)</w:t>
      </w:r>
      <w:r w:rsidR="009E19D3">
        <w:rPr>
          <w:rFonts w:ascii="Times New Roman" w:hAnsi="Times New Roman" w:cs="Times New Roman"/>
          <w:bCs/>
          <w:iCs/>
          <w:color w:val="000000" w:themeColor="text1"/>
          <w:sz w:val="28"/>
          <w:szCs w:val="28"/>
        </w:rPr>
        <w:t xml:space="preserve"> și 5</w:t>
      </w:r>
      <w:r w:rsidR="002C4EFC">
        <w:rPr>
          <w:rFonts w:ascii="Times New Roman" w:hAnsi="Times New Roman" w:cs="Times New Roman"/>
          <w:bCs/>
          <w:iCs/>
          <w:color w:val="000000" w:themeColor="text1"/>
          <w:sz w:val="28"/>
          <w:szCs w:val="28"/>
        </w:rPr>
        <w:t>)</w:t>
      </w:r>
      <w:r w:rsidR="00CF7DD2">
        <w:rPr>
          <w:rFonts w:ascii="Times New Roman" w:hAnsi="Times New Roman" w:cs="Times New Roman"/>
          <w:bCs/>
          <w:iCs/>
          <w:color w:val="000000" w:themeColor="text1"/>
          <w:sz w:val="28"/>
          <w:szCs w:val="28"/>
        </w:rPr>
        <w:t xml:space="preserve"> </w:t>
      </w:r>
      <w:r w:rsidR="00970CC2">
        <w:rPr>
          <w:rFonts w:ascii="Times New Roman" w:hAnsi="Times New Roman" w:cs="Times New Roman"/>
          <w:bCs/>
          <w:iCs/>
          <w:color w:val="000000" w:themeColor="text1"/>
          <w:sz w:val="28"/>
          <w:szCs w:val="28"/>
        </w:rPr>
        <w:t>v</w:t>
      </w:r>
      <w:r w:rsidR="009E19D3">
        <w:rPr>
          <w:rFonts w:ascii="Times New Roman" w:hAnsi="Times New Roman" w:cs="Times New Roman"/>
          <w:bCs/>
          <w:iCs/>
          <w:color w:val="000000" w:themeColor="text1"/>
          <w:sz w:val="28"/>
          <w:szCs w:val="28"/>
        </w:rPr>
        <w:t>or</w:t>
      </w:r>
      <w:r w:rsidR="00970CC2">
        <w:rPr>
          <w:rFonts w:ascii="Times New Roman" w:hAnsi="Times New Roman" w:cs="Times New Roman"/>
          <w:bCs/>
          <w:iCs/>
          <w:color w:val="000000" w:themeColor="text1"/>
          <w:sz w:val="28"/>
          <w:szCs w:val="28"/>
        </w:rPr>
        <w:t xml:space="preserve"> avea următorul cuprins:</w:t>
      </w:r>
    </w:p>
    <w:p w14:paraId="48DE4DCF" w14:textId="357D2494" w:rsidR="00970CC2" w:rsidRDefault="002C3404"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lastRenderedPageBreak/>
        <w:t>„</w:t>
      </w:r>
      <w:r w:rsidR="00970CC2">
        <w:rPr>
          <w:rFonts w:ascii="Times New Roman" w:hAnsi="Times New Roman" w:cs="Times New Roman"/>
          <w:bCs/>
          <w:color w:val="000000" w:themeColor="text1"/>
          <w:sz w:val="28"/>
          <w:szCs w:val="28"/>
          <w:lang w:val="ro-RO"/>
        </w:rPr>
        <w:t xml:space="preserve">2) </w:t>
      </w:r>
      <w:r w:rsidR="00970CC2" w:rsidRPr="00970CC2">
        <w:rPr>
          <w:rFonts w:ascii="Times New Roman" w:hAnsi="Times New Roman" w:cs="Times New Roman"/>
          <w:bCs/>
          <w:color w:val="000000" w:themeColor="text1"/>
          <w:sz w:val="28"/>
          <w:szCs w:val="28"/>
          <w:lang w:val="ro-RO"/>
        </w:rPr>
        <w:t>Dacă este disponibilă matricea contaminată natural, se omogenizează, de preferință când matricea este încă proaspătă. Se împarte matricea în cinci cantități și se analizează o parte alicotă din fiecare cantitate.</w:t>
      </w:r>
      <w:r w:rsidR="009608B3">
        <w:rPr>
          <w:rFonts w:ascii="Times New Roman" w:hAnsi="Times New Roman" w:cs="Times New Roman"/>
          <w:bCs/>
          <w:color w:val="000000" w:themeColor="text1"/>
          <w:sz w:val="28"/>
          <w:szCs w:val="28"/>
          <w:lang w:val="ro-RO"/>
        </w:rPr>
        <w:t xml:space="preserve"> </w:t>
      </w:r>
    </w:p>
    <w:p w14:paraId="0168237C" w14:textId="6154DD4A" w:rsidR="009E19D3" w:rsidRPr="009E19D3" w:rsidRDefault="009E19D3" w:rsidP="007D63E9">
      <w:pPr>
        <w:pStyle w:val="Frspaiere"/>
        <w:spacing w:line="360" w:lineRule="auto"/>
        <w:jc w:val="both"/>
        <w:rPr>
          <w:rFonts w:ascii="Times New Roman" w:hAnsi="Times New Roman" w:cs="Times New Roman"/>
          <w:sz w:val="28"/>
          <w:szCs w:val="28"/>
          <w:lang w:val="ro-RO"/>
        </w:rPr>
      </w:pPr>
      <w:r w:rsidRPr="009E19D3">
        <w:rPr>
          <w:rFonts w:ascii="Times New Roman" w:hAnsi="Times New Roman" w:cs="Times New Roman"/>
          <w:sz w:val="28"/>
          <w:szCs w:val="28"/>
          <w:lang w:val="ro-RO"/>
        </w:rPr>
        <w:t>3)</w:t>
      </w:r>
      <w:r>
        <w:rPr>
          <w:lang w:val="ro-RO"/>
        </w:rPr>
        <w:t xml:space="preserve"> </w:t>
      </w:r>
      <w:r w:rsidRPr="009E19D3">
        <w:rPr>
          <w:rFonts w:ascii="Times New Roman" w:hAnsi="Times New Roman" w:cs="Times New Roman"/>
          <w:sz w:val="28"/>
          <w:szCs w:val="28"/>
          <w:lang w:val="ro-RO"/>
        </w:rPr>
        <w:t>În absența matricei contaminată natural, se prelevă matrice-martor și se omogenizează. Se împarte matricea în cinci cantități. Se adaugă analitul la fiecare cantitate până aproximativ la nivelul urmărit, de preferință preparat într-o cantitate mică de soluție apoasă. Se analizează imediat o parte alicotă din fiecare cantitate.</w:t>
      </w:r>
    </w:p>
    <w:p w14:paraId="24B80060" w14:textId="22B4CAE0" w:rsidR="009E19D3" w:rsidRPr="009E19D3" w:rsidRDefault="009E19D3" w:rsidP="007D63E9">
      <w:pPr>
        <w:pStyle w:val="Frspaiere"/>
        <w:spacing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Pr="009E19D3">
        <w:rPr>
          <w:rFonts w:ascii="Times New Roman" w:hAnsi="Times New Roman" w:cs="Times New Roman"/>
          <w:sz w:val="28"/>
          <w:szCs w:val="28"/>
          <w:lang w:val="ro-RO"/>
        </w:rPr>
        <w:t>e depozitează cantitățile (subprobele) din matricea contaminată natural omogenizată sau din matricea-martor îmbogățită la o temperatură care să reflecte condițiile de depozitare aplicate în laborator pentru o anumită combinație de analit/matrice și se determină concentrațiile analitului după depozitarea pe termen scurt, pe termen mediu și pe termen lung (cel puțin pe durata în care proba este, de obicei, păstrată în laborator).</w:t>
      </w:r>
    </w:p>
    <w:p w14:paraId="2B7F503C" w14:textId="1CF11D41" w:rsidR="00AA0BFD" w:rsidRPr="002554D8" w:rsidRDefault="009E19D3" w:rsidP="007D63E9">
      <w:pPr>
        <w:tabs>
          <w:tab w:val="left" w:pos="567"/>
          <w:tab w:val="left" w:pos="1134"/>
        </w:tabs>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5) </w:t>
      </w:r>
      <w:r w:rsidRPr="009E19D3">
        <w:rPr>
          <w:rFonts w:ascii="Times New Roman" w:hAnsi="Times New Roman" w:cs="Times New Roman"/>
          <w:bCs/>
          <w:color w:val="000000" w:themeColor="text1"/>
          <w:sz w:val="28"/>
          <w:szCs w:val="28"/>
        </w:rPr>
        <w:t xml:space="preserve">Valoarea medie a cinci părți alicote dintr-o cantitate care a fost depozitată nu trebuie să difere cu mai mult de reproductibilitatea intralaborator a metodei față de valoarea medie a celor cinci părți alicote proaspăt preparate. </w:t>
      </w:r>
      <w:r w:rsidRPr="002554D8">
        <w:rPr>
          <w:rFonts w:ascii="Times New Roman" w:hAnsi="Times New Roman" w:cs="Times New Roman"/>
          <w:bCs/>
          <w:color w:val="000000" w:themeColor="text1"/>
          <w:sz w:val="28"/>
          <w:szCs w:val="28"/>
        </w:rPr>
        <w:t>Pentru calcularea diferenței procentuale, se utilizează valoarea medie a celor cinci părți alicote proaspăt preparate.</w:t>
      </w:r>
      <w:r w:rsidR="002C3404" w:rsidRPr="002554D8">
        <w:rPr>
          <w:rFonts w:ascii="Times New Roman" w:hAnsi="Times New Roman" w:cs="Times New Roman"/>
          <w:bCs/>
          <w:color w:val="000000" w:themeColor="text1"/>
          <w:sz w:val="28"/>
          <w:szCs w:val="28"/>
        </w:rPr>
        <w:t>”</w:t>
      </w:r>
    </w:p>
    <w:p w14:paraId="1D7C1AA5" w14:textId="14462DE8" w:rsidR="00592C1E" w:rsidRPr="002554D8" w:rsidRDefault="008D029F"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944AE8" w:rsidRPr="002554D8">
        <w:rPr>
          <w:rFonts w:ascii="Times New Roman" w:hAnsi="Times New Roman" w:cs="Times New Roman"/>
          <w:bCs/>
          <w:color w:val="000000" w:themeColor="text1"/>
          <w:sz w:val="28"/>
          <w:szCs w:val="28"/>
        </w:rPr>
        <w:t>4</w:t>
      </w:r>
      <w:r w:rsidRPr="002554D8">
        <w:rPr>
          <w:rFonts w:ascii="Times New Roman" w:hAnsi="Times New Roman" w:cs="Times New Roman"/>
          <w:bCs/>
          <w:color w:val="000000" w:themeColor="text1"/>
          <w:sz w:val="28"/>
          <w:szCs w:val="28"/>
        </w:rPr>
        <w:t xml:space="preserve">. </w:t>
      </w:r>
      <w:r w:rsidR="00E346DD" w:rsidRPr="002554D8">
        <w:rPr>
          <w:rFonts w:ascii="Times New Roman" w:hAnsi="Times New Roman" w:cs="Times New Roman"/>
          <w:bCs/>
          <w:color w:val="000000" w:themeColor="text1"/>
          <w:sz w:val="28"/>
          <w:szCs w:val="28"/>
        </w:rPr>
        <w:t>p</w:t>
      </w:r>
      <w:r w:rsidRPr="002554D8">
        <w:rPr>
          <w:rFonts w:ascii="Times New Roman" w:hAnsi="Times New Roman" w:cs="Times New Roman"/>
          <w:bCs/>
          <w:color w:val="000000" w:themeColor="text1"/>
          <w:sz w:val="28"/>
          <w:szCs w:val="28"/>
        </w:rPr>
        <w:t>unctul 74, subpunctul 2, va avea următorul cuprins:</w:t>
      </w:r>
    </w:p>
    <w:p w14:paraId="2A2B7E8D" w14:textId="2281CB69" w:rsidR="008D029F" w:rsidRPr="002554D8" w:rsidRDefault="008D029F"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 xml:space="preserve">„2) Metoda 2: Investigarea materialului-martor îmbogățit la nivelul de concentrație al țintei de screening alese inițial. La acest nivel de concentrație, se analizează 20 de probe-martor îmbogățite pentru a se asigura o bază fiabilă pentru această determinare. Dacă la acest nivel de concentrație rămân ≤ 5 % false rezultate conforme, nivelul este egal cu capacitatea de detecție a metodei. Dacă se obțin &gt; 5 % false rezultate conforme, se majorează ținta de </w:t>
      </w:r>
      <w:r w:rsidRPr="002554D8">
        <w:rPr>
          <w:rFonts w:ascii="Times New Roman" w:hAnsi="Times New Roman" w:cs="Times New Roman"/>
          <w:bCs/>
          <w:color w:val="000000" w:themeColor="text1"/>
          <w:sz w:val="28"/>
          <w:szCs w:val="28"/>
        </w:rPr>
        <w:lastRenderedPageBreak/>
        <w:t xml:space="preserve">screening selectată și se repetă investigația pentru a se verifica conformitatea cu cerința de </w:t>
      </w:r>
      <w:proofErr w:type="gramStart"/>
      <w:r w:rsidRPr="002554D8">
        <w:rPr>
          <w:rFonts w:ascii="Times New Roman" w:hAnsi="Times New Roman" w:cs="Times New Roman"/>
          <w:bCs/>
          <w:color w:val="000000" w:themeColor="text1"/>
          <w:sz w:val="28"/>
          <w:szCs w:val="28"/>
        </w:rPr>
        <w:t>a</w:t>
      </w:r>
      <w:proofErr w:type="gramEnd"/>
      <w:r w:rsidRPr="002554D8">
        <w:rPr>
          <w:rFonts w:ascii="Times New Roman" w:hAnsi="Times New Roman" w:cs="Times New Roman"/>
          <w:bCs/>
          <w:color w:val="000000" w:themeColor="text1"/>
          <w:sz w:val="28"/>
          <w:szCs w:val="28"/>
        </w:rPr>
        <w:t xml:space="preserve"> obține ≤ 5 % false rezultate conforme.”</w:t>
      </w:r>
    </w:p>
    <w:p w14:paraId="68653357" w14:textId="72A3BEB2" w:rsidR="008D029F" w:rsidRPr="002554D8" w:rsidRDefault="008D029F"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944AE8" w:rsidRPr="002554D8">
        <w:rPr>
          <w:rFonts w:ascii="Times New Roman" w:hAnsi="Times New Roman" w:cs="Times New Roman"/>
          <w:bCs/>
          <w:color w:val="000000" w:themeColor="text1"/>
          <w:sz w:val="28"/>
          <w:szCs w:val="28"/>
        </w:rPr>
        <w:t>5</w:t>
      </w:r>
      <w:r w:rsidRPr="002554D8">
        <w:rPr>
          <w:rFonts w:ascii="Times New Roman" w:hAnsi="Times New Roman" w:cs="Times New Roman"/>
          <w:bCs/>
          <w:color w:val="000000" w:themeColor="text1"/>
          <w:sz w:val="28"/>
          <w:szCs w:val="28"/>
        </w:rPr>
        <w:t xml:space="preserve">. </w:t>
      </w:r>
      <w:r w:rsidR="00E346DD" w:rsidRPr="002554D8">
        <w:rPr>
          <w:rFonts w:ascii="Times New Roman" w:hAnsi="Times New Roman" w:cs="Times New Roman"/>
          <w:bCs/>
          <w:color w:val="000000" w:themeColor="text1"/>
          <w:sz w:val="28"/>
          <w:szCs w:val="28"/>
        </w:rPr>
        <w:t>p</w:t>
      </w:r>
      <w:r w:rsidRPr="002554D8">
        <w:rPr>
          <w:rFonts w:ascii="Times New Roman" w:hAnsi="Times New Roman" w:cs="Times New Roman"/>
          <w:bCs/>
          <w:color w:val="000000" w:themeColor="text1"/>
          <w:sz w:val="28"/>
          <w:szCs w:val="28"/>
        </w:rPr>
        <w:t xml:space="preserve">unctul 77 se </w:t>
      </w:r>
      <w:r w:rsidR="00915097">
        <w:rPr>
          <w:rFonts w:ascii="Times New Roman" w:hAnsi="Times New Roman" w:cs="Times New Roman"/>
          <w:bCs/>
          <w:color w:val="000000" w:themeColor="text1"/>
          <w:sz w:val="28"/>
          <w:szCs w:val="28"/>
        </w:rPr>
        <w:t>abrogă</w:t>
      </w:r>
      <w:r w:rsidRPr="002554D8">
        <w:rPr>
          <w:rFonts w:ascii="Times New Roman" w:hAnsi="Times New Roman" w:cs="Times New Roman"/>
          <w:bCs/>
          <w:color w:val="000000" w:themeColor="text1"/>
          <w:sz w:val="28"/>
          <w:szCs w:val="28"/>
        </w:rPr>
        <w:t>;</w:t>
      </w:r>
    </w:p>
    <w:p w14:paraId="45DFCC36" w14:textId="35903F0F" w:rsidR="008D029F" w:rsidRPr="002554D8" w:rsidRDefault="008D029F"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944AE8" w:rsidRPr="002554D8">
        <w:rPr>
          <w:rFonts w:ascii="Times New Roman" w:hAnsi="Times New Roman" w:cs="Times New Roman"/>
          <w:bCs/>
          <w:color w:val="000000" w:themeColor="text1"/>
          <w:sz w:val="28"/>
          <w:szCs w:val="28"/>
        </w:rPr>
        <w:t>6</w:t>
      </w:r>
      <w:r w:rsidRPr="002554D8">
        <w:rPr>
          <w:rFonts w:ascii="Times New Roman" w:hAnsi="Times New Roman" w:cs="Times New Roman"/>
          <w:bCs/>
          <w:color w:val="000000" w:themeColor="text1"/>
          <w:sz w:val="28"/>
          <w:szCs w:val="28"/>
        </w:rPr>
        <w:t xml:space="preserve">. </w:t>
      </w:r>
      <w:r w:rsidR="00E346DD" w:rsidRPr="002554D8">
        <w:rPr>
          <w:rFonts w:ascii="Times New Roman" w:hAnsi="Times New Roman" w:cs="Times New Roman"/>
          <w:bCs/>
          <w:color w:val="000000" w:themeColor="text1"/>
          <w:sz w:val="28"/>
          <w:szCs w:val="28"/>
        </w:rPr>
        <w:t>p</w:t>
      </w:r>
      <w:r w:rsidRPr="002554D8">
        <w:rPr>
          <w:rFonts w:ascii="Times New Roman" w:hAnsi="Times New Roman" w:cs="Times New Roman"/>
          <w:bCs/>
          <w:color w:val="000000" w:themeColor="text1"/>
          <w:sz w:val="28"/>
          <w:szCs w:val="28"/>
        </w:rPr>
        <w:t>unctul 80 va avea următorul cuprins:</w:t>
      </w:r>
    </w:p>
    <w:p w14:paraId="30A365D0" w14:textId="31314A7A" w:rsidR="008D029F" w:rsidRPr="002554D8" w:rsidRDefault="008D029F"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w:t>
      </w:r>
      <w:r w:rsidRPr="002554D8">
        <w:rPr>
          <w:rFonts w:ascii="Times New Roman" w:hAnsi="Times New Roman" w:cs="Times New Roman"/>
          <w:b/>
          <w:bCs/>
          <w:color w:val="000000" w:themeColor="text1"/>
          <w:sz w:val="28"/>
          <w:szCs w:val="28"/>
        </w:rPr>
        <w:t>80.</w:t>
      </w:r>
      <w:r w:rsidRPr="002554D8">
        <w:rPr>
          <w:rFonts w:ascii="Times New Roman" w:hAnsi="Times New Roman" w:cs="Times New Roman"/>
          <w:bCs/>
          <w:color w:val="000000" w:themeColor="text1"/>
          <w:sz w:val="28"/>
          <w:szCs w:val="28"/>
        </w:rPr>
        <w:t xml:space="preserve"> </w:t>
      </w:r>
      <w:r w:rsidRPr="00F9559F">
        <w:rPr>
          <w:rFonts w:ascii="Times New Roman" w:hAnsi="Times New Roman" w:cs="Times New Roman"/>
          <w:bCs/>
          <w:color w:val="000000" w:themeColor="text1"/>
          <w:sz w:val="28"/>
          <w:szCs w:val="28"/>
        </w:rPr>
        <w:t>Recuperarea absolută a metodei nu trebuie determinată dacă sunt disponibile un etalon intern, o etalonare cu îmbogățirea matricei sau ambele. În toate celelalte cazuri, se determină recuperarea absolută a metodei.”</w:t>
      </w:r>
    </w:p>
    <w:p w14:paraId="4B02E54A" w14:textId="265A9F58" w:rsidR="008D029F" w:rsidRPr="002554D8" w:rsidRDefault="008D029F"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5E15EA" w:rsidRPr="002554D8">
        <w:rPr>
          <w:rFonts w:ascii="Times New Roman" w:hAnsi="Times New Roman" w:cs="Times New Roman"/>
          <w:bCs/>
          <w:color w:val="000000" w:themeColor="text1"/>
          <w:sz w:val="28"/>
          <w:szCs w:val="28"/>
        </w:rPr>
        <w:t>7</w:t>
      </w:r>
      <w:r w:rsidRPr="002554D8">
        <w:rPr>
          <w:rFonts w:ascii="Times New Roman" w:hAnsi="Times New Roman" w:cs="Times New Roman"/>
          <w:bCs/>
          <w:color w:val="000000" w:themeColor="text1"/>
          <w:sz w:val="28"/>
          <w:szCs w:val="28"/>
        </w:rPr>
        <w:t xml:space="preserve">. </w:t>
      </w:r>
      <w:r w:rsidRPr="00F9559F">
        <w:rPr>
          <w:rFonts w:ascii="Times New Roman" w:hAnsi="Times New Roman" w:cs="Times New Roman"/>
          <w:bCs/>
          <w:color w:val="000000" w:themeColor="text1"/>
          <w:sz w:val="28"/>
          <w:szCs w:val="28"/>
        </w:rPr>
        <w:t xml:space="preserve">La punctul 86, </w:t>
      </w:r>
      <w:r w:rsidR="00485726" w:rsidRPr="00F9559F">
        <w:rPr>
          <w:rFonts w:ascii="Times New Roman" w:hAnsi="Times New Roman" w:cs="Times New Roman"/>
          <w:bCs/>
          <w:color w:val="000000" w:themeColor="text1"/>
          <w:sz w:val="28"/>
          <w:szCs w:val="28"/>
        </w:rPr>
        <w:t>textul</w:t>
      </w:r>
      <w:r w:rsidR="00863814" w:rsidRPr="00F9559F">
        <w:rPr>
          <w:rFonts w:ascii="Times New Roman" w:hAnsi="Times New Roman" w:cs="Times New Roman"/>
          <w:bCs/>
          <w:color w:val="000000" w:themeColor="text1"/>
          <w:sz w:val="28"/>
          <w:szCs w:val="28"/>
        </w:rPr>
        <w:t xml:space="preserve"> </w:t>
      </w:r>
      <w:r w:rsidRPr="00F9559F">
        <w:rPr>
          <w:rFonts w:ascii="Times New Roman" w:hAnsi="Times New Roman" w:cs="Times New Roman"/>
          <w:bCs/>
          <w:color w:val="000000" w:themeColor="text1"/>
          <w:sz w:val="28"/>
          <w:szCs w:val="28"/>
        </w:rPr>
        <w:t xml:space="preserve">„ </w:t>
      </w:r>
      <w:r w:rsidR="00863814" w:rsidRPr="00F9559F">
        <w:rPr>
          <w:rFonts w:ascii="Times New Roman" w:hAnsi="Times New Roman" w:cs="Times New Roman"/>
          <w:bCs/>
          <w:color w:val="000000" w:themeColor="text1"/>
          <w:sz w:val="28"/>
          <w:szCs w:val="28"/>
          <w:lang w:val="ro-RO"/>
        </w:rPr>
        <w:t xml:space="preserve">nu trebuie să fie mai mare de 20 % pentru MF” se substituie cu </w:t>
      </w:r>
      <w:r w:rsidR="00700B67">
        <w:rPr>
          <w:rFonts w:ascii="Times New Roman" w:hAnsi="Times New Roman" w:cs="Times New Roman"/>
          <w:bCs/>
          <w:color w:val="000000" w:themeColor="text1"/>
          <w:sz w:val="28"/>
          <w:szCs w:val="28"/>
          <w:lang w:val="ro-RO"/>
        </w:rPr>
        <w:t>textul</w:t>
      </w:r>
      <w:r w:rsidR="00863814" w:rsidRPr="00F9559F">
        <w:rPr>
          <w:rFonts w:ascii="Times New Roman" w:hAnsi="Times New Roman" w:cs="Times New Roman"/>
          <w:bCs/>
          <w:color w:val="000000" w:themeColor="text1"/>
          <w:sz w:val="28"/>
          <w:szCs w:val="28"/>
          <w:lang w:val="ro-RO"/>
        </w:rPr>
        <w:t>: „</w:t>
      </w:r>
      <w:r w:rsidR="00AE78AA" w:rsidRPr="00F9559F">
        <w:rPr>
          <w:rFonts w:ascii="Times New Roman" w:hAnsi="Times New Roman" w:cs="Times New Roman"/>
          <w:bCs/>
          <w:color w:val="000000" w:themeColor="text1"/>
          <w:sz w:val="28"/>
          <w:szCs w:val="28"/>
        </w:rPr>
        <w:t xml:space="preserve"> </w:t>
      </w:r>
      <w:r w:rsidR="00863814" w:rsidRPr="00F9559F">
        <w:rPr>
          <w:rFonts w:ascii="Times New Roman" w:hAnsi="Times New Roman" w:cs="Times New Roman"/>
          <w:bCs/>
          <w:color w:val="000000" w:themeColor="text1"/>
          <w:sz w:val="28"/>
          <w:szCs w:val="28"/>
        </w:rPr>
        <w:t>nu trebuie să fie mai mare decât valorile enumerate în</w:t>
      </w:r>
      <w:r w:rsidR="00485726" w:rsidRPr="00F9559F">
        <w:rPr>
          <w:rFonts w:ascii="Times New Roman" w:hAnsi="Times New Roman" w:cs="Times New Roman"/>
          <w:bCs/>
          <w:color w:val="000000" w:themeColor="text1"/>
          <w:sz w:val="28"/>
          <w:szCs w:val="28"/>
        </w:rPr>
        <w:t xml:space="preserve"> </w:t>
      </w:r>
      <w:r w:rsidR="00863814" w:rsidRPr="00F9559F">
        <w:rPr>
          <w:rFonts w:ascii="Times New Roman" w:hAnsi="Times New Roman" w:cs="Times New Roman"/>
          <w:bCs/>
          <w:color w:val="000000" w:themeColor="text1"/>
          <w:sz w:val="28"/>
          <w:szCs w:val="28"/>
        </w:rPr>
        <w:t xml:space="preserve">tabelul </w:t>
      </w:r>
      <w:r w:rsidR="00163781" w:rsidRPr="00F9559F">
        <w:rPr>
          <w:rFonts w:ascii="Times New Roman" w:hAnsi="Times New Roman" w:cs="Times New Roman"/>
          <w:bCs/>
          <w:color w:val="000000" w:themeColor="text1"/>
          <w:sz w:val="28"/>
          <w:szCs w:val="28"/>
        </w:rPr>
        <w:t xml:space="preserve">nr. </w:t>
      </w:r>
      <w:r w:rsidR="00863814" w:rsidRPr="00F9559F">
        <w:rPr>
          <w:rFonts w:ascii="Times New Roman" w:hAnsi="Times New Roman" w:cs="Times New Roman"/>
          <w:bCs/>
          <w:color w:val="000000" w:themeColor="text1"/>
          <w:sz w:val="28"/>
          <w:szCs w:val="28"/>
        </w:rPr>
        <w:t>2 pentru MF.”</w:t>
      </w:r>
    </w:p>
    <w:p w14:paraId="37B22BCE" w14:textId="39FA80F8" w:rsidR="00863814" w:rsidRPr="00F9559F" w:rsidRDefault="00863814"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2554D8">
        <w:rPr>
          <w:rFonts w:ascii="Times New Roman" w:hAnsi="Times New Roman" w:cs="Times New Roman"/>
          <w:bCs/>
          <w:color w:val="000000" w:themeColor="text1"/>
          <w:sz w:val="28"/>
          <w:szCs w:val="28"/>
        </w:rPr>
        <w:t>1.3.1</w:t>
      </w:r>
      <w:r w:rsidR="00944AE8" w:rsidRPr="002554D8">
        <w:rPr>
          <w:rFonts w:ascii="Times New Roman" w:hAnsi="Times New Roman" w:cs="Times New Roman"/>
          <w:bCs/>
          <w:color w:val="000000" w:themeColor="text1"/>
          <w:sz w:val="28"/>
          <w:szCs w:val="28"/>
        </w:rPr>
        <w:t>8</w:t>
      </w:r>
      <w:r w:rsidRPr="002554D8">
        <w:rPr>
          <w:rFonts w:ascii="Times New Roman" w:hAnsi="Times New Roman" w:cs="Times New Roman"/>
          <w:bCs/>
          <w:color w:val="000000" w:themeColor="text1"/>
          <w:sz w:val="28"/>
          <w:szCs w:val="28"/>
        </w:rPr>
        <w:t xml:space="preserve">. </w:t>
      </w:r>
      <w:r w:rsidR="00E346DD" w:rsidRPr="00F9559F">
        <w:rPr>
          <w:rFonts w:ascii="Times New Roman" w:hAnsi="Times New Roman" w:cs="Times New Roman"/>
          <w:bCs/>
          <w:color w:val="000000" w:themeColor="text1"/>
          <w:sz w:val="28"/>
          <w:szCs w:val="28"/>
        </w:rPr>
        <w:t>p</w:t>
      </w:r>
      <w:r w:rsidRPr="00F9559F">
        <w:rPr>
          <w:rFonts w:ascii="Times New Roman" w:hAnsi="Times New Roman" w:cs="Times New Roman"/>
          <w:bCs/>
          <w:color w:val="000000" w:themeColor="text1"/>
          <w:sz w:val="28"/>
          <w:szCs w:val="28"/>
        </w:rPr>
        <w:t>unctul 88 va avea următorul cuprins:</w:t>
      </w:r>
    </w:p>
    <w:p w14:paraId="1A16A04B" w14:textId="5AB35559" w:rsidR="008E516F" w:rsidRPr="00F9559F" w:rsidRDefault="00863814"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F9559F">
        <w:rPr>
          <w:rFonts w:ascii="Times New Roman" w:hAnsi="Times New Roman" w:cs="Times New Roman"/>
          <w:bCs/>
          <w:color w:val="000000" w:themeColor="text1"/>
          <w:sz w:val="28"/>
          <w:szCs w:val="28"/>
        </w:rPr>
        <w:t>„</w:t>
      </w:r>
      <w:r w:rsidRPr="00F9559F">
        <w:rPr>
          <w:rFonts w:ascii="Times New Roman" w:hAnsi="Times New Roman" w:cs="Times New Roman"/>
          <w:b/>
          <w:bCs/>
          <w:color w:val="000000" w:themeColor="text1"/>
          <w:sz w:val="28"/>
          <w:szCs w:val="28"/>
        </w:rPr>
        <w:t xml:space="preserve">88. </w:t>
      </w:r>
      <w:r w:rsidRPr="00F9559F">
        <w:rPr>
          <w:rFonts w:ascii="Times New Roman" w:hAnsi="Times New Roman" w:cs="Times New Roman"/>
          <w:bCs/>
          <w:color w:val="000000" w:themeColor="text1"/>
          <w:sz w:val="28"/>
          <w:szCs w:val="28"/>
        </w:rPr>
        <w:t xml:space="preserve">În timpul analizei de rutină, analiza materialelor de referință certificate (MRC) este opțiunea preferabilă pentru a furniza dovezi privind performanța metodei. Deoarece MRC care conțin analiți relevanți la nivelurile de concentrație necesare sunt rareori disponibile, pot fi utilizate ca alternativă și materialele de referință furnizate și caracterizate de LRUE sau de laboratoare care dețin o acreditare </w:t>
      </w:r>
      <w:r w:rsidR="00252916" w:rsidRPr="00F9559F">
        <w:rPr>
          <w:rFonts w:ascii="Times New Roman" w:hAnsi="Times New Roman" w:cs="Times New Roman"/>
          <w:bCs/>
          <w:color w:val="000000" w:themeColor="text1"/>
          <w:sz w:val="28"/>
          <w:szCs w:val="28"/>
        </w:rPr>
        <w:t xml:space="preserve">SM </w:t>
      </w:r>
      <w:r w:rsidRPr="00F9559F">
        <w:rPr>
          <w:rFonts w:ascii="Times New Roman" w:hAnsi="Times New Roman" w:cs="Times New Roman"/>
          <w:bCs/>
          <w:color w:val="000000" w:themeColor="text1"/>
          <w:sz w:val="28"/>
          <w:szCs w:val="28"/>
        </w:rPr>
        <w:t>ISO/IEC 17043:2023 (Evaluarea conformității. Cerințe generale pentru competența furnizorilor de încercări de competență.). Ca o altă alternativă, se pot utiliza și materiale de referință interne, controlate în mod regulat.</w:t>
      </w:r>
      <w:r w:rsidR="002C3404" w:rsidRPr="00F9559F">
        <w:rPr>
          <w:rFonts w:ascii="Times New Roman" w:hAnsi="Times New Roman" w:cs="Times New Roman"/>
          <w:bCs/>
          <w:color w:val="000000" w:themeColor="text1"/>
          <w:sz w:val="28"/>
          <w:szCs w:val="28"/>
        </w:rPr>
        <w:t>”</w:t>
      </w:r>
    </w:p>
    <w:p w14:paraId="01067E18" w14:textId="6E92A787" w:rsidR="00790AD6" w:rsidRPr="00F9559F" w:rsidRDefault="00790AD6"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F9559F">
        <w:rPr>
          <w:rFonts w:ascii="Times New Roman" w:hAnsi="Times New Roman" w:cs="Times New Roman"/>
          <w:bCs/>
          <w:color w:val="000000" w:themeColor="text1"/>
          <w:sz w:val="28"/>
          <w:szCs w:val="28"/>
        </w:rPr>
        <w:t>1.3.1</w:t>
      </w:r>
      <w:r w:rsidR="00944AE8" w:rsidRPr="00F9559F">
        <w:rPr>
          <w:rFonts w:ascii="Times New Roman" w:hAnsi="Times New Roman" w:cs="Times New Roman"/>
          <w:bCs/>
          <w:color w:val="000000" w:themeColor="text1"/>
          <w:sz w:val="28"/>
          <w:szCs w:val="28"/>
        </w:rPr>
        <w:t>9</w:t>
      </w:r>
      <w:r w:rsidRPr="00F9559F">
        <w:rPr>
          <w:rFonts w:ascii="Times New Roman" w:hAnsi="Times New Roman" w:cs="Times New Roman"/>
          <w:bCs/>
          <w:color w:val="000000" w:themeColor="text1"/>
          <w:sz w:val="28"/>
          <w:szCs w:val="28"/>
        </w:rPr>
        <w:t>. Capitolul VI se abrogă.</w:t>
      </w:r>
    </w:p>
    <w:bookmarkEnd w:id="5"/>
    <w:p w14:paraId="0B65D07E" w14:textId="2C9D7760" w:rsidR="00A42CEA" w:rsidRPr="00F9559F" w:rsidRDefault="00A42CEA"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F9559F">
        <w:rPr>
          <w:rFonts w:ascii="Times New Roman" w:hAnsi="Times New Roman" w:cs="Times New Roman"/>
          <w:bCs/>
          <w:color w:val="000000" w:themeColor="text1"/>
          <w:sz w:val="28"/>
          <w:szCs w:val="28"/>
          <w:lang w:val="ro-RO"/>
        </w:rPr>
        <w:t>1.4. hotărârea se completează cu anexa nr. 2 cu următorul cuprins:</w:t>
      </w:r>
    </w:p>
    <w:p w14:paraId="2FF959BE" w14:textId="1138FCFC" w:rsidR="00A42CEA" w:rsidRDefault="00A42CEA" w:rsidP="007D63E9">
      <w:pPr>
        <w:tabs>
          <w:tab w:val="left" w:pos="567"/>
          <w:tab w:val="left" w:pos="1134"/>
        </w:tabs>
        <w:spacing w:line="360" w:lineRule="auto"/>
        <w:ind w:right="1416"/>
        <w:jc w:val="right"/>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w:t>
      </w:r>
      <w:r w:rsidR="003B1944">
        <w:rPr>
          <w:rFonts w:ascii="Times New Roman" w:hAnsi="Times New Roman" w:cs="Times New Roman"/>
          <w:bCs/>
          <w:color w:val="000000" w:themeColor="text1"/>
          <w:sz w:val="28"/>
          <w:szCs w:val="28"/>
          <w:lang w:val="ro-RO"/>
        </w:rPr>
        <w:t xml:space="preserve"> </w:t>
      </w:r>
      <w:r>
        <w:rPr>
          <w:rFonts w:ascii="Times New Roman" w:hAnsi="Times New Roman" w:cs="Times New Roman"/>
          <w:bCs/>
          <w:color w:val="000000" w:themeColor="text1"/>
          <w:sz w:val="28"/>
          <w:szCs w:val="28"/>
          <w:lang w:val="ro-RO"/>
        </w:rPr>
        <w:t xml:space="preserve">Anexa nr. 2 </w:t>
      </w:r>
    </w:p>
    <w:p w14:paraId="41FDECF2" w14:textId="1DF9B75C" w:rsidR="00A42CEA" w:rsidRPr="000D16E9" w:rsidRDefault="00A42CEA" w:rsidP="007D63E9">
      <w:pPr>
        <w:tabs>
          <w:tab w:val="left" w:pos="567"/>
          <w:tab w:val="left" w:pos="1134"/>
        </w:tabs>
        <w:spacing w:line="360" w:lineRule="auto"/>
        <w:jc w:val="right"/>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La Hotărârea Guvernului nr. 721/2023</w:t>
      </w:r>
    </w:p>
    <w:p w14:paraId="0ABDB14B" w14:textId="63C831EF" w:rsidR="00651EF0" w:rsidRPr="00651EF0" w:rsidRDefault="00651EF0" w:rsidP="007D63E9">
      <w:pPr>
        <w:pStyle w:val="Frspaiere"/>
        <w:spacing w:line="360" w:lineRule="auto"/>
        <w:jc w:val="center"/>
        <w:rPr>
          <w:rFonts w:ascii="Times New Roman" w:hAnsi="Times New Roman" w:cs="Times New Roman"/>
          <w:b/>
          <w:color w:val="000000" w:themeColor="text1"/>
          <w:sz w:val="28"/>
          <w:szCs w:val="28"/>
          <w:lang w:val="ro-RO"/>
        </w:rPr>
      </w:pPr>
      <w:bookmarkStart w:id="6" w:name="_Hlk216084907"/>
      <w:r w:rsidRPr="00651EF0">
        <w:rPr>
          <w:rFonts w:ascii="Times New Roman" w:hAnsi="Times New Roman" w:cs="Times New Roman"/>
          <w:b/>
          <w:color w:val="000000" w:themeColor="text1"/>
          <w:sz w:val="28"/>
          <w:szCs w:val="28"/>
          <w:lang w:val="ro-RO"/>
        </w:rPr>
        <w:lastRenderedPageBreak/>
        <w:t>NORMA</w:t>
      </w:r>
    </w:p>
    <w:p w14:paraId="59C9C883" w14:textId="5434799A" w:rsidR="000D16E9" w:rsidRDefault="008D1160" w:rsidP="007D63E9">
      <w:pPr>
        <w:pStyle w:val="Frspaiere"/>
        <w:spacing w:line="360" w:lineRule="auto"/>
        <w:ind w:right="-1" w:firstLine="142"/>
        <w:jc w:val="center"/>
        <w:rPr>
          <w:rFonts w:ascii="Times New Roman" w:hAnsi="Times New Roman" w:cs="Times New Roman"/>
          <w:b/>
          <w:color w:val="000000" w:themeColor="text1"/>
          <w:sz w:val="28"/>
          <w:szCs w:val="28"/>
          <w:lang w:val="ro-RO"/>
        </w:rPr>
      </w:pPr>
      <w:r w:rsidRPr="00651EF0">
        <w:rPr>
          <w:rFonts w:ascii="Times New Roman" w:hAnsi="Times New Roman" w:cs="Times New Roman"/>
          <w:b/>
          <w:color w:val="000000" w:themeColor="text1"/>
          <w:sz w:val="28"/>
          <w:szCs w:val="28"/>
          <w:lang w:val="ro-RO"/>
        </w:rPr>
        <w:t>privind valorile de referință pentru substanțele farmacologic active nepermise care sunt prezente în alimentele de origine animală</w:t>
      </w:r>
    </w:p>
    <w:p w14:paraId="7C29D871" w14:textId="77777777" w:rsidR="00651EF0" w:rsidRPr="00651EF0" w:rsidRDefault="00651EF0" w:rsidP="007D63E9">
      <w:pPr>
        <w:pStyle w:val="Frspaiere"/>
        <w:spacing w:line="360" w:lineRule="auto"/>
        <w:jc w:val="center"/>
        <w:rPr>
          <w:rFonts w:ascii="Times New Roman" w:hAnsi="Times New Roman" w:cs="Times New Roman"/>
          <w:b/>
          <w:color w:val="000000" w:themeColor="text1"/>
          <w:sz w:val="28"/>
          <w:szCs w:val="28"/>
          <w:lang w:val="ro-RO"/>
        </w:rPr>
      </w:pPr>
    </w:p>
    <w:bookmarkEnd w:id="6"/>
    <w:p w14:paraId="0518CF78" w14:textId="43175CCC" w:rsidR="0071685D" w:rsidRPr="0071685D" w:rsidRDefault="0071685D" w:rsidP="007D63E9">
      <w:pPr>
        <w:tabs>
          <w:tab w:val="left" w:pos="0"/>
        </w:tabs>
        <w:spacing w:line="360" w:lineRule="auto"/>
        <w:jc w:val="both"/>
        <w:rPr>
          <w:rFonts w:ascii="Times New Roman" w:hAnsi="Times New Roman" w:cs="Times New Roman"/>
          <w:sz w:val="28"/>
          <w:szCs w:val="28"/>
        </w:rPr>
      </w:pPr>
      <w:r w:rsidRPr="0071685D">
        <w:rPr>
          <w:rFonts w:ascii="Times New Roman" w:hAnsi="Times New Roman" w:cs="Times New Roman"/>
          <w:sz w:val="28"/>
          <w:szCs w:val="28"/>
        </w:rPr>
        <w:t>Prezenta Normă transpune Regulamentul (UE) 2019/1871 al Comisiei din 7 noiembrie 2019 privind valorile de referință pentru substanțele farmacologic active nepermise care sunt prezente în alimentele de origine animală și de abrogare a Deciziei 2005/34/CE, publicat în Jurnalul Oficial al Uniunii Europene L 289 din 8 noiembrie 2019, CELEX: 32019R1871, așa cum a fost modificat ultima dată prin Regulamentul (UE) 2024/2858</w:t>
      </w:r>
      <w:r w:rsidR="00D00990" w:rsidRPr="00D00990">
        <w:rPr>
          <w:rFonts w:ascii="Times New Roman" w:hAnsi="Times New Roman" w:cs="Times New Roman"/>
          <w:sz w:val="28"/>
          <w:szCs w:val="28"/>
        </w:rPr>
        <w:t xml:space="preserve"> </w:t>
      </w:r>
      <w:r w:rsidR="00500C8A">
        <w:rPr>
          <w:rFonts w:ascii="Times New Roman" w:hAnsi="Times New Roman" w:cs="Times New Roman"/>
          <w:sz w:val="28"/>
          <w:szCs w:val="28"/>
        </w:rPr>
        <w:t>al Comisiei din 12 noiembrie 2024</w:t>
      </w:r>
      <w:r w:rsidRPr="0071685D">
        <w:rPr>
          <w:rFonts w:ascii="Times New Roman" w:hAnsi="Times New Roman" w:cs="Times New Roman"/>
          <w:sz w:val="28"/>
          <w:szCs w:val="28"/>
        </w:rPr>
        <w:t xml:space="preserve">. </w:t>
      </w:r>
    </w:p>
    <w:p w14:paraId="42304DD4" w14:textId="6EAD300A" w:rsidR="008D1160" w:rsidRPr="00723E2F" w:rsidRDefault="008D1160" w:rsidP="007D63E9">
      <w:pPr>
        <w:tabs>
          <w:tab w:val="left" w:pos="567"/>
          <w:tab w:val="left" w:pos="1134"/>
        </w:tabs>
        <w:spacing w:line="360" w:lineRule="auto"/>
        <w:jc w:val="both"/>
        <w:rPr>
          <w:rFonts w:ascii="Times New Roman" w:hAnsi="Times New Roman" w:cs="Times New Roman"/>
          <w:b/>
          <w:bCs/>
          <w:color w:val="000000" w:themeColor="text1"/>
          <w:sz w:val="28"/>
          <w:szCs w:val="28"/>
        </w:rPr>
      </w:pPr>
      <w:r w:rsidRPr="00723E2F">
        <w:rPr>
          <w:rFonts w:ascii="Times New Roman" w:hAnsi="Times New Roman" w:cs="Times New Roman"/>
          <w:b/>
          <w:bCs/>
          <w:color w:val="000000" w:themeColor="text1"/>
          <w:sz w:val="28"/>
          <w:szCs w:val="28"/>
        </w:rPr>
        <w:t xml:space="preserve">1. </w:t>
      </w:r>
      <w:r w:rsidRPr="00723E2F">
        <w:rPr>
          <w:rFonts w:ascii="Times New Roman" w:hAnsi="Times New Roman" w:cs="Times New Roman"/>
          <w:bCs/>
          <w:color w:val="000000" w:themeColor="text1"/>
          <w:sz w:val="28"/>
          <w:szCs w:val="28"/>
        </w:rPr>
        <w:t>Prezen</w:t>
      </w:r>
      <w:r w:rsidR="00651EF0">
        <w:rPr>
          <w:rFonts w:ascii="Times New Roman" w:hAnsi="Times New Roman" w:cs="Times New Roman"/>
          <w:bCs/>
          <w:color w:val="000000" w:themeColor="text1"/>
          <w:sz w:val="28"/>
          <w:szCs w:val="28"/>
        </w:rPr>
        <w:t>ta</w:t>
      </w:r>
      <w:r w:rsidRPr="00723E2F">
        <w:rPr>
          <w:rFonts w:ascii="Times New Roman" w:hAnsi="Times New Roman" w:cs="Times New Roman"/>
          <w:bCs/>
          <w:color w:val="000000" w:themeColor="text1"/>
          <w:sz w:val="28"/>
          <w:szCs w:val="28"/>
        </w:rPr>
        <w:t xml:space="preserve"> </w:t>
      </w:r>
      <w:r w:rsidR="00651EF0">
        <w:rPr>
          <w:rFonts w:ascii="Times New Roman" w:hAnsi="Times New Roman" w:cs="Times New Roman"/>
          <w:bCs/>
          <w:color w:val="000000" w:themeColor="text1"/>
          <w:sz w:val="28"/>
          <w:szCs w:val="28"/>
        </w:rPr>
        <w:t>Norma</w:t>
      </w:r>
      <w:r w:rsidRPr="00723E2F">
        <w:rPr>
          <w:rFonts w:ascii="Times New Roman" w:hAnsi="Times New Roman" w:cs="Times New Roman"/>
          <w:bCs/>
          <w:color w:val="000000" w:themeColor="text1"/>
          <w:sz w:val="28"/>
          <w:szCs w:val="28"/>
        </w:rPr>
        <w:t xml:space="preserve"> stabilește:</w:t>
      </w:r>
    </w:p>
    <w:p w14:paraId="4251E94A" w14:textId="462BB5D0" w:rsidR="008D1160" w:rsidRPr="00651EF0" w:rsidRDefault="008D1160"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723E2F">
        <w:rPr>
          <w:rFonts w:ascii="Times New Roman" w:hAnsi="Times New Roman" w:cs="Times New Roman"/>
          <w:bCs/>
          <w:color w:val="000000" w:themeColor="text1"/>
          <w:sz w:val="28"/>
          <w:szCs w:val="28"/>
        </w:rPr>
        <w:t xml:space="preserve">1.1 norme de stabilitate a valorilor de referință pentru </w:t>
      </w:r>
      <w:r w:rsidR="00723E2F" w:rsidRPr="00723E2F">
        <w:rPr>
          <w:rFonts w:ascii="Times New Roman" w:hAnsi="Times New Roman" w:cs="Times New Roman"/>
          <w:bCs/>
          <w:color w:val="000000" w:themeColor="text1"/>
          <w:sz w:val="28"/>
          <w:szCs w:val="28"/>
        </w:rPr>
        <w:t xml:space="preserve">reziduurile de substanțe farmacologic active în cazul cărora nu s-a stabilit nicio limită maximă pentru reziduuri în conformitate </w:t>
      </w:r>
      <w:bookmarkStart w:id="7" w:name="_Hlk216767195"/>
      <w:r w:rsidR="00651EF0">
        <w:rPr>
          <w:rFonts w:ascii="Times New Roman" w:hAnsi="Times New Roman" w:cs="Times New Roman"/>
          <w:bCs/>
          <w:color w:val="000000" w:themeColor="text1"/>
          <w:sz w:val="28"/>
          <w:szCs w:val="28"/>
        </w:rPr>
        <w:t xml:space="preserve">cu </w:t>
      </w:r>
      <w:r w:rsidR="00651EF0" w:rsidRPr="00651EF0">
        <w:rPr>
          <w:rFonts w:ascii="Times New Roman" w:hAnsi="Times New Roman" w:cs="Times New Roman"/>
          <w:bCs/>
          <w:color w:val="000000" w:themeColor="text1"/>
          <w:sz w:val="28"/>
          <w:szCs w:val="28"/>
        </w:rPr>
        <w:t>Regulamentului privind măsurile şi procedurile</w:t>
      </w:r>
      <w:r w:rsidR="00651EF0">
        <w:rPr>
          <w:rFonts w:ascii="Times New Roman" w:hAnsi="Times New Roman" w:cs="Times New Roman"/>
          <w:bCs/>
          <w:color w:val="000000" w:themeColor="text1"/>
          <w:sz w:val="28"/>
          <w:szCs w:val="28"/>
        </w:rPr>
        <w:t xml:space="preserve"> </w:t>
      </w:r>
      <w:r w:rsidR="00651EF0" w:rsidRPr="00651EF0">
        <w:rPr>
          <w:rFonts w:ascii="Times New Roman" w:hAnsi="Times New Roman" w:cs="Times New Roman"/>
          <w:bCs/>
          <w:color w:val="000000" w:themeColor="text1"/>
          <w:sz w:val="28"/>
          <w:szCs w:val="28"/>
        </w:rPr>
        <w:t>de stabilire a limitelor maxime admise de reziduuri ale substanţelor</w:t>
      </w:r>
      <w:r w:rsidR="00651EF0">
        <w:rPr>
          <w:rFonts w:ascii="Times New Roman" w:hAnsi="Times New Roman" w:cs="Times New Roman"/>
          <w:bCs/>
          <w:color w:val="000000" w:themeColor="text1"/>
          <w:sz w:val="28"/>
          <w:szCs w:val="28"/>
        </w:rPr>
        <w:t xml:space="preserve"> </w:t>
      </w:r>
      <w:r w:rsidR="00651EF0" w:rsidRPr="00651EF0">
        <w:rPr>
          <w:rFonts w:ascii="Times New Roman" w:hAnsi="Times New Roman" w:cs="Times New Roman"/>
          <w:bCs/>
          <w:color w:val="000000" w:themeColor="text1"/>
          <w:sz w:val="28"/>
          <w:szCs w:val="28"/>
        </w:rPr>
        <w:t>farmacologic active în produsele alimentare de origine animală</w:t>
      </w:r>
      <w:r w:rsidR="00651EF0">
        <w:rPr>
          <w:rFonts w:ascii="Times New Roman" w:hAnsi="Times New Roman" w:cs="Times New Roman"/>
          <w:bCs/>
          <w:color w:val="000000" w:themeColor="text1"/>
          <w:sz w:val="28"/>
          <w:szCs w:val="28"/>
        </w:rPr>
        <w:t>, aprobat prin Hotărârea Guvernului nr. 195/2011.</w:t>
      </w:r>
      <w:bookmarkEnd w:id="7"/>
    </w:p>
    <w:p w14:paraId="56B0937F" w14:textId="72DA3A6A" w:rsidR="00723E2F"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723E2F">
        <w:rPr>
          <w:rFonts w:ascii="Times New Roman" w:hAnsi="Times New Roman" w:cs="Times New Roman"/>
          <w:bCs/>
          <w:color w:val="000000" w:themeColor="text1"/>
          <w:sz w:val="28"/>
          <w:szCs w:val="28"/>
        </w:rPr>
        <w:t>1.2. principii metodologice și metode științifice pentru evaluarea riscurilor în ceea ce privește siguranța valorilor de referință;</w:t>
      </w:r>
    </w:p>
    <w:p w14:paraId="38FFE7F9" w14:textId="30BA26F2" w:rsidR="00723E2F"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723E2F">
        <w:rPr>
          <w:rFonts w:ascii="Times New Roman" w:hAnsi="Times New Roman" w:cs="Times New Roman"/>
          <w:bCs/>
          <w:color w:val="000000" w:themeColor="text1"/>
          <w:sz w:val="28"/>
          <w:szCs w:val="28"/>
        </w:rPr>
        <w:t xml:space="preserve">1.3. valori de referință în cazul reziduurilor de anumite substanțe farmacologic active în cazul cărora nu s-a stabilit nicio limită maximă pentru reziduuri în conformitate </w:t>
      </w:r>
      <w:r w:rsidR="00651EF0" w:rsidRPr="00651EF0">
        <w:rPr>
          <w:rFonts w:ascii="Times New Roman" w:hAnsi="Times New Roman" w:cs="Times New Roman"/>
          <w:bCs/>
          <w:color w:val="000000" w:themeColor="text1"/>
          <w:sz w:val="28"/>
          <w:szCs w:val="28"/>
        </w:rPr>
        <w:t>cu Regulamentului privind măsurile şi procedurile de stabilire a limitelor maxime admise de reziduuri ale substanţelor farmacologic active în produsele alimentare de origine animală, aprobat prin Hotărârea Guvernului nr. 195/2011.</w:t>
      </w:r>
      <w:r w:rsidR="00651EF0">
        <w:rPr>
          <w:rFonts w:ascii="Times New Roman" w:hAnsi="Times New Roman" w:cs="Times New Roman"/>
          <w:bCs/>
          <w:color w:val="000000" w:themeColor="text1"/>
          <w:sz w:val="28"/>
          <w:szCs w:val="28"/>
        </w:rPr>
        <w:t xml:space="preserve"> </w:t>
      </w:r>
    </w:p>
    <w:p w14:paraId="7337ED56" w14:textId="040E810E" w:rsidR="00A42CEA"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rPr>
      </w:pPr>
      <w:r w:rsidRPr="00723E2F">
        <w:rPr>
          <w:rFonts w:ascii="Times New Roman" w:hAnsi="Times New Roman" w:cs="Times New Roman"/>
          <w:bCs/>
          <w:color w:val="000000" w:themeColor="text1"/>
          <w:sz w:val="28"/>
          <w:szCs w:val="28"/>
        </w:rPr>
        <w:lastRenderedPageBreak/>
        <w:t>1.4. norme specifice privind măsurile care trebuie luate în cazul confirmării prezenței unui reziduu al unei substanțe interzise sau nepermise la niveluri superioare, egale sau inferioare în raport cu valoarea de referință.</w:t>
      </w:r>
    </w:p>
    <w:p w14:paraId="2D1E3E7B" w14:textId="61FB906D" w:rsidR="000D16E9" w:rsidRPr="005563EF" w:rsidRDefault="00723E2F" w:rsidP="007D63E9">
      <w:pPr>
        <w:tabs>
          <w:tab w:val="left" w:pos="567"/>
          <w:tab w:val="left" w:pos="1134"/>
        </w:tabs>
        <w:spacing w:line="360" w:lineRule="auto"/>
        <w:jc w:val="both"/>
        <w:rPr>
          <w:rFonts w:ascii="Times New Roman" w:hAnsi="Times New Roman" w:cs="Times New Roman"/>
          <w:bCs/>
          <w:color w:val="C00000"/>
          <w:sz w:val="28"/>
          <w:szCs w:val="28"/>
          <w:lang w:val="ro-RO"/>
        </w:rPr>
      </w:pPr>
      <w:r w:rsidRPr="00723E2F">
        <w:rPr>
          <w:rFonts w:ascii="Times New Roman" w:hAnsi="Times New Roman" w:cs="Times New Roman"/>
          <w:b/>
          <w:bCs/>
          <w:color w:val="000000" w:themeColor="text1"/>
          <w:sz w:val="28"/>
          <w:szCs w:val="28"/>
          <w:lang w:val="ro-RO"/>
        </w:rPr>
        <w:t>2</w:t>
      </w:r>
      <w:r w:rsidR="000D16E9" w:rsidRPr="00723E2F">
        <w:rPr>
          <w:rFonts w:ascii="Times New Roman" w:hAnsi="Times New Roman" w:cs="Times New Roman"/>
          <w:b/>
          <w:bCs/>
          <w:color w:val="000000" w:themeColor="text1"/>
          <w:sz w:val="28"/>
          <w:szCs w:val="28"/>
          <w:lang w:val="ro-RO"/>
        </w:rPr>
        <w:t>.</w:t>
      </w:r>
      <w:r w:rsidR="000D16E9" w:rsidRPr="005563EF">
        <w:rPr>
          <w:rFonts w:ascii="Times New Roman" w:hAnsi="Times New Roman" w:cs="Times New Roman"/>
          <w:b/>
          <w:bCs/>
          <w:color w:val="C00000"/>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Valorile de referință se stabilesc la cel mai mic nivel care poate fi obținut din punct de vedere analitic de laboratoarele oficiale de control, desemnate în conformitate </w:t>
      </w:r>
      <w:r w:rsidR="000D16E9" w:rsidRPr="00651EF0">
        <w:rPr>
          <w:rFonts w:ascii="Times New Roman" w:hAnsi="Times New Roman" w:cs="Times New Roman"/>
          <w:bCs/>
          <w:color w:val="000000" w:themeColor="text1"/>
          <w:sz w:val="28"/>
          <w:szCs w:val="28"/>
          <w:lang w:val="ro-RO"/>
        </w:rPr>
        <w:t xml:space="preserve">cu articolul </w:t>
      </w:r>
      <w:r w:rsidRPr="00651EF0">
        <w:rPr>
          <w:rFonts w:ascii="Times New Roman" w:hAnsi="Times New Roman" w:cs="Times New Roman"/>
          <w:bCs/>
          <w:color w:val="000000" w:themeColor="text1"/>
          <w:sz w:val="28"/>
          <w:szCs w:val="28"/>
          <w:lang w:val="ro-RO"/>
        </w:rPr>
        <w:t>3</w:t>
      </w:r>
      <w:r w:rsidR="00651EF0" w:rsidRPr="00651EF0">
        <w:rPr>
          <w:rFonts w:ascii="Times New Roman" w:hAnsi="Times New Roman" w:cs="Times New Roman"/>
          <w:bCs/>
          <w:color w:val="000000" w:themeColor="text1"/>
          <w:sz w:val="28"/>
          <w:szCs w:val="28"/>
          <w:lang w:val="ro-RO"/>
        </w:rPr>
        <w:t>5</w:t>
      </w:r>
      <w:r w:rsidR="000D16E9" w:rsidRPr="00651EF0">
        <w:rPr>
          <w:rFonts w:ascii="Times New Roman" w:hAnsi="Times New Roman" w:cs="Times New Roman"/>
          <w:bCs/>
          <w:color w:val="000000" w:themeColor="text1"/>
          <w:sz w:val="28"/>
          <w:szCs w:val="28"/>
          <w:lang w:val="ro-RO"/>
        </w:rPr>
        <w:t xml:space="preserve"> din </w:t>
      </w:r>
      <w:r w:rsidR="00651EF0" w:rsidRPr="00651EF0">
        <w:rPr>
          <w:rFonts w:ascii="Times New Roman" w:hAnsi="Times New Roman" w:cs="Times New Roman"/>
          <w:bCs/>
          <w:color w:val="000000" w:themeColor="text1"/>
          <w:sz w:val="28"/>
          <w:szCs w:val="28"/>
          <w:lang w:val="ro-RO"/>
        </w:rPr>
        <w:t>Legea nr. 82/2024</w:t>
      </w:r>
      <w:r w:rsidRPr="00651EF0">
        <w:rPr>
          <w:rFonts w:ascii="Times New Roman" w:hAnsi="Times New Roman" w:cs="Times New Roman"/>
          <w:bCs/>
          <w:color w:val="000000" w:themeColor="text1"/>
          <w:sz w:val="28"/>
          <w:szCs w:val="28"/>
          <w:lang w:val="ro-RO"/>
        </w:rPr>
        <w:t>.</w:t>
      </w:r>
      <w:r w:rsidR="000D16E9" w:rsidRPr="00651EF0">
        <w:rPr>
          <w:rFonts w:ascii="Times New Roman" w:hAnsi="Times New Roman" w:cs="Times New Roman"/>
          <w:bCs/>
          <w:color w:val="000000" w:themeColor="text1"/>
          <w:sz w:val="28"/>
          <w:szCs w:val="28"/>
          <w:lang w:val="ro-RO"/>
        </w:rPr>
        <w:t xml:space="preserve"> </w:t>
      </w:r>
    </w:p>
    <w:p w14:paraId="7C4FB5F1" w14:textId="3E5DCBFA"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Pr>
          <w:rFonts w:ascii="Times New Roman" w:hAnsi="Times New Roman" w:cs="Times New Roman"/>
          <w:b/>
          <w:bCs/>
          <w:color w:val="000000" w:themeColor="text1"/>
          <w:sz w:val="28"/>
          <w:szCs w:val="28"/>
          <w:lang w:val="ro-RO"/>
        </w:rPr>
        <w:t>3</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Valorile de referință se revizuiesc în mod regulat pentru a se asigura faptul că ele corespund celor mai mici niveluri care pot fi obținute ținând seama de cele mai recente evoluții științifice. </w:t>
      </w:r>
    </w:p>
    <w:p w14:paraId="1903E6C6" w14:textId="1E6E963A"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4.</w:t>
      </w:r>
      <w:r>
        <w:rPr>
          <w:rFonts w:ascii="Times New Roman" w:hAnsi="Times New Roman" w:cs="Times New Roman"/>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La stabilirea sau la revizuirea valorilor de referință, Agenția</w:t>
      </w:r>
      <w:r w:rsidR="00FB6E33">
        <w:rPr>
          <w:rFonts w:ascii="Times New Roman" w:hAnsi="Times New Roman" w:cs="Times New Roman"/>
          <w:bCs/>
          <w:color w:val="000000" w:themeColor="text1"/>
          <w:sz w:val="28"/>
          <w:szCs w:val="28"/>
          <w:lang w:val="ro-RO"/>
        </w:rPr>
        <w:t xml:space="preserve"> Națională pentru Siguranța Alimentelor</w:t>
      </w:r>
      <w:r w:rsidR="00F81C22">
        <w:rPr>
          <w:rFonts w:ascii="Times New Roman" w:hAnsi="Times New Roman" w:cs="Times New Roman"/>
          <w:bCs/>
          <w:color w:val="000000" w:themeColor="text1"/>
          <w:sz w:val="28"/>
          <w:szCs w:val="28"/>
          <w:lang w:val="ro-RO"/>
        </w:rPr>
        <w:t xml:space="preserve"> (în continuare</w:t>
      </w:r>
      <w:r w:rsidR="009D189A">
        <w:rPr>
          <w:rFonts w:ascii="Times New Roman" w:hAnsi="Times New Roman" w:cs="Times New Roman"/>
          <w:bCs/>
          <w:color w:val="000000" w:themeColor="text1"/>
          <w:sz w:val="28"/>
          <w:szCs w:val="28"/>
          <w:lang w:val="ro-RO"/>
        </w:rPr>
        <w:t xml:space="preserve"> </w:t>
      </w:r>
      <w:r w:rsidR="00F81C22">
        <w:rPr>
          <w:rFonts w:ascii="Times New Roman" w:hAnsi="Times New Roman" w:cs="Times New Roman"/>
          <w:bCs/>
          <w:color w:val="000000" w:themeColor="text1"/>
          <w:sz w:val="28"/>
          <w:szCs w:val="28"/>
          <w:lang w:val="ro-RO"/>
        </w:rPr>
        <w:t xml:space="preserve">- </w:t>
      </w:r>
      <w:r w:rsidR="00F81C22" w:rsidRPr="009D189A">
        <w:rPr>
          <w:rFonts w:ascii="Times New Roman" w:hAnsi="Times New Roman" w:cs="Times New Roman"/>
          <w:bCs/>
          <w:i/>
          <w:color w:val="000000" w:themeColor="text1"/>
          <w:sz w:val="28"/>
          <w:szCs w:val="28"/>
          <w:lang w:val="ro-RO"/>
        </w:rPr>
        <w:t>Agenția</w:t>
      </w:r>
      <w:r w:rsidR="009D189A">
        <w:rPr>
          <w:rFonts w:ascii="Times New Roman" w:hAnsi="Times New Roman" w:cs="Times New Roman"/>
          <w:bCs/>
          <w:color w:val="000000" w:themeColor="text1"/>
          <w:sz w:val="28"/>
          <w:szCs w:val="28"/>
          <w:lang w:val="ro-RO"/>
        </w:rPr>
        <w:t>)</w:t>
      </w:r>
      <w:r w:rsidR="00F81C22">
        <w:rPr>
          <w:rFonts w:ascii="Times New Roman" w:hAnsi="Times New Roman" w:cs="Times New Roman"/>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 va consulta laboratoarele europene de referință relevante cu privire la capacitățile analitice ale laboratoarelor naționale de referință și ale laboratoarelor oficiale în ceea ce privește concentrația minimă de reziduuri care poate fi identificată printr-o metodă analitică</w:t>
      </w:r>
      <w:r w:rsidR="00047BFF">
        <w:rPr>
          <w:rFonts w:ascii="Times New Roman" w:hAnsi="Times New Roman" w:cs="Times New Roman"/>
          <w:bCs/>
          <w:color w:val="000000" w:themeColor="text1"/>
          <w:sz w:val="28"/>
          <w:szCs w:val="28"/>
          <w:lang w:val="ro-RO"/>
        </w:rPr>
        <w:t xml:space="preserve"> </w:t>
      </w:r>
      <w:r w:rsidR="00047BFF" w:rsidRPr="00047BFF">
        <w:rPr>
          <w:rFonts w:ascii="Times New Roman" w:hAnsi="Times New Roman" w:cs="Times New Roman"/>
          <w:bCs/>
          <w:color w:val="000000" w:themeColor="text1"/>
          <w:sz w:val="28"/>
          <w:szCs w:val="28"/>
          <w:lang w:val="ro-RO"/>
        </w:rPr>
        <w:t>validată în conformitate cu cerințele din anexa nr. 1.</w:t>
      </w:r>
    </w:p>
    <w:p w14:paraId="45B8F619" w14:textId="01053E91" w:rsidR="000D16E9" w:rsidRPr="005563EF" w:rsidRDefault="00723E2F" w:rsidP="007D63E9">
      <w:pPr>
        <w:tabs>
          <w:tab w:val="left" w:pos="567"/>
          <w:tab w:val="left" w:pos="1134"/>
        </w:tabs>
        <w:spacing w:line="360" w:lineRule="auto"/>
        <w:jc w:val="both"/>
        <w:rPr>
          <w:rFonts w:ascii="Times New Roman" w:hAnsi="Times New Roman" w:cs="Times New Roman"/>
          <w:bCs/>
          <w:color w:val="C00000"/>
          <w:sz w:val="28"/>
          <w:szCs w:val="28"/>
          <w:lang w:val="ro-RO"/>
        </w:rPr>
      </w:pPr>
      <w:r w:rsidRPr="00723E2F">
        <w:rPr>
          <w:rFonts w:ascii="Times New Roman" w:hAnsi="Times New Roman" w:cs="Times New Roman"/>
          <w:b/>
          <w:bCs/>
          <w:color w:val="000000" w:themeColor="text1"/>
          <w:sz w:val="28"/>
          <w:szCs w:val="28"/>
          <w:lang w:val="ro-RO"/>
        </w:rPr>
        <w:t>5</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Evaluarea riscurilor aplicată în scopul evaluării siguranței valorilor de referință ține seama de: </w:t>
      </w:r>
    </w:p>
    <w:p w14:paraId="63C5F173" w14:textId="550C3F27"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5.1.</w:t>
      </w:r>
      <w:r w:rsidR="000D16E9" w:rsidRPr="00723E2F">
        <w:rPr>
          <w:rFonts w:ascii="Times New Roman" w:hAnsi="Times New Roman" w:cs="Times New Roman"/>
          <w:bCs/>
          <w:color w:val="000000" w:themeColor="text1"/>
          <w:sz w:val="28"/>
          <w:szCs w:val="28"/>
          <w:lang w:val="ro-RO"/>
        </w:rPr>
        <w:t xml:space="preserve">potențialul toxic și activitatea farmacologică a substanței; </w:t>
      </w:r>
    </w:p>
    <w:p w14:paraId="3BCCB6D9" w14:textId="47A62FD9"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5.</w:t>
      </w:r>
      <w:r w:rsidR="000D16E9" w:rsidRPr="00723E2F">
        <w:rPr>
          <w:rFonts w:ascii="Times New Roman" w:hAnsi="Times New Roman" w:cs="Times New Roman"/>
          <w:bCs/>
          <w:color w:val="000000" w:themeColor="text1"/>
          <w:sz w:val="28"/>
          <w:szCs w:val="28"/>
          <w:lang w:val="ro-RO"/>
        </w:rPr>
        <w:t>2</w:t>
      </w:r>
      <w:r>
        <w:rPr>
          <w:rFonts w:ascii="Times New Roman" w:hAnsi="Times New Roman" w:cs="Times New Roman"/>
          <w:bCs/>
          <w:color w:val="000000" w:themeColor="text1"/>
          <w:sz w:val="28"/>
          <w:szCs w:val="28"/>
          <w:lang w:val="ro-RO"/>
        </w:rPr>
        <w:t>.</w:t>
      </w:r>
      <w:r w:rsidR="000D16E9" w:rsidRPr="00723E2F">
        <w:rPr>
          <w:rFonts w:ascii="Times New Roman" w:hAnsi="Times New Roman" w:cs="Times New Roman"/>
          <w:bCs/>
          <w:color w:val="000000" w:themeColor="text1"/>
          <w:sz w:val="28"/>
          <w:szCs w:val="28"/>
          <w:lang w:val="ro-RO"/>
        </w:rPr>
        <w:t xml:space="preserve"> doza de reziduu absorbită prin intermediul alimentelor.</w:t>
      </w:r>
    </w:p>
    <w:p w14:paraId="378F7627" w14:textId="0124421F"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6</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În scopul determinării potențialului toxic și a activității farmacologice a substanței, se aplică următoarele valori toxicologice de screening: </w:t>
      </w:r>
    </w:p>
    <w:p w14:paraId="15B48F69" w14:textId="0073ACAA"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6.</w:t>
      </w:r>
      <w:r w:rsidR="000D16E9" w:rsidRPr="00723E2F">
        <w:rPr>
          <w:rFonts w:ascii="Times New Roman" w:hAnsi="Times New Roman" w:cs="Times New Roman"/>
          <w:bCs/>
          <w:color w:val="000000" w:themeColor="text1"/>
          <w:sz w:val="28"/>
          <w:szCs w:val="28"/>
          <w:lang w:val="ro-RO"/>
        </w:rPr>
        <w:t>1</w:t>
      </w:r>
      <w:r w:rsidRPr="00723E2F">
        <w:rPr>
          <w:rFonts w:ascii="Times New Roman" w:hAnsi="Times New Roman" w:cs="Times New Roman"/>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 pentru substanțele din grupa I, corespunzând substanțelor farmacologic active nepermise pentru care există dovezi directe de genotoxicitate sau pentru care există o alertă de genotoxicitate (din relația structură-activitate </w:t>
      </w:r>
      <w:r w:rsidR="000D16E9" w:rsidRPr="00723E2F">
        <w:rPr>
          <w:rFonts w:ascii="Times New Roman" w:hAnsi="Times New Roman" w:cs="Times New Roman"/>
          <w:bCs/>
          <w:color w:val="000000" w:themeColor="text1"/>
          <w:sz w:val="28"/>
          <w:szCs w:val="28"/>
          <w:lang w:val="ro-RO"/>
        </w:rPr>
        <w:lastRenderedPageBreak/>
        <w:t>sau prin extrapolare) sau pentru care există o lipsă de informații cu privire la genotoxicitate și, prin urmare, genotoxicitatea nu poate fi exclusă: 0,0025 μg/kg de greutate corporală pe zi;</w:t>
      </w:r>
    </w:p>
    <w:p w14:paraId="4AEE6F6F" w14:textId="3AD8EEED"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6.</w:t>
      </w:r>
      <w:r w:rsidR="000D16E9" w:rsidRPr="00723E2F">
        <w:rPr>
          <w:rFonts w:ascii="Times New Roman" w:hAnsi="Times New Roman" w:cs="Times New Roman"/>
          <w:bCs/>
          <w:color w:val="000000" w:themeColor="text1"/>
          <w:sz w:val="28"/>
          <w:szCs w:val="28"/>
          <w:lang w:val="ro-RO"/>
        </w:rPr>
        <w:t>2</w:t>
      </w:r>
      <w:r w:rsidRPr="00723E2F">
        <w:rPr>
          <w:rFonts w:ascii="Times New Roman" w:hAnsi="Times New Roman" w:cs="Times New Roman"/>
          <w:bCs/>
          <w:color w:val="000000" w:themeColor="text1"/>
          <w:sz w:val="28"/>
          <w:szCs w:val="28"/>
          <w:lang w:val="ro-RO"/>
        </w:rPr>
        <w:t>.</w:t>
      </w:r>
      <w:r w:rsidR="000D16E9" w:rsidRPr="00723E2F">
        <w:rPr>
          <w:rFonts w:ascii="Times New Roman" w:hAnsi="Times New Roman" w:cs="Times New Roman"/>
          <w:bCs/>
          <w:color w:val="000000" w:themeColor="text1"/>
          <w:sz w:val="28"/>
          <w:szCs w:val="28"/>
          <w:lang w:val="ro-RO"/>
        </w:rPr>
        <w:t xml:space="preserve"> pentru substanțele din grupa II, care corespund substanțelor farmacologic active nepermise cu activitate farmacologică asupra sistemului nervos sau a sistemului de reproducere sau care sunt corticoizi: 0,0042 µg/kg greutate corporală pe zi; </w:t>
      </w:r>
    </w:p>
    <w:p w14:paraId="3835C952" w14:textId="14EF6013" w:rsidR="000D16E9" w:rsidRPr="00723E2F" w:rsidRDefault="00723E2F" w:rsidP="007D63E9">
      <w:pPr>
        <w:tabs>
          <w:tab w:val="left" w:pos="284"/>
          <w:tab w:val="left" w:pos="567"/>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 xml:space="preserve">6.3. </w:t>
      </w:r>
      <w:r w:rsidR="000D16E9" w:rsidRPr="00723E2F">
        <w:rPr>
          <w:rFonts w:ascii="Times New Roman" w:hAnsi="Times New Roman" w:cs="Times New Roman"/>
          <w:bCs/>
          <w:color w:val="000000" w:themeColor="text1"/>
          <w:sz w:val="28"/>
          <w:szCs w:val="28"/>
          <w:lang w:val="ro-RO"/>
        </w:rPr>
        <w:t>pentru substanțele din grupa III, care corespund substanțelor farmacologic active nepermise cu efect antiinfecțios, antiinflamator și antiparazitar și alți agenți farmacologic activi: 0,22 µg/kg greutate corporală pe zi.</w:t>
      </w:r>
    </w:p>
    <w:p w14:paraId="02791A05" w14:textId="70004560"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7</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Aportul de alimente relevant se determină pe baza cifrelor privind consumul de alimente, a modelelor de consum de alimente și a prezenței substanței în diferite produse alimentare.</w:t>
      </w:r>
    </w:p>
    <w:p w14:paraId="7AE7F360" w14:textId="4105BA35"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8</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Siguranța valorilor de referință se evaluează verificând dacă valoarea toxicologică de screening, împărțită la aportul alimentar relevant, este mai mare sau egală cu capacitatea analitică a laboratoarelor oficiale de control, caz în care siguranța valorii de referință este garantată la nivelul capacității analitice.</w:t>
      </w:r>
    </w:p>
    <w:p w14:paraId="2F70A79C" w14:textId="17A5FA4C"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9</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Pentru o evaluare a riscurilor specifice unei substanțe care să determine dacă valorile de referință sunt adecvate pentru a proteja sănătatea umană se adresează o cerere la Autoritatea Europeană pentru Siguranța Alimentară (în continuare</w:t>
      </w:r>
      <w:r>
        <w:rPr>
          <w:rFonts w:ascii="Times New Roman" w:hAnsi="Times New Roman" w:cs="Times New Roman"/>
          <w:bCs/>
          <w:color w:val="000000" w:themeColor="text1"/>
          <w:sz w:val="28"/>
          <w:szCs w:val="28"/>
          <w:lang w:val="ro-RO"/>
        </w:rPr>
        <w:t>-</w:t>
      </w:r>
      <w:r w:rsidR="000D16E9" w:rsidRPr="00723E2F">
        <w:rPr>
          <w:rFonts w:ascii="Times New Roman" w:hAnsi="Times New Roman" w:cs="Times New Roman"/>
          <w:bCs/>
          <w:color w:val="000000" w:themeColor="text1"/>
          <w:sz w:val="28"/>
          <w:szCs w:val="28"/>
          <w:lang w:val="ro-RO"/>
        </w:rPr>
        <w:t xml:space="preserve"> </w:t>
      </w:r>
      <w:r w:rsidR="000D16E9" w:rsidRPr="00723E2F">
        <w:rPr>
          <w:rFonts w:ascii="Times New Roman" w:hAnsi="Times New Roman" w:cs="Times New Roman"/>
          <w:bCs/>
          <w:i/>
          <w:color w:val="000000" w:themeColor="text1"/>
          <w:sz w:val="28"/>
          <w:szCs w:val="28"/>
          <w:lang w:val="ro-RO"/>
        </w:rPr>
        <w:t>EFSA</w:t>
      </w:r>
      <w:r w:rsidR="000D16E9" w:rsidRPr="00723E2F">
        <w:rPr>
          <w:rFonts w:ascii="Times New Roman" w:hAnsi="Times New Roman" w:cs="Times New Roman"/>
          <w:bCs/>
          <w:color w:val="000000" w:themeColor="text1"/>
          <w:sz w:val="28"/>
          <w:szCs w:val="28"/>
          <w:lang w:val="ro-RO"/>
        </w:rPr>
        <w:t>), în special pentru substanțele:</w:t>
      </w:r>
    </w:p>
    <w:p w14:paraId="0FDACE49" w14:textId="397BA286"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9.</w:t>
      </w:r>
      <w:r w:rsidR="000D16E9" w:rsidRPr="00723E2F">
        <w:rPr>
          <w:rFonts w:ascii="Times New Roman" w:hAnsi="Times New Roman" w:cs="Times New Roman"/>
          <w:bCs/>
          <w:color w:val="000000" w:themeColor="text1"/>
          <w:sz w:val="28"/>
          <w:szCs w:val="28"/>
          <w:lang w:val="ro-RO"/>
        </w:rPr>
        <w:t>1</w:t>
      </w:r>
      <w:r w:rsidRPr="00723E2F">
        <w:rPr>
          <w:rFonts w:ascii="Times New Roman" w:hAnsi="Times New Roman" w:cs="Times New Roman"/>
          <w:bCs/>
          <w:color w:val="000000" w:themeColor="text1"/>
          <w:sz w:val="28"/>
          <w:szCs w:val="28"/>
          <w:lang w:val="ro-RO"/>
        </w:rPr>
        <w:t>.</w:t>
      </w:r>
      <w:r w:rsidR="000D16E9" w:rsidRPr="00723E2F">
        <w:rPr>
          <w:rFonts w:ascii="Times New Roman" w:hAnsi="Times New Roman" w:cs="Times New Roman"/>
          <w:bCs/>
          <w:color w:val="000000" w:themeColor="text1"/>
          <w:sz w:val="28"/>
          <w:szCs w:val="28"/>
          <w:lang w:val="ro-RO"/>
        </w:rPr>
        <w:t xml:space="preserve"> care cauzează discrazii sanguine sau alergii (cu excepția sensibilizării pielii); </w:t>
      </w:r>
    </w:p>
    <w:p w14:paraId="58288C5A" w14:textId="1C4613F6"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lastRenderedPageBreak/>
        <w:t>9.2.</w:t>
      </w:r>
      <w:r w:rsidR="000D16E9" w:rsidRPr="00723E2F">
        <w:rPr>
          <w:rFonts w:ascii="Times New Roman" w:hAnsi="Times New Roman" w:cs="Times New Roman"/>
          <w:bCs/>
          <w:color w:val="000000" w:themeColor="text1"/>
          <w:sz w:val="28"/>
          <w:szCs w:val="28"/>
          <w:lang w:val="ro-RO"/>
        </w:rPr>
        <w:t xml:space="preserve"> care sunt carcinogene cu potențial mare; </w:t>
      </w:r>
    </w:p>
    <w:p w14:paraId="269D3DA0" w14:textId="53A46B5A"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Cs/>
          <w:color w:val="000000" w:themeColor="text1"/>
          <w:sz w:val="28"/>
          <w:szCs w:val="28"/>
          <w:lang w:val="ro-RO"/>
        </w:rPr>
        <w:t>9.3.</w:t>
      </w:r>
      <w:r w:rsidR="000D16E9" w:rsidRPr="00723E2F">
        <w:rPr>
          <w:rFonts w:ascii="Times New Roman" w:hAnsi="Times New Roman" w:cs="Times New Roman"/>
          <w:bCs/>
          <w:color w:val="000000" w:themeColor="text1"/>
          <w:sz w:val="28"/>
          <w:szCs w:val="28"/>
          <w:lang w:val="ro-RO"/>
        </w:rPr>
        <w:t xml:space="preserve"> pentru care nu poate fi exclusă genotoxicitatea, în cazul în care există dovezi experimentale sau de altă natură care atestă că este posibil ca utilizarea valorii toxicologice de screening de 0,0025 μg/kg de greutate corporală pe zi să nu protejeze suficient sănătatea.</w:t>
      </w:r>
    </w:p>
    <w:p w14:paraId="7951F04C" w14:textId="6BA7DA16" w:rsidR="000D16E9" w:rsidRPr="00723E2F" w:rsidRDefault="00723E2F"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10</w:t>
      </w:r>
      <w:r w:rsidR="000D16E9" w:rsidRPr="00723E2F">
        <w:rPr>
          <w:rFonts w:ascii="Times New Roman" w:hAnsi="Times New Roman" w:cs="Times New Roman"/>
          <w:b/>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Dacă este cazul, </w:t>
      </w:r>
      <w:r w:rsidR="00B91928" w:rsidRPr="00B91928">
        <w:rPr>
          <w:rFonts w:ascii="Times New Roman" w:hAnsi="Times New Roman" w:cs="Times New Roman"/>
          <w:bCs/>
          <w:color w:val="000000" w:themeColor="text1"/>
          <w:sz w:val="28"/>
          <w:szCs w:val="28"/>
          <w:lang w:val="ro-RO"/>
        </w:rPr>
        <w:t xml:space="preserve">Agenția va transmite o cerere la </w:t>
      </w:r>
      <w:r w:rsidR="00B91928" w:rsidRPr="00B91928">
        <w:rPr>
          <w:rFonts w:ascii="Times New Roman" w:hAnsi="Times New Roman" w:cs="Times New Roman"/>
          <w:bCs/>
          <w:color w:val="000000" w:themeColor="text1"/>
          <w:sz w:val="28"/>
          <w:szCs w:val="28"/>
        </w:rPr>
        <w:t>European Food Safety Authority</w:t>
      </w:r>
      <w:r w:rsidR="00B91928" w:rsidRPr="00B91928">
        <w:rPr>
          <w:rFonts w:ascii="Times New Roman" w:hAnsi="Times New Roman" w:cs="Times New Roman"/>
          <w:bCs/>
          <w:i/>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o evaluare a riscurilor specifice unei substanțe pentru a stabili dacă o valoare de referință este adecvată pentru a proteja sănătatea umană, în cazul în care aplicarea metodei prevăzute la </w:t>
      </w:r>
      <w:r w:rsidR="000D16E9" w:rsidRPr="00651EF0">
        <w:rPr>
          <w:rFonts w:ascii="Times New Roman" w:hAnsi="Times New Roman" w:cs="Times New Roman"/>
          <w:bCs/>
          <w:color w:val="000000" w:themeColor="text1"/>
          <w:sz w:val="28"/>
          <w:szCs w:val="28"/>
          <w:lang w:val="ro-RO"/>
        </w:rPr>
        <w:t xml:space="preserve">punctul </w:t>
      </w:r>
      <w:r w:rsidR="00651EF0" w:rsidRPr="00651EF0">
        <w:rPr>
          <w:rFonts w:ascii="Times New Roman" w:hAnsi="Times New Roman" w:cs="Times New Roman"/>
          <w:bCs/>
          <w:color w:val="000000" w:themeColor="text1"/>
          <w:sz w:val="28"/>
          <w:szCs w:val="28"/>
          <w:lang w:val="ro-RO"/>
        </w:rPr>
        <w:t>8</w:t>
      </w:r>
      <w:r w:rsidR="000D16E9" w:rsidRPr="00651EF0">
        <w:rPr>
          <w:rFonts w:ascii="Times New Roman" w:hAnsi="Times New Roman" w:cs="Times New Roman"/>
          <w:bCs/>
          <w:color w:val="000000" w:themeColor="text1"/>
          <w:sz w:val="28"/>
          <w:szCs w:val="28"/>
          <w:lang w:val="ro-RO"/>
        </w:rPr>
        <w:t xml:space="preserve"> </w:t>
      </w:r>
      <w:r w:rsidR="000D16E9" w:rsidRPr="00723E2F">
        <w:rPr>
          <w:rFonts w:ascii="Times New Roman" w:hAnsi="Times New Roman" w:cs="Times New Roman"/>
          <w:bCs/>
          <w:color w:val="000000" w:themeColor="text1"/>
          <w:sz w:val="28"/>
          <w:szCs w:val="28"/>
          <w:lang w:val="ro-RO"/>
        </w:rPr>
        <w:t xml:space="preserve">indică faptul că valoarea toxicologică de screening, împărțită la aportul de alimente relevant, este mai mică decât capacitatea analitică a laboratoarelor oficiale de control și că nu există sau că există o mică posibilitate de îmbunătățire semnificativă a capacității analitice într-un termen scurt sau mediu. </w:t>
      </w:r>
    </w:p>
    <w:p w14:paraId="577C9742" w14:textId="638F29A5" w:rsidR="000D16E9" w:rsidRPr="00723E2F" w:rsidRDefault="000D16E9"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1</w:t>
      </w:r>
      <w:r w:rsidR="00723E2F" w:rsidRPr="00723E2F">
        <w:rPr>
          <w:rFonts w:ascii="Times New Roman" w:hAnsi="Times New Roman" w:cs="Times New Roman"/>
          <w:b/>
          <w:bCs/>
          <w:color w:val="000000" w:themeColor="text1"/>
          <w:sz w:val="28"/>
          <w:szCs w:val="28"/>
          <w:lang w:val="ro-RO"/>
        </w:rPr>
        <w:t>1</w:t>
      </w:r>
      <w:r w:rsidRPr="00723E2F">
        <w:rPr>
          <w:rFonts w:ascii="Times New Roman" w:hAnsi="Times New Roman" w:cs="Times New Roman"/>
          <w:b/>
          <w:bCs/>
          <w:color w:val="000000" w:themeColor="text1"/>
          <w:sz w:val="28"/>
          <w:szCs w:val="28"/>
          <w:lang w:val="ro-RO"/>
        </w:rPr>
        <w:t xml:space="preserve">. </w:t>
      </w:r>
      <w:r w:rsidRPr="00723E2F">
        <w:rPr>
          <w:rFonts w:ascii="Times New Roman" w:hAnsi="Times New Roman" w:cs="Times New Roman"/>
          <w:bCs/>
          <w:color w:val="000000" w:themeColor="text1"/>
          <w:sz w:val="28"/>
          <w:szCs w:val="28"/>
          <w:lang w:val="ro-RO"/>
        </w:rPr>
        <w:t>În cazul în care evaluarea riscurilor specifică unei substanțe este neconcludentă, din cauza incertitudinilor privind anumite aspecte ale evaluării toxicologice sau ale expunerii, și nu sunt disponibile garanții care să indice dacă cea mai mică concentrație care se poate obține din punct de vedere analitic este suficient de sigură pentru consumatori, laboratoarele naționale de referință depun eforturi pentru a spori sensibilitatea metodelor analitice, pentru a putea asigura respectarea unor concentrații mai mici, iar valorile de referință se stabilesc la niveluri care sunt suficient de mici pentru a stimula îmbunătățirea celor mai mici niveluri care se pot obține.</w:t>
      </w:r>
    </w:p>
    <w:p w14:paraId="61C39E5C" w14:textId="37083437" w:rsidR="000D16E9" w:rsidRDefault="000D16E9"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12.</w:t>
      </w:r>
      <w:r w:rsidRPr="00723E2F">
        <w:rPr>
          <w:rFonts w:ascii="Times New Roman" w:hAnsi="Times New Roman" w:cs="Times New Roman"/>
          <w:bCs/>
          <w:color w:val="000000" w:themeColor="text1"/>
          <w:sz w:val="28"/>
          <w:szCs w:val="28"/>
          <w:lang w:val="ro-RO"/>
        </w:rPr>
        <w:t xml:space="preserve"> În scopul aplicării măsurilor de control vizând unele reziduuri de substanțe în produsele alimentare de origine animală, a căror utilizare este interzisă sau nepermisă, valorile de referință prevăzute în tabel</w:t>
      </w:r>
      <w:r w:rsidR="006D17EE">
        <w:rPr>
          <w:rFonts w:ascii="Times New Roman" w:hAnsi="Times New Roman" w:cs="Times New Roman"/>
          <w:bCs/>
          <w:color w:val="000000" w:themeColor="text1"/>
          <w:sz w:val="28"/>
          <w:szCs w:val="28"/>
          <w:lang w:val="ro-RO"/>
        </w:rPr>
        <w:t xml:space="preserve"> </w:t>
      </w:r>
      <w:r w:rsidRPr="00723E2F">
        <w:rPr>
          <w:rFonts w:ascii="Times New Roman" w:hAnsi="Times New Roman" w:cs="Times New Roman"/>
          <w:bCs/>
          <w:color w:val="000000" w:themeColor="text1"/>
          <w:sz w:val="28"/>
          <w:szCs w:val="28"/>
          <w:lang w:val="ro-RO"/>
        </w:rPr>
        <w:t xml:space="preserve">se aplică </w:t>
      </w:r>
      <w:r w:rsidRPr="00723E2F">
        <w:rPr>
          <w:rFonts w:ascii="Times New Roman" w:hAnsi="Times New Roman" w:cs="Times New Roman"/>
          <w:bCs/>
          <w:color w:val="000000" w:themeColor="text1"/>
          <w:sz w:val="28"/>
          <w:szCs w:val="28"/>
          <w:lang w:val="ro-RO"/>
        </w:rPr>
        <w:lastRenderedPageBreak/>
        <w:t>indiferent de matricea alimentelor testate. Alimentele de origine animală care conțin reziduuri de substanță farmacologic activă într-o concentrație egală sau superioară în raport cu valoarea de referință sunt considerate neconforme și sunt interzise în lanțul alimentar. Alimentele de origine animală care conțin reziduuri de substanță farmacologic activă într-o concentrație inferioară în raport cu valoarea de referință nu sunt interzise în lanțul alimentar.</w:t>
      </w:r>
    </w:p>
    <w:p w14:paraId="20E9B1EC" w14:textId="47234036" w:rsidR="003B1B2D" w:rsidRPr="00A72D6A" w:rsidRDefault="00647B3B" w:rsidP="003B1B2D">
      <w:pPr>
        <w:tabs>
          <w:tab w:val="left" w:pos="567"/>
          <w:tab w:val="left" w:pos="1134"/>
        </w:tabs>
        <w:spacing w:line="276" w:lineRule="auto"/>
        <w:jc w:val="center"/>
        <w:rPr>
          <w:rFonts w:ascii="Times New Roman" w:hAnsi="Times New Roman" w:cs="Times New Roman"/>
          <w:b/>
          <w:bCs/>
          <w:color w:val="000000" w:themeColor="text1"/>
          <w:sz w:val="28"/>
          <w:szCs w:val="28"/>
          <w:lang w:val="ro-RO"/>
        </w:rPr>
      </w:pPr>
      <w:r>
        <w:rPr>
          <w:rFonts w:ascii="Times New Roman" w:hAnsi="Times New Roman" w:cs="Times New Roman"/>
          <w:b/>
          <w:bCs/>
          <w:color w:val="000000" w:themeColor="text1"/>
          <w:sz w:val="28"/>
          <w:szCs w:val="28"/>
          <w:lang w:val="ro-RO"/>
        </w:rPr>
        <w:t xml:space="preserve">       </w:t>
      </w:r>
      <w:r w:rsidR="003B1B2D" w:rsidRPr="00A72D6A">
        <w:rPr>
          <w:rFonts w:ascii="Times New Roman" w:hAnsi="Times New Roman" w:cs="Times New Roman"/>
          <w:b/>
          <w:bCs/>
          <w:color w:val="000000" w:themeColor="text1"/>
          <w:sz w:val="28"/>
          <w:szCs w:val="28"/>
          <w:lang w:val="ro-RO"/>
        </w:rPr>
        <w:t>Valorile de referință (VR)</w:t>
      </w:r>
    </w:p>
    <w:tbl>
      <w:tblPr>
        <w:tblW w:w="5089"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58"/>
        <w:gridCol w:w="1204"/>
        <w:gridCol w:w="5577"/>
      </w:tblGrid>
      <w:tr w:rsidR="003B1B2D" w:rsidRPr="00A72D6A" w14:paraId="6D6A61F1" w14:textId="77777777" w:rsidTr="00E80475">
        <w:trPr>
          <w:trHeight w:val="579"/>
        </w:trPr>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B79DC" w14:textId="77777777" w:rsidR="003B1B2D" w:rsidRPr="00A72D6A" w:rsidRDefault="003B1B2D" w:rsidP="00E80475">
            <w:pPr>
              <w:tabs>
                <w:tab w:val="left" w:pos="567"/>
                <w:tab w:val="left" w:pos="1134"/>
              </w:tabs>
              <w:spacing w:line="276" w:lineRule="auto"/>
              <w:jc w:val="both"/>
              <w:rPr>
                <w:rFonts w:ascii="Times New Roman" w:hAnsi="Times New Roman" w:cs="Times New Roman"/>
                <w:b/>
                <w:bCs/>
                <w:color w:val="000000" w:themeColor="text1"/>
                <w:sz w:val="28"/>
                <w:szCs w:val="28"/>
                <w:lang w:val="ro-RO"/>
              </w:rPr>
            </w:pPr>
            <w:r w:rsidRPr="00A72D6A">
              <w:rPr>
                <w:rFonts w:ascii="Times New Roman" w:hAnsi="Times New Roman" w:cs="Times New Roman"/>
                <w:b/>
                <w:bCs/>
                <w:color w:val="000000" w:themeColor="text1"/>
                <w:sz w:val="28"/>
                <w:szCs w:val="28"/>
                <w:lang w:val="ro-RO"/>
              </w:rPr>
              <w:t>Substanță</w:t>
            </w:r>
          </w:p>
        </w:tc>
        <w:tc>
          <w:tcPr>
            <w:tcW w:w="6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EBF92" w14:textId="77777777" w:rsidR="003B1B2D" w:rsidRPr="00A72D6A" w:rsidRDefault="003B1B2D" w:rsidP="00E80475">
            <w:pPr>
              <w:tabs>
                <w:tab w:val="left" w:pos="567"/>
                <w:tab w:val="left" w:pos="1134"/>
              </w:tabs>
              <w:spacing w:line="276" w:lineRule="auto"/>
              <w:jc w:val="both"/>
              <w:rPr>
                <w:rFonts w:ascii="Times New Roman" w:hAnsi="Times New Roman" w:cs="Times New Roman"/>
                <w:b/>
                <w:bCs/>
                <w:color w:val="000000" w:themeColor="text1"/>
                <w:sz w:val="28"/>
                <w:szCs w:val="28"/>
                <w:lang w:val="ro-RO"/>
              </w:rPr>
            </w:pPr>
            <w:r w:rsidRPr="00A72D6A">
              <w:rPr>
                <w:rFonts w:ascii="Times New Roman" w:hAnsi="Times New Roman" w:cs="Times New Roman"/>
                <w:b/>
                <w:bCs/>
                <w:color w:val="000000" w:themeColor="text1"/>
                <w:sz w:val="28"/>
                <w:szCs w:val="28"/>
                <w:lang w:val="ro-RO"/>
              </w:rPr>
              <w:t>VR</w:t>
            </w:r>
          </w:p>
          <w:p w14:paraId="1DE804EE" w14:textId="77777777" w:rsidR="003B1B2D" w:rsidRPr="00A72D6A" w:rsidRDefault="003B1B2D" w:rsidP="00E80475">
            <w:pPr>
              <w:tabs>
                <w:tab w:val="left" w:pos="567"/>
                <w:tab w:val="left" w:pos="1134"/>
              </w:tabs>
              <w:spacing w:line="276" w:lineRule="auto"/>
              <w:jc w:val="both"/>
              <w:rPr>
                <w:rFonts w:ascii="Times New Roman" w:hAnsi="Times New Roman" w:cs="Times New Roman"/>
                <w:b/>
                <w:bCs/>
                <w:color w:val="000000" w:themeColor="text1"/>
                <w:sz w:val="28"/>
                <w:szCs w:val="28"/>
                <w:lang w:val="ro-RO"/>
              </w:rPr>
            </w:pPr>
            <w:r w:rsidRPr="00A72D6A">
              <w:rPr>
                <w:rFonts w:ascii="Times New Roman" w:hAnsi="Times New Roman" w:cs="Times New Roman"/>
                <w:b/>
                <w:bCs/>
                <w:color w:val="000000" w:themeColor="text1"/>
                <w:sz w:val="28"/>
                <w:szCs w:val="28"/>
                <w:lang w:val="ro-RO"/>
              </w:rPr>
              <w:t>(µg/kg)</w:t>
            </w:r>
          </w:p>
        </w:tc>
        <w:tc>
          <w:tcPr>
            <w:tcW w:w="322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1DD79" w14:textId="77777777" w:rsidR="003B1B2D" w:rsidRPr="00A72D6A" w:rsidRDefault="003B1B2D" w:rsidP="00E80475">
            <w:pPr>
              <w:tabs>
                <w:tab w:val="left" w:pos="567"/>
                <w:tab w:val="left" w:pos="1134"/>
              </w:tabs>
              <w:spacing w:line="276" w:lineRule="auto"/>
              <w:jc w:val="both"/>
              <w:rPr>
                <w:rFonts w:ascii="Times New Roman" w:hAnsi="Times New Roman" w:cs="Times New Roman"/>
                <w:b/>
                <w:bCs/>
                <w:color w:val="000000" w:themeColor="text1"/>
                <w:sz w:val="28"/>
                <w:szCs w:val="28"/>
                <w:lang w:val="ro-RO"/>
              </w:rPr>
            </w:pPr>
            <w:r w:rsidRPr="00A72D6A">
              <w:rPr>
                <w:rFonts w:ascii="Times New Roman" w:hAnsi="Times New Roman" w:cs="Times New Roman"/>
                <w:b/>
                <w:bCs/>
                <w:color w:val="000000" w:themeColor="text1"/>
                <w:sz w:val="28"/>
                <w:szCs w:val="28"/>
                <w:lang w:val="ro-RO"/>
              </w:rPr>
              <w:t>Alte dispoziții</w:t>
            </w:r>
          </w:p>
        </w:tc>
      </w:tr>
      <w:tr w:rsidR="003B1B2D" w:rsidRPr="00A72D6A" w14:paraId="55F239AC" w14:textId="77777777" w:rsidTr="00E80475">
        <w:trPr>
          <w:trHeight w:val="301"/>
        </w:trPr>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C457A" w14:textId="77777777"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Cloramfenicol</w:t>
            </w:r>
          </w:p>
        </w:tc>
        <w:tc>
          <w:tcPr>
            <w:tcW w:w="6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421497" w14:textId="77777777"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0,15</w:t>
            </w:r>
          </w:p>
        </w:tc>
        <w:tc>
          <w:tcPr>
            <w:tcW w:w="322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CB255" w14:textId="77777777"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 </w:t>
            </w:r>
          </w:p>
        </w:tc>
      </w:tr>
      <w:tr w:rsidR="003B1B2D" w:rsidRPr="00A72D6A" w14:paraId="0716183C" w14:textId="77777777" w:rsidTr="00E80475">
        <w:trPr>
          <w:trHeight w:val="532"/>
        </w:trPr>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B70AC" w14:textId="77777777"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Verde malachit</w:t>
            </w:r>
          </w:p>
        </w:tc>
        <w:tc>
          <w:tcPr>
            <w:tcW w:w="6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E53A0" w14:textId="77777777"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0,5</w:t>
            </w:r>
          </w:p>
        </w:tc>
        <w:tc>
          <w:tcPr>
            <w:tcW w:w="322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ACC23" w14:textId="77777777"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0,5 µg/kg pentru suma dintre verdele malachit și verdele leucomalachit</w:t>
            </w:r>
          </w:p>
        </w:tc>
      </w:tr>
      <w:tr w:rsidR="003B1B2D" w:rsidRPr="00BF5675" w14:paraId="37DF3718" w14:textId="77777777" w:rsidTr="00E80475">
        <w:trPr>
          <w:trHeight w:val="713"/>
        </w:trPr>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C6E24" w14:textId="77777777"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Nitrofurani și metaboliți ai acestora</w:t>
            </w:r>
          </w:p>
        </w:tc>
        <w:tc>
          <w:tcPr>
            <w:tcW w:w="6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1DF0E4" w14:textId="77777777" w:rsidR="00E447F5"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 xml:space="preserve">0,5 </w:t>
            </w:r>
          </w:p>
          <w:p w14:paraId="730A4BB1" w14:textId="0EAF3618"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E447F5">
              <w:rPr>
                <w:rFonts w:ascii="Times New Roman" w:hAnsi="Times New Roman" w:cs="Times New Roman"/>
                <w:bCs/>
                <w:color w:val="000000" w:themeColor="text1"/>
                <w:sz w:val="28"/>
                <w:szCs w:val="28"/>
                <w:lang w:val="ro-RO"/>
              </w:rPr>
              <w:t>(</w:t>
            </w:r>
            <w:r w:rsidRPr="00E447F5">
              <w:rPr>
                <w:rFonts w:ascii="Times New Roman" w:hAnsi="Times New Roman" w:cs="Times New Roman"/>
                <w:bCs/>
                <w:color w:val="000000" w:themeColor="text1"/>
                <w:sz w:val="28"/>
                <w:szCs w:val="28"/>
                <w:vertAlign w:val="superscript"/>
                <w:lang w:val="ro-RO"/>
              </w:rPr>
              <w:t>1</w:t>
            </w:r>
            <w:r w:rsidRPr="00E447F5">
              <w:rPr>
                <w:rFonts w:ascii="Times New Roman" w:hAnsi="Times New Roman" w:cs="Times New Roman"/>
                <w:bCs/>
                <w:color w:val="000000" w:themeColor="text1"/>
                <w:sz w:val="28"/>
                <w:szCs w:val="28"/>
                <w:lang w:val="ro-RO"/>
              </w:rPr>
              <w:t>)</w:t>
            </w:r>
            <w:r w:rsidR="00E447F5" w:rsidRPr="00E447F5">
              <w:rPr>
                <w:rFonts w:ascii="Times New Roman" w:hAnsi="Times New Roman" w:cs="Times New Roman"/>
                <w:bCs/>
                <w:color w:val="000000" w:themeColor="text1"/>
                <w:sz w:val="28"/>
                <w:szCs w:val="28"/>
                <w:lang w:val="ro-RO"/>
              </w:rPr>
              <w:t xml:space="preserve"> </w:t>
            </w:r>
            <w:r w:rsidR="00E7654F" w:rsidRPr="00E447F5">
              <w:rPr>
                <w:color w:val="000000" w:themeColor="text1"/>
              </w:rPr>
              <w:t xml:space="preserve"> </w:t>
            </w:r>
            <w:hyperlink r:id="rId9" w:anchor="E0004" w:history="1">
              <w:r w:rsidR="00E7654F" w:rsidRPr="00E447F5">
                <w:rPr>
                  <w:rStyle w:val="Hyperlink"/>
                  <w:rFonts w:ascii="Times New Roman" w:hAnsi="Times New Roman" w:cs="Times New Roman" w:hint="eastAsia"/>
                  <w:bCs/>
                  <w:color w:val="000000" w:themeColor="text1"/>
                  <w:sz w:val="28"/>
                  <w:szCs w:val="28"/>
                  <w:u w:val="none"/>
                </w:rPr>
                <w:t>(</w:t>
              </w:r>
              <w:r w:rsidR="00E7654F" w:rsidRPr="00E447F5">
                <w:rPr>
                  <w:rStyle w:val="Hyperlink"/>
                  <w:rFonts w:ascii="Times New Roman" w:hAnsi="Times New Roman" w:cs="Times New Roman" w:hint="eastAsia"/>
                  <w:bCs/>
                  <w:color w:val="000000" w:themeColor="text1"/>
                  <w:sz w:val="28"/>
                  <w:szCs w:val="28"/>
                  <w:u w:val="none"/>
                  <w:vertAlign w:val="superscript"/>
                </w:rPr>
                <w:t>2</w:t>
              </w:r>
              <w:r w:rsidR="00E7654F" w:rsidRPr="00E447F5">
                <w:rPr>
                  <w:rStyle w:val="Hyperlink"/>
                  <w:rFonts w:ascii="Times New Roman" w:hAnsi="Times New Roman" w:cs="Times New Roman" w:hint="eastAsia"/>
                  <w:bCs/>
                  <w:color w:val="000000" w:themeColor="text1"/>
                  <w:sz w:val="28"/>
                  <w:szCs w:val="28"/>
                  <w:u w:val="none"/>
                </w:rPr>
                <w:t>)</w:t>
              </w:r>
            </w:hyperlink>
          </w:p>
        </w:tc>
        <w:tc>
          <w:tcPr>
            <w:tcW w:w="322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6C5CD" w14:textId="77777777"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lang w:val="ro-RO"/>
              </w:rPr>
              <w:t>0,5 µg/kg pentru fiecare dintre metaboliții furazolidonei (AOZ sau 3-amino-2-oxazolidinonă), furaltadonei (AMOZ sau 3-amino-5-metilmorfolino-2-oxazolidinonă), nitrofurantoinului (AHD sau 1-aminohidantoină), nitrofurazonei (SEM sau semicarbazidă) și nifursolului (DNSH sau hidrazida acidului 3,5-dinitrosalicilic)</w:t>
            </w:r>
          </w:p>
        </w:tc>
      </w:tr>
      <w:tr w:rsidR="003B1B2D" w:rsidRPr="00A72D6A" w14:paraId="71088B95" w14:textId="77777777" w:rsidTr="00E80475">
        <w:trPr>
          <w:trHeight w:val="125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95163AC" w14:textId="77777777"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rPr>
            </w:pPr>
            <w:r w:rsidRPr="00A72D6A">
              <w:rPr>
                <w:rFonts w:ascii="Times New Roman" w:hAnsi="Times New Roman" w:cs="Times New Roman"/>
                <w:bCs/>
                <w:color w:val="000000" w:themeColor="text1"/>
                <w:sz w:val="28"/>
                <w:szCs w:val="28"/>
              </w:rPr>
              <w:t xml:space="preserve">(1) Din cauza prezenței naturale a SEM în raci la niveluri peste VR, numai nivelurile de AOZ, AMOZ, AHD și DNSH peste VR sunt un indiciu clar al utilizării ilegale a nitrofuranilor și a metaboliților acestora. VR de 0,5 μg/kg pentru SEM în raci se aplică numai atunci când utilizarea ilegală a </w:t>
            </w:r>
            <w:r w:rsidRPr="00A72D6A">
              <w:rPr>
                <w:rFonts w:ascii="Times New Roman" w:hAnsi="Times New Roman" w:cs="Times New Roman"/>
                <w:bCs/>
                <w:color w:val="000000" w:themeColor="text1"/>
                <w:sz w:val="28"/>
                <w:szCs w:val="28"/>
              </w:rPr>
              <w:lastRenderedPageBreak/>
              <w:t>nitrofurazonei sau a SEM pe raci a fost confirmată, adică cel puțin unul dintre ceilalți metaboliți ai nitrofuranului a fost detectat.</w:t>
            </w:r>
          </w:p>
          <w:p w14:paraId="126969B2" w14:textId="77777777" w:rsidR="003B1B2D" w:rsidRPr="00A72D6A" w:rsidRDefault="003B1B2D" w:rsidP="00E80475">
            <w:pPr>
              <w:tabs>
                <w:tab w:val="left" w:pos="567"/>
                <w:tab w:val="left" w:pos="1134"/>
              </w:tabs>
              <w:spacing w:line="276" w:lineRule="auto"/>
              <w:jc w:val="both"/>
              <w:rPr>
                <w:rFonts w:ascii="Times New Roman" w:hAnsi="Times New Roman" w:cs="Times New Roman"/>
                <w:bCs/>
                <w:color w:val="000000" w:themeColor="text1"/>
                <w:sz w:val="28"/>
                <w:szCs w:val="28"/>
                <w:lang w:val="ro-RO"/>
              </w:rPr>
            </w:pPr>
            <w:r w:rsidRPr="00A72D6A">
              <w:rPr>
                <w:rFonts w:ascii="Times New Roman" w:hAnsi="Times New Roman" w:cs="Times New Roman"/>
                <w:bCs/>
                <w:color w:val="000000" w:themeColor="text1"/>
                <w:sz w:val="28"/>
                <w:szCs w:val="28"/>
              </w:rPr>
              <w:t>(2) Din cauza prezenței semicarbazidei la niveluri peste valorile de referință, ca urmare a prelucrării în gelatină, colagen, hidrolizat de colagen, produse pe bază de cartilaj hidrolizat, produse din sânge uscate prin pulverizare, concentrate de proteine din zer și din lapte, cazeinați și lapte praf (cu excepția preparatelor pentru sugari și a preparatelor de continuare), numai nivelurile de AOZ, AMOZ, AHD și DNSH peste valorile de referință reprezintă un indiciu clar al utilizării ilegale a nitrofuranilor și a metaboliților acestora. Valoarea de referință de 0,5 μg/kg pentru semicarbazidă în gelatină, colagen, hidrolizat de colagen, produse pe bază de cartilaj hidrolizat, produse din sânge uscate prin pulverizare, concentrate de proteine din zer și din lapte, cazeinați și lapte praf (cu excepția preparatelor pentru sugari și a preparatelor de continuare) se aplică numai atunci când s-a stabilit utilizarea ilegală a nitrofurazonei sau a semicarbazidei, adică cel puțin unul dintre ceilalți metaboliți ai nitrofuranului a fost detectat.</w:t>
            </w:r>
          </w:p>
        </w:tc>
      </w:tr>
    </w:tbl>
    <w:p w14:paraId="50C7ED5C" w14:textId="77777777" w:rsidR="003B1B2D" w:rsidRPr="003B1B2D" w:rsidRDefault="003B1B2D" w:rsidP="000D16E9">
      <w:pPr>
        <w:tabs>
          <w:tab w:val="left" w:pos="567"/>
          <w:tab w:val="left" w:pos="1134"/>
        </w:tabs>
        <w:spacing w:line="276" w:lineRule="auto"/>
        <w:jc w:val="both"/>
        <w:rPr>
          <w:rFonts w:ascii="Times New Roman" w:hAnsi="Times New Roman" w:cs="Times New Roman"/>
          <w:bCs/>
          <w:color w:val="000000" w:themeColor="text1"/>
          <w:sz w:val="28"/>
          <w:szCs w:val="28"/>
        </w:rPr>
      </w:pPr>
    </w:p>
    <w:p w14:paraId="289F1207" w14:textId="040079D5" w:rsidR="000D16E9" w:rsidRPr="00723E2F" w:rsidRDefault="000D16E9"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1</w:t>
      </w:r>
      <w:r w:rsidR="00723E2F" w:rsidRPr="00723E2F">
        <w:rPr>
          <w:rFonts w:ascii="Times New Roman" w:hAnsi="Times New Roman" w:cs="Times New Roman"/>
          <w:b/>
          <w:bCs/>
          <w:color w:val="000000" w:themeColor="text1"/>
          <w:sz w:val="28"/>
          <w:szCs w:val="28"/>
          <w:lang w:val="ro-RO"/>
        </w:rPr>
        <w:t>3</w:t>
      </w:r>
      <w:r w:rsidRPr="00723E2F">
        <w:rPr>
          <w:rFonts w:ascii="Times New Roman" w:hAnsi="Times New Roman" w:cs="Times New Roman"/>
          <w:b/>
          <w:bCs/>
          <w:color w:val="000000" w:themeColor="text1"/>
          <w:sz w:val="28"/>
          <w:szCs w:val="28"/>
          <w:lang w:val="ro-RO"/>
        </w:rPr>
        <w:t>.</w:t>
      </w:r>
      <w:r w:rsidRPr="00723E2F">
        <w:rPr>
          <w:rFonts w:ascii="Times New Roman" w:hAnsi="Times New Roman" w:cs="Times New Roman"/>
          <w:bCs/>
          <w:color w:val="000000" w:themeColor="text1"/>
          <w:sz w:val="28"/>
          <w:szCs w:val="28"/>
          <w:lang w:val="ro-RO"/>
        </w:rPr>
        <w:t xml:space="preserve"> În cazul în care rezultatele controalelor oficiale, inclusiv ale testelor analitice, identifică reziduuri de substanțe interzise sau nepermise la niveluri superioare, egale sau inferioare valorilor de referință, autoritatea competentă efectuează </w:t>
      </w:r>
      <w:r w:rsidR="004227E7" w:rsidRPr="004227E7">
        <w:rPr>
          <w:rFonts w:ascii="Times New Roman" w:hAnsi="Times New Roman" w:cs="Times New Roman"/>
          <w:bCs/>
          <w:color w:val="000000" w:themeColor="text1"/>
          <w:sz w:val="28"/>
          <w:szCs w:val="28"/>
          <w:lang w:val="ro-RO"/>
        </w:rPr>
        <w:t>anchetele menționate la art. 17 alin. (2) pct. 4), art. 18 alin. (2) lit. c), art. 94 și art. 95 din Legea 82/2024 privind controalele oficiale în domeniul</w:t>
      </w:r>
      <w:r w:rsidR="004227E7">
        <w:rPr>
          <w:rFonts w:ascii="Times New Roman" w:hAnsi="Times New Roman" w:cs="Times New Roman"/>
          <w:bCs/>
          <w:color w:val="000000" w:themeColor="text1"/>
          <w:sz w:val="28"/>
          <w:szCs w:val="28"/>
          <w:lang w:val="ro-RO"/>
        </w:rPr>
        <w:t xml:space="preserve"> </w:t>
      </w:r>
      <w:r w:rsidR="004227E7" w:rsidRPr="004227E7">
        <w:rPr>
          <w:rFonts w:ascii="Times New Roman" w:hAnsi="Times New Roman" w:cs="Times New Roman"/>
          <w:bCs/>
          <w:color w:val="000000" w:themeColor="text1"/>
          <w:sz w:val="28"/>
          <w:szCs w:val="28"/>
          <w:lang w:val="ro-RO"/>
        </w:rPr>
        <w:t xml:space="preserve">agroalimentar, </w:t>
      </w:r>
      <w:r w:rsidRPr="00723E2F">
        <w:rPr>
          <w:rFonts w:ascii="Times New Roman" w:hAnsi="Times New Roman" w:cs="Times New Roman"/>
          <w:bCs/>
          <w:color w:val="000000" w:themeColor="text1"/>
          <w:sz w:val="28"/>
          <w:szCs w:val="28"/>
          <w:lang w:val="ro-RO"/>
        </w:rPr>
        <w:t xml:space="preserve"> pentru a stabili dacă a fost aplicat un tratament ilegal cu o substanță farmacologic activă interzisă sau nepermisă.</w:t>
      </w:r>
    </w:p>
    <w:p w14:paraId="798371E1" w14:textId="0F7F1D85" w:rsidR="000D16E9" w:rsidRPr="00723E2F" w:rsidRDefault="000D16E9"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723E2F">
        <w:rPr>
          <w:rFonts w:ascii="Times New Roman" w:hAnsi="Times New Roman" w:cs="Times New Roman"/>
          <w:b/>
          <w:bCs/>
          <w:color w:val="000000" w:themeColor="text1"/>
          <w:sz w:val="28"/>
          <w:szCs w:val="28"/>
          <w:lang w:val="ro-RO"/>
        </w:rPr>
        <w:t>1</w:t>
      </w:r>
      <w:r w:rsidR="00723E2F" w:rsidRPr="00723E2F">
        <w:rPr>
          <w:rFonts w:ascii="Times New Roman" w:hAnsi="Times New Roman" w:cs="Times New Roman"/>
          <w:b/>
          <w:bCs/>
          <w:color w:val="000000" w:themeColor="text1"/>
          <w:sz w:val="28"/>
          <w:szCs w:val="28"/>
          <w:lang w:val="ro-RO"/>
        </w:rPr>
        <w:t>4</w:t>
      </w:r>
      <w:r w:rsidRPr="00723E2F">
        <w:rPr>
          <w:rFonts w:ascii="Times New Roman" w:hAnsi="Times New Roman" w:cs="Times New Roman"/>
          <w:b/>
          <w:bCs/>
          <w:color w:val="000000" w:themeColor="text1"/>
          <w:sz w:val="28"/>
          <w:szCs w:val="28"/>
          <w:lang w:val="ro-RO"/>
        </w:rPr>
        <w:t>.</w:t>
      </w:r>
      <w:r w:rsidRPr="00723E2F">
        <w:rPr>
          <w:rFonts w:ascii="Times New Roman" w:hAnsi="Times New Roman" w:cs="Times New Roman"/>
          <w:bCs/>
          <w:color w:val="000000" w:themeColor="text1"/>
          <w:sz w:val="28"/>
          <w:szCs w:val="28"/>
          <w:lang w:val="ro-RO"/>
        </w:rPr>
        <w:t xml:space="preserve"> În cazul constatării unei neconformități, Agenția aplică una sau mai multe dintre măsurile menționate </w:t>
      </w:r>
      <w:r w:rsidR="002940D5" w:rsidRPr="002940D5">
        <w:rPr>
          <w:rFonts w:ascii="Times New Roman" w:hAnsi="Times New Roman" w:cs="Times New Roman"/>
          <w:bCs/>
          <w:color w:val="000000" w:themeColor="text1"/>
          <w:sz w:val="28"/>
          <w:szCs w:val="28"/>
          <w:lang w:val="ro-RO"/>
        </w:rPr>
        <w:t>la art. 18 alin. (2) lit. c), art. 59 – 65, art. 95  din Legea nr. 82/2024</w:t>
      </w:r>
      <w:r w:rsidR="00651EF0">
        <w:rPr>
          <w:rFonts w:ascii="Times New Roman" w:hAnsi="Times New Roman" w:cs="Times New Roman"/>
          <w:bCs/>
          <w:color w:val="000000" w:themeColor="text1"/>
          <w:sz w:val="28"/>
          <w:szCs w:val="28"/>
          <w:lang w:val="ro-RO"/>
        </w:rPr>
        <w:t>.</w:t>
      </w:r>
    </w:p>
    <w:p w14:paraId="42B4AEB0" w14:textId="796DED81" w:rsidR="000D16E9" w:rsidRPr="00674694" w:rsidRDefault="00674694"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Pr>
          <w:rFonts w:ascii="Times New Roman" w:hAnsi="Times New Roman" w:cs="Times New Roman"/>
          <w:b/>
          <w:bCs/>
          <w:color w:val="000000" w:themeColor="text1"/>
          <w:sz w:val="28"/>
          <w:szCs w:val="28"/>
          <w:lang w:val="ro-RO"/>
        </w:rPr>
        <w:lastRenderedPageBreak/>
        <w:t>15</w:t>
      </w:r>
      <w:r w:rsidR="000D16E9" w:rsidRPr="00674694">
        <w:rPr>
          <w:rFonts w:ascii="Times New Roman" w:hAnsi="Times New Roman" w:cs="Times New Roman"/>
          <w:b/>
          <w:bCs/>
          <w:color w:val="000000" w:themeColor="text1"/>
          <w:sz w:val="28"/>
          <w:szCs w:val="28"/>
          <w:lang w:val="ro-RO"/>
        </w:rPr>
        <w:t>.</w:t>
      </w:r>
      <w:r w:rsidR="000D16E9" w:rsidRPr="00674694">
        <w:rPr>
          <w:rFonts w:ascii="Times New Roman" w:hAnsi="Times New Roman" w:cs="Times New Roman"/>
          <w:bCs/>
          <w:color w:val="000000" w:themeColor="text1"/>
          <w:sz w:val="28"/>
          <w:szCs w:val="28"/>
          <w:lang w:val="ro-RO"/>
        </w:rPr>
        <w:t xml:space="preserve"> Agenția păstrează o evidență a constatărilor. În cazul în care rezultatele controalelor oficiale, inclusiv ale testelor analitice vizând produsele alimentare de origine animală provenite de la același operator, arată un comportament recurent care indică o suspiciune de neconformitate referitoare la una sau mai multe substanțe interzise sau nepermise având o anumită origine, Agenția informează autoritatea competentă din țara sau din țările de origine. </w:t>
      </w:r>
    </w:p>
    <w:p w14:paraId="289E69C9" w14:textId="635BBB3E" w:rsidR="000D16E9" w:rsidRPr="00674694" w:rsidRDefault="00674694"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Pr>
          <w:rFonts w:ascii="Times New Roman" w:hAnsi="Times New Roman" w:cs="Times New Roman"/>
          <w:b/>
          <w:bCs/>
          <w:color w:val="000000" w:themeColor="text1"/>
          <w:sz w:val="28"/>
          <w:szCs w:val="28"/>
          <w:lang w:val="ro-RO"/>
        </w:rPr>
        <w:t>16</w:t>
      </w:r>
      <w:r w:rsidR="000D16E9" w:rsidRPr="00674694">
        <w:rPr>
          <w:rFonts w:ascii="Times New Roman" w:hAnsi="Times New Roman" w:cs="Times New Roman"/>
          <w:b/>
          <w:bCs/>
          <w:color w:val="000000" w:themeColor="text1"/>
          <w:sz w:val="28"/>
          <w:szCs w:val="28"/>
          <w:lang w:val="ro-RO"/>
        </w:rPr>
        <w:t xml:space="preserve">. </w:t>
      </w:r>
      <w:r w:rsidR="000D16E9" w:rsidRPr="00674694">
        <w:rPr>
          <w:rFonts w:ascii="Times New Roman" w:hAnsi="Times New Roman" w:cs="Times New Roman"/>
          <w:bCs/>
          <w:color w:val="000000" w:themeColor="text1"/>
          <w:sz w:val="28"/>
          <w:szCs w:val="28"/>
          <w:lang w:val="ro-RO"/>
        </w:rPr>
        <w:t>În cazul în care comportamentul recurent implică produse alimentare importate, Agenția aduce acest fapt la cunoștința autorității competente din țara sau din țările de origine.</w:t>
      </w:r>
    </w:p>
    <w:p w14:paraId="517850C2" w14:textId="492F4F76" w:rsidR="000D16E9" w:rsidRPr="00B56053" w:rsidRDefault="000D16E9" w:rsidP="007D63E9">
      <w:pPr>
        <w:tabs>
          <w:tab w:val="left" w:pos="567"/>
          <w:tab w:val="left" w:pos="1134"/>
        </w:tabs>
        <w:spacing w:line="360" w:lineRule="auto"/>
        <w:jc w:val="both"/>
        <w:rPr>
          <w:rFonts w:ascii="Times New Roman" w:hAnsi="Times New Roman" w:cs="Times New Roman"/>
          <w:bCs/>
          <w:color w:val="000000" w:themeColor="text1"/>
          <w:sz w:val="28"/>
          <w:szCs w:val="28"/>
          <w:lang w:val="ro-RO"/>
        </w:rPr>
      </w:pPr>
      <w:r w:rsidRPr="00B56053">
        <w:rPr>
          <w:rFonts w:ascii="Times New Roman" w:hAnsi="Times New Roman" w:cs="Times New Roman"/>
          <w:b/>
          <w:bCs/>
          <w:color w:val="000000" w:themeColor="text1"/>
          <w:sz w:val="28"/>
          <w:szCs w:val="28"/>
          <w:lang w:val="ro-RO"/>
        </w:rPr>
        <w:t>1</w:t>
      </w:r>
      <w:r w:rsidR="00674694" w:rsidRPr="00B56053">
        <w:rPr>
          <w:rFonts w:ascii="Times New Roman" w:hAnsi="Times New Roman" w:cs="Times New Roman"/>
          <w:b/>
          <w:bCs/>
          <w:color w:val="000000" w:themeColor="text1"/>
          <w:sz w:val="28"/>
          <w:szCs w:val="28"/>
          <w:lang w:val="ro-RO"/>
        </w:rPr>
        <w:t>7</w:t>
      </w:r>
      <w:r w:rsidRPr="00B56053">
        <w:rPr>
          <w:rFonts w:ascii="Times New Roman" w:hAnsi="Times New Roman" w:cs="Times New Roman"/>
          <w:b/>
          <w:bCs/>
          <w:color w:val="000000" w:themeColor="text1"/>
          <w:sz w:val="28"/>
          <w:szCs w:val="28"/>
          <w:lang w:val="ro-RO"/>
        </w:rPr>
        <w:t xml:space="preserve">. </w:t>
      </w:r>
      <w:r w:rsidRPr="00B56053">
        <w:rPr>
          <w:rFonts w:ascii="Times New Roman" w:hAnsi="Times New Roman" w:cs="Times New Roman"/>
          <w:bCs/>
          <w:color w:val="000000" w:themeColor="text1"/>
          <w:sz w:val="28"/>
          <w:szCs w:val="28"/>
          <w:lang w:val="ro-RO"/>
        </w:rPr>
        <w:t xml:space="preserve">Agenția raportează rezultatele controalelor oficiale, inclusiv ale testelor analitice, care indică prezența confirmată a unei substanțe interzise sau nepermise la niveluri superioare sau egale în raport cu valorile de referință, prin intermediul Sistemului rapid de alertă pentru alimente și furaje, în conformitate cu </w:t>
      </w:r>
      <w:r w:rsidR="00697570" w:rsidRPr="00B56053">
        <w:rPr>
          <w:rFonts w:ascii="Times New Roman" w:hAnsi="Times New Roman" w:cs="Times New Roman"/>
          <w:bCs/>
          <w:color w:val="000000" w:themeColor="text1"/>
          <w:sz w:val="28"/>
          <w:szCs w:val="28"/>
          <w:lang w:val="ro-RO"/>
        </w:rPr>
        <w:t xml:space="preserve">Măsurile de punere în aplicare a sistemului rapid de alertă pentru alimente și furaje la nivel național, aprobate prin </w:t>
      </w:r>
      <w:r w:rsidRPr="00B56053">
        <w:rPr>
          <w:rFonts w:ascii="Times New Roman" w:hAnsi="Times New Roman" w:cs="Times New Roman"/>
          <w:bCs/>
          <w:color w:val="000000" w:themeColor="text1"/>
          <w:sz w:val="28"/>
          <w:szCs w:val="28"/>
          <w:lang w:val="ro-RO"/>
        </w:rPr>
        <w:t>Hotărâ</w:t>
      </w:r>
      <w:r w:rsidR="00697570" w:rsidRPr="00B56053">
        <w:rPr>
          <w:rFonts w:ascii="Times New Roman" w:hAnsi="Times New Roman" w:cs="Times New Roman"/>
          <w:bCs/>
          <w:color w:val="000000" w:themeColor="text1"/>
          <w:sz w:val="28"/>
          <w:szCs w:val="28"/>
          <w:lang w:val="ro-RO"/>
        </w:rPr>
        <w:t>rea</w:t>
      </w:r>
      <w:r w:rsidRPr="00B56053">
        <w:rPr>
          <w:rFonts w:ascii="Times New Roman" w:hAnsi="Times New Roman" w:cs="Times New Roman"/>
          <w:bCs/>
          <w:color w:val="000000" w:themeColor="text1"/>
          <w:sz w:val="28"/>
          <w:szCs w:val="28"/>
          <w:lang w:val="ro-RO"/>
        </w:rPr>
        <w:t xml:space="preserve"> Guvernului nr. 59/2017</w:t>
      </w:r>
      <w:r w:rsidR="00697570" w:rsidRPr="00B56053">
        <w:rPr>
          <w:rFonts w:ascii="Times New Roman" w:hAnsi="Times New Roman" w:cs="Times New Roman"/>
          <w:bCs/>
          <w:color w:val="000000" w:themeColor="text1"/>
          <w:sz w:val="28"/>
          <w:szCs w:val="28"/>
          <w:lang w:val="ro-RO"/>
        </w:rPr>
        <w:t>.</w:t>
      </w:r>
      <w:r w:rsidR="002C3404" w:rsidRPr="00B56053">
        <w:rPr>
          <w:rFonts w:ascii="Times New Roman" w:hAnsi="Times New Roman" w:cs="Times New Roman"/>
          <w:bCs/>
          <w:color w:val="000000" w:themeColor="text1"/>
          <w:sz w:val="28"/>
          <w:szCs w:val="28"/>
          <w:lang w:val="ro-RO"/>
        </w:rPr>
        <w:t>”</w:t>
      </w:r>
    </w:p>
    <w:p w14:paraId="3E411295" w14:textId="6559FFFC" w:rsidR="0060129D" w:rsidRPr="00B56053" w:rsidRDefault="00BC18B3" w:rsidP="007D63E9">
      <w:pPr>
        <w:pStyle w:val="Frspaiere"/>
        <w:spacing w:line="360" w:lineRule="auto"/>
        <w:jc w:val="both"/>
        <w:rPr>
          <w:rFonts w:ascii="Times New Roman" w:hAnsi="Times New Roman" w:cs="Times New Roman"/>
          <w:bCs/>
          <w:color w:val="000000" w:themeColor="text1"/>
          <w:sz w:val="28"/>
          <w:szCs w:val="28"/>
          <w:lang w:val="ro-RO"/>
        </w:rPr>
      </w:pPr>
      <w:r w:rsidRPr="00B56053">
        <w:rPr>
          <w:rFonts w:ascii="Times New Roman" w:hAnsi="Times New Roman" w:cs="Times New Roman"/>
          <w:b/>
          <w:bCs/>
          <w:color w:val="000000" w:themeColor="text1"/>
          <w:sz w:val="28"/>
          <w:szCs w:val="28"/>
        </w:rPr>
        <w:t>2</w:t>
      </w:r>
      <w:r w:rsidR="0060129D" w:rsidRPr="00B56053">
        <w:rPr>
          <w:rFonts w:ascii="Times New Roman" w:hAnsi="Times New Roman" w:cs="Times New Roman"/>
          <w:b/>
          <w:bCs/>
          <w:color w:val="000000" w:themeColor="text1"/>
          <w:sz w:val="28"/>
          <w:szCs w:val="28"/>
        </w:rPr>
        <w:t>.</w:t>
      </w:r>
      <w:r w:rsidR="0060129D" w:rsidRPr="00B56053">
        <w:rPr>
          <w:rFonts w:ascii="Times New Roman" w:hAnsi="Times New Roman" w:cs="Times New Roman"/>
          <w:bCs/>
          <w:color w:val="000000" w:themeColor="text1"/>
          <w:sz w:val="28"/>
          <w:szCs w:val="28"/>
        </w:rPr>
        <w:t xml:space="preserve"> Punctul 7 din Hotărârea Guvernului nr. 609/2025 cu privire la modificarea unor hotărâri ale Guvernului</w:t>
      </w:r>
      <w:r w:rsidR="00CB62F8" w:rsidRPr="00B56053">
        <w:rPr>
          <w:rFonts w:ascii="Times New Roman" w:hAnsi="Times New Roman" w:cs="Times New Roman"/>
          <w:bCs/>
          <w:color w:val="000000" w:themeColor="text1"/>
          <w:sz w:val="28"/>
          <w:szCs w:val="28"/>
        </w:rPr>
        <w:t xml:space="preserve"> </w:t>
      </w:r>
      <w:r w:rsidR="0060129D" w:rsidRPr="00B56053">
        <w:rPr>
          <w:rFonts w:ascii="Times New Roman" w:hAnsi="Times New Roman" w:cs="Times New Roman"/>
          <w:bCs/>
          <w:color w:val="000000" w:themeColor="text1"/>
          <w:sz w:val="28"/>
          <w:szCs w:val="28"/>
        </w:rPr>
        <w:t>(completarea unor cerințe sanitar-veterinare și a criteriilor microbiologice pentru produsele alimentare și stabilirea normelor specifice aplicabile controalelor oficiale privind prezența de Trichinella în carne) (Monitorul Oficial</w:t>
      </w:r>
      <w:r w:rsidR="009B5CCC" w:rsidRPr="00B56053">
        <w:rPr>
          <w:rFonts w:ascii="Times New Roman" w:hAnsi="Times New Roman" w:cs="Times New Roman"/>
          <w:bCs/>
          <w:color w:val="000000" w:themeColor="text1"/>
          <w:sz w:val="28"/>
          <w:szCs w:val="28"/>
        </w:rPr>
        <w:t xml:space="preserve"> al Republicii Moldova</w:t>
      </w:r>
      <w:r w:rsidR="0060129D" w:rsidRPr="00B56053">
        <w:rPr>
          <w:rFonts w:ascii="Times New Roman" w:hAnsi="Times New Roman" w:cs="Times New Roman"/>
          <w:bCs/>
          <w:color w:val="000000" w:themeColor="text1"/>
          <w:sz w:val="28"/>
          <w:szCs w:val="28"/>
        </w:rPr>
        <w:t xml:space="preserve">, 2025, </w:t>
      </w:r>
      <w:r w:rsidR="0060129D" w:rsidRPr="00B56053">
        <w:rPr>
          <w:rFonts w:ascii="Times New Roman" w:hAnsi="Times New Roman" w:cs="Times New Roman"/>
          <w:bCs/>
          <w:color w:val="000000" w:themeColor="text1"/>
          <w:sz w:val="28"/>
          <w:szCs w:val="28"/>
          <w:lang w:val="ro-RO"/>
        </w:rPr>
        <w:t>nr. 494-497 art. 619) va avea următorul cuprins:</w:t>
      </w:r>
    </w:p>
    <w:p w14:paraId="416E5DD1" w14:textId="75675487" w:rsidR="00164349" w:rsidRPr="00B56053" w:rsidRDefault="0060129D" w:rsidP="007D63E9">
      <w:pPr>
        <w:pStyle w:val="Frspaiere"/>
        <w:spacing w:line="360" w:lineRule="auto"/>
        <w:jc w:val="both"/>
        <w:rPr>
          <w:rFonts w:ascii="Times New Roman" w:hAnsi="Times New Roman" w:cs="Times New Roman"/>
          <w:bCs/>
          <w:color w:val="000000" w:themeColor="text1"/>
          <w:sz w:val="28"/>
          <w:szCs w:val="28"/>
          <w:lang w:val="ro-RO"/>
        </w:rPr>
      </w:pPr>
      <w:r w:rsidRPr="00B56053">
        <w:rPr>
          <w:rFonts w:ascii="Times New Roman" w:hAnsi="Times New Roman" w:cs="Times New Roman"/>
          <w:bCs/>
          <w:color w:val="000000" w:themeColor="text1"/>
          <w:sz w:val="28"/>
          <w:szCs w:val="28"/>
          <w:lang w:val="ro-RO"/>
        </w:rPr>
        <w:t>„</w:t>
      </w:r>
      <w:r w:rsidRPr="00B56053">
        <w:rPr>
          <w:rFonts w:ascii="Times New Roman" w:hAnsi="Times New Roman" w:cs="Times New Roman"/>
          <w:b/>
          <w:bCs/>
          <w:color w:val="000000" w:themeColor="text1"/>
          <w:sz w:val="28"/>
          <w:szCs w:val="28"/>
          <w:lang w:val="ro-RO"/>
        </w:rPr>
        <w:t>7</w:t>
      </w:r>
      <w:r w:rsidRPr="00B56053">
        <w:rPr>
          <w:rFonts w:ascii="Times New Roman" w:hAnsi="Times New Roman" w:cs="Times New Roman"/>
          <w:bCs/>
          <w:color w:val="000000" w:themeColor="text1"/>
          <w:sz w:val="28"/>
          <w:szCs w:val="28"/>
          <w:lang w:val="ro-RO"/>
        </w:rPr>
        <w:t>.</w:t>
      </w:r>
      <w:r w:rsidRPr="00B56053">
        <w:rPr>
          <w:color w:val="000000" w:themeColor="text1"/>
          <w:lang w:val="ro-RO"/>
        </w:rPr>
        <w:t xml:space="preserve"> </w:t>
      </w:r>
      <w:r w:rsidRPr="00B56053">
        <w:rPr>
          <w:rFonts w:ascii="Times New Roman" w:hAnsi="Times New Roman" w:cs="Times New Roman"/>
          <w:bCs/>
          <w:color w:val="000000" w:themeColor="text1"/>
          <w:sz w:val="28"/>
          <w:szCs w:val="28"/>
          <w:lang w:val="ro-RO"/>
        </w:rPr>
        <w:t xml:space="preserve">Prezenta hotărâre intră în vigoare </w:t>
      </w:r>
      <w:r w:rsidR="00DF030B" w:rsidRPr="00B56053">
        <w:rPr>
          <w:rFonts w:ascii="Times New Roman" w:hAnsi="Times New Roman" w:cs="Times New Roman"/>
          <w:bCs/>
          <w:color w:val="000000" w:themeColor="text1"/>
          <w:sz w:val="28"/>
          <w:szCs w:val="28"/>
          <w:lang w:val="ro-RO"/>
        </w:rPr>
        <w:t xml:space="preserve">la </w:t>
      </w:r>
      <w:r w:rsidRPr="00B56053">
        <w:rPr>
          <w:rFonts w:ascii="Times New Roman" w:hAnsi="Times New Roman" w:cs="Times New Roman"/>
          <w:color w:val="000000" w:themeColor="text1"/>
          <w:sz w:val="28"/>
          <w:szCs w:val="28"/>
          <w:lang w:val="ro-RO"/>
        </w:rPr>
        <w:t xml:space="preserve">data intrării în vigoare a Legii nr. 82/2024 </w:t>
      </w:r>
      <w:r w:rsidRPr="00B56053">
        <w:rPr>
          <w:rFonts w:ascii="Times New Roman" w:hAnsi="Times New Roman" w:cs="Times New Roman"/>
          <w:bCs/>
          <w:color w:val="000000" w:themeColor="text1"/>
          <w:sz w:val="28"/>
          <w:szCs w:val="28"/>
          <w:lang w:val="ro-RO"/>
        </w:rPr>
        <w:t>privind controalele oficiale în domeniul agroalimentar</w:t>
      </w:r>
      <w:r w:rsidR="005B2B63" w:rsidRPr="00B56053">
        <w:rPr>
          <w:rFonts w:ascii="Times New Roman" w:hAnsi="Times New Roman" w:cs="Times New Roman"/>
          <w:bCs/>
          <w:color w:val="000000" w:themeColor="text1"/>
          <w:sz w:val="28"/>
          <w:szCs w:val="28"/>
          <w:lang w:val="ro-RO"/>
        </w:rPr>
        <w:t>. ”</w:t>
      </w:r>
    </w:p>
    <w:sectPr w:rsidR="00164349" w:rsidRPr="00B56053" w:rsidSect="00FD26A6">
      <w:footerReference w:type="default" r:id="rId10"/>
      <w:pgSz w:w="11340" w:h="16443" w:code="9"/>
      <w:pgMar w:top="1418" w:right="1418" w:bottom="1418"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7CD0B" w14:textId="77777777" w:rsidR="0014328A" w:rsidRDefault="0014328A" w:rsidP="00B9230F">
      <w:pPr>
        <w:spacing w:after="0" w:line="240" w:lineRule="auto"/>
      </w:pPr>
      <w:r>
        <w:separator/>
      </w:r>
    </w:p>
  </w:endnote>
  <w:endnote w:type="continuationSeparator" w:id="0">
    <w:p w14:paraId="1FB477CC" w14:textId="77777777" w:rsidR="0014328A" w:rsidRDefault="0014328A" w:rsidP="00B9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470596"/>
      <w:docPartObj>
        <w:docPartGallery w:val="Page Numbers (Bottom of Page)"/>
        <w:docPartUnique/>
      </w:docPartObj>
    </w:sdtPr>
    <w:sdtEndPr/>
    <w:sdtContent>
      <w:p w14:paraId="409D1D81" w14:textId="1629EBD4" w:rsidR="00B9230F" w:rsidRDefault="00B9230F">
        <w:pPr>
          <w:pStyle w:val="Subsol"/>
          <w:jc w:val="center"/>
        </w:pPr>
        <w:r>
          <w:fldChar w:fldCharType="begin"/>
        </w:r>
        <w:r>
          <w:instrText>PAGE   \* MERGEFORMAT</w:instrText>
        </w:r>
        <w:r>
          <w:fldChar w:fldCharType="separate"/>
        </w:r>
        <w:r>
          <w:rPr>
            <w:lang w:val="ro-RO"/>
          </w:rPr>
          <w:t>2</w:t>
        </w:r>
        <w:r>
          <w:fldChar w:fldCharType="end"/>
        </w:r>
      </w:p>
    </w:sdtContent>
  </w:sdt>
  <w:p w14:paraId="3B7524D3" w14:textId="77777777" w:rsidR="00B9230F" w:rsidRDefault="00B923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8E81F" w14:textId="77777777" w:rsidR="0014328A" w:rsidRDefault="0014328A" w:rsidP="00B9230F">
      <w:pPr>
        <w:spacing w:after="0" w:line="240" w:lineRule="auto"/>
      </w:pPr>
      <w:r>
        <w:separator/>
      </w:r>
    </w:p>
  </w:footnote>
  <w:footnote w:type="continuationSeparator" w:id="0">
    <w:p w14:paraId="0D8917D9" w14:textId="77777777" w:rsidR="0014328A" w:rsidRDefault="0014328A" w:rsidP="00B92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E7062"/>
    <w:multiLevelType w:val="multilevel"/>
    <w:tmpl w:val="49780496"/>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color w:val="000000" w:themeColor="text1"/>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15:restartNumberingAfterBreak="0">
    <w:nsid w:val="1C3016C8"/>
    <w:multiLevelType w:val="hybridMultilevel"/>
    <w:tmpl w:val="5CCA1526"/>
    <w:lvl w:ilvl="0" w:tplc="102E1B52">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 w15:restartNumberingAfterBreak="0">
    <w:nsid w:val="4A2F3FCA"/>
    <w:multiLevelType w:val="hybridMultilevel"/>
    <w:tmpl w:val="80FA66D4"/>
    <w:lvl w:ilvl="0" w:tplc="847CF750">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DAB5F87"/>
    <w:multiLevelType w:val="multilevel"/>
    <w:tmpl w:val="88CC962E"/>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15:restartNumberingAfterBreak="0">
    <w:nsid w:val="58FA2743"/>
    <w:multiLevelType w:val="hybridMultilevel"/>
    <w:tmpl w:val="1D5A463C"/>
    <w:lvl w:ilvl="0" w:tplc="C6AAFC4A">
      <w:start w:val="1"/>
      <w:numFmt w:val="decimal"/>
      <w:lvlText w:val="%1."/>
      <w:lvlJc w:val="left"/>
      <w:pPr>
        <w:ind w:left="852" w:hanging="360"/>
      </w:pPr>
      <w:rPr>
        <w:rFonts w:hint="default"/>
        <w:b/>
      </w:rPr>
    </w:lvl>
    <w:lvl w:ilvl="1" w:tplc="04180019" w:tentative="1">
      <w:start w:val="1"/>
      <w:numFmt w:val="lowerLetter"/>
      <w:lvlText w:val="%2."/>
      <w:lvlJc w:val="left"/>
      <w:pPr>
        <w:ind w:left="1572" w:hanging="360"/>
      </w:pPr>
    </w:lvl>
    <w:lvl w:ilvl="2" w:tplc="0418001B" w:tentative="1">
      <w:start w:val="1"/>
      <w:numFmt w:val="lowerRoman"/>
      <w:lvlText w:val="%3."/>
      <w:lvlJc w:val="right"/>
      <w:pPr>
        <w:ind w:left="2292" w:hanging="180"/>
      </w:pPr>
    </w:lvl>
    <w:lvl w:ilvl="3" w:tplc="0418000F" w:tentative="1">
      <w:start w:val="1"/>
      <w:numFmt w:val="decimal"/>
      <w:lvlText w:val="%4."/>
      <w:lvlJc w:val="left"/>
      <w:pPr>
        <w:ind w:left="3012" w:hanging="360"/>
      </w:pPr>
    </w:lvl>
    <w:lvl w:ilvl="4" w:tplc="04180019" w:tentative="1">
      <w:start w:val="1"/>
      <w:numFmt w:val="lowerLetter"/>
      <w:lvlText w:val="%5."/>
      <w:lvlJc w:val="left"/>
      <w:pPr>
        <w:ind w:left="3732" w:hanging="360"/>
      </w:pPr>
    </w:lvl>
    <w:lvl w:ilvl="5" w:tplc="0418001B" w:tentative="1">
      <w:start w:val="1"/>
      <w:numFmt w:val="lowerRoman"/>
      <w:lvlText w:val="%6."/>
      <w:lvlJc w:val="right"/>
      <w:pPr>
        <w:ind w:left="4452" w:hanging="180"/>
      </w:pPr>
    </w:lvl>
    <w:lvl w:ilvl="6" w:tplc="0418000F" w:tentative="1">
      <w:start w:val="1"/>
      <w:numFmt w:val="decimal"/>
      <w:lvlText w:val="%7."/>
      <w:lvlJc w:val="left"/>
      <w:pPr>
        <w:ind w:left="5172" w:hanging="360"/>
      </w:pPr>
    </w:lvl>
    <w:lvl w:ilvl="7" w:tplc="04180019" w:tentative="1">
      <w:start w:val="1"/>
      <w:numFmt w:val="lowerLetter"/>
      <w:lvlText w:val="%8."/>
      <w:lvlJc w:val="left"/>
      <w:pPr>
        <w:ind w:left="5892" w:hanging="360"/>
      </w:pPr>
    </w:lvl>
    <w:lvl w:ilvl="8" w:tplc="0418001B" w:tentative="1">
      <w:start w:val="1"/>
      <w:numFmt w:val="lowerRoman"/>
      <w:lvlText w:val="%9."/>
      <w:lvlJc w:val="right"/>
      <w:pPr>
        <w:ind w:left="6612" w:hanging="180"/>
      </w:pPr>
    </w:lvl>
  </w:abstractNum>
  <w:abstractNum w:abstractNumId="5" w15:restartNumberingAfterBreak="0">
    <w:nsid w:val="5FDB29F8"/>
    <w:multiLevelType w:val="hybridMultilevel"/>
    <w:tmpl w:val="1332DC96"/>
    <w:lvl w:ilvl="0" w:tplc="6FEAEE3C">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15:restartNumberingAfterBreak="0">
    <w:nsid w:val="71BE6155"/>
    <w:multiLevelType w:val="hybridMultilevel"/>
    <w:tmpl w:val="0C5A525C"/>
    <w:lvl w:ilvl="0" w:tplc="F8E62C7C">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77AD6D2F"/>
    <w:multiLevelType w:val="multilevel"/>
    <w:tmpl w:val="1332DC96"/>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A607C9F"/>
    <w:multiLevelType w:val="hybridMultilevel"/>
    <w:tmpl w:val="D3F88108"/>
    <w:lvl w:ilvl="0" w:tplc="302A425A">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num w:numId="1">
    <w:abstractNumId w:val="0"/>
  </w:num>
  <w:num w:numId="2">
    <w:abstractNumId w:val="4"/>
  </w:num>
  <w:num w:numId="3">
    <w:abstractNumId w:val="5"/>
  </w:num>
  <w:num w:numId="4">
    <w:abstractNumId w:val="7"/>
  </w:num>
  <w:num w:numId="5">
    <w:abstractNumId w:val="6"/>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28"/>
    <w:rsid w:val="0001112C"/>
    <w:rsid w:val="00024DE4"/>
    <w:rsid w:val="00030C53"/>
    <w:rsid w:val="00030FD0"/>
    <w:rsid w:val="00033F72"/>
    <w:rsid w:val="00034A06"/>
    <w:rsid w:val="00047BFF"/>
    <w:rsid w:val="00050F3B"/>
    <w:rsid w:val="00054D30"/>
    <w:rsid w:val="00071DF8"/>
    <w:rsid w:val="00077F5E"/>
    <w:rsid w:val="00080166"/>
    <w:rsid w:val="000907AC"/>
    <w:rsid w:val="000A71A0"/>
    <w:rsid w:val="000A7A1F"/>
    <w:rsid w:val="000C209D"/>
    <w:rsid w:val="000C56BF"/>
    <w:rsid w:val="000C5796"/>
    <w:rsid w:val="000D01C9"/>
    <w:rsid w:val="000D16E9"/>
    <w:rsid w:val="000D25A4"/>
    <w:rsid w:val="000D6B4D"/>
    <w:rsid w:val="000E17E2"/>
    <w:rsid w:val="000F7653"/>
    <w:rsid w:val="001248AF"/>
    <w:rsid w:val="0013170F"/>
    <w:rsid w:val="00135241"/>
    <w:rsid w:val="0014328A"/>
    <w:rsid w:val="00144D4E"/>
    <w:rsid w:val="00163781"/>
    <w:rsid w:val="00164349"/>
    <w:rsid w:val="00174DCC"/>
    <w:rsid w:val="00180432"/>
    <w:rsid w:val="00191927"/>
    <w:rsid w:val="001B0DE8"/>
    <w:rsid w:val="001C639C"/>
    <w:rsid w:val="00203C0D"/>
    <w:rsid w:val="00204E0C"/>
    <w:rsid w:val="00214FFF"/>
    <w:rsid w:val="00217A18"/>
    <w:rsid w:val="002234F5"/>
    <w:rsid w:val="002336A1"/>
    <w:rsid w:val="002368E7"/>
    <w:rsid w:val="00252916"/>
    <w:rsid w:val="002545A0"/>
    <w:rsid w:val="002554D8"/>
    <w:rsid w:val="00257CE7"/>
    <w:rsid w:val="0026165A"/>
    <w:rsid w:val="002658BF"/>
    <w:rsid w:val="00267A18"/>
    <w:rsid w:val="00270637"/>
    <w:rsid w:val="00271FA0"/>
    <w:rsid w:val="00272B05"/>
    <w:rsid w:val="002734F4"/>
    <w:rsid w:val="00290CB1"/>
    <w:rsid w:val="002940D5"/>
    <w:rsid w:val="002A5E65"/>
    <w:rsid w:val="002B5037"/>
    <w:rsid w:val="002B7C81"/>
    <w:rsid w:val="002C3404"/>
    <w:rsid w:val="002C4EFC"/>
    <w:rsid w:val="002E0190"/>
    <w:rsid w:val="002F0C69"/>
    <w:rsid w:val="002F3947"/>
    <w:rsid w:val="002F4317"/>
    <w:rsid w:val="002F4C74"/>
    <w:rsid w:val="003022B2"/>
    <w:rsid w:val="00333948"/>
    <w:rsid w:val="0033564C"/>
    <w:rsid w:val="00365377"/>
    <w:rsid w:val="003663EF"/>
    <w:rsid w:val="003848E0"/>
    <w:rsid w:val="00394216"/>
    <w:rsid w:val="003A4FF0"/>
    <w:rsid w:val="003B1944"/>
    <w:rsid w:val="003B1B2D"/>
    <w:rsid w:val="003C0234"/>
    <w:rsid w:val="003C51F2"/>
    <w:rsid w:val="003E4063"/>
    <w:rsid w:val="003E70FA"/>
    <w:rsid w:val="0040103D"/>
    <w:rsid w:val="0041311B"/>
    <w:rsid w:val="00417A59"/>
    <w:rsid w:val="0042258D"/>
    <w:rsid w:val="004227E7"/>
    <w:rsid w:val="00430737"/>
    <w:rsid w:val="004410D2"/>
    <w:rsid w:val="00442F2B"/>
    <w:rsid w:val="004625B9"/>
    <w:rsid w:val="00463E05"/>
    <w:rsid w:val="00464231"/>
    <w:rsid w:val="00481432"/>
    <w:rsid w:val="0048398A"/>
    <w:rsid w:val="00485726"/>
    <w:rsid w:val="00493FED"/>
    <w:rsid w:val="0049466B"/>
    <w:rsid w:val="004A1341"/>
    <w:rsid w:val="004B1A64"/>
    <w:rsid w:val="004B6BD7"/>
    <w:rsid w:val="004B71D1"/>
    <w:rsid w:val="004B73D2"/>
    <w:rsid w:val="004C1CC7"/>
    <w:rsid w:val="004C3B9D"/>
    <w:rsid w:val="004C5510"/>
    <w:rsid w:val="004D7E5A"/>
    <w:rsid w:val="004F165A"/>
    <w:rsid w:val="00500C8A"/>
    <w:rsid w:val="0051657B"/>
    <w:rsid w:val="00523B9F"/>
    <w:rsid w:val="005307B5"/>
    <w:rsid w:val="005328E6"/>
    <w:rsid w:val="00536682"/>
    <w:rsid w:val="00545042"/>
    <w:rsid w:val="005461F7"/>
    <w:rsid w:val="00546B81"/>
    <w:rsid w:val="00552F92"/>
    <w:rsid w:val="005563EF"/>
    <w:rsid w:val="00567942"/>
    <w:rsid w:val="00570B04"/>
    <w:rsid w:val="00571B5F"/>
    <w:rsid w:val="005723AE"/>
    <w:rsid w:val="00590975"/>
    <w:rsid w:val="00592C1E"/>
    <w:rsid w:val="0059356A"/>
    <w:rsid w:val="0059668E"/>
    <w:rsid w:val="005B2B63"/>
    <w:rsid w:val="005C1354"/>
    <w:rsid w:val="005D5A39"/>
    <w:rsid w:val="005E15EA"/>
    <w:rsid w:val="005E4FA0"/>
    <w:rsid w:val="005F3FFA"/>
    <w:rsid w:val="005F62BE"/>
    <w:rsid w:val="0060129D"/>
    <w:rsid w:val="00617B62"/>
    <w:rsid w:val="00621C92"/>
    <w:rsid w:val="00631033"/>
    <w:rsid w:val="00634F97"/>
    <w:rsid w:val="00640B12"/>
    <w:rsid w:val="0064640C"/>
    <w:rsid w:val="00647B3B"/>
    <w:rsid w:val="00650A9D"/>
    <w:rsid w:val="00651EF0"/>
    <w:rsid w:val="00654881"/>
    <w:rsid w:val="00656CFC"/>
    <w:rsid w:val="0067156B"/>
    <w:rsid w:val="00674694"/>
    <w:rsid w:val="00682733"/>
    <w:rsid w:val="006858F9"/>
    <w:rsid w:val="00697570"/>
    <w:rsid w:val="006D17EE"/>
    <w:rsid w:val="006F2E43"/>
    <w:rsid w:val="00700B67"/>
    <w:rsid w:val="0071685D"/>
    <w:rsid w:val="00723E2F"/>
    <w:rsid w:val="007336CD"/>
    <w:rsid w:val="0074503A"/>
    <w:rsid w:val="00747A4A"/>
    <w:rsid w:val="00760E14"/>
    <w:rsid w:val="0077229D"/>
    <w:rsid w:val="00780DCC"/>
    <w:rsid w:val="00783606"/>
    <w:rsid w:val="00790AD6"/>
    <w:rsid w:val="00792C88"/>
    <w:rsid w:val="00793B5A"/>
    <w:rsid w:val="007B3DBC"/>
    <w:rsid w:val="007D2E5E"/>
    <w:rsid w:val="007D63E9"/>
    <w:rsid w:val="007F2226"/>
    <w:rsid w:val="007F2890"/>
    <w:rsid w:val="007F4D0B"/>
    <w:rsid w:val="0080546A"/>
    <w:rsid w:val="00812DBE"/>
    <w:rsid w:val="00834E40"/>
    <w:rsid w:val="00840669"/>
    <w:rsid w:val="00842F31"/>
    <w:rsid w:val="00853601"/>
    <w:rsid w:val="00854B63"/>
    <w:rsid w:val="00856360"/>
    <w:rsid w:val="00856C38"/>
    <w:rsid w:val="008633E0"/>
    <w:rsid w:val="00863814"/>
    <w:rsid w:val="00876050"/>
    <w:rsid w:val="008A1DE2"/>
    <w:rsid w:val="008A2FB6"/>
    <w:rsid w:val="008B270E"/>
    <w:rsid w:val="008B41D5"/>
    <w:rsid w:val="008C080B"/>
    <w:rsid w:val="008C69FB"/>
    <w:rsid w:val="008D029F"/>
    <w:rsid w:val="008D1160"/>
    <w:rsid w:val="008E4A41"/>
    <w:rsid w:val="008E516F"/>
    <w:rsid w:val="008F6DDE"/>
    <w:rsid w:val="008F7AF7"/>
    <w:rsid w:val="00905420"/>
    <w:rsid w:val="00905748"/>
    <w:rsid w:val="00915097"/>
    <w:rsid w:val="009437BD"/>
    <w:rsid w:val="00944AE8"/>
    <w:rsid w:val="00947EBD"/>
    <w:rsid w:val="00952134"/>
    <w:rsid w:val="009563B4"/>
    <w:rsid w:val="009608B3"/>
    <w:rsid w:val="00964591"/>
    <w:rsid w:val="00970CC2"/>
    <w:rsid w:val="00975111"/>
    <w:rsid w:val="009815E0"/>
    <w:rsid w:val="00983801"/>
    <w:rsid w:val="00990B9F"/>
    <w:rsid w:val="00993996"/>
    <w:rsid w:val="009B5CCC"/>
    <w:rsid w:val="009B791C"/>
    <w:rsid w:val="009C7D19"/>
    <w:rsid w:val="009D00C6"/>
    <w:rsid w:val="009D03DC"/>
    <w:rsid w:val="009D189A"/>
    <w:rsid w:val="009D7C3B"/>
    <w:rsid w:val="009E19D3"/>
    <w:rsid w:val="009F4110"/>
    <w:rsid w:val="009F4F6E"/>
    <w:rsid w:val="00A15B27"/>
    <w:rsid w:val="00A15F66"/>
    <w:rsid w:val="00A340ED"/>
    <w:rsid w:val="00A362D9"/>
    <w:rsid w:val="00A42CEA"/>
    <w:rsid w:val="00A456E0"/>
    <w:rsid w:val="00A551FE"/>
    <w:rsid w:val="00A56F4F"/>
    <w:rsid w:val="00A72D6A"/>
    <w:rsid w:val="00A86911"/>
    <w:rsid w:val="00AA0BFD"/>
    <w:rsid w:val="00AA2622"/>
    <w:rsid w:val="00AA3B5E"/>
    <w:rsid w:val="00AB26F5"/>
    <w:rsid w:val="00AC1DA8"/>
    <w:rsid w:val="00AC4462"/>
    <w:rsid w:val="00AC4974"/>
    <w:rsid w:val="00AD4A5D"/>
    <w:rsid w:val="00AD4EE7"/>
    <w:rsid w:val="00AE4124"/>
    <w:rsid w:val="00AE78AA"/>
    <w:rsid w:val="00B152BB"/>
    <w:rsid w:val="00B36A6A"/>
    <w:rsid w:val="00B37B61"/>
    <w:rsid w:val="00B439CC"/>
    <w:rsid w:val="00B56053"/>
    <w:rsid w:val="00B57A39"/>
    <w:rsid w:val="00B712D1"/>
    <w:rsid w:val="00B83890"/>
    <w:rsid w:val="00B91928"/>
    <w:rsid w:val="00B9230F"/>
    <w:rsid w:val="00B96F11"/>
    <w:rsid w:val="00BA5D30"/>
    <w:rsid w:val="00BC0776"/>
    <w:rsid w:val="00BC18B3"/>
    <w:rsid w:val="00BD2DE9"/>
    <w:rsid w:val="00BF09EE"/>
    <w:rsid w:val="00BF5675"/>
    <w:rsid w:val="00C01C05"/>
    <w:rsid w:val="00C056B5"/>
    <w:rsid w:val="00C07935"/>
    <w:rsid w:val="00C23E53"/>
    <w:rsid w:val="00C25662"/>
    <w:rsid w:val="00C32EC0"/>
    <w:rsid w:val="00C37328"/>
    <w:rsid w:val="00C40792"/>
    <w:rsid w:val="00C43E57"/>
    <w:rsid w:val="00C612F5"/>
    <w:rsid w:val="00C67C0F"/>
    <w:rsid w:val="00C82560"/>
    <w:rsid w:val="00C86A16"/>
    <w:rsid w:val="00CA6AFB"/>
    <w:rsid w:val="00CB62F8"/>
    <w:rsid w:val="00CB7946"/>
    <w:rsid w:val="00CC23D9"/>
    <w:rsid w:val="00CC724C"/>
    <w:rsid w:val="00CD0DD9"/>
    <w:rsid w:val="00CE00E4"/>
    <w:rsid w:val="00CF2D57"/>
    <w:rsid w:val="00CF7DD2"/>
    <w:rsid w:val="00D00990"/>
    <w:rsid w:val="00D07CAC"/>
    <w:rsid w:val="00D102B3"/>
    <w:rsid w:val="00D14B48"/>
    <w:rsid w:val="00D175C8"/>
    <w:rsid w:val="00D452C2"/>
    <w:rsid w:val="00D47524"/>
    <w:rsid w:val="00D61F5C"/>
    <w:rsid w:val="00D707A2"/>
    <w:rsid w:val="00D748BF"/>
    <w:rsid w:val="00D810E6"/>
    <w:rsid w:val="00D90606"/>
    <w:rsid w:val="00D92228"/>
    <w:rsid w:val="00DA64DF"/>
    <w:rsid w:val="00DB4AD5"/>
    <w:rsid w:val="00DF030B"/>
    <w:rsid w:val="00E01FD0"/>
    <w:rsid w:val="00E346DD"/>
    <w:rsid w:val="00E43D5C"/>
    <w:rsid w:val="00E447F5"/>
    <w:rsid w:val="00E53D98"/>
    <w:rsid w:val="00E7654F"/>
    <w:rsid w:val="00EA0410"/>
    <w:rsid w:val="00EB0B6C"/>
    <w:rsid w:val="00EB2B1E"/>
    <w:rsid w:val="00EC2027"/>
    <w:rsid w:val="00ED5AF9"/>
    <w:rsid w:val="00EE3A4F"/>
    <w:rsid w:val="00EE3D94"/>
    <w:rsid w:val="00EE6BAD"/>
    <w:rsid w:val="00EF6A8A"/>
    <w:rsid w:val="00F25C1B"/>
    <w:rsid w:val="00F27DD4"/>
    <w:rsid w:val="00F41DD2"/>
    <w:rsid w:val="00F50F58"/>
    <w:rsid w:val="00F6117E"/>
    <w:rsid w:val="00F640D5"/>
    <w:rsid w:val="00F66109"/>
    <w:rsid w:val="00F666D9"/>
    <w:rsid w:val="00F730E3"/>
    <w:rsid w:val="00F731BC"/>
    <w:rsid w:val="00F73BF7"/>
    <w:rsid w:val="00F801F4"/>
    <w:rsid w:val="00F81C22"/>
    <w:rsid w:val="00F90A82"/>
    <w:rsid w:val="00F9559F"/>
    <w:rsid w:val="00FB6E33"/>
    <w:rsid w:val="00FC5B80"/>
    <w:rsid w:val="00FC7704"/>
    <w:rsid w:val="00FD2116"/>
    <w:rsid w:val="00FD26A6"/>
    <w:rsid w:val="00FE58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EC1C"/>
  <w15:chartTrackingRefBased/>
  <w15:docId w15:val="{763980DC-E156-4C2A-8E36-42FCA9F3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20" w:line="276" w:lineRule="auto"/>
        <w:ind w:left="1418" w:right="1418" w:firstLine="425"/>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974"/>
    <w:pPr>
      <w:spacing w:after="160" w:line="259" w:lineRule="auto"/>
      <w:ind w:left="0" w:right="0" w:firstLine="0"/>
      <w:jc w:val="left"/>
    </w:pPr>
    <w:rPr>
      <w:lang w:val="en-US"/>
    </w:rPr>
  </w:style>
  <w:style w:type="paragraph" w:styleId="Titlu4">
    <w:name w:val="heading 4"/>
    <w:basedOn w:val="Normal"/>
    <w:next w:val="Normal"/>
    <w:link w:val="Titlu4Caracter"/>
    <w:uiPriority w:val="9"/>
    <w:semiHidden/>
    <w:unhideWhenUsed/>
    <w:qFormat/>
    <w:rsid w:val="00B96F1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8">
    <w:name w:val="heading 8"/>
    <w:basedOn w:val="Normal"/>
    <w:next w:val="Normal"/>
    <w:link w:val="Titlu8Caracter"/>
    <w:uiPriority w:val="9"/>
    <w:unhideWhenUsed/>
    <w:qFormat/>
    <w:rsid w:val="00AC4974"/>
    <w:pPr>
      <w:keepNext/>
      <w:keepLines/>
      <w:spacing w:before="40" w:after="0"/>
      <w:outlineLvl w:val="7"/>
    </w:pPr>
    <w:rPr>
      <w:rFonts w:asciiTheme="majorHAnsi" w:eastAsiaTheme="majorEastAsia" w:hAnsiTheme="majorHAnsi" w:cstheme="majorBidi"/>
      <w:color w:val="272727" w:themeColor="text1" w:themeTint="D8"/>
      <w:sz w:val="21"/>
      <w:szCs w:val="21"/>
      <w:lang w:val="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uiPriority w:val="9"/>
    <w:rsid w:val="00AC4974"/>
    <w:rPr>
      <w:rFonts w:asciiTheme="majorHAnsi" w:eastAsiaTheme="majorEastAsia" w:hAnsiTheme="majorHAnsi" w:cstheme="majorBidi"/>
      <w:color w:val="272727" w:themeColor="text1" w:themeTint="D8"/>
      <w:sz w:val="21"/>
      <w:szCs w:val="21"/>
      <w:lang w:val="zh-CN"/>
    </w:rPr>
  </w:style>
  <w:style w:type="paragraph" w:styleId="Listparagraf">
    <w:name w:val="List Paragraph"/>
    <w:basedOn w:val="Normal"/>
    <w:uiPriority w:val="34"/>
    <w:qFormat/>
    <w:rsid w:val="00B96F11"/>
    <w:pPr>
      <w:ind w:left="720"/>
      <w:contextualSpacing/>
    </w:pPr>
  </w:style>
  <w:style w:type="character" w:customStyle="1" w:styleId="Titlu4Caracter">
    <w:name w:val="Titlu 4 Caracter"/>
    <w:basedOn w:val="Fontdeparagrafimplicit"/>
    <w:link w:val="Titlu4"/>
    <w:uiPriority w:val="9"/>
    <w:semiHidden/>
    <w:rsid w:val="00B96F11"/>
    <w:rPr>
      <w:rFonts w:asciiTheme="majorHAnsi" w:eastAsiaTheme="majorEastAsia" w:hAnsiTheme="majorHAnsi" w:cstheme="majorBidi"/>
      <w:i/>
      <w:iCs/>
      <w:color w:val="2F5496" w:themeColor="accent1" w:themeShade="BF"/>
      <w:lang w:val="en-US"/>
    </w:rPr>
  </w:style>
  <w:style w:type="character" w:styleId="Hyperlink">
    <w:name w:val="Hyperlink"/>
    <w:basedOn w:val="Fontdeparagrafimplicit"/>
    <w:uiPriority w:val="99"/>
    <w:unhideWhenUsed/>
    <w:rsid w:val="0042258D"/>
    <w:rPr>
      <w:color w:val="0563C1" w:themeColor="hyperlink"/>
      <w:u w:val="single"/>
    </w:rPr>
  </w:style>
  <w:style w:type="character" w:styleId="MeniuneNerezolvat">
    <w:name w:val="Unresolved Mention"/>
    <w:basedOn w:val="Fontdeparagrafimplicit"/>
    <w:uiPriority w:val="99"/>
    <w:semiHidden/>
    <w:unhideWhenUsed/>
    <w:rsid w:val="0042258D"/>
    <w:rPr>
      <w:color w:val="605E5C"/>
      <w:shd w:val="clear" w:color="auto" w:fill="E1DFDD"/>
    </w:rPr>
  </w:style>
  <w:style w:type="paragraph" w:styleId="TextnBalon">
    <w:name w:val="Balloon Text"/>
    <w:basedOn w:val="Normal"/>
    <w:link w:val="TextnBalonCaracter"/>
    <w:uiPriority w:val="99"/>
    <w:rsid w:val="00080166"/>
    <w:pPr>
      <w:spacing w:after="0" w:line="240" w:lineRule="auto"/>
      <w:ind w:firstLine="709"/>
      <w:jc w:val="both"/>
    </w:pPr>
    <w:rPr>
      <w:rFonts w:ascii="Tahoma" w:eastAsia="Times New Roman" w:hAnsi="Tahoma" w:cs="Times New Roman"/>
      <w:sz w:val="16"/>
      <w:szCs w:val="16"/>
    </w:rPr>
  </w:style>
  <w:style w:type="character" w:customStyle="1" w:styleId="TextnBalonCaracter">
    <w:name w:val="Text în Balon Caracter"/>
    <w:basedOn w:val="Fontdeparagrafimplicit"/>
    <w:link w:val="TextnBalon"/>
    <w:uiPriority w:val="99"/>
    <w:rsid w:val="00080166"/>
    <w:rPr>
      <w:rFonts w:ascii="Tahoma" w:eastAsia="Times New Roman" w:hAnsi="Tahoma" w:cs="Times New Roman"/>
      <w:sz w:val="16"/>
      <w:szCs w:val="16"/>
      <w:lang w:val="en-US"/>
    </w:rPr>
  </w:style>
  <w:style w:type="paragraph" w:styleId="Frspaiere">
    <w:name w:val="No Spacing"/>
    <w:uiPriority w:val="1"/>
    <w:qFormat/>
    <w:rsid w:val="00F50F58"/>
    <w:pPr>
      <w:spacing w:after="0" w:line="240" w:lineRule="auto"/>
      <w:ind w:left="0" w:right="0" w:firstLine="0"/>
      <w:jc w:val="left"/>
    </w:pPr>
    <w:rPr>
      <w:lang w:val="en-US"/>
    </w:rPr>
  </w:style>
  <w:style w:type="paragraph" w:customStyle="1" w:styleId="oj-normal">
    <w:name w:val="oj-normal"/>
    <w:basedOn w:val="Normal"/>
    <w:rsid w:val="000907A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ntet">
    <w:name w:val="header"/>
    <w:basedOn w:val="Normal"/>
    <w:link w:val="AntetCaracter"/>
    <w:unhideWhenUsed/>
    <w:rsid w:val="00B9230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9230F"/>
    <w:rPr>
      <w:lang w:val="en-US"/>
    </w:rPr>
  </w:style>
  <w:style w:type="paragraph" w:styleId="Subsol">
    <w:name w:val="footer"/>
    <w:basedOn w:val="Normal"/>
    <w:link w:val="SubsolCaracter"/>
    <w:uiPriority w:val="99"/>
    <w:unhideWhenUsed/>
    <w:rsid w:val="00B9230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9230F"/>
    <w:rPr>
      <w:lang w:val="en-US"/>
    </w:rPr>
  </w:style>
  <w:style w:type="character" w:styleId="HyperlinkParcurs">
    <w:name w:val="FollowedHyperlink"/>
    <w:basedOn w:val="Fontdeparagrafimplicit"/>
    <w:uiPriority w:val="99"/>
    <w:semiHidden/>
    <w:unhideWhenUsed/>
    <w:rsid w:val="00E765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5785">
      <w:bodyDiv w:val="1"/>
      <w:marLeft w:val="0"/>
      <w:marRight w:val="0"/>
      <w:marTop w:val="0"/>
      <w:marBottom w:val="0"/>
      <w:divBdr>
        <w:top w:val="none" w:sz="0" w:space="0" w:color="auto"/>
        <w:left w:val="none" w:sz="0" w:space="0" w:color="auto"/>
        <w:bottom w:val="none" w:sz="0" w:space="0" w:color="auto"/>
        <w:right w:val="none" w:sz="0" w:space="0" w:color="auto"/>
      </w:divBdr>
    </w:div>
    <w:div w:id="177501857">
      <w:bodyDiv w:val="1"/>
      <w:marLeft w:val="0"/>
      <w:marRight w:val="0"/>
      <w:marTop w:val="0"/>
      <w:marBottom w:val="0"/>
      <w:divBdr>
        <w:top w:val="none" w:sz="0" w:space="0" w:color="auto"/>
        <w:left w:val="none" w:sz="0" w:space="0" w:color="auto"/>
        <w:bottom w:val="none" w:sz="0" w:space="0" w:color="auto"/>
        <w:right w:val="none" w:sz="0" w:space="0" w:color="auto"/>
      </w:divBdr>
    </w:div>
    <w:div w:id="240143145">
      <w:bodyDiv w:val="1"/>
      <w:marLeft w:val="0"/>
      <w:marRight w:val="0"/>
      <w:marTop w:val="0"/>
      <w:marBottom w:val="0"/>
      <w:divBdr>
        <w:top w:val="none" w:sz="0" w:space="0" w:color="auto"/>
        <w:left w:val="none" w:sz="0" w:space="0" w:color="auto"/>
        <w:bottom w:val="none" w:sz="0" w:space="0" w:color="auto"/>
        <w:right w:val="none" w:sz="0" w:space="0" w:color="auto"/>
      </w:divBdr>
    </w:div>
    <w:div w:id="561914155">
      <w:bodyDiv w:val="1"/>
      <w:marLeft w:val="0"/>
      <w:marRight w:val="0"/>
      <w:marTop w:val="0"/>
      <w:marBottom w:val="0"/>
      <w:divBdr>
        <w:top w:val="none" w:sz="0" w:space="0" w:color="auto"/>
        <w:left w:val="none" w:sz="0" w:space="0" w:color="auto"/>
        <w:bottom w:val="none" w:sz="0" w:space="0" w:color="auto"/>
        <w:right w:val="none" w:sz="0" w:space="0" w:color="auto"/>
      </w:divBdr>
    </w:div>
    <w:div w:id="674114339">
      <w:bodyDiv w:val="1"/>
      <w:marLeft w:val="0"/>
      <w:marRight w:val="0"/>
      <w:marTop w:val="0"/>
      <w:marBottom w:val="0"/>
      <w:divBdr>
        <w:top w:val="none" w:sz="0" w:space="0" w:color="auto"/>
        <w:left w:val="none" w:sz="0" w:space="0" w:color="auto"/>
        <w:bottom w:val="none" w:sz="0" w:space="0" w:color="auto"/>
        <w:right w:val="none" w:sz="0" w:space="0" w:color="auto"/>
      </w:divBdr>
    </w:div>
    <w:div w:id="910307360">
      <w:bodyDiv w:val="1"/>
      <w:marLeft w:val="0"/>
      <w:marRight w:val="0"/>
      <w:marTop w:val="0"/>
      <w:marBottom w:val="0"/>
      <w:divBdr>
        <w:top w:val="none" w:sz="0" w:space="0" w:color="auto"/>
        <w:left w:val="none" w:sz="0" w:space="0" w:color="auto"/>
        <w:bottom w:val="none" w:sz="0" w:space="0" w:color="auto"/>
        <w:right w:val="none" w:sz="0" w:space="0" w:color="auto"/>
      </w:divBdr>
    </w:div>
    <w:div w:id="1224216603">
      <w:bodyDiv w:val="1"/>
      <w:marLeft w:val="0"/>
      <w:marRight w:val="0"/>
      <w:marTop w:val="0"/>
      <w:marBottom w:val="0"/>
      <w:divBdr>
        <w:top w:val="none" w:sz="0" w:space="0" w:color="auto"/>
        <w:left w:val="none" w:sz="0" w:space="0" w:color="auto"/>
        <w:bottom w:val="none" w:sz="0" w:space="0" w:color="auto"/>
        <w:right w:val="none" w:sz="0" w:space="0" w:color="auto"/>
      </w:divBdr>
    </w:div>
    <w:div w:id="1321695945">
      <w:bodyDiv w:val="1"/>
      <w:marLeft w:val="0"/>
      <w:marRight w:val="0"/>
      <w:marTop w:val="0"/>
      <w:marBottom w:val="0"/>
      <w:divBdr>
        <w:top w:val="none" w:sz="0" w:space="0" w:color="auto"/>
        <w:left w:val="none" w:sz="0" w:space="0" w:color="auto"/>
        <w:bottom w:val="none" w:sz="0" w:space="0" w:color="auto"/>
        <w:right w:val="none" w:sz="0" w:space="0" w:color="auto"/>
      </w:divBdr>
    </w:div>
    <w:div w:id="1401712864">
      <w:bodyDiv w:val="1"/>
      <w:marLeft w:val="0"/>
      <w:marRight w:val="0"/>
      <w:marTop w:val="0"/>
      <w:marBottom w:val="0"/>
      <w:divBdr>
        <w:top w:val="none" w:sz="0" w:space="0" w:color="auto"/>
        <w:left w:val="none" w:sz="0" w:space="0" w:color="auto"/>
        <w:bottom w:val="none" w:sz="0" w:space="0" w:color="auto"/>
        <w:right w:val="none" w:sz="0" w:space="0" w:color="auto"/>
      </w:divBdr>
    </w:div>
    <w:div w:id="1555850111">
      <w:bodyDiv w:val="1"/>
      <w:marLeft w:val="0"/>
      <w:marRight w:val="0"/>
      <w:marTop w:val="0"/>
      <w:marBottom w:val="0"/>
      <w:divBdr>
        <w:top w:val="none" w:sz="0" w:space="0" w:color="auto"/>
        <w:left w:val="none" w:sz="0" w:space="0" w:color="auto"/>
        <w:bottom w:val="none" w:sz="0" w:space="0" w:color="auto"/>
        <w:right w:val="none" w:sz="0" w:space="0" w:color="auto"/>
      </w:divBdr>
    </w:div>
    <w:div w:id="1681615092">
      <w:bodyDiv w:val="1"/>
      <w:marLeft w:val="0"/>
      <w:marRight w:val="0"/>
      <w:marTop w:val="0"/>
      <w:marBottom w:val="0"/>
      <w:divBdr>
        <w:top w:val="none" w:sz="0" w:space="0" w:color="auto"/>
        <w:left w:val="none" w:sz="0" w:space="0" w:color="auto"/>
        <w:bottom w:val="none" w:sz="0" w:space="0" w:color="auto"/>
        <w:right w:val="none" w:sz="0" w:space="0" w:color="auto"/>
      </w:divBdr>
    </w:div>
    <w:div w:id="1700930541">
      <w:bodyDiv w:val="1"/>
      <w:marLeft w:val="0"/>
      <w:marRight w:val="0"/>
      <w:marTop w:val="0"/>
      <w:marBottom w:val="0"/>
      <w:divBdr>
        <w:top w:val="none" w:sz="0" w:space="0" w:color="auto"/>
        <w:left w:val="none" w:sz="0" w:space="0" w:color="auto"/>
        <w:bottom w:val="none" w:sz="0" w:space="0" w:color="auto"/>
        <w:right w:val="none" w:sz="0" w:space="0" w:color="auto"/>
      </w:divBdr>
    </w:div>
    <w:div w:id="1716344047">
      <w:bodyDiv w:val="1"/>
      <w:marLeft w:val="0"/>
      <w:marRight w:val="0"/>
      <w:marTop w:val="0"/>
      <w:marBottom w:val="0"/>
      <w:divBdr>
        <w:top w:val="none" w:sz="0" w:space="0" w:color="auto"/>
        <w:left w:val="none" w:sz="0" w:space="0" w:color="auto"/>
        <w:bottom w:val="none" w:sz="0" w:space="0" w:color="auto"/>
        <w:right w:val="none" w:sz="0" w:space="0" w:color="auto"/>
      </w:divBdr>
    </w:div>
    <w:div w:id="1802072656">
      <w:bodyDiv w:val="1"/>
      <w:marLeft w:val="0"/>
      <w:marRight w:val="0"/>
      <w:marTop w:val="0"/>
      <w:marBottom w:val="0"/>
      <w:divBdr>
        <w:top w:val="none" w:sz="0" w:space="0" w:color="auto"/>
        <w:left w:val="none" w:sz="0" w:space="0" w:color="auto"/>
        <w:bottom w:val="none" w:sz="0" w:space="0" w:color="auto"/>
        <w:right w:val="none" w:sz="0" w:space="0" w:color="auto"/>
      </w:divBdr>
    </w:div>
    <w:div w:id="200987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RO/TXT/?uri=CELEX%3A02019R1871-2024120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45281-562A-4035-AA6B-2DB2171B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4460</Words>
  <Characters>25870</Characters>
  <Application>Microsoft Office Word</Application>
  <DocSecurity>0</DocSecurity>
  <Lines>215</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4</cp:revision>
  <cp:lastPrinted>2025-12-10T13:09:00Z</cp:lastPrinted>
  <dcterms:created xsi:type="dcterms:W3CDTF">2026-02-23T08:25:00Z</dcterms:created>
  <dcterms:modified xsi:type="dcterms:W3CDTF">2026-02-25T08:31:00Z</dcterms:modified>
</cp:coreProperties>
</file>