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121B5" w14:textId="77777777" w:rsidR="004E1CB1" w:rsidRDefault="004E1CB1">
      <w:pPr>
        <w:keepLines/>
        <w:spacing w:line="240" w:lineRule="auto"/>
        <w:rPr>
          <w:rFonts w:ascii="Times New Roman" w:eastAsia="Times New Roman" w:hAnsi="Times New Roman" w:cs="Times New Roman"/>
        </w:rPr>
      </w:pPr>
    </w:p>
    <w:tbl>
      <w:tblPr>
        <w:tblStyle w:val="a5"/>
        <w:tblW w:w="1440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675"/>
        <w:gridCol w:w="2475"/>
        <w:gridCol w:w="5520"/>
        <w:gridCol w:w="5730"/>
      </w:tblGrid>
      <w:tr w:rsidR="004E1CB1" w14:paraId="55E48186" w14:textId="77777777">
        <w:trPr>
          <w:trHeight w:val="1110"/>
        </w:trPr>
        <w:tc>
          <w:tcPr>
            <w:tcW w:w="675" w:type="dxa"/>
            <w:tcBorders>
              <w:top w:val="nil"/>
              <w:left w:val="nil"/>
              <w:bottom w:val="single" w:sz="4" w:space="0" w:color="000000"/>
              <w:right w:val="nil"/>
            </w:tcBorders>
            <w:tcMar>
              <w:top w:w="20" w:type="dxa"/>
              <w:left w:w="40" w:type="dxa"/>
              <w:bottom w:w="20" w:type="dxa"/>
              <w:right w:w="40" w:type="dxa"/>
            </w:tcMar>
          </w:tcPr>
          <w:p w14:paraId="46E6CCB5" w14:textId="77777777" w:rsidR="004E1CB1" w:rsidRDefault="004E1CB1">
            <w:pPr>
              <w:keepLines/>
              <w:spacing w:line="240" w:lineRule="auto"/>
              <w:jc w:val="center"/>
              <w:rPr>
                <w:rFonts w:ascii="Times New Roman" w:eastAsia="Times New Roman" w:hAnsi="Times New Roman" w:cs="Times New Roman"/>
                <w:b/>
                <w:bCs/>
              </w:rPr>
            </w:pPr>
          </w:p>
        </w:tc>
        <w:tc>
          <w:tcPr>
            <w:tcW w:w="13725" w:type="dxa"/>
            <w:gridSpan w:val="3"/>
            <w:tcBorders>
              <w:top w:val="nil"/>
              <w:left w:val="nil"/>
              <w:bottom w:val="single" w:sz="4" w:space="0" w:color="000000"/>
              <w:right w:val="nil"/>
            </w:tcBorders>
            <w:tcMar>
              <w:top w:w="20" w:type="dxa"/>
              <w:left w:w="40" w:type="dxa"/>
              <w:bottom w:w="20" w:type="dxa"/>
              <w:right w:w="40" w:type="dxa"/>
            </w:tcMar>
          </w:tcPr>
          <w:p w14:paraId="1F481F30" w14:textId="77777777" w:rsidR="004E1CB1" w:rsidRPr="007C4927" w:rsidRDefault="00000000">
            <w:pPr>
              <w:keepLines/>
              <w:spacing w:line="240" w:lineRule="auto"/>
              <w:jc w:val="center"/>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SINTEZA</w:t>
            </w:r>
          </w:p>
          <w:p w14:paraId="2CE12957" w14:textId="77777777" w:rsidR="004E1CB1" w:rsidRPr="007C4927" w:rsidRDefault="00000000">
            <w:pPr>
              <w:keepLines/>
              <w:spacing w:line="240" w:lineRule="auto"/>
              <w:jc w:val="center"/>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proiectul de hotărâre pentru modificarea unor hotărâri de Guvern în domeniul securității și sănătății în muncă</w:t>
            </w:r>
          </w:p>
          <w:p w14:paraId="54FBAB39" w14:textId="77777777" w:rsidR="004E1CB1" w:rsidRDefault="00000000">
            <w:pPr>
              <w:spacing w:line="240" w:lineRule="auto"/>
              <w:ind w:firstLine="567"/>
              <w:jc w:val="center"/>
              <w:rPr>
                <w:rFonts w:ascii="Times New Roman" w:eastAsia="Times New Roman" w:hAnsi="Times New Roman" w:cs="Times New Roman"/>
                <w:b/>
                <w:bCs/>
                <w:i/>
                <w:iCs/>
              </w:rPr>
            </w:pPr>
            <w:bookmarkStart w:id="0" w:name="_53whtamxnkew" w:colFirst="0" w:colLast="0"/>
            <w:bookmarkEnd w:id="0"/>
            <w:r>
              <w:rPr>
                <w:rFonts w:ascii="Times New Roman" w:eastAsia="Times New Roman" w:hAnsi="Times New Roman" w:cs="Times New Roman"/>
                <w:b/>
                <w:bCs/>
                <w:i/>
                <w:iCs/>
              </w:rPr>
              <w:t>(</w:t>
            </w:r>
            <w:proofErr w:type="spellStart"/>
            <w:r>
              <w:rPr>
                <w:rFonts w:ascii="Times New Roman" w:eastAsia="Times New Roman" w:hAnsi="Times New Roman" w:cs="Times New Roman"/>
                <w:b/>
                <w:bCs/>
                <w:i/>
                <w:iCs/>
              </w:rPr>
              <w:t>număr</w:t>
            </w:r>
            <w:proofErr w:type="spellEnd"/>
            <w:r>
              <w:rPr>
                <w:rFonts w:ascii="Times New Roman" w:eastAsia="Times New Roman" w:hAnsi="Times New Roman" w:cs="Times New Roman"/>
                <w:b/>
                <w:bCs/>
                <w:i/>
                <w:iCs/>
              </w:rPr>
              <w:t xml:space="preserve"> </w:t>
            </w:r>
            <w:proofErr w:type="spellStart"/>
            <w:r>
              <w:rPr>
                <w:rFonts w:ascii="Times New Roman" w:eastAsia="Times New Roman" w:hAnsi="Times New Roman" w:cs="Times New Roman"/>
                <w:b/>
                <w:bCs/>
                <w:i/>
                <w:iCs/>
              </w:rPr>
              <w:t>unic</w:t>
            </w:r>
            <w:proofErr w:type="spellEnd"/>
            <w:r>
              <w:rPr>
                <w:rFonts w:ascii="Times New Roman" w:eastAsia="Times New Roman" w:hAnsi="Times New Roman" w:cs="Times New Roman"/>
                <w:b/>
                <w:bCs/>
                <w:i/>
                <w:iCs/>
              </w:rPr>
              <w:t xml:space="preserve"> 742/MMPS/2025)</w:t>
            </w:r>
          </w:p>
        </w:tc>
      </w:tr>
      <w:tr w:rsidR="004E1CB1" w14:paraId="26915CC0" w14:textId="77777777">
        <w:trPr>
          <w:trHeight w:val="975"/>
        </w:trPr>
        <w:tc>
          <w:tcPr>
            <w:tcW w:w="6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3A49C706" w14:textId="77777777" w:rsidR="004E1CB1"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Nr</w:t>
            </w:r>
          </w:p>
          <w:p w14:paraId="3B6506C0" w14:textId="77777777" w:rsidR="004E1CB1"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d/o</w:t>
            </w:r>
          </w:p>
        </w:tc>
        <w:tc>
          <w:tcPr>
            <w:tcW w:w="24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2DC0B7DC" w14:textId="77777777" w:rsidR="004E1CB1" w:rsidRPr="007C4927" w:rsidRDefault="00000000">
            <w:pPr>
              <w:keepLines/>
              <w:spacing w:line="240" w:lineRule="auto"/>
              <w:jc w:val="center"/>
              <w:rPr>
                <w:rFonts w:ascii="Times New Roman" w:eastAsia="Times New Roman" w:hAnsi="Times New Roman" w:cs="Times New Roman"/>
                <w:lang w:val="pt-BR"/>
              </w:rPr>
            </w:pPr>
            <w:r w:rsidRPr="007C4927">
              <w:rPr>
                <w:rFonts w:ascii="Times New Roman" w:eastAsia="Times New Roman" w:hAnsi="Times New Roman" w:cs="Times New Roman"/>
                <w:b/>
                <w:bCs/>
                <w:lang w:val="pt-BR"/>
              </w:rPr>
              <w:t>Participantul la avizare, consultare publică, expertizare</w:t>
            </w:r>
          </w:p>
        </w:tc>
        <w:tc>
          <w:tcPr>
            <w:tcW w:w="552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555A5108"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b/>
                <w:bCs/>
                <w:lang w:val="pt-BR"/>
              </w:rPr>
              <w:t>Conţinutul obiecţiei, propunerii, recomandării, concluziei</w:t>
            </w:r>
          </w:p>
        </w:tc>
        <w:tc>
          <w:tcPr>
            <w:tcW w:w="573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04E37F25" w14:textId="77777777" w:rsidR="004E1CB1"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bCs/>
              </w:rPr>
              <w:t>Argumentarea</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autorului</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proiectului</w:t>
            </w:r>
            <w:proofErr w:type="spellEnd"/>
          </w:p>
        </w:tc>
      </w:tr>
      <w:tr w:rsidR="004E1CB1" w14:paraId="00A31F34" w14:textId="77777777">
        <w:trPr>
          <w:trHeight w:val="405"/>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319FEEF8" w14:textId="77777777" w:rsidR="004E1CB1" w:rsidRDefault="004E1CB1">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5F9F62EE" w14:textId="77777777" w:rsidR="004E1CB1" w:rsidRDefault="00000000">
            <w:pPr>
              <w:keepLines/>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Procedura</w:t>
            </w:r>
            <w:proofErr w:type="spellEnd"/>
            <w:r>
              <w:rPr>
                <w:rFonts w:ascii="Times New Roman" w:eastAsia="Times New Roman" w:hAnsi="Times New Roman" w:cs="Times New Roman"/>
                <w:b/>
                <w:bCs/>
              </w:rPr>
              <w:t xml:space="preserve"> de </w:t>
            </w:r>
            <w:proofErr w:type="spellStart"/>
            <w:r>
              <w:rPr>
                <w:rFonts w:ascii="Times New Roman" w:eastAsia="Times New Roman" w:hAnsi="Times New Roman" w:cs="Times New Roman"/>
                <w:b/>
                <w:bCs/>
              </w:rPr>
              <w:t>avizare</w:t>
            </w:r>
            <w:proofErr w:type="spellEnd"/>
            <w:r>
              <w:rPr>
                <w:rFonts w:ascii="Times New Roman" w:eastAsia="Times New Roman" w:hAnsi="Times New Roman" w:cs="Times New Roman"/>
                <w:b/>
                <w:bCs/>
              </w:rPr>
              <w:t xml:space="preserve"> </w:t>
            </w:r>
          </w:p>
        </w:tc>
      </w:tr>
      <w:tr w:rsidR="004E1CB1" w:rsidRPr="007C4927" w14:paraId="2F3B1CDB" w14:textId="77777777">
        <w:trPr>
          <w:trHeight w:val="405"/>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CF0C019"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B062706" w14:textId="77777777" w:rsidR="004E1CB1" w:rsidRPr="007C4927" w:rsidRDefault="00000000">
            <w:pPr>
              <w:keepLines/>
              <w:spacing w:line="240" w:lineRule="auto"/>
              <w:jc w:val="center"/>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Cancelaria de Stat </w:t>
            </w:r>
          </w:p>
          <w:p w14:paraId="0613C90B" w14:textId="77777777" w:rsidR="004E1CB1" w:rsidRPr="007C4927" w:rsidRDefault="00000000">
            <w:pPr>
              <w:keepLines/>
              <w:spacing w:line="240" w:lineRule="auto"/>
              <w:jc w:val="center"/>
              <w:rPr>
                <w:rFonts w:ascii="Times New Roman" w:eastAsia="Times New Roman" w:hAnsi="Times New Roman" w:cs="Times New Roman"/>
                <w:lang w:val="pt-BR"/>
              </w:rPr>
            </w:pPr>
            <w:r w:rsidRPr="007C4927">
              <w:rPr>
                <w:rFonts w:ascii="Times New Roman" w:eastAsia="Times New Roman" w:hAnsi="Times New Roman" w:cs="Times New Roman"/>
                <w:lang w:val="pt-BR"/>
              </w:rPr>
              <w:t>Grupul de lucru</w:t>
            </w:r>
          </w:p>
          <w:p w14:paraId="40145B23" w14:textId="77777777" w:rsidR="004E1CB1" w:rsidRPr="007C4927" w:rsidRDefault="00000000">
            <w:pPr>
              <w:keepLines/>
              <w:spacing w:line="240" w:lineRule="auto"/>
              <w:jc w:val="center"/>
              <w:rPr>
                <w:rFonts w:ascii="Times New Roman" w:eastAsia="Times New Roman" w:hAnsi="Times New Roman" w:cs="Times New Roman"/>
                <w:lang w:val="pt-BR"/>
              </w:rPr>
            </w:pPr>
            <w:r w:rsidRPr="007C4927">
              <w:rPr>
                <w:rFonts w:ascii="Times New Roman" w:eastAsia="Times New Roman" w:hAnsi="Times New Roman" w:cs="Times New Roman"/>
                <w:lang w:val="pt-BR"/>
              </w:rPr>
              <w:t>al Comisiei de Stat pentru Reglementarea</w:t>
            </w:r>
          </w:p>
          <w:p w14:paraId="67F92F62" w14:textId="77777777" w:rsidR="004E1CB1"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Activităţii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Întreprinzător</w:t>
            </w:r>
            <w:proofErr w:type="spellEnd"/>
          </w:p>
          <w:p w14:paraId="5D9BA6B4" w14:textId="77777777" w:rsidR="004E1CB1" w:rsidRDefault="004E1CB1">
            <w:pPr>
              <w:keepLines/>
              <w:spacing w:line="240" w:lineRule="auto"/>
              <w:jc w:val="center"/>
              <w:rPr>
                <w:rFonts w:ascii="Times New Roman" w:eastAsia="Times New Roman" w:hAnsi="Times New Roman" w:cs="Times New Roman"/>
              </w:rPr>
            </w:pPr>
          </w:p>
          <w:p w14:paraId="37573B01" w14:textId="77777777" w:rsidR="004E1CB1" w:rsidRDefault="00000000">
            <w:pPr>
              <w:keepLines/>
              <w:spacing w:line="240" w:lineRule="auto"/>
              <w:jc w:val="center"/>
              <w:rPr>
                <w:rFonts w:ascii="Times New Roman" w:eastAsia="Times New Roman" w:hAnsi="Times New Roman" w:cs="Times New Roman"/>
              </w:rPr>
            </w:pPr>
            <w:r>
              <w:rPr>
                <w:rFonts w:ascii="Times New Roman" w:eastAsia="Times New Roman" w:hAnsi="Times New Roman" w:cs="Times New Roman"/>
              </w:rPr>
              <w:t>din 30.09.2025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7F799E"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 xml:space="preserve">I. Examinarea Notei de fundamentare (Analizei Impactului de Reglementare): </w:t>
            </w:r>
          </w:p>
          <w:p w14:paraId="3D697D96"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În Secțiunea 2.2 problemele sunt expuse mai mult din perspectiva necesității ajustării cu directivele europene (unele articole ale lor care nu au fost încă transpuse integral în legislația națională). </w:t>
            </w:r>
          </w:p>
          <w:p w14:paraId="1303BF82"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Aceasta justifică intenția autorilor în ceea ce ține de inițierea acestor amendamente, însă, conform metodologiei problema nu trebuie descrisă doar ca „lipsă de reglementare” sau ”lipsa sau necesitatea de armonizare”, ci ca fenomen sau situație actuală care afectează negativ și nu poate fi tolerată în viitor, cu efecte practice, cuantificate și „probate„ prin date concrete.</w:t>
            </w:r>
          </w:p>
          <w:p w14:paraId="11D693C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Deși sunt prezentate statistici privind accidentele de muncă și costurile asociate, nu se explică în ce măsură aceste probleme decurg direct din lacunele identificate în actele normative. De asemenea, nu este evidențiere clară între deficiența normativă, consecințele asupra lucrătorilor și impactul economic sau social (ca exemplu nu se arată câți lucrători sunt afectați de lipsa prevederilor privind monitoarele sau semnalizarea chimică, ș.a.).</w:t>
            </w:r>
          </w:p>
          <w:p w14:paraId="6FF0F470"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În ceea ce ține de părțile interesate se menționează doar generic „autorități, angajatori, salariați, parteneri sociali”, dar nu oferă date cantitative - număr estimativ de companii afectate, lucrători expuși, ponderea sectoarelor economice vizate, detalii despre segmentele vulnerabile (muncitori cu dizabilități, categorii de risc).</w:t>
            </w:r>
          </w:p>
          <w:p w14:paraId="09DE6C2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 La fel, conform Metodologiei AIR nu este expus „scenariul de bază„ - o descriere detaliată a evoluției problemelor în lipsa intervenției (ex. riscuri suplimentare pentru sănătatea lucrătorilor, posibile sancțiuni de la UE, costuri crescute pentru societate, etc.). Totodată, conform Metodologiei AIR pentru actele cu relevanță UE în NF se examinează, în mod obligatoriu, situaţia naţională curentă în raport cu persoanele, fenomenele sociale şi procesele economice vizate de reglementarea UE, aşa încât, în descrierea situaţiei curente, pe baza informaţiilor concludente, să fie stabilit nivelul de pregătire şi de conformare la cerinţele din legislaţia UE care urmează a fi transpusă.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4E779DF"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 Nota a fost completată cu informații statistice suplimentare precum și alte prevederi relevante în conformitate cu obiecțiile.</w:t>
            </w:r>
          </w:p>
        </w:tc>
      </w:tr>
      <w:tr w:rsidR="004E1CB1" w:rsidRPr="007C4927" w14:paraId="1CFAE824"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9CEC3EB"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C3ED75A"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1D86E62"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Secțiunea 3 din Nota de fundamentare nu stabilește obiectivele generale și specifice. </w:t>
            </w:r>
          </w:p>
          <w:p w14:paraId="170FABE0"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Potrivit HG 574/2024 înainte de sub-compartimentul 3.1 al notei de fundamentare se prezintă obiectivele generale, legate de problemele identificate, şi obiectivele specifice, asociate cauzelor acestor probleme, fiind formulate ca schimbarea ce se urmăreşte a situaţiei de fapt în evoluţia proceselor (obiectivele nu se stabilesc ca necesitatea de a întreprinde acţiuni sau de a aproba o reglementare). Obiectivele trebuie să fie măsurabile, realiste, expuse cuantificat şi fixate în timp. </w:t>
            </w:r>
          </w:p>
          <w:p w14:paraId="4F417708"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În ceea ce privește secțiunea 3.1, aceasta prevede principalele prevederi și elementele noi ale proiectului, însă, nu face legătura clară între problemele identificate în secțiunea 2.2 și soluțiile propuse, adică nu este demonstrat cum fiecare prevedere rezolvă o cauză/problemă concretă. </w:t>
            </w:r>
          </w:p>
          <w:p w14:paraId="1D8052C3" w14:textId="77777777" w:rsidR="004E1CB1" w:rsidRPr="007C4927" w:rsidRDefault="004E1CB1">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F3C90C" w14:textId="77777777" w:rsidR="004E1CB1" w:rsidRPr="007C4927" w:rsidRDefault="00000000">
            <w:pPr>
              <w:keepLines/>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Se acceptă parțial.</w:t>
            </w:r>
          </w:p>
          <w:p w14:paraId="4974B2C4" w14:textId="77777777" w:rsidR="004E1CB1" w:rsidRPr="007C4927" w:rsidRDefault="00000000">
            <w:pPr>
              <w:keepLines/>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În cazul actelor normative cu relevanţă UE, pentru prevederile care sunt expres reglementate în actul juridic european, la obiective se indică succint doar schimbarea ce se urmăreşte în evoluţia situaţiei/problemei în viitor la nivel naţional, odată cu transpunerea şi implementarea legislaţiei UE, fără a fi obligatoriu ca aceste obiective să fie prezentate în mod măsurabil şi cuantificat.</w:t>
            </w:r>
          </w:p>
        </w:tc>
      </w:tr>
      <w:tr w:rsidR="004E1CB1" w:rsidRPr="007C4927" w14:paraId="587630F2"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A865DF"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7591014"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CA909A" w14:textId="77777777" w:rsidR="004E1CB1" w:rsidRDefault="00000000">
            <w:pPr>
              <w:keepLines/>
              <w:spacing w:line="240" w:lineRule="auto"/>
              <w:jc w:val="both"/>
              <w:rPr>
                <w:rFonts w:ascii="Times New Roman" w:eastAsia="Times New Roman" w:hAnsi="Times New Roman" w:cs="Times New Roman"/>
              </w:rPr>
            </w:pPr>
            <w:r w:rsidRPr="007C4927">
              <w:rPr>
                <w:rFonts w:ascii="Times New Roman" w:eastAsia="Times New Roman" w:hAnsi="Times New Roman" w:cs="Times New Roman"/>
                <w:lang w:val="pt-BR"/>
              </w:rPr>
              <w:t xml:space="preserve">Secțiunea 4.3  este expusă prea sumar și nu respectă cerințele esențiale prevăzute de HG nr. 574/2024 pentru analiza impactului asupra sectorului privat. Textul se limitează la afirmații generale, fără date, fără estimări și fără diferențierea între diverse categorii de întreprinderi. </w:t>
            </w:r>
            <w:proofErr w:type="spellStart"/>
            <w:r>
              <w:rPr>
                <w:rFonts w:ascii="Times New Roman" w:eastAsia="Times New Roman" w:hAnsi="Times New Roman" w:cs="Times New Roman"/>
              </w:rPr>
              <w:t>Modificările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noi</w:t>
            </w:r>
            <w:proofErr w:type="spellEnd"/>
            <w:r>
              <w:rPr>
                <w:rFonts w:ascii="Times New Roman" w:eastAsia="Times New Roman" w:hAnsi="Times New Roman" w:cs="Times New Roman"/>
              </w:rPr>
              <w:t xml:space="preserve">, cu impact </w:t>
            </w:r>
            <w:proofErr w:type="spellStart"/>
            <w:r>
              <w:rPr>
                <w:rFonts w:ascii="Times New Roman" w:eastAsia="Times New Roman" w:hAnsi="Times New Roman" w:cs="Times New Roman"/>
              </w:rPr>
              <w:t>financiar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organizatoric</w:t>
            </w:r>
            <w:proofErr w:type="spellEnd"/>
            <w:r>
              <w:rPr>
                <w:rFonts w:ascii="Times New Roman" w:eastAsia="Times New Roman" w:hAnsi="Times New Roman" w:cs="Times New Roman"/>
              </w:rPr>
              <w:t xml:space="preserve">. </w:t>
            </w:r>
          </w:p>
          <w:p w14:paraId="6C1A4CC5" w14:textId="77777777" w:rsidR="004E1CB1"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Angajatorii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domeniile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unde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utilizează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substanțe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amestecuri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periculoase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fi </w:t>
            </w:r>
            <w:proofErr w:type="spellStart"/>
            <w:r>
              <w:rPr>
                <w:rFonts w:ascii="Times New Roman" w:eastAsia="Times New Roman" w:hAnsi="Times New Roman" w:cs="Times New Roman"/>
              </w:rPr>
              <w:t>nevoiți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achiziționeze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aplice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pictograme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panouri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avertizare</w:t>
            </w:r>
            <w:proofErr w:type="spellEnd"/>
            <w:r>
              <w:rPr>
                <w:rFonts w:ascii="Times New Roman" w:eastAsia="Times New Roman" w:hAnsi="Times New Roman" w:cs="Times New Roman"/>
              </w:rPr>
              <w:t xml:space="preserve">. </w:t>
            </w:r>
          </w:p>
          <w:p w14:paraId="47FFFFE7"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fel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companiile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trebuie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spații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odihnă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salariaților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obligația</w:t>
            </w:r>
            <w:proofErr w:type="spellEnd"/>
            <w:r>
              <w:rPr>
                <w:rFonts w:ascii="Times New Roman" w:eastAsia="Times New Roman" w:hAnsi="Times New Roman" w:cs="Times New Roman"/>
              </w:rPr>
              <w:t xml:space="preserve"> de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măsuri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nefumatorilor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ventilare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compartimentare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soluții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tehnice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similare</w:t>
            </w:r>
            <w:proofErr w:type="spellEnd"/>
            <w:r>
              <w:rPr>
                <w:rFonts w:ascii="Times New Roman" w:eastAsia="Times New Roman" w:hAnsi="Times New Roman" w:cs="Times New Roman"/>
              </w:rPr>
              <w:t xml:space="preserve">. </w:t>
            </w:r>
          </w:p>
          <w:p w14:paraId="43090EC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La fel, angajatorii vor obligați să facă ajustări în birourile cu monitoare, unde va fi nevoie de montarea sistemelor de acoperire reglabilă a ferestrelor și de reconfigurarea unor posturi de lucru. Toate aceste cerințe vor genera costuri de conformare care trebuie identificate și estimate în acest compartiment. </w:t>
            </w:r>
          </w:p>
          <w:p w14:paraId="4D886AD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fel, nu se face diferența între întreprinderile mari și cele mici și mijlocii, deși acestea din urmă sunt mai vulnerabile la cheltuieli suplimentare.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779AB1" w14:textId="77777777" w:rsidR="004E1CB1" w:rsidRPr="007C4927" w:rsidRDefault="00000000">
            <w:pPr>
              <w:keepLines/>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Se acceptă. Au fost incluse informații suplimentare în ceea ce ține de costuri și măsuri pe care angajatorii ar putea să le ia, inclusiv date statistice asupra.</w:t>
            </w:r>
          </w:p>
        </w:tc>
      </w:tr>
      <w:tr w:rsidR="004E1CB1" w:rsidRPr="007C4927" w14:paraId="56BAA8C7"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409A0B"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E626193"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462C7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Secțiunea 6 urmează a fi ajustată conform cerințelor HG nr.574/2024, adică în această secțiune urmează să se explice succint modul în care s-a organizat consultarea adecvată a părților cu interese majore în etapa efectuării analizei impactului de reglementare și este obligatorie prezentarea poziţiei reprezentanţilor fiecărui grup de interese majore.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22529A0" w14:textId="77777777" w:rsidR="004E1CB1" w:rsidRPr="007C4927" w:rsidRDefault="00000000">
            <w:pPr>
              <w:keepLines/>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 xml:space="preserve">Se acceptă. Secțiunea 6 a fost completată cu informații suplimentare. </w:t>
            </w:r>
          </w:p>
        </w:tc>
      </w:tr>
      <w:tr w:rsidR="004E1CB1" w:rsidRPr="007C4927" w14:paraId="20A821E2"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1E9C956"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DDC96D"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8524A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Secțiunea 9 prevede doar o mențiune generală privind realizarea unor instrumente operaționale interne la nivelul Inspectoratului de Stat al Muncii.  Conform instrucțiunilor metodologice, această secțiune trebuie să includă nu doar cine va implementa prevederile proiectului, ci și ce măsuri concrete sunt necesare, ce costuri de conformare implică acestea și ce indicatori de performanță vor fi utilizați pentru monitorizarea și evaluarea aplicării reglementării.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DAF9A6" w14:textId="77777777" w:rsidR="004E1CB1" w:rsidRPr="007C4927" w:rsidRDefault="00000000">
            <w:pPr>
              <w:keepLines/>
              <w:spacing w:line="240" w:lineRule="auto"/>
              <w:jc w:val="both"/>
              <w:rPr>
                <w:highlight w:val="white"/>
                <w:lang w:val="pt-BR"/>
              </w:rPr>
            </w:pPr>
            <w:r w:rsidRPr="007C4927">
              <w:rPr>
                <w:rFonts w:ascii="Times New Roman" w:eastAsia="Times New Roman" w:hAnsi="Times New Roman" w:cs="Times New Roman"/>
                <w:highlight w:val="white"/>
                <w:lang w:val="pt-BR"/>
              </w:rPr>
              <w:t>Se acceptă. Secțiunea 9 a fost completată cu informații suplimentare.</w:t>
            </w:r>
          </w:p>
        </w:tc>
      </w:tr>
      <w:tr w:rsidR="004E1CB1" w:rsidRPr="007C4927" w14:paraId="1EAE9636"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28A700"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B9BAB47"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069B6F"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II. Evaluarea proiectului în vederea corespunderii principiilor de reglementare a activității de întreprinzător stabilite prin Legea nr.235/2006:</w:t>
            </w:r>
          </w:p>
          <w:p w14:paraId="4E85C698"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Proiectul prevede că în punctele 23, 27, 32 și 62 din Anexa la HG nr. 353/2010, cuvintele „loc de muncă” ar urma să fie substituite cu „post de lucru”, iar în punctele 29 și 30, cuvintele „loc de muncă” ar urma să fie substituite cu „încăpere”. În Nota de fundamentare autorii justifică această schimbare prin „armonizarea cu Directiva 89/654/CEE”. Totuși, examinând textul Directivei, observăm că aceleași norme identice cu cele care se modifică folosesc termenul ”loc de muncă” (workplace) și nu „post de lucru” (workstation) și nici ”încăpere” (room). Prin urmare, aceste substituții terminologice nu sunt cerute de Directivă ci, dimpotrivă, contravin cu aceasta.</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D2083D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Nu se acceptă.</w:t>
            </w:r>
          </w:p>
          <w:p w14:paraId="636DD785" w14:textId="77777777" w:rsidR="004E1CB1" w:rsidRPr="007C4927" w:rsidRDefault="00000000">
            <w:pPr>
              <w:keepLines/>
              <w:spacing w:line="240" w:lineRule="auto"/>
              <w:jc w:val="both"/>
              <w:rPr>
                <w:rFonts w:ascii="Times New Roman" w:eastAsia="Times New Roman" w:hAnsi="Times New Roman" w:cs="Times New Roman"/>
                <w:i/>
                <w:iCs/>
                <w:color w:val="333333"/>
                <w:highlight w:val="white"/>
                <w:lang w:val="pt-BR"/>
              </w:rPr>
            </w:pPr>
            <w:r w:rsidRPr="007C4927">
              <w:rPr>
                <w:rFonts w:ascii="Times New Roman" w:eastAsia="Times New Roman" w:hAnsi="Times New Roman" w:cs="Times New Roman"/>
                <w:lang w:val="pt-BR"/>
              </w:rPr>
              <w:t xml:space="preserve">Directiva 89/654/CEE (vezi varianta în limba engleză) a fost modificată prin  </w:t>
            </w:r>
            <w:hyperlink r:id="rId6">
              <w:r w:rsidRPr="007C4927">
                <w:rPr>
                  <w:rFonts w:ascii="Times New Roman" w:eastAsia="Times New Roman" w:hAnsi="Times New Roman" w:cs="Times New Roman"/>
                  <w:color w:val="1155CC"/>
                  <w:u w:val="single"/>
                  <w:lang w:val="pt-BR"/>
                </w:rPr>
                <w:t>Corrigendum</w:t>
              </w:r>
            </w:hyperlink>
            <w:r w:rsidRPr="007C4927">
              <w:rPr>
                <w:rFonts w:ascii="Times New Roman" w:eastAsia="Times New Roman" w:hAnsi="Times New Roman" w:cs="Times New Roman"/>
                <w:lang w:val="pt-BR"/>
              </w:rPr>
              <w:t xml:space="preserve"> din 09.08. 1990 (</w:t>
            </w:r>
            <w:r w:rsidRPr="007C4927">
              <w:rPr>
                <w:rFonts w:ascii="Times New Roman" w:eastAsia="Times New Roman" w:hAnsi="Times New Roman" w:cs="Times New Roman"/>
                <w:i/>
                <w:iCs/>
                <w:color w:val="333333"/>
                <w:highlight w:val="white"/>
                <w:lang w:val="pt-BR"/>
              </w:rPr>
              <w:t>Jurnalul Oficial L 211 , 09/08/1990 P. 0015 - 0015).</w:t>
            </w:r>
          </w:p>
          <w:p w14:paraId="07F1E70E" w14:textId="77777777" w:rsidR="004E1CB1" w:rsidRPr="007C4927" w:rsidRDefault="00000000">
            <w:pPr>
              <w:keepLines/>
              <w:spacing w:line="240" w:lineRule="auto"/>
              <w:jc w:val="both"/>
              <w:rPr>
                <w:rFonts w:ascii="Times New Roman" w:eastAsia="Times New Roman" w:hAnsi="Times New Roman" w:cs="Times New Roman"/>
                <w:color w:val="333333"/>
                <w:highlight w:val="white"/>
                <w:lang w:val="pt-BR"/>
              </w:rPr>
            </w:pPr>
            <w:r w:rsidRPr="007C4927">
              <w:rPr>
                <w:rFonts w:ascii="Times New Roman" w:eastAsia="Times New Roman" w:hAnsi="Times New Roman" w:cs="Times New Roman"/>
                <w:color w:val="333333"/>
                <w:highlight w:val="white"/>
                <w:lang w:val="pt-BR"/>
              </w:rPr>
              <w:t>Modificarea respectivă se referă la substituirea sintagmei „încăperi care conțin locuri de muncă” cu sintagma „încăperi care conțin posturi de lucru”.</w:t>
            </w:r>
          </w:p>
          <w:p w14:paraId="6639C07A"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proofErr w:type="gramStart"/>
            <w:r>
              <w:rPr>
                <w:rFonts w:ascii="Times New Roman" w:eastAsia="Times New Roman" w:hAnsi="Times New Roman" w:cs="Times New Roman"/>
                <w:i/>
                <w:iCs/>
                <w:color w:val="333333"/>
              </w:rPr>
              <w:t>”Annex</w:t>
            </w:r>
            <w:proofErr w:type="gramEnd"/>
            <w:r>
              <w:rPr>
                <w:rFonts w:ascii="Times New Roman" w:eastAsia="Times New Roman" w:hAnsi="Times New Roman" w:cs="Times New Roman"/>
                <w:i/>
                <w:iCs/>
                <w:color w:val="333333"/>
              </w:rPr>
              <w:t xml:space="preserve"> I, page 5, points 7.1 and </w:t>
            </w:r>
            <w:proofErr w:type="gramStart"/>
            <w:r>
              <w:rPr>
                <w:rFonts w:ascii="Times New Roman" w:eastAsia="Times New Roman" w:hAnsi="Times New Roman" w:cs="Times New Roman"/>
                <w:i/>
                <w:iCs/>
                <w:color w:val="333333"/>
              </w:rPr>
              <w:t>8.2 :</w:t>
            </w:r>
            <w:proofErr w:type="gramEnd"/>
          </w:p>
          <w:p w14:paraId="5099F198"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r>
              <w:rPr>
                <w:rFonts w:ascii="Times New Roman" w:eastAsia="Times New Roman" w:hAnsi="Times New Roman" w:cs="Times New Roman"/>
                <w:i/>
                <w:iCs/>
                <w:color w:val="333333"/>
              </w:rPr>
              <w:t xml:space="preserve">1.2 </w:t>
            </w:r>
            <w:proofErr w:type="gramStart"/>
            <w:r>
              <w:rPr>
                <w:rFonts w:ascii="Times New Roman" w:eastAsia="Times New Roman" w:hAnsi="Times New Roman" w:cs="Times New Roman"/>
                <w:i/>
                <w:iCs/>
                <w:color w:val="333333"/>
              </w:rPr>
              <w:t>for :</w:t>
            </w:r>
            <w:proofErr w:type="gramEnd"/>
            <w:r>
              <w:rPr>
                <w:rFonts w:ascii="Times New Roman" w:eastAsia="Times New Roman" w:hAnsi="Times New Roman" w:cs="Times New Roman"/>
                <w:i/>
                <w:iCs/>
                <w:color w:val="333333"/>
              </w:rPr>
              <w:t xml:space="preserve"> "rooms containing </w:t>
            </w:r>
            <w:proofErr w:type="gramStart"/>
            <w:r>
              <w:rPr>
                <w:rFonts w:ascii="Times New Roman" w:eastAsia="Times New Roman" w:hAnsi="Times New Roman" w:cs="Times New Roman"/>
                <w:i/>
                <w:iCs/>
                <w:color w:val="333333"/>
              </w:rPr>
              <w:t>workplaces'</w:t>
            </w:r>
            <w:proofErr w:type="gramEnd"/>
            <w:r>
              <w:rPr>
                <w:rFonts w:ascii="Times New Roman" w:eastAsia="Times New Roman" w:hAnsi="Times New Roman" w:cs="Times New Roman"/>
                <w:i/>
                <w:iCs/>
                <w:color w:val="333333"/>
              </w:rPr>
              <w:t>,</w:t>
            </w:r>
          </w:p>
          <w:p w14:paraId="3CD635ED"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proofErr w:type="gramStart"/>
            <w:r>
              <w:rPr>
                <w:rFonts w:ascii="Times New Roman" w:eastAsia="Times New Roman" w:hAnsi="Times New Roman" w:cs="Times New Roman"/>
                <w:i/>
                <w:iCs/>
                <w:color w:val="333333"/>
              </w:rPr>
              <w:t>read :</w:t>
            </w:r>
            <w:proofErr w:type="gramEnd"/>
            <w:r>
              <w:rPr>
                <w:rFonts w:ascii="Times New Roman" w:eastAsia="Times New Roman" w:hAnsi="Times New Roman" w:cs="Times New Roman"/>
                <w:i/>
                <w:iCs/>
                <w:color w:val="333333"/>
              </w:rPr>
              <w:t xml:space="preserve"> "rooms containing workstations';”</w:t>
            </w:r>
          </w:p>
          <w:p w14:paraId="00DF998C"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Raționamentul acestei modificări rezultă din definiția locului de muncă prevăzută la art. 2 din Directivă:</w:t>
            </w:r>
          </w:p>
          <w:p w14:paraId="1D12382C"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 xml:space="preserve">”În sensul prezentei directive, prin </w:t>
            </w:r>
            <w:r w:rsidRPr="007C4927">
              <w:rPr>
                <w:rFonts w:ascii="Times New Roman" w:eastAsia="Times New Roman" w:hAnsi="Times New Roman" w:cs="Times New Roman"/>
                <w:b/>
                <w:bCs/>
                <w:i/>
                <w:iCs/>
                <w:lang w:val="pt-BR"/>
              </w:rPr>
              <w:t xml:space="preserve">loc de muncă </w:t>
            </w:r>
            <w:r w:rsidRPr="007C4927">
              <w:rPr>
                <w:rFonts w:ascii="Times New Roman" w:eastAsia="Times New Roman" w:hAnsi="Times New Roman" w:cs="Times New Roman"/>
                <w:i/>
                <w:iCs/>
                <w:lang w:val="pt-BR"/>
              </w:rPr>
              <w:t xml:space="preserve">se înțelege locul destinat să adăpostească </w:t>
            </w:r>
            <w:r w:rsidRPr="007C4927">
              <w:rPr>
                <w:rFonts w:ascii="Times New Roman" w:eastAsia="Times New Roman" w:hAnsi="Times New Roman" w:cs="Times New Roman"/>
                <w:b/>
                <w:bCs/>
                <w:i/>
                <w:iCs/>
                <w:lang w:val="pt-BR"/>
              </w:rPr>
              <w:t>posturi de lucru</w:t>
            </w:r>
            <w:r w:rsidRPr="007C4927">
              <w:rPr>
                <w:rFonts w:ascii="Times New Roman" w:eastAsia="Times New Roman" w:hAnsi="Times New Roman" w:cs="Times New Roman"/>
                <w:i/>
                <w:iCs/>
                <w:lang w:val="pt-BR"/>
              </w:rPr>
              <w:t xml:space="preserve"> în clădirea întreprinderii sau unității și orice alt loc din interiorul întreprinderii sau unității la care lucrătorul are acces în timpul executării sarcinilor sale de lucru.”</w:t>
            </w:r>
          </w:p>
          <w:p w14:paraId="5F01BF2F" w14:textId="77777777" w:rsidR="004E1CB1" w:rsidRPr="007C4927" w:rsidRDefault="004E1CB1">
            <w:pPr>
              <w:keepLines/>
              <w:spacing w:line="240" w:lineRule="auto"/>
              <w:jc w:val="both"/>
              <w:rPr>
                <w:rFonts w:ascii="Times New Roman" w:eastAsia="Times New Roman" w:hAnsi="Times New Roman" w:cs="Times New Roman"/>
                <w:lang w:val="pt-BR"/>
              </w:rPr>
            </w:pPr>
          </w:p>
          <w:p w14:paraId="61105330"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De asemenea, potrivit Corrigendumului ”locul de muncă” a fost înlocuit cu ”încăperi” în unele prevederi ale directivei.</w:t>
            </w:r>
          </w:p>
          <w:p w14:paraId="4A544A2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Prin urmare atât Tabelul de concordanță cât și Tabelul comparativ au fost întocmite corespunzător acestor corectări. </w:t>
            </w:r>
          </w:p>
        </w:tc>
      </w:tr>
      <w:tr w:rsidR="004E1CB1" w:rsidRPr="007C4927" w14:paraId="3D145785"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C564BE"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1B69FAB"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184A60"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p.1.3.3 din proiect se prevede completarea p.66 din Anexa la HG. 353/2010 cu următorul text: ”În aceste încăperi trebuie adoptate măsuri corespunzătoare pentru protecția nefumatorilor împotriva disconfortului cauzat de fumul de tutun.” Această completare derivă din Directiva 89/654/CEE, care impune statelor membre să prevadă măsuri pentru protejarea nefumatorilor în spațiile de odihnă. Deși modificarea este justificată, totuși, formularea „măsuri corespunzătoare” este vagă și lasă un spațiu de interpretare larg inspectorilor, ceea ce contravine principiilor de claritate și previzibilitate ale legislației. Pentru a evita aplicarea discreționară, ar fi necesară fie o enumerare minimă de măsuri (ventilație, spații separate, interdicție de fumat), fie o trimitere la legislația privind controlul tutunului.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EA040A" w14:textId="77777777" w:rsidR="004E1CB1" w:rsidRPr="007C4927" w:rsidRDefault="00000000">
            <w:pPr>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Se acceptă.</w:t>
            </w:r>
          </w:p>
          <w:p w14:paraId="68A9D231" w14:textId="77777777" w:rsidR="004E1CB1" w:rsidRPr="007C4927" w:rsidRDefault="00000000">
            <w:pPr>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Redacția finală:</w:t>
            </w:r>
          </w:p>
          <w:p w14:paraId="55F184A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aceste încăperi trebuie adoptate măsuri pentru protecția nefumatorilor împotriva disconfortului cauzat de fumul de tutun în conformitate cu prevederile Legii nr. 278/2007 privind controlul tutunului (republicată)”.</w:t>
            </w:r>
          </w:p>
          <w:p w14:paraId="2D7A04BB" w14:textId="77777777" w:rsidR="004E1CB1" w:rsidRPr="007C4927" w:rsidRDefault="004E1CB1">
            <w:pPr>
              <w:keepLines/>
              <w:spacing w:line="240" w:lineRule="auto"/>
              <w:jc w:val="both"/>
              <w:rPr>
                <w:rFonts w:ascii="Times New Roman" w:eastAsia="Times New Roman" w:hAnsi="Times New Roman" w:cs="Times New Roman"/>
                <w:lang w:val="pt-BR"/>
              </w:rPr>
            </w:pPr>
          </w:p>
        </w:tc>
      </w:tr>
      <w:tr w:rsidR="004E1CB1" w:rsidRPr="007C4927" w14:paraId="7ECB9E4D" w14:textId="77777777">
        <w:trPr>
          <w:trHeight w:val="405"/>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6E5E22"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1E2FDE"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1F389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p.2.4 și 2.5 din proiect modificările vizează completarea normelor privind semnalizarea de securitate și sănătate la locul de muncă, în special acolo unde sunt utilizate substanțe sau amestecuri chimice periculoase. Astfel, se prevede că: ”În cazul în care nu există niciun panou de avertizare care să avertizeze persoanele cu privire la substanțe sau amestecuri chimice periculoase, trebuie utilizată pictograma de pericol relevantă, astfel cum se prevede în normele speciale privind clasificarea, etichetarea și ambalarea substanțelor și amestecurilor chimice.” Trimiterea generică la „normele speciale” nu oferă întreprinzătorilor o certitudine juridică. În lipsa unei referințe exprese la acte normative concrete, există riscul ca inspectorii de muncă să interpreteze diferit care pictograme sunt obligatorii, ceea ce ar putea genera aplicarea discreționară a sancțiunilor. Această incertitudine contravine principiilor de claritate și previzibilitate prevăzute de Legea nr. 100/2017 și Legea nr. 235/2006.</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CB6DC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Se acceptă. </w:t>
            </w:r>
          </w:p>
          <w:p w14:paraId="313FFCA2"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Conform avizului recepționat de la Ministerul Mediului, Proiectul va face trimitere la cerințe speciale  privind clasificarea, etichetarea şi ambalarea substanţelor şi amestecurilor, aprobate de Guvern. </w:t>
            </w:r>
          </w:p>
        </w:tc>
      </w:tr>
      <w:tr w:rsidR="004E1CB1" w:rsidRPr="007C4927" w14:paraId="2977397A"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84ECCD"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A7D65FD"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Ministerul Dezvoltării Economice și Digitalizării</w:t>
            </w:r>
          </w:p>
          <w:p w14:paraId="17BE7BDF"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17-2889 din 06.10.2025</w:t>
            </w:r>
          </w:p>
          <w:p w14:paraId="01A2CF24" w14:textId="77777777" w:rsidR="004E1CB1" w:rsidRPr="007C4927" w:rsidRDefault="004E1CB1">
            <w:pPr>
              <w:keepLines/>
              <w:spacing w:line="240" w:lineRule="auto"/>
              <w:jc w:val="center"/>
              <w:rPr>
                <w:rFonts w:ascii="Times New Roman" w:eastAsia="Times New Roman" w:hAnsi="Times New Roman" w:cs="Times New Roman"/>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F1433C"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La pct. 1 din Hotărârea Guvernului nr. 353/2010 cu privire la aprobarea cerințelor minime de securitate și siguranță la locul de muncă.</w:t>
            </w:r>
          </w:p>
          <w:p w14:paraId="0BAD469E"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La subpct. 1.3.</w:t>
            </w:r>
          </w:p>
          <w:p w14:paraId="117AD6F8"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Potrivit propunerii de la subpct. 1.3.3. pct. 66 din Cerințele minime de securitate și siguranță la locul de muncă se completează cu un enunț cu următorul cuprins: „În aceste încăperi trebuie adoptate măsuri corespunzătoare pentru protecția nefumatorilor împotriva disconfortului cauzat de fumul de tutun”.</w:t>
            </w:r>
          </w:p>
          <w:p w14:paraId="3095AB15"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În acest sens, menționăm că norma expusă prin sintagma „măsuri corespunzătoare” este netransparentă și vagă. Astfel, pentru asigurarea respectării principiului transparenței, predictibilității actului normativ și predictibilității normelor juridice, statuate la art. 3 alin. (1) lit. d) și lit. e) din Legea nr. 100/2017 cu privire la actele normative, precum și pentru evitarea unor eventuale aplicării eronate a normei propuse, considerăm necesară inserarea unor prevederi certe și transparente sau trimiterea la legislația cu privire la controlul tutunului.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8D106F0" w14:textId="77777777" w:rsidR="004E1CB1" w:rsidRPr="007C4927" w:rsidRDefault="00000000">
            <w:pPr>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lastRenderedPageBreak/>
              <w:t>Se acceptă.</w:t>
            </w:r>
          </w:p>
          <w:p w14:paraId="06041BE1" w14:textId="77777777" w:rsidR="004E1CB1" w:rsidRPr="007C4927" w:rsidRDefault="00000000">
            <w:pPr>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highlight w:val="white"/>
                <w:lang w:val="pt-BR"/>
              </w:rPr>
              <w:t>Redacția finală:</w:t>
            </w:r>
          </w:p>
          <w:p w14:paraId="66AE2F6C" w14:textId="77777777" w:rsidR="004E1CB1" w:rsidRPr="007C4927" w:rsidRDefault="00000000">
            <w:pPr>
              <w:keepLines/>
              <w:spacing w:line="240" w:lineRule="auto"/>
              <w:rPr>
                <w:rFonts w:ascii="Times New Roman" w:eastAsia="Times New Roman" w:hAnsi="Times New Roman" w:cs="Times New Roman"/>
                <w:i/>
                <w:iCs/>
                <w:highlight w:val="white"/>
                <w:lang w:val="pt-BR"/>
              </w:rPr>
            </w:pPr>
            <w:r w:rsidRPr="007C4927">
              <w:rPr>
                <w:rFonts w:ascii="Times New Roman" w:eastAsia="Times New Roman" w:hAnsi="Times New Roman" w:cs="Times New Roman"/>
                <w:i/>
                <w:iCs/>
                <w:lang w:val="pt-BR"/>
              </w:rPr>
              <w:lastRenderedPageBreak/>
              <w:t>„În aceste încăperi trebuie adoptate măsuri pentru protecția nefumătorilor împotriva disconfortului cauzat de fumul de tutun în conformitate cu prevederile Legii nr. 278/2007 privind controlul tutunului (republicată)”.</w:t>
            </w:r>
          </w:p>
          <w:p w14:paraId="435E3446" w14:textId="77777777" w:rsidR="004E1CB1" w:rsidRPr="007C4927" w:rsidRDefault="004E1CB1">
            <w:pPr>
              <w:spacing w:line="240" w:lineRule="auto"/>
              <w:jc w:val="both"/>
              <w:rPr>
                <w:rFonts w:ascii="Times New Roman" w:eastAsia="Times New Roman" w:hAnsi="Times New Roman" w:cs="Times New Roman"/>
                <w:highlight w:val="white"/>
                <w:lang w:val="pt-BR"/>
              </w:rPr>
            </w:pPr>
          </w:p>
          <w:p w14:paraId="10084CCE" w14:textId="77777777" w:rsidR="004E1CB1" w:rsidRPr="007C4927" w:rsidRDefault="004E1CB1">
            <w:pPr>
              <w:spacing w:line="240" w:lineRule="auto"/>
              <w:jc w:val="both"/>
              <w:rPr>
                <w:rFonts w:ascii="Times New Roman" w:eastAsia="Times New Roman" w:hAnsi="Times New Roman" w:cs="Times New Roman"/>
                <w:lang w:val="pt-BR"/>
              </w:rPr>
            </w:pPr>
          </w:p>
        </w:tc>
      </w:tr>
      <w:tr w:rsidR="004E1CB1" w:rsidRPr="007C4927" w14:paraId="230D8768"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E4D177"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3</w:t>
            </w:r>
          </w:p>
          <w:p w14:paraId="2E449B66" w14:textId="77777777" w:rsidR="004E1CB1" w:rsidRDefault="004E1CB1">
            <w:pPr>
              <w:keepLines/>
              <w:spacing w:line="240" w:lineRule="auto"/>
              <w:rPr>
                <w:rFonts w:ascii="Times New Roman" w:eastAsia="Times New Roman" w:hAnsi="Times New Roman" w:cs="Times New Roman"/>
              </w:rPr>
            </w:pPr>
          </w:p>
          <w:p w14:paraId="190A5161" w14:textId="77777777" w:rsidR="004E1CB1" w:rsidRDefault="004E1CB1">
            <w:pPr>
              <w:keepLines/>
              <w:spacing w:line="240" w:lineRule="auto"/>
              <w:rPr>
                <w:rFonts w:ascii="Times New Roman" w:eastAsia="Times New Roman" w:hAnsi="Times New Roman" w:cs="Times New Roman"/>
              </w:rPr>
            </w:pP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E0A7FE" w14:textId="77777777" w:rsidR="004E1CB1" w:rsidRDefault="00000000">
            <w:pPr>
              <w:keepLines/>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Ministerul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Mediului</w:t>
            </w:r>
            <w:proofErr w:type="spellEnd"/>
          </w:p>
          <w:p w14:paraId="34998621" w14:textId="77777777" w:rsidR="004E1CB1"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Nr. 13-05/2670 din 26.09.2025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0BB6514"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HG nr. 918/2013 privind cerințele minime pentru semnalizarea de securitate și sănătate la locul de muncă se propune:</w:t>
            </w:r>
          </w:p>
          <w:p w14:paraId="30214F8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Punctul 2.2 se propune pentru a fi modificat după cum urmează:</w:t>
            </w:r>
          </w:p>
          <w:p w14:paraId="08F4249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tot cuprinsul Hotărârii, inclusiv în Anexe, textul „substanțe sau preparate periculoase”, la orice formă gramaticală, se substituie cu cuvintele” substanțe sau amestecuri chimice periculoase”.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2D8014"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cu respectarea propunerii formulate de Ministerul Justiției</w:t>
            </w:r>
          </w:p>
          <w:p w14:paraId="019743B7"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Propunerile sunt reflectate în redacția finală a Proiectului.</w:t>
            </w:r>
          </w:p>
        </w:tc>
      </w:tr>
      <w:tr w:rsidR="004E1CB1" w:rsidRPr="007C4927" w14:paraId="13CF9B3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105A4A"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364AABD" w14:textId="77777777" w:rsidR="004E1CB1" w:rsidRPr="007C4927" w:rsidRDefault="004E1CB1">
            <w:pPr>
              <w:keepLines/>
              <w:spacing w:line="240" w:lineRule="auto"/>
              <w:jc w:val="center"/>
              <w:rPr>
                <w:rFonts w:ascii="Times New Roman" w:eastAsia="Times New Roman" w:hAnsi="Times New Roman" w:cs="Times New Roman"/>
                <w:b/>
                <w:bCs/>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F6F70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Punctul 2.4.2. Se propune pentru a fi expus în următoarea redacție:</w:t>
            </w:r>
          </w:p>
          <w:p w14:paraId="4870276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cazul în care nu există niciun panou de avertizare echivalent celui prevăzut la punctul 10 din anexa 2 care să avertizeze persoanele cu privire la substanțe sau amestecuri chimice periculoase, se impune utilizarea pictogramei de pericol relevante, în conformitate cu prevederile cerințelor speciale privind clasificarea, etichetarea și ambalarea substanțelor și amestecurilor chimice, aprobate de Guvern.”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1A576EA"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reflectată.</w:t>
            </w:r>
          </w:p>
        </w:tc>
      </w:tr>
      <w:tr w:rsidR="004E1CB1" w:rsidRPr="007C4927" w14:paraId="66B3971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826D44"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CA68CD8" w14:textId="77777777" w:rsidR="004E1CB1" w:rsidRPr="007C4927" w:rsidRDefault="004E1CB1">
            <w:pPr>
              <w:keepLines/>
              <w:spacing w:line="240" w:lineRule="auto"/>
              <w:jc w:val="center"/>
              <w:rPr>
                <w:rFonts w:ascii="Times New Roman" w:eastAsia="Times New Roman" w:hAnsi="Times New Roman" w:cs="Times New Roman"/>
                <w:b/>
                <w:bCs/>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75E45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Punctul 2.5.1 . Anexa nr.3 la Hotărâre se completează după cum urmează:</w:t>
            </w:r>
          </w:p>
          <w:p w14:paraId="01C63F2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„la punctul 1 propoziția a doua după cuvintele „din anexa nr. 2,” se completează cu textul „denumirile și caracteristicile prevăzute de cerințele speciale privind clasificarea, etichetarea și ambalarea substanțelor și amestecurilor chimice, aprobate de Guvern”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711807"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 în redacția finală propunerea este reflectată.</w:t>
            </w:r>
          </w:p>
        </w:tc>
      </w:tr>
      <w:tr w:rsidR="004E1CB1" w:rsidRPr="007C4927" w14:paraId="34BC8D1D"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B92AD3"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AC9AB8" w14:textId="77777777" w:rsidR="004E1CB1" w:rsidRPr="007C4927" w:rsidRDefault="004E1CB1">
            <w:pPr>
              <w:keepLines/>
              <w:spacing w:line="240" w:lineRule="auto"/>
              <w:jc w:val="center"/>
              <w:rPr>
                <w:rFonts w:ascii="Times New Roman" w:eastAsia="Times New Roman" w:hAnsi="Times New Roman" w:cs="Times New Roman"/>
                <w:b/>
                <w:bCs/>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CB87C4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Punctul 2.5.2. punctul 3, alineatul 1) se completează cu un alineat nou cu următorul cuprins:</w:t>
            </w:r>
          </w:p>
          <w:p w14:paraId="5C849E29"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cazul în care nu există niciun panou de avertizare echivalent celui prevăzut la punctul 10 din anexa 2 care să avertizeze cu privire la prezența substanțelor sau amestecurilor chimice periculoase, se impune utilizarea pictogramei de pericol relevante, în conformitate cu prevederile cerințelor speciale privind clasificarea, etichetarea și ambalarea substanțelor și amestecurilor chimice, aprobate de Guvern.”</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B47A16"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reflectată.</w:t>
            </w:r>
          </w:p>
        </w:tc>
      </w:tr>
      <w:tr w:rsidR="004E1CB1" w14:paraId="7E527074"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7E5353"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4.</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4F5D0F"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Cancelaria de Stat</w:t>
            </w:r>
          </w:p>
          <w:p w14:paraId="04B1F45A"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Centrul de Armonizare a Legislației</w:t>
            </w:r>
          </w:p>
          <w:p w14:paraId="39F7C363"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(Expertiza de compatibilitate):</w:t>
            </w:r>
          </w:p>
          <w:p w14:paraId="710F8A9F"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 xml:space="preserve">Nr. 31/02-126-10193 </w:t>
            </w:r>
          </w:p>
          <w:p w14:paraId="7C45F7E9" w14:textId="77777777" w:rsidR="004E1CB1" w:rsidRPr="007C4927" w:rsidRDefault="00000000">
            <w:pPr>
              <w:spacing w:line="240" w:lineRule="auto"/>
              <w:jc w:val="center"/>
              <w:rPr>
                <w:rFonts w:ascii="Times New Roman" w:eastAsia="Times New Roman" w:hAnsi="Times New Roman" w:cs="Times New Roman"/>
                <w:lang w:val="pt-BR"/>
              </w:rPr>
            </w:pPr>
            <w:r w:rsidRPr="007C4927">
              <w:rPr>
                <w:rFonts w:ascii="Times New Roman" w:eastAsia="Times New Roman" w:hAnsi="Times New Roman" w:cs="Times New Roman"/>
                <w:b/>
                <w:bCs/>
                <w:highlight w:val="white"/>
                <w:lang w:val="pt-BR"/>
              </w:rPr>
              <w:t>din 02.10.2025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44931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Prezenta Declarație de compatibilitate a fost întocmită de Centrul de armonizare a legislației în baza Legii nr. 100/2017 cu privire la actele normative, a HG nr. 657/2009 pentru aprobarea Regulamentului privind organizarea și funcționarea, structurii și efectivului-limită ale Cancelariei de Stat și a HG nr. 1171/2018 cu privire la aprobarea Regulamentului privind armonizarea legislației Republicii Moldova cu legislația Uniunii Europene. Proiectul de hotărâre a Guvernului pentru modificarea unor hotărâri de Guvern în domeniul securității și sănătății în muncă: - transpune pct. 16, subpct. 16.4 din Anexa I la Directiva 89/654/CEE a Consiliului din 30 noiembrie 1989 privind cerințele minime de securitate și sănătate la locul de muncă [prima directivă specială în sensul articolului 16 alineatul (1) din Directiva 89/391/CEE], CELEX: 31989L0654, publicată în Jurnalul Oficial al UE L 393 din 30 decembrie 1989, astfel cum a fost modificată ultima oară prin Regulamentul (UE) 2019/1243 al Parlamentului European și al Consiliului din 20 iunie 2019; - transpune art. 8; pct. 12 din Anexa I și pct. 1 din Anexa III la Directiva 92/58/CEE a Consiliului din 24 iunie 1992 privind cerințele minime pentru semnalizarea de securitate și sănătate la locul de muncă [a noua directivă specială în sensul articolului 16 alineatul (1) din Directiva 89/391/CEE], CELEX: 31992L0058, publicată în Jurnalul Oficial al UE L 245 din 26 august 1992, astfel cum a fost modificată ultima oară prin Regulamentul (UE) 2019/1243 al Parlamentului European și al Consiliului din 20 iunie 2019; - transpune art. 1 (3) lit. (f) și pct. 2 lit. (c) din Anexa la Directiva 90/270/CEE a Consiliului din 29 mai 1990 privind condițiile minime de securitate și sănătate pentru lucrul la monitor [a cincea directivă individuală în sensul articolului 16 alineatul (1) din Directiva 87/391/CEE], CELEX: 31990L0270, publicată în Jurnalul Oficial al UE L 156 din 21 iunie 1990, astfel cum a fost modificată ultima oară prin Regulamentul (UE) 2019/1243 al Parlamentului European și al Consiliului din 20 iunie 2019.</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CCA7EA"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14:paraId="346AF781"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B1180A"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3F401E4"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F93B88"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I. Obiectul proiectului</w:t>
            </w:r>
          </w:p>
          <w:p w14:paraId="7E6D909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Proiectul național are ca scop continuarea procesului de armonizare legislativă pe segmentul securității și sănătății în muncă, prin avansarea gradului de transpunere a Directivei Consiliului din 30 noiembrie 1989 privind cerințele minime de securitate și sănătate la locul de muncă, a Directivei 92/58/CEE a Consiliului din 24 iunie 1992 privind cerințele minime pentru semnalizarea de securitate și sănătate la locul de muncă și a Directivei 90/270/CEE a Consiliului din 29 mai 1990 privind condițiile minime de securitate și sănătate pentru lucrul la monitor.</w:t>
            </w:r>
          </w:p>
          <w:p w14:paraId="4C51F0C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Astfel, proiectul național își propune modificarea:</w:t>
            </w:r>
          </w:p>
          <w:p w14:paraId="7E8F44B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Hotărârii de Guvern nr. 353/2010, în speță, prin completarea și modificarea unor prevederi terminologice și de fond, inclusiv: introducerea obligației de comunicare a hotărârii către Comisia Europeană, completarea normelor privind protecția nefumatorilor și adaptarea terminologiei referitoare la persoanele cu dizabilități; În baza expertizei proiectului de hotărâre a Guvernului pentru modificarea unor hotărâri de Guvern în domeniul securității și sănătății în muncă.</w:t>
            </w:r>
          </w:p>
          <w:p w14:paraId="594CA17C"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Hotărârii de Guvern nr. 918/2013, în speță, prin ajustarea terminologiei „substanțe sau amestecuri periculoase”, introducerea obligației de comunicare către Comisia Europeană, completarea prevederilor privind consultarea lucrătorilor, precum și alinierea cerințelor de semnalizare la normele speciale privind clasificarea, etichetarea și ambalarea substanțelor și amestecurilor chimice;</w:t>
            </w:r>
          </w:p>
          <w:p w14:paraId="6BDBED1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Hotărârii de Guvern nr. 819/2016, în speță, prin completări privind definirea unor echipamente (mașini de scris tradiționale), introducerea obligației de comunicare către Comisia Europeană și actualizarea cerințelor tehnice referitoare la amplasarea monitoarelor și la dotarea ferestrelor cu sisteme de acoperire reglabilă.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F233311"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14:paraId="1D868C9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A5F219"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456194"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BBD42F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 Evaluarea din perspectiva compatibilității cu Dreptul UE</w:t>
            </w:r>
          </w:p>
          <w:p w14:paraId="16BE82D4"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Din punct de vedere al dreptului UE, prin prisma obiectului de reglementare, prezentul demers normativ se circumscrie reglementărilor statuate la nivelul UE, subsumate Capitolului 19 „Politica socială și a muncii”.</w:t>
            </w:r>
          </w:p>
          <w:p w14:paraId="25ADBFF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Astfel, din perspectiva proiectului examinat, la nivelul legislației europene, prezintă relevanță directă prevederile Directivei 89/654/CEE a Consiliului din 30 noiembrie 1989 privind cerințele minime de securitate și sănătate la locul de muncă, ale Directivei 92/58/CEE a Consiliului din 24 iunie 1992 privind cerințele minime pentru semnalizarea de securitate și sănătate la locul de muncă și ale Directivei 90/270/CEE a Consiliului din 29 mai 1990 privind condițiile minime de securitate și sănătate pentru lucrul la monitor.</w:t>
            </w:r>
          </w:p>
          <w:p w14:paraId="15AAC62B" w14:textId="77777777" w:rsidR="004E1CB1" w:rsidRPr="007C4927" w:rsidRDefault="004E1CB1">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3812C1F"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rsidRPr="007C4927" w14:paraId="62F6D86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CB27FC"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C9C6D1"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DCF25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1. </w:t>
            </w:r>
            <w:r w:rsidRPr="007C4927">
              <w:rPr>
                <w:rFonts w:ascii="Times New Roman" w:eastAsia="Times New Roman" w:hAnsi="Times New Roman" w:cs="Times New Roman"/>
                <w:b/>
                <w:bCs/>
                <w:lang w:val="pt-BR"/>
              </w:rPr>
              <w:t>Directiva 89/654/CEE a Consiliului din 30 noiembrie 1989</w:t>
            </w:r>
            <w:r w:rsidRPr="007C4927">
              <w:rPr>
                <w:rFonts w:ascii="Times New Roman" w:eastAsia="Times New Roman" w:hAnsi="Times New Roman" w:cs="Times New Roman"/>
                <w:lang w:val="pt-BR"/>
              </w:rPr>
              <w:t xml:space="preserve"> urmărește stabilirea cerințelor minime privind securitatea și sănătatea în spațiile de muncă, inclusiv condițiile de siguranță, igienă și confort pentru lucrători.</w:t>
            </w:r>
          </w:p>
          <w:p w14:paraId="3F4A49E7"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a) Măsuri naționale de transpunere existente a Directivei 89/654/CEE</w:t>
            </w:r>
          </w:p>
          <w:p w14:paraId="2001E94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Evaluând gradul de realizare a angajamentelor de transpunere și implementare a Directivei 89/654/CEE, menționăm că, până la etapa actuală, aceasta a constituit obiect al transpunerii prin Hotărârea de Guvern nr. 353/2010 cu privire la aprobarea cerințelor minime de securitate și sănătate la locul de muncă.</w:t>
            </w:r>
          </w:p>
          <w:p w14:paraId="045F11C7"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b) Analiza comparativă a transpunerii dispozițiilor Directivei 89/654/CEE</w:t>
            </w:r>
          </w:p>
          <w:p w14:paraId="4E39AF9F"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ceea ce privește transpunerea Directivei 89/654/CEE, apreciem că proiectul național asigură transpunerea pct. 16, subpct. 16.4 par. 2 din actul UE, conform celor constatate infra.</w:t>
            </w:r>
          </w:p>
          <w:p w14:paraId="161346AC"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Pct. 1.3.3 din proiectul național, prin care se propune introducerea obligației adoptării de măsuri în încăperi pentru protecția nefumatorilor este în acord cu pct. 16.4 par. 2 din Anexa I a actului UE.</w:t>
            </w:r>
          </w:p>
          <w:p w14:paraId="7C8AFB23"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c) Obiecții privind compatibilitatea cu Directiva 89/654/CEE</w:t>
            </w:r>
          </w:p>
          <w:p w14:paraId="7AD178E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Modificările propuse la pct. 1.3.1 din proiectul național prin care, la punctele 23, 27, 32, 62 cuvintele „loc de muncă” la orice formă gramaticală se substituie cu cuvintele „post de lucru” la forma gramaticală corespunzătoare și la pct. 1.3.2. din proiectul național prin care, la punctele 29 și 30 cuvintele „loc de muncă” la orice formă gramaticală se substituie cu cuvântul „încăpere” la forma gramaticală corespunzătoare, nu sunt în acord cu terminologia utilizată în Directiva 89/654/CEE. Prin urmare, textul actului național în vigoare corespunde terminologic celui din Directivă și urmează a fi menținut în forma sa actuală.</w:t>
            </w:r>
          </w:p>
          <w:p w14:paraId="51192F2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Se impune excluderea din proiect a subpct. 1.2, 2.3 și 3.3, care stabilesc obligația de a comunica textele HG respective Comisiei Europene în modul stabilit de Guvern, ori această obligație aparține în exclusivitate statelor membre UE și nu poate fi implementată de RM începând cu 1 ianuarie 2026 (data intrării în vigoare a proiectului). Totodată, la moment, actele normative ale Guvernului nu reglementează procedura de notificare în adresa Comisiei Europene a textelor actelor normative naționale de transpunere a Directivelor UE. Această procedură va fi instituită la o fază mai apropiată momentului de aderare propriu-zisă la UE și va fi aplicabilă tuturor actelor normative de transpunere a Directivelor UE.</w:t>
            </w:r>
          </w:p>
          <w:p w14:paraId="4E33E721" w14:textId="77777777" w:rsidR="004E1CB1" w:rsidRPr="007C4927" w:rsidRDefault="004E1CB1">
            <w:pPr>
              <w:keepLines/>
              <w:spacing w:line="240" w:lineRule="auto"/>
              <w:jc w:val="both"/>
              <w:rPr>
                <w:rFonts w:ascii="Times New Roman" w:eastAsia="Times New Roman" w:hAnsi="Times New Roman" w:cs="Times New Roman"/>
                <w:lang w:val="pt-BR"/>
              </w:rPr>
            </w:pPr>
          </w:p>
          <w:p w14:paraId="3836BAA6" w14:textId="77777777" w:rsidR="004E1CB1" w:rsidRPr="007C4927" w:rsidRDefault="004E1CB1">
            <w:pPr>
              <w:keepLines/>
              <w:spacing w:line="240" w:lineRule="auto"/>
              <w:jc w:val="both"/>
              <w:rPr>
                <w:rFonts w:ascii="Times New Roman" w:eastAsia="Times New Roman" w:hAnsi="Times New Roman" w:cs="Times New Roman"/>
                <w:lang w:val="pt-BR"/>
              </w:rPr>
            </w:pPr>
          </w:p>
          <w:p w14:paraId="26A34E18" w14:textId="77777777" w:rsidR="004E1CB1" w:rsidRPr="007C4927" w:rsidRDefault="004E1CB1">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F7B5C0"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Am luat act de mențiunile la litera a) și b).</w:t>
            </w:r>
          </w:p>
          <w:p w14:paraId="77046814" w14:textId="77777777" w:rsidR="004E1CB1" w:rsidRPr="007C4927" w:rsidRDefault="004E1CB1">
            <w:pPr>
              <w:keepLines/>
              <w:spacing w:line="240" w:lineRule="auto"/>
              <w:rPr>
                <w:rFonts w:ascii="Times New Roman" w:eastAsia="Times New Roman" w:hAnsi="Times New Roman" w:cs="Times New Roman"/>
                <w:lang w:val="pt-BR"/>
              </w:rPr>
            </w:pPr>
          </w:p>
          <w:p w14:paraId="7F19C597" w14:textId="77777777" w:rsidR="004E1CB1" w:rsidRPr="007C4927" w:rsidRDefault="004E1CB1">
            <w:pPr>
              <w:keepLines/>
              <w:spacing w:line="240" w:lineRule="auto"/>
              <w:rPr>
                <w:rFonts w:ascii="Times New Roman" w:eastAsia="Times New Roman" w:hAnsi="Times New Roman" w:cs="Times New Roman"/>
                <w:lang w:val="pt-BR"/>
              </w:rPr>
            </w:pPr>
          </w:p>
          <w:p w14:paraId="1ABE3BA7" w14:textId="77777777" w:rsidR="004E1CB1" w:rsidRPr="007C4927" w:rsidRDefault="004E1CB1">
            <w:pPr>
              <w:keepLines/>
              <w:spacing w:line="240" w:lineRule="auto"/>
              <w:rPr>
                <w:rFonts w:ascii="Times New Roman" w:eastAsia="Times New Roman" w:hAnsi="Times New Roman" w:cs="Times New Roman"/>
                <w:lang w:val="pt-BR"/>
              </w:rPr>
            </w:pPr>
          </w:p>
          <w:p w14:paraId="0F032AA5" w14:textId="77777777" w:rsidR="004E1CB1" w:rsidRPr="007C4927" w:rsidRDefault="004E1CB1">
            <w:pPr>
              <w:keepLines/>
              <w:spacing w:line="240" w:lineRule="auto"/>
              <w:rPr>
                <w:rFonts w:ascii="Times New Roman" w:eastAsia="Times New Roman" w:hAnsi="Times New Roman" w:cs="Times New Roman"/>
                <w:lang w:val="pt-BR"/>
              </w:rPr>
            </w:pPr>
          </w:p>
          <w:p w14:paraId="0787BF88" w14:textId="77777777" w:rsidR="004E1CB1" w:rsidRPr="007C4927" w:rsidRDefault="004E1CB1">
            <w:pPr>
              <w:keepLines/>
              <w:spacing w:line="240" w:lineRule="auto"/>
              <w:rPr>
                <w:rFonts w:ascii="Times New Roman" w:eastAsia="Times New Roman" w:hAnsi="Times New Roman" w:cs="Times New Roman"/>
                <w:lang w:val="pt-BR"/>
              </w:rPr>
            </w:pPr>
          </w:p>
          <w:p w14:paraId="7DCB71BC" w14:textId="77777777" w:rsidR="004E1CB1" w:rsidRPr="007C4927" w:rsidRDefault="004E1CB1">
            <w:pPr>
              <w:keepLines/>
              <w:spacing w:line="240" w:lineRule="auto"/>
              <w:rPr>
                <w:rFonts w:ascii="Times New Roman" w:eastAsia="Times New Roman" w:hAnsi="Times New Roman" w:cs="Times New Roman"/>
                <w:lang w:val="pt-BR"/>
              </w:rPr>
            </w:pPr>
          </w:p>
          <w:p w14:paraId="00D73562" w14:textId="77777777" w:rsidR="004E1CB1" w:rsidRPr="007C4927" w:rsidRDefault="004E1CB1">
            <w:pPr>
              <w:keepLines/>
              <w:spacing w:line="240" w:lineRule="auto"/>
              <w:rPr>
                <w:rFonts w:ascii="Times New Roman" w:eastAsia="Times New Roman" w:hAnsi="Times New Roman" w:cs="Times New Roman"/>
                <w:lang w:val="pt-BR"/>
              </w:rPr>
            </w:pPr>
          </w:p>
          <w:p w14:paraId="5B279C49" w14:textId="77777777" w:rsidR="004E1CB1" w:rsidRPr="007C4927" w:rsidRDefault="004E1CB1">
            <w:pPr>
              <w:keepLines/>
              <w:spacing w:line="240" w:lineRule="auto"/>
              <w:rPr>
                <w:rFonts w:ascii="Times New Roman" w:eastAsia="Times New Roman" w:hAnsi="Times New Roman" w:cs="Times New Roman"/>
                <w:lang w:val="pt-BR"/>
              </w:rPr>
            </w:pPr>
          </w:p>
          <w:p w14:paraId="19A37264" w14:textId="77777777" w:rsidR="004E1CB1" w:rsidRPr="007C4927" w:rsidRDefault="004E1CB1">
            <w:pPr>
              <w:keepLines/>
              <w:spacing w:line="240" w:lineRule="auto"/>
              <w:rPr>
                <w:rFonts w:ascii="Times New Roman" w:eastAsia="Times New Roman" w:hAnsi="Times New Roman" w:cs="Times New Roman"/>
                <w:lang w:val="pt-BR"/>
              </w:rPr>
            </w:pPr>
          </w:p>
          <w:p w14:paraId="2E682B6A" w14:textId="77777777" w:rsidR="004E1CB1" w:rsidRPr="007C4927" w:rsidRDefault="004E1CB1">
            <w:pPr>
              <w:keepLines/>
              <w:spacing w:line="240" w:lineRule="auto"/>
              <w:rPr>
                <w:rFonts w:ascii="Times New Roman" w:eastAsia="Times New Roman" w:hAnsi="Times New Roman" w:cs="Times New Roman"/>
                <w:lang w:val="pt-BR"/>
              </w:rPr>
            </w:pPr>
          </w:p>
          <w:p w14:paraId="6D56471D" w14:textId="77777777" w:rsidR="004E1CB1" w:rsidRPr="007C4927" w:rsidRDefault="004E1CB1">
            <w:pPr>
              <w:keepLines/>
              <w:spacing w:line="240" w:lineRule="auto"/>
              <w:rPr>
                <w:rFonts w:ascii="Times New Roman" w:eastAsia="Times New Roman" w:hAnsi="Times New Roman" w:cs="Times New Roman"/>
                <w:lang w:val="pt-BR"/>
              </w:rPr>
            </w:pPr>
          </w:p>
          <w:p w14:paraId="21F319ED" w14:textId="77777777" w:rsidR="004E1CB1" w:rsidRPr="007C4927" w:rsidRDefault="004E1CB1">
            <w:pPr>
              <w:keepLines/>
              <w:spacing w:line="240" w:lineRule="auto"/>
              <w:rPr>
                <w:rFonts w:ascii="Times New Roman" w:eastAsia="Times New Roman" w:hAnsi="Times New Roman" w:cs="Times New Roman"/>
                <w:lang w:val="pt-BR"/>
              </w:rPr>
            </w:pPr>
          </w:p>
          <w:p w14:paraId="06364C47" w14:textId="77777777" w:rsidR="004E1CB1" w:rsidRPr="007C4927" w:rsidRDefault="004E1CB1">
            <w:pPr>
              <w:keepLines/>
              <w:spacing w:line="240" w:lineRule="auto"/>
              <w:rPr>
                <w:rFonts w:ascii="Times New Roman" w:eastAsia="Times New Roman" w:hAnsi="Times New Roman" w:cs="Times New Roman"/>
                <w:lang w:val="pt-BR"/>
              </w:rPr>
            </w:pPr>
          </w:p>
          <w:p w14:paraId="6C18F597" w14:textId="77777777" w:rsidR="004E1CB1" w:rsidRPr="007C4927" w:rsidRDefault="004E1CB1">
            <w:pPr>
              <w:keepLines/>
              <w:spacing w:line="240" w:lineRule="auto"/>
              <w:rPr>
                <w:rFonts w:ascii="Times New Roman" w:eastAsia="Times New Roman" w:hAnsi="Times New Roman" w:cs="Times New Roman"/>
                <w:lang w:val="pt-BR"/>
              </w:rPr>
            </w:pPr>
          </w:p>
          <w:p w14:paraId="14928BBB" w14:textId="77777777" w:rsidR="004E1CB1" w:rsidRPr="007C4927" w:rsidRDefault="004E1CB1">
            <w:pPr>
              <w:keepLines/>
              <w:spacing w:line="240" w:lineRule="auto"/>
              <w:rPr>
                <w:rFonts w:ascii="Times New Roman" w:eastAsia="Times New Roman" w:hAnsi="Times New Roman" w:cs="Times New Roman"/>
                <w:lang w:val="pt-BR"/>
              </w:rPr>
            </w:pPr>
          </w:p>
          <w:p w14:paraId="550751BC" w14:textId="77777777" w:rsidR="004E1CB1" w:rsidRPr="007C4927" w:rsidRDefault="004E1CB1">
            <w:pPr>
              <w:keepLines/>
              <w:spacing w:line="240" w:lineRule="auto"/>
              <w:rPr>
                <w:rFonts w:ascii="Times New Roman" w:eastAsia="Times New Roman" w:hAnsi="Times New Roman" w:cs="Times New Roman"/>
                <w:lang w:val="pt-BR"/>
              </w:rPr>
            </w:pPr>
          </w:p>
          <w:p w14:paraId="14D77A1B" w14:textId="77777777" w:rsidR="004E1CB1" w:rsidRPr="007C4927" w:rsidRDefault="004E1CB1">
            <w:pPr>
              <w:keepLines/>
              <w:spacing w:line="240" w:lineRule="auto"/>
              <w:rPr>
                <w:rFonts w:ascii="Times New Roman" w:eastAsia="Times New Roman" w:hAnsi="Times New Roman" w:cs="Times New Roman"/>
                <w:lang w:val="pt-BR"/>
              </w:rPr>
            </w:pPr>
          </w:p>
          <w:p w14:paraId="29742B5C" w14:textId="77777777" w:rsidR="004E1CB1" w:rsidRPr="007C4927" w:rsidRDefault="004E1CB1">
            <w:pPr>
              <w:keepLines/>
              <w:spacing w:line="240" w:lineRule="auto"/>
              <w:rPr>
                <w:rFonts w:ascii="Times New Roman" w:eastAsia="Times New Roman" w:hAnsi="Times New Roman" w:cs="Times New Roman"/>
                <w:lang w:val="pt-BR"/>
              </w:rPr>
            </w:pPr>
          </w:p>
          <w:p w14:paraId="68B0422F" w14:textId="77777777" w:rsidR="004E1CB1" w:rsidRPr="007C4927" w:rsidRDefault="004E1CB1">
            <w:pPr>
              <w:keepLines/>
              <w:spacing w:line="240" w:lineRule="auto"/>
              <w:rPr>
                <w:rFonts w:ascii="Times New Roman" w:eastAsia="Times New Roman" w:hAnsi="Times New Roman" w:cs="Times New Roman"/>
                <w:lang w:val="pt-BR"/>
              </w:rPr>
            </w:pPr>
          </w:p>
          <w:p w14:paraId="4CE7F624" w14:textId="77777777" w:rsidR="004E1CB1" w:rsidRPr="007C4927" w:rsidRDefault="004E1CB1">
            <w:pPr>
              <w:keepLines/>
              <w:spacing w:line="240" w:lineRule="auto"/>
              <w:rPr>
                <w:rFonts w:ascii="Times New Roman" w:eastAsia="Times New Roman" w:hAnsi="Times New Roman" w:cs="Times New Roman"/>
                <w:lang w:val="pt-BR"/>
              </w:rPr>
            </w:pPr>
          </w:p>
          <w:p w14:paraId="79DAA096" w14:textId="77777777" w:rsidR="004E1CB1" w:rsidRPr="007C4927" w:rsidRDefault="004E1CB1">
            <w:pPr>
              <w:keepLines/>
              <w:spacing w:line="240" w:lineRule="auto"/>
              <w:rPr>
                <w:rFonts w:ascii="Times New Roman" w:eastAsia="Times New Roman" w:hAnsi="Times New Roman" w:cs="Times New Roman"/>
                <w:lang w:val="pt-BR"/>
              </w:rPr>
            </w:pPr>
          </w:p>
          <w:p w14:paraId="534F8EB5"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 xml:space="preserve">Obiecțiile de la litera c) nu se acceptă. </w:t>
            </w:r>
          </w:p>
          <w:p w14:paraId="2E22851B" w14:textId="77777777" w:rsidR="004E1CB1" w:rsidRPr="007C4927" w:rsidRDefault="00000000">
            <w:pPr>
              <w:keepLines/>
              <w:spacing w:line="240" w:lineRule="auto"/>
              <w:jc w:val="both"/>
              <w:rPr>
                <w:rFonts w:ascii="Times New Roman" w:eastAsia="Times New Roman" w:hAnsi="Times New Roman" w:cs="Times New Roman"/>
                <w:color w:val="333333"/>
                <w:highlight w:val="white"/>
                <w:lang w:val="pt-BR"/>
              </w:rPr>
            </w:pPr>
            <w:r w:rsidRPr="007C4927">
              <w:rPr>
                <w:rFonts w:ascii="Times New Roman" w:eastAsia="Times New Roman" w:hAnsi="Times New Roman" w:cs="Times New Roman"/>
                <w:lang w:val="pt-BR"/>
              </w:rPr>
              <w:t xml:space="preserve">Directiva 89/654/CEE (a se vedea varianta în limba engleză) a fost modificată prin  </w:t>
            </w:r>
            <w:hyperlink r:id="rId7">
              <w:r w:rsidRPr="007C4927">
                <w:rPr>
                  <w:rFonts w:ascii="Times New Roman" w:eastAsia="Times New Roman" w:hAnsi="Times New Roman" w:cs="Times New Roman"/>
                  <w:color w:val="1155CC"/>
                  <w:u w:val="single"/>
                  <w:lang w:val="pt-BR"/>
                </w:rPr>
                <w:t>Corrigendum</w:t>
              </w:r>
            </w:hyperlink>
            <w:r w:rsidRPr="007C4927">
              <w:rPr>
                <w:rFonts w:ascii="Times New Roman" w:eastAsia="Times New Roman" w:hAnsi="Times New Roman" w:cs="Times New Roman"/>
                <w:lang w:val="pt-BR"/>
              </w:rPr>
              <w:t xml:space="preserve"> din 09.08.1990 (</w:t>
            </w:r>
            <w:r w:rsidRPr="007C4927">
              <w:rPr>
                <w:rFonts w:ascii="Times New Roman" w:eastAsia="Times New Roman" w:hAnsi="Times New Roman" w:cs="Times New Roman"/>
                <w:i/>
                <w:iCs/>
                <w:color w:val="333333"/>
                <w:highlight w:val="white"/>
                <w:lang w:val="pt-BR"/>
              </w:rPr>
              <w:t xml:space="preserve">Jurnalul Oficial L 211 , 09/08/1990 P. 0015 - 0015), inclusiv </w:t>
            </w:r>
            <w:r w:rsidRPr="007C4927">
              <w:rPr>
                <w:rFonts w:ascii="Times New Roman" w:eastAsia="Times New Roman" w:hAnsi="Times New Roman" w:cs="Times New Roman"/>
                <w:color w:val="333333"/>
                <w:highlight w:val="white"/>
                <w:lang w:val="pt-BR"/>
              </w:rPr>
              <w:t xml:space="preserve">a se vedea versiunea consolidată </w:t>
            </w:r>
            <w:hyperlink r:id="rId8" w:anchor="B-1">
              <w:r w:rsidRPr="007C4927">
                <w:rPr>
                  <w:rFonts w:ascii="Times New Roman" w:eastAsia="Times New Roman" w:hAnsi="Times New Roman" w:cs="Times New Roman"/>
                  <w:color w:val="1155CC"/>
                  <w:highlight w:val="white"/>
                  <w:u w:val="single"/>
                  <w:lang w:val="pt-BR"/>
                </w:rPr>
                <w:t>01989L0654-20190726</w:t>
              </w:r>
            </w:hyperlink>
            <w:r w:rsidRPr="007C4927">
              <w:rPr>
                <w:rFonts w:ascii="Times New Roman" w:eastAsia="Times New Roman" w:hAnsi="Times New Roman" w:cs="Times New Roman"/>
                <w:color w:val="333333"/>
                <w:highlight w:val="white"/>
                <w:lang w:val="pt-BR"/>
              </w:rPr>
              <w:t>.</w:t>
            </w:r>
          </w:p>
          <w:p w14:paraId="7D591DFE" w14:textId="77777777" w:rsidR="004E1CB1" w:rsidRPr="007C4927" w:rsidRDefault="00000000">
            <w:pPr>
              <w:keepLines/>
              <w:spacing w:line="240" w:lineRule="auto"/>
              <w:jc w:val="both"/>
              <w:rPr>
                <w:rFonts w:ascii="Times New Roman" w:eastAsia="Times New Roman" w:hAnsi="Times New Roman" w:cs="Times New Roman"/>
                <w:color w:val="333333"/>
                <w:highlight w:val="white"/>
                <w:lang w:val="pt-BR"/>
              </w:rPr>
            </w:pPr>
            <w:r w:rsidRPr="007C4927">
              <w:rPr>
                <w:rFonts w:ascii="Times New Roman" w:eastAsia="Times New Roman" w:hAnsi="Times New Roman" w:cs="Times New Roman"/>
                <w:color w:val="333333"/>
                <w:highlight w:val="white"/>
                <w:lang w:val="pt-BR"/>
              </w:rPr>
              <w:t>Modificarea respectivă se referă la substituirea sintagmei „încăperi care conțin locuri de muncă” cu sintagma „încăperi care conțin posturi de lucru”.</w:t>
            </w:r>
          </w:p>
          <w:p w14:paraId="5EE09A86"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proofErr w:type="gramStart"/>
            <w:r>
              <w:rPr>
                <w:rFonts w:ascii="Times New Roman" w:eastAsia="Times New Roman" w:hAnsi="Times New Roman" w:cs="Times New Roman"/>
                <w:i/>
                <w:iCs/>
                <w:color w:val="333333"/>
              </w:rPr>
              <w:t>”Annex</w:t>
            </w:r>
            <w:proofErr w:type="gramEnd"/>
            <w:r>
              <w:rPr>
                <w:rFonts w:ascii="Times New Roman" w:eastAsia="Times New Roman" w:hAnsi="Times New Roman" w:cs="Times New Roman"/>
                <w:i/>
                <w:iCs/>
                <w:color w:val="333333"/>
              </w:rPr>
              <w:t xml:space="preserve"> I, page 5, points 7.1 and 8.2: 1.2 for: "rooms containing workplaces', read: "rooms containing workstations';”</w:t>
            </w:r>
          </w:p>
          <w:p w14:paraId="6994ED41" w14:textId="77777777" w:rsidR="004E1CB1" w:rsidRDefault="004E1CB1">
            <w:pPr>
              <w:keepLines/>
              <w:shd w:val="clear" w:color="auto" w:fill="FFFFFF"/>
              <w:spacing w:line="240" w:lineRule="auto"/>
              <w:jc w:val="both"/>
              <w:rPr>
                <w:rFonts w:ascii="Times New Roman" w:eastAsia="Times New Roman" w:hAnsi="Times New Roman" w:cs="Times New Roman"/>
                <w:i/>
                <w:iCs/>
                <w:color w:val="333333"/>
              </w:rPr>
            </w:pPr>
          </w:p>
          <w:p w14:paraId="115ECA02" w14:textId="77777777" w:rsidR="004E1CB1" w:rsidRDefault="00000000">
            <w:pPr>
              <w:keepLines/>
              <w:shd w:val="clear" w:color="auto" w:fill="FFFFFF"/>
              <w:spacing w:line="240" w:lineRule="auto"/>
              <w:jc w:val="both"/>
              <w:rPr>
                <w:rFonts w:ascii="Times New Roman" w:eastAsia="Times New Roman" w:hAnsi="Times New Roman" w:cs="Times New Roman"/>
                <w:i/>
                <w:iCs/>
              </w:rPr>
            </w:pPr>
            <w:proofErr w:type="spellStart"/>
            <w:r>
              <w:rPr>
                <w:rFonts w:ascii="Times New Roman" w:eastAsia="Times New Roman" w:hAnsi="Times New Roman" w:cs="Times New Roman"/>
              </w:rPr>
              <w:t>Raționamentul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acestei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rezultă</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definiția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locului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prevăzută</w:t>
            </w:r>
            <w:proofErr w:type="spellEnd"/>
            <w:r>
              <w:rPr>
                <w:rFonts w:ascii="Times New Roman" w:eastAsia="Times New Roman" w:hAnsi="Times New Roman" w:cs="Times New Roman"/>
              </w:rPr>
              <w:t xml:space="preserve"> la art. 2 din </w:t>
            </w:r>
            <w:proofErr w:type="spellStart"/>
            <w:r>
              <w:rPr>
                <w:rFonts w:ascii="Times New Roman" w:eastAsia="Times New Roman" w:hAnsi="Times New Roman" w:cs="Times New Roman"/>
              </w:rPr>
              <w:t>Directivă</w:t>
            </w:r>
            <w:proofErr w:type="spellEnd"/>
            <w:proofErr w:type="gramStart"/>
            <w:r>
              <w:rPr>
                <w:rFonts w:ascii="Times New Roman" w:eastAsia="Times New Roman" w:hAnsi="Times New Roman" w:cs="Times New Roman"/>
              </w:rPr>
              <w:t xml:space="preserve">: </w:t>
            </w:r>
            <w:r>
              <w:rPr>
                <w:rFonts w:ascii="Times New Roman" w:eastAsia="Times New Roman" w:hAnsi="Times New Roman" w:cs="Times New Roman"/>
                <w:i/>
                <w:iCs/>
              </w:rPr>
              <w:t>”În</w:t>
            </w:r>
            <w:proofErr w:type="gram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sensul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prezentei</w:t>
            </w:r>
            <w:proofErr w:type="spellEnd"/>
            <w:r>
              <w:rPr>
                <w:rFonts w:ascii="Times New Roman" w:eastAsia="Times New Roman" w:hAnsi="Times New Roman" w:cs="Times New Roman"/>
                <w:i/>
                <w:iCs/>
              </w:rPr>
              <w:t xml:space="preserve"> directive, </w:t>
            </w:r>
            <w:proofErr w:type="spellStart"/>
            <w:r>
              <w:rPr>
                <w:rFonts w:ascii="Times New Roman" w:eastAsia="Times New Roman" w:hAnsi="Times New Roman" w:cs="Times New Roman"/>
                <w:i/>
                <w:iCs/>
              </w:rPr>
              <w:t>prin</w:t>
            </w:r>
            <w:proofErr w:type="spellEnd"/>
            <w:r>
              <w:rPr>
                <w:rFonts w:ascii="Times New Roman" w:eastAsia="Times New Roman" w:hAnsi="Times New Roman" w:cs="Times New Roman"/>
                <w:i/>
                <w:iCs/>
              </w:rPr>
              <w:t xml:space="preserve"> </w:t>
            </w:r>
            <w:r>
              <w:rPr>
                <w:rFonts w:ascii="Times New Roman" w:eastAsia="Times New Roman" w:hAnsi="Times New Roman" w:cs="Times New Roman"/>
                <w:b/>
                <w:bCs/>
                <w:i/>
                <w:iCs/>
              </w:rPr>
              <w:t xml:space="preserve">loc de </w:t>
            </w:r>
            <w:proofErr w:type="spellStart"/>
            <w:r>
              <w:rPr>
                <w:rFonts w:ascii="Times New Roman" w:eastAsia="Times New Roman" w:hAnsi="Times New Roman" w:cs="Times New Roman"/>
                <w:b/>
                <w:bCs/>
                <w:i/>
                <w:iCs/>
              </w:rPr>
              <w:t>muncă</w:t>
            </w:r>
            <w:proofErr w:type="spellEnd"/>
            <w:r>
              <w:rPr>
                <w:rFonts w:ascii="Times New Roman" w:eastAsia="Times New Roman" w:hAnsi="Times New Roman" w:cs="Times New Roman"/>
                <w:b/>
                <w:bCs/>
                <w:i/>
                <w:iCs/>
              </w:rPr>
              <w:t xml:space="preserve"> </w:t>
            </w:r>
            <w:r>
              <w:rPr>
                <w:rFonts w:ascii="Times New Roman" w:eastAsia="Times New Roman" w:hAnsi="Times New Roman" w:cs="Times New Roman"/>
                <w:i/>
                <w:iCs/>
              </w:rPr>
              <w:t xml:space="preserve">se </w:t>
            </w:r>
            <w:proofErr w:type="spellStart"/>
            <w:r>
              <w:rPr>
                <w:rFonts w:ascii="Times New Roman" w:eastAsia="Times New Roman" w:hAnsi="Times New Roman" w:cs="Times New Roman"/>
                <w:i/>
                <w:iCs/>
              </w:rPr>
              <w:t>înțelege</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locul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destinat</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să</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adăpostească</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b/>
                <w:bCs/>
                <w:i/>
                <w:iCs/>
              </w:rPr>
              <w:t>posturi</w:t>
            </w:r>
            <w:proofErr w:type="spellEnd"/>
            <w:r>
              <w:rPr>
                <w:rFonts w:ascii="Times New Roman" w:eastAsia="Times New Roman" w:hAnsi="Times New Roman" w:cs="Times New Roman"/>
                <w:b/>
                <w:bCs/>
                <w:i/>
                <w:iCs/>
              </w:rPr>
              <w:t xml:space="preserve"> de </w:t>
            </w:r>
            <w:proofErr w:type="spellStart"/>
            <w:r>
              <w:rPr>
                <w:rFonts w:ascii="Times New Roman" w:eastAsia="Times New Roman" w:hAnsi="Times New Roman" w:cs="Times New Roman"/>
                <w:b/>
                <w:bCs/>
                <w:i/>
                <w:iCs/>
              </w:rPr>
              <w:t>lucru</w:t>
            </w:r>
            <w:proofErr w:type="spellEnd"/>
            <w:r>
              <w:rPr>
                <w:rFonts w:ascii="Times New Roman" w:eastAsia="Times New Roman" w:hAnsi="Times New Roman" w:cs="Times New Roman"/>
                <w:i/>
                <w:iCs/>
              </w:rPr>
              <w:t xml:space="preserve"> în </w:t>
            </w:r>
            <w:proofErr w:type="spellStart"/>
            <w:r>
              <w:rPr>
                <w:rFonts w:ascii="Times New Roman" w:eastAsia="Times New Roman" w:hAnsi="Times New Roman" w:cs="Times New Roman"/>
                <w:i/>
                <w:iCs/>
              </w:rPr>
              <w:t>clădirea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întreprinderii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sau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unității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și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orice</w:t>
            </w:r>
            <w:proofErr w:type="spellEnd"/>
            <w:r>
              <w:rPr>
                <w:rFonts w:ascii="Times New Roman" w:eastAsia="Times New Roman" w:hAnsi="Times New Roman" w:cs="Times New Roman"/>
                <w:i/>
                <w:iCs/>
              </w:rPr>
              <w:t xml:space="preserve"> alt loc din </w:t>
            </w:r>
            <w:proofErr w:type="spellStart"/>
            <w:r>
              <w:rPr>
                <w:rFonts w:ascii="Times New Roman" w:eastAsia="Times New Roman" w:hAnsi="Times New Roman" w:cs="Times New Roman"/>
                <w:i/>
                <w:iCs/>
              </w:rPr>
              <w:t>interiorul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întreprinderii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sau</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unității</w:t>
            </w:r>
            <w:proofErr w:type="spellEnd"/>
            <w:r>
              <w:rPr>
                <w:rFonts w:ascii="Times New Roman" w:eastAsia="Times New Roman" w:hAnsi="Times New Roman" w:cs="Times New Roman"/>
                <w:i/>
                <w:iCs/>
              </w:rPr>
              <w:t xml:space="preserve"> la care </w:t>
            </w:r>
            <w:proofErr w:type="spellStart"/>
            <w:r>
              <w:rPr>
                <w:rFonts w:ascii="Times New Roman" w:eastAsia="Times New Roman" w:hAnsi="Times New Roman" w:cs="Times New Roman"/>
                <w:i/>
                <w:iCs/>
              </w:rPr>
              <w:t>lucrătorul</w:t>
            </w:r>
            <w:proofErr w:type="spellEnd"/>
            <w:r>
              <w:rPr>
                <w:rFonts w:ascii="Times New Roman" w:eastAsia="Times New Roman" w:hAnsi="Times New Roman" w:cs="Times New Roman"/>
                <w:i/>
                <w:iCs/>
              </w:rPr>
              <w:t xml:space="preserve"> are </w:t>
            </w:r>
            <w:proofErr w:type="spellStart"/>
            <w:r>
              <w:rPr>
                <w:rFonts w:ascii="Times New Roman" w:eastAsia="Times New Roman" w:hAnsi="Times New Roman" w:cs="Times New Roman"/>
                <w:i/>
                <w:iCs/>
              </w:rPr>
              <w:t>acces</w:t>
            </w:r>
            <w:proofErr w:type="spellEnd"/>
            <w:r>
              <w:rPr>
                <w:rFonts w:ascii="Times New Roman" w:eastAsia="Times New Roman" w:hAnsi="Times New Roman" w:cs="Times New Roman"/>
                <w:i/>
                <w:iCs/>
              </w:rPr>
              <w:t xml:space="preserve"> în </w:t>
            </w:r>
            <w:proofErr w:type="spellStart"/>
            <w:r>
              <w:rPr>
                <w:rFonts w:ascii="Times New Roman" w:eastAsia="Times New Roman" w:hAnsi="Times New Roman" w:cs="Times New Roman"/>
                <w:i/>
                <w:iCs/>
              </w:rPr>
              <w:t>timpul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executării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sarcinilor</w:t>
            </w:r>
            <w:proofErr w:type="spellEnd"/>
            <w:r>
              <w:rPr>
                <w:rFonts w:ascii="Times New Roman" w:eastAsia="Times New Roman" w:hAnsi="Times New Roman" w:cs="Times New Roman"/>
                <w:i/>
                <w:iCs/>
              </w:rPr>
              <w:t xml:space="preserve"> sale de </w:t>
            </w:r>
            <w:proofErr w:type="spellStart"/>
            <w:r>
              <w:rPr>
                <w:rFonts w:ascii="Times New Roman" w:eastAsia="Times New Roman" w:hAnsi="Times New Roman" w:cs="Times New Roman"/>
                <w:i/>
                <w:iCs/>
              </w:rPr>
              <w:t>lucru</w:t>
            </w:r>
            <w:proofErr w:type="spellEnd"/>
            <w:r>
              <w:rPr>
                <w:rFonts w:ascii="Times New Roman" w:eastAsia="Times New Roman" w:hAnsi="Times New Roman" w:cs="Times New Roman"/>
                <w:i/>
                <w:iCs/>
              </w:rPr>
              <w:t>.”</w:t>
            </w:r>
          </w:p>
          <w:p w14:paraId="7C7857B5" w14:textId="77777777" w:rsidR="004E1CB1" w:rsidRDefault="004E1CB1">
            <w:pPr>
              <w:keepLines/>
              <w:spacing w:line="240" w:lineRule="auto"/>
              <w:jc w:val="both"/>
              <w:rPr>
                <w:rFonts w:ascii="Times New Roman" w:eastAsia="Times New Roman" w:hAnsi="Times New Roman" w:cs="Times New Roman"/>
                <w:i/>
                <w:iCs/>
              </w:rPr>
            </w:pPr>
          </w:p>
          <w:p w14:paraId="2FC9C8A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De asemenea, potrivit Corigendum-ului ”locul de muncă” a fost înlocuit cu ”încăperi” în unele prevederi ale directivei.</w:t>
            </w:r>
          </w:p>
          <w:p w14:paraId="6B242328"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Prin urmare atât Tabelul de concordanță cât și Tabelul comparativ au fost întocmite corespunzător acestor corectări. </w:t>
            </w:r>
          </w:p>
          <w:p w14:paraId="6465A9F8" w14:textId="77777777" w:rsidR="004E1CB1" w:rsidRPr="007C4927" w:rsidRDefault="004E1CB1">
            <w:pPr>
              <w:keepLines/>
              <w:spacing w:line="240" w:lineRule="auto"/>
              <w:jc w:val="both"/>
              <w:rPr>
                <w:rFonts w:ascii="Times New Roman" w:eastAsia="Times New Roman" w:hAnsi="Times New Roman" w:cs="Times New Roman"/>
                <w:lang w:val="pt-BR"/>
              </w:rPr>
            </w:pPr>
          </w:p>
          <w:p w14:paraId="2B36736D"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propunerea privind excluderea din proiect a subpct. 1.2, 2.3 și 3.3, care stabilesc obligația de a comunica textele HG respective Comisiei Europene în modul stabilit de Guvern.</w:t>
            </w:r>
          </w:p>
        </w:tc>
      </w:tr>
      <w:tr w:rsidR="004E1CB1" w14:paraId="4D26519C"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2D84C38"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F0DCA8"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94DEA7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2. </w:t>
            </w:r>
            <w:r w:rsidRPr="007C4927">
              <w:rPr>
                <w:rFonts w:ascii="Times New Roman" w:eastAsia="Times New Roman" w:hAnsi="Times New Roman" w:cs="Times New Roman"/>
                <w:b/>
                <w:bCs/>
                <w:lang w:val="pt-BR"/>
              </w:rPr>
              <w:t>Directiva 92/58/CEE</w:t>
            </w:r>
            <w:r w:rsidRPr="007C4927">
              <w:rPr>
                <w:rFonts w:ascii="Times New Roman" w:eastAsia="Times New Roman" w:hAnsi="Times New Roman" w:cs="Times New Roman"/>
                <w:lang w:val="pt-BR"/>
              </w:rPr>
              <w:t xml:space="preserve"> urmărește să asigure o semnalizare uniformă și clară a riscurilor la locul de muncă pentru protecția sănătății și securității lucrătorilor.</w:t>
            </w:r>
          </w:p>
          <w:p w14:paraId="6D29352A"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a) Măsuri naționale de transpunere existente a Directivei 92/58/CEE</w:t>
            </w:r>
          </w:p>
          <w:p w14:paraId="60E98D3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Evaluând gradul de realizare a angajamentelor de transpunere și implementare a Directivei 92/58/CEE, menționăm că, până la etapa actuală, aceasta a constituit obiect al transpunerii prin Hotărârea de Guvern nr. 918/2013 cu privire la cerințele minime pentru semnalizarea de securitate și sănătate la locul de muncă.</w:t>
            </w:r>
          </w:p>
          <w:p w14:paraId="7ADB1B5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b) Analiza comparativă a transpunerii dispozițiilor Directivei 92/58/CEE</w:t>
            </w:r>
          </w:p>
          <w:p w14:paraId="42B3F64D"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ceea ce privește transpunerea Directivei 92/58/CEE, apreciem că proiectul național asigură transpunerea art. 8, pct. 12 din Anexa I și pct. 1 din Anexa III din actul UE, conform celor constatate infra.</w:t>
            </w:r>
          </w:p>
          <w:p w14:paraId="0CFCB5D4"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Modificările propuse la pct. 2.2 din proiectul național, prin care se substituie termenul „substanțe sau preparate periculoase” cu „substanțe sau amestecuri periculoase” sunt în acord cu terminologia utilizată de actul UE.</w:t>
            </w:r>
          </w:p>
          <w:p w14:paraId="55D82EED"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Pct. 2.4.2 din proiectul național, prin care se reglementează pictograma de pericol, este în acord cu pct. 12 din Anexa I din actul UE, iar pct. 2.5.1 din proiectul național, cu privire la containerele utilizate la locul de muncă pentru substanțe sau amestecuri chimice, este în acord cu pct. 1 par. 1 din Anexa III din actul UE.</w:t>
            </w:r>
          </w:p>
          <w:p w14:paraId="618D1AA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Pct. 2.5.2 din proiectul național, ce reglementează panoul de avertizare, este în acord cu par. 2 de la prima liniuță din par. 3 pct. 1 din Anexa III din actul UE.</w:t>
            </w:r>
          </w:p>
          <w:p w14:paraId="7D456437" w14:textId="77777777" w:rsidR="004E1CB1" w:rsidRPr="007C4927" w:rsidRDefault="004E1CB1">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A229E78"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14:paraId="4E250ADA"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215BCB7"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F599AA"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714D8C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3. </w:t>
            </w:r>
            <w:r w:rsidRPr="007C4927">
              <w:rPr>
                <w:rFonts w:ascii="Times New Roman" w:eastAsia="Times New Roman" w:hAnsi="Times New Roman" w:cs="Times New Roman"/>
                <w:b/>
                <w:bCs/>
                <w:lang w:val="pt-BR"/>
              </w:rPr>
              <w:t>Directiva 90/270/CEE</w:t>
            </w:r>
            <w:r w:rsidRPr="007C4927">
              <w:rPr>
                <w:rFonts w:ascii="Times New Roman" w:eastAsia="Times New Roman" w:hAnsi="Times New Roman" w:cs="Times New Roman"/>
                <w:lang w:val="pt-BR"/>
              </w:rPr>
              <w:t xml:space="preserve"> urmărește să stabilească cerințe minime de securitate și sănătate pentru lucrul la echipamente cu ecran de vizualizare pentru a preveni riscurile legate de oboseala vizuală, problemele musculare și stresul fizic sau mental ale lucrătorilor.</w:t>
            </w:r>
          </w:p>
          <w:p w14:paraId="35CD828B"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a) Măsuri naționale de transpunere existente a Directivei 90/270/CEE</w:t>
            </w:r>
          </w:p>
          <w:p w14:paraId="2815DB1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Evaluând gradul de realizare a angajamentelor de transpunere și implementare a Directivei 90/270/CEE, menționăm că, până la etapa actuală, aceasta a constituit obiect al transpunerii prin Hotărârea de Guvern nr. 819/2016 privind cerințele minime de securitate şi sănătate în muncă pentru lucrul la monitor.</w:t>
            </w:r>
          </w:p>
          <w:p w14:paraId="698233CD"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b) Analiza comparativă a transpunerii dispozițiilor Directivei 90/270/CEE</w:t>
            </w:r>
          </w:p>
          <w:p w14:paraId="430A3FC0" w14:textId="77777777" w:rsidR="004E1CB1" w:rsidRDefault="00000000">
            <w:pPr>
              <w:keepLines/>
              <w:spacing w:line="240" w:lineRule="auto"/>
              <w:jc w:val="both"/>
              <w:rPr>
                <w:rFonts w:ascii="Times New Roman" w:eastAsia="Times New Roman" w:hAnsi="Times New Roman" w:cs="Times New Roman"/>
              </w:rPr>
            </w:pPr>
            <w:r w:rsidRPr="007C4927">
              <w:rPr>
                <w:rFonts w:ascii="Times New Roman" w:eastAsia="Times New Roman" w:hAnsi="Times New Roman" w:cs="Times New Roman"/>
                <w:lang w:val="pt-BR"/>
              </w:rPr>
              <w:t xml:space="preserve">În ceea ce privește transpunerea Directivei 89/654/CEE, apreciem că proiectul național asigură transpunerea art. 1 alin. </w:t>
            </w:r>
            <w:r>
              <w:rPr>
                <w:rFonts w:ascii="Times New Roman" w:eastAsia="Times New Roman" w:hAnsi="Times New Roman" w:cs="Times New Roman"/>
              </w:rPr>
              <w:t xml:space="preserve">(3) lit. (f)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pct. 2 lit. (c) din </w:t>
            </w:r>
            <w:proofErr w:type="spellStart"/>
            <w:r>
              <w:rPr>
                <w:rFonts w:ascii="Times New Roman" w:eastAsia="Times New Roman" w:hAnsi="Times New Roman" w:cs="Times New Roman"/>
              </w:rPr>
              <w:t>Anexa</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 conform </w:t>
            </w:r>
            <w:proofErr w:type="spellStart"/>
            <w:r>
              <w:rPr>
                <w:rFonts w:ascii="Times New Roman" w:eastAsia="Times New Roman" w:hAnsi="Times New Roman" w:cs="Times New Roman"/>
              </w:rPr>
              <w:t>celor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constatate</w:t>
            </w:r>
            <w:proofErr w:type="spellEnd"/>
            <w:r>
              <w:rPr>
                <w:rFonts w:ascii="Times New Roman" w:eastAsia="Times New Roman" w:hAnsi="Times New Roman" w:cs="Times New Roman"/>
              </w:rPr>
              <w:t xml:space="preserve"> infra.</w:t>
            </w:r>
          </w:p>
          <w:p w14:paraId="7B3C8163"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Pct. 3.2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care se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mașinile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scris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art. 1 (3) pct. f) din </w:t>
            </w:r>
            <w:proofErr w:type="spellStart"/>
            <w:r>
              <w:rPr>
                <w:rFonts w:ascii="Times New Roman" w:eastAsia="Times New Roman" w:hAnsi="Times New Roman" w:cs="Times New Roman"/>
              </w:rPr>
              <w:t>actul</w:t>
            </w:r>
            <w:proofErr w:type="spellEnd"/>
            <w:r>
              <w:rPr>
                <w:rFonts w:ascii="Times New Roman" w:eastAsia="Times New Roman" w:hAnsi="Times New Roman" w:cs="Times New Roman"/>
              </w:rPr>
              <w:t xml:space="preserve"> UE.</w:t>
            </w:r>
          </w:p>
          <w:p w14:paraId="5B3CAE98"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Pct. 3.4 din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național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care</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reglementează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reflexiile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strălucirea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acord</w:t>
            </w:r>
            <w:proofErr w:type="spellEnd"/>
            <w:r>
              <w:rPr>
                <w:rFonts w:ascii="Times New Roman" w:eastAsia="Times New Roman" w:hAnsi="Times New Roman" w:cs="Times New Roman"/>
              </w:rPr>
              <w:t xml:space="preserve"> cu lit. c) din pct. 2 din </w:t>
            </w:r>
            <w:proofErr w:type="spellStart"/>
            <w:r>
              <w:rPr>
                <w:rFonts w:ascii="Times New Roman" w:eastAsia="Times New Roman" w:hAnsi="Times New Roman" w:cs="Times New Roman"/>
              </w:rPr>
              <w:t>Anexa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UE.</w:t>
            </w:r>
          </w:p>
          <w:p w14:paraId="4202F255" w14:textId="77777777" w:rsidR="004E1CB1" w:rsidRDefault="004E1CB1">
            <w:pPr>
              <w:keepLines/>
              <w:spacing w:line="240" w:lineRule="auto"/>
              <w:jc w:val="both"/>
              <w:rPr>
                <w:rFonts w:ascii="Times New Roman" w:eastAsia="Times New Roman" w:hAnsi="Times New Roman" w:cs="Times New Roman"/>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177D0D"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rsidRPr="007C4927" w14:paraId="542B3D1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E1E30B2"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73F2542"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8533E8"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III. Respectarea mecanismului de armonizare</w:t>
            </w:r>
          </w:p>
          <w:p w14:paraId="1D2550CE"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a) Obiecții privind clauza de armonizare</w:t>
            </w:r>
          </w:p>
          <w:p w14:paraId="3B99BCB0"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Potrivit cerințelor art. 31, alin. (2) și art. 44 din Legea 100/2017 cu privire la actele normative și pct. 34 din Regulamentul privind armonizarea legislației Republicii Moldova cu legislația Uniunii Europene, aprobat prin Hotărârea de Guvern nr. 1171/2018, proiectul național urmează să fie completat cu o clauză de armonizare, care se va include după preambulul și clauza de adoptare a proiectului de act normativ, expusă în următoarea redacție: </w:t>
            </w:r>
          </w:p>
          <w:p w14:paraId="13E87B37"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lastRenderedPageBreak/>
              <w:t>„Prezenta Hotărâre: - transpune pct. 16, subpct. 16.4 din Anexa I la Directiva 89/654/CEE a Consiliului din 30 noiembrie 1989 privind cerințele minime de securitate și sănătate la locul de muncă [prima directivă specială în sensul articolului 16 alineatul (1) din Directiva 89/391/CEE], CELEX: 31989L0654, publicată în Jurnalul Oficial al UE L 393 din 30 decembrie 1989, astfel cum a fost modificată ultima oară prin Regulamentul (UE) 2019/1243 al Parlamentului European și al Consiliului din 20 iunie 2019; - transpune art. 8; pct. 12 din Anexa I și pct. 1 din Anexa III la Directiva 92/58/CEE a Consiliului din 24 iunie 1992 privind cerințele minime pentru semnalizarea de securitate și sănătate la locul de muncă [a noua directivă specială în sensul articolului 16 alineatul (1) din Directiva 89/391/CEE], CELEX: 31992L0058, publicată în Jurnalul Oficial al UE L 245 din 26 august 1992, astfel cum a fost modificată ultima oară prin Regulamentul (UE) 2019/1243 al Parlamentului European și al Consiliului din 20 iunie 2019; - transpune art. 1 (3) lit. (f) și pct. 2 lit. (c) din Anexa la Directiva 90/270/CEE a Consiliului din 29 mai 1990 privind condițiile minime de securitate și sănătate pentru lucrul la monitor [a cincea directivă individuală în sensul articolului 16 alineatul (1) din Directiva 87/391/CEE], CELEX: 31990L0270, publicată în Jurnalul Oficial al UE L 156 din 21 iunie 1990, astfel cum a fost modificată ultima oară prin Regulamentul (UE) 2019/1243 al Parlamentului European și al Consiliului din 20 iunie 2019”.</w:t>
            </w:r>
          </w:p>
          <w:p w14:paraId="58CBA73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Potrivit cerințelor art. 44 din Legea 100/2017 cu privire la actele normative, clauzele de armonizare existente, urmează a fi expuse în următoarea redacție:</w:t>
            </w:r>
          </w:p>
          <w:p w14:paraId="17DA2E8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 xml:space="preserve">1. Pentru HG nr. 353/2010: </w:t>
            </w:r>
            <w:r w:rsidRPr="007C4927">
              <w:rPr>
                <w:rFonts w:ascii="Times New Roman" w:eastAsia="Times New Roman" w:hAnsi="Times New Roman" w:cs="Times New Roman"/>
                <w:b/>
                <w:bCs/>
                <w:lang w:val="pt-BR"/>
              </w:rPr>
              <w:t>„Prezenta Hotărâre transpune Directiva 89/654/CEE a Consiliului din 30 noiembrie 1989 privind cerințele minime de securitate și sănătate la locul de muncă [prima directivă specială în sensul articolului 16 alineatul (1) din Directiva 89/391/CEE], CELEX: 31989L0654, publicată în Jurnalul Oficial al UE L 393 din 30 decembrie 1989, astfel cum a fost modificată ultima oară prin Regulamentul (UE) 2019/1243 al Parlamentului European și al Consiliului din 20 iunie 2019”;</w:t>
            </w:r>
            <w:r w:rsidRPr="007C4927">
              <w:rPr>
                <w:rFonts w:ascii="Times New Roman" w:eastAsia="Times New Roman" w:hAnsi="Times New Roman" w:cs="Times New Roman"/>
                <w:lang w:val="pt-BR"/>
              </w:rPr>
              <w:t xml:space="preserve"> </w:t>
            </w:r>
          </w:p>
          <w:p w14:paraId="283823E6"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2. Pentru HG nr. 918/2013: </w:t>
            </w:r>
            <w:r w:rsidRPr="007C4927">
              <w:rPr>
                <w:rFonts w:ascii="Times New Roman" w:eastAsia="Times New Roman" w:hAnsi="Times New Roman" w:cs="Times New Roman"/>
                <w:b/>
                <w:bCs/>
                <w:lang w:val="pt-BR"/>
              </w:rPr>
              <w:t>„Prezenta Hotărâre transpune Directiva 92/58/CEE a Consiliului din 24 iunie 1992 privind cerințele minime pentru semnalizarea de securitate și sănătate la locul de muncă [a noua directivă specială în sensul articolului 16 alineatul (1) din Directiva 89/391/CEE], CELEX: 31992L0058, publicată în Jurnalul Oficial al UE L 245 din 26 august 1992, astfel cum a fost modificată ultima oară prin Regulamentul (UE) 2019/1243 al Parlamentului European și al Consiliului din 20 iunie 2019”;</w:t>
            </w:r>
            <w:r w:rsidRPr="007C4927">
              <w:rPr>
                <w:rFonts w:ascii="Times New Roman" w:eastAsia="Times New Roman" w:hAnsi="Times New Roman" w:cs="Times New Roman"/>
                <w:lang w:val="pt-BR"/>
              </w:rPr>
              <w:t xml:space="preserve"> </w:t>
            </w:r>
          </w:p>
          <w:p w14:paraId="0CC5F82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3. Pentru HG nr. 819/2016: </w:t>
            </w:r>
            <w:r w:rsidRPr="007C4927">
              <w:rPr>
                <w:rFonts w:ascii="Times New Roman" w:eastAsia="Times New Roman" w:hAnsi="Times New Roman" w:cs="Times New Roman"/>
                <w:b/>
                <w:bCs/>
                <w:lang w:val="pt-BR"/>
              </w:rPr>
              <w:t>„Prezenta Hotărâre transpune Directiva 90/270/CEE a Consiliului din 29 mai 1990 privind condițiile minime de securitate și sănătate pentru lucrul la monitor [a cincea directivă individuală în sensul articolului 16 alineatul (1) din Directiva 87/391/CEE], CELEX: 31990L0270, publicată în Jurnalul Oficial al UE L 156 din 21 iunie 1990, astfel cum a fost modificată ultima oară prin Regulamentul (UE) 2019/1243 al Parlamentului European și al Consiliului din 20 iunie 2019”</w:t>
            </w:r>
            <w:r w:rsidRPr="007C4927">
              <w:rPr>
                <w:rFonts w:ascii="Times New Roman" w:eastAsia="Times New Roman" w:hAnsi="Times New Roman" w:cs="Times New Roman"/>
                <w:lang w:val="pt-BR"/>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CD186E"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w:t>
            </w:r>
          </w:p>
          <w:p w14:paraId="542EF2E6" w14:textId="77777777" w:rsidR="004E1CB1" w:rsidRPr="007C4927" w:rsidRDefault="00000000">
            <w:pPr>
              <w:keepLines/>
              <w:spacing w:line="240" w:lineRule="auto"/>
              <w:rPr>
                <w:rFonts w:ascii="Times New Roman" w:eastAsia="Times New Roman" w:hAnsi="Times New Roman" w:cs="Times New Roman"/>
                <w:b/>
                <w:bCs/>
                <w:lang w:val="pt-BR"/>
              </w:rPr>
            </w:pPr>
            <w:r w:rsidRPr="007C4927">
              <w:rPr>
                <w:rFonts w:ascii="Times New Roman" w:eastAsia="Times New Roman" w:hAnsi="Times New Roman" w:cs="Times New Roman"/>
                <w:lang w:val="pt-BR"/>
              </w:rPr>
              <w:t xml:space="preserve">Suplimentar, clauza de armonizare cu Directiva </w:t>
            </w:r>
            <w:r w:rsidRPr="007C4927">
              <w:rPr>
                <w:rFonts w:ascii="Times New Roman" w:eastAsia="Times New Roman" w:hAnsi="Times New Roman" w:cs="Times New Roman"/>
                <w:b/>
                <w:bCs/>
                <w:lang w:val="pt-BR"/>
              </w:rPr>
              <w:t>89/654/CEE a fost completată suplimentar după cum urmează:</w:t>
            </w:r>
          </w:p>
          <w:p w14:paraId="28295193" w14:textId="77777777" w:rsidR="004E1CB1" w:rsidRPr="007C4927" w:rsidRDefault="00000000">
            <w:pPr>
              <w:spacing w:line="240" w:lineRule="auto"/>
              <w:jc w:val="both"/>
              <w:rPr>
                <w:rFonts w:ascii="Times New Roman" w:eastAsia="Times New Roman" w:hAnsi="Times New Roman" w:cs="Times New Roman"/>
                <w:b/>
                <w:bCs/>
                <w:lang w:val="pt-BR"/>
              </w:rPr>
            </w:pP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transpune</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parțial</w:t>
            </w:r>
            <w:proofErr w:type="spellEnd"/>
            <w:r>
              <w:rPr>
                <w:rFonts w:ascii="Times New Roman" w:eastAsia="Times New Roman" w:hAnsi="Times New Roman" w:cs="Times New Roman"/>
                <w:b/>
                <w:bCs/>
              </w:rPr>
              <w:t xml:space="preserve"> pct.7, </w:t>
            </w:r>
            <w:proofErr w:type="spellStart"/>
            <w:r>
              <w:rPr>
                <w:rFonts w:ascii="Times New Roman" w:eastAsia="Times New Roman" w:hAnsi="Times New Roman" w:cs="Times New Roman"/>
                <w:b/>
                <w:bCs/>
              </w:rPr>
              <w:t>sbpct</w:t>
            </w:r>
            <w:proofErr w:type="spellEnd"/>
            <w:r>
              <w:rPr>
                <w:rFonts w:ascii="Times New Roman" w:eastAsia="Times New Roman" w:hAnsi="Times New Roman" w:cs="Times New Roman"/>
                <w:b/>
                <w:bCs/>
              </w:rPr>
              <w:t xml:space="preserve">. 7.1., pct.8, sbpct. 8.2., pct. 9, sbpct. 9.1., 9.3., pct. 15, sbpct. 15.2., </w:t>
            </w:r>
            <w:proofErr w:type="spellStart"/>
            <w:r>
              <w:rPr>
                <w:rFonts w:ascii="Times New Roman" w:eastAsia="Times New Roman" w:hAnsi="Times New Roman" w:cs="Times New Roman"/>
                <w:b/>
                <w:bCs/>
              </w:rPr>
              <w:t>transpune</w:t>
            </w:r>
            <w:proofErr w:type="spellEnd"/>
            <w:r>
              <w:rPr>
                <w:rFonts w:ascii="Times New Roman" w:eastAsia="Times New Roman" w:hAnsi="Times New Roman" w:cs="Times New Roman"/>
                <w:b/>
                <w:bCs/>
              </w:rPr>
              <w:t xml:space="preserve"> total pct. 16, subpct. </w:t>
            </w:r>
            <w:r w:rsidRPr="007C4927">
              <w:rPr>
                <w:rFonts w:ascii="Times New Roman" w:eastAsia="Times New Roman" w:hAnsi="Times New Roman" w:cs="Times New Roman"/>
                <w:b/>
                <w:bCs/>
                <w:lang w:val="pt-BR"/>
              </w:rPr>
              <w:t>16.4 din Anexa I și transpune parțial pct.7, sbpct. 7.1., din Anexa II la Directiva 89/654/CEE a Consiliului din 30 noiembrie 1989 privind cerințele minime de securitate și sănătate la locul de muncă [prima directivă specială în sensul articolului 16 alineatul (1) din Directiva 89/391/CEE], CELEX: 31989L0654, publicată în Jurnalul Oficial al UE L 393 din 30 decembrie 1989, astfel cum a fost modificată prin Corrigendumul din 09.08.1990 (Jurnalul Oficial L 211, 09/08/1990 P. 0015 - 0015) și ultima oară prin Regulamentul (UE) 2019/1243 al Parlamentului European și al Consiliului din 20 iunie 2019;”</w:t>
            </w:r>
          </w:p>
        </w:tc>
      </w:tr>
      <w:tr w:rsidR="004E1CB1" w14:paraId="262323F4"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9D32FD0"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5DE0897"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1FC7461"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b) Obiecții privind tabelele de concordanță</w:t>
            </w:r>
          </w:p>
          <w:p w14:paraId="0D0979D2"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lang w:val="pt-BR"/>
              </w:rPr>
              <w:lastRenderedPageBreak/>
              <w:t>Potrivit pct. 1 din Anexa nr. 2 din HG nr. 1171/2018, în tabelele de concordanță, la compartimentul 1 urmează a fi indicat tipul, numărul, instituția/instituțiile care l-a/l-au adoptat, data, titlul actului juridic european, nr. CELEX, i</w:t>
            </w:r>
            <w:r w:rsidRPr="007C4927">
              <w:rPr>
                <w:rFonts w:ascii="Times New Roman" w:eastAsia="Times New Roman" w:hAnsi="Times New Roman" w:cs="Times New Roman"/>
                <w:b/>
                <w:bCs/>
                <w:lang w:val="pt-BR"/>
              </w:rPr>
              <w:t>nclusiv, cea mai recentă modificare a actului care constituie obiect al transpunerii, prin precizarea tipului, a numărului și a datei de adoptare a actului juridic european de modificare.</w:t>
            </w:r>
          </w:p>
          <w:p w14:paraId="3F9312D4"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Astfel, compartimentul 1 din tabelul de concordanță a:</w:t>
            </w:r>
          </w:p>
          <w:p w14:paraId="084628EF"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Directivei 89/654/CEE va avea următoarea redacție: „Directiva 89/654/CEE a Consiliului din 30 noiembrie 1989 privind cerințele minime de securitate și sănătate la locul de muncă [prima directivă specială în sensul articolului 16 alineatul (1) din Directiva 89/391/CEE], CELEX: 31989L0654, publicată în Jurnalul Oficial al UE L 393 din 30 decembrie 1989, astfel cum a fost modificată ultima oară prin Regulamentul (UE) 2019/1243 al Parlamentului European și al Consiliului din 20 iunie 2019”;</w:t>
            </w:r>
          </w:p>
          <w:p w14:paraId="069D0B1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Directivei 92/58/CEE va avea următoarea redacție: „Directiva 92/58/CEE a Consiliului din 24 iunie 1992 privind cerințele minime pentru semnalizarea de securitate și sănătate la locul de muncă [a noua directivă specială în sensul articolului 16 alineatul (1) din Directiva 89/391/CEE], CELEX: 31992L0058, publicată în Jurnalul Oficial al UE L 245 din 26 august 1992, astfel cum a fost modificată ultima oară prin Regulamentul (UE) 2019/1243 al Parlamentului European și al Consiliului din 20 iunie 2019”;</w:t>
            </w:r>
          </w:p>
          <w:p w14:paraId="51BFB9B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Directivei 90/270/CEE va avea următoarea redacție: „Directiva 90/270/CEE a Consiliului din 29 mai 1990 privind condițiile minime de securitate și sănătate pentru lucrul la monitor [a cincea directivă individuală în sensul articolului 16 alineatul (1) din Directiva 87/391/CEE], CELEX: 31990L0270, publicată în Jurnalul Oficial al UE L 156 din 21 iunie 1990, astfel cum a fost modificată ultima oară prin Regulamentul (UE) 2019/1243 al Parlamentului European și al Consiliului din 20 iunie 2019”.</w:t>
            </w:r>
          </w:p>
          <w:p w14:paraId="43447015" w14:textId="77777777" w:rsidR="004E1CB1" w:rsidRPr="007C4927" w:rsidRDefault="004E1CB1">
            <w:pPr>
              <w:keepLines/>
              <w:spacing w:line="240" w:lineRule="auto"/>
              <w:jc w:val="both"/>
              <w:rPr>
                <w:rFonts w:ascii="Times New Roman" w:eastAsia="Times New Roman" w:hAnsi="Times New Roman" w:cs="Times New Roman"/>
                <w:b/>
                <w:bCs/>
                <w:lang w:val="pt-BR"/>
              </w:rPr>
            </w:pPr>
          </w:p>
          <w:p w14:paraId="338C9DDC"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lastRenderedPageBreak/>
              <w:t>c) Observații privind Nota de fundamentare</w:t>
            </w:r>
          </w:p>
          <w:p w14:paraId="3490DEA8" w14:textId="77777777" w:rsidR="004E1CB1"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Compartimentul</w:t>
            </w:r>
            <w:proofErr w:type="spellEnd"/>
            <w:r>
              <w:rPr>
                <w:rFonts w:ascii="Times New Roman" w:eastAsia="Times New Roman" w:hAnsi="Times New Roman" w:cs="Times New Roman"/>
              </w:rPr>
              <w:t xml:space="preserve"> 5 din Nota de </w:t>
            </w:r>
            <w:proofErr w:type="spellStart"/>
            <w:r>
              <w:rPr>
                <w:rFonts w:ascii="Times New Roman" w:eastAsia="Times New Roman" w:hAnsi="Times New Roman" w:cs="Times New Roman"/>
              </w:rPr>
              <w:t>fundamentare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urmează</w:t>
            </w:r>
            <w:proofErr w:type="spellEnd"/>
            <w:r>
              <w:rPr>
                <w:rFonts w:ascii="Times New Roman" w:eastAsia="Times New Roman" w:hAnsi="Times New Roman" w:cs="Times New Roman"/>
              </w:rPr>
              <w:t xml:space="preserve"> a fi </w:t>
            </w:r>
            <w:proofErr w:type="spellStart"/>
            <w:r>
              <w:rPr>
                <w:rFonts w:ascii="Times New Roman" w:eastAsia="Times New Roman" w:hAnsi="Times New Roman" w:cs="Times New Roman"/>
              </w:rPr>
              <w:t>completat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cerințelor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prevăzute</w:t>
            </w:r>
            <w:proofErr w:type="spellEnd"/>
            <w:r>
              <w:rPr>
                <w:rFonts w:ascii="Times New Roman" w:eastAsia="Times New Roman" w:hAnsi="Times New Roman" w:cs="Times New Roman"/>
              </w:rPr>
              <w:t xml:space="preserve"> la pct. 5 din </w:t>
            </w:r>
            <w:proofErr w:type="spellStart"/>
            <w:r>
              <w:rPr>
                <w:rFonts w:ascii="Times New Roman" w:eastAsia="Times New Roman" w:hAnsi="Times New Roman" w:cs="Times New Roman"/>
              </w:rPr>
              <w:t>Anexa</w:t>
            </w:r>
            <w:proofErr w:type="spellEnd"/>
            <w:r>
              <w:rPr>
                <w:rFonts w:ascii="Times New Roman" w:eastAsia="Times New Roman" w:hAnsi="Times New Roman" w:cs="Times New Roman"/>
              </w:rPr>
              <w:t xml:space="preserve"> 1 din Legea 100/2017.</w:t>
            </w:r>
          </w:p>
          <w:p w14:paraId="34BAB5CA" w14:textId="77777777" w:rsidR="004E1CB1" w:rsidRDefault="004E1CB1">
            <w:pPr>
              <w:keepLines/>
              <w:spacing w:line="240" w:lineRule="auto"/>
              <w:jc w:val="both"/>
              <w:rPr>
                <w:rFonts w:ascii="Times New Roman" w:eastAsia="Times New Roman" w:hAnsi="Times New Roman" w:cs="Times New Roman"/>
                <w:b/>
                <w:bCs/>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DCC94A"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Se </w:t>
            </w:r>
            <w:proofErr w:type="spellStart"/>
            <w:r>
              <w:rPr>
                <w:rFonts w:ascii="Times New Roman" w:eastAsia="Times New Roman" w:hAnsi="Times New Roman" w:cs="Times New Roman"/>
              </w:rPr>
              <w:t>acceptă</w:t>
            </w:r>
            <w:proofErr w:type="spellEnd"/>
          </w:p>
        </w:tc>
      </w:tr>
      <w:tr w:rsidR="004E1CB1" w14:paraId="2AEA3223"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D271C16"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06D46AB"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B3CDD53" w14:textId="77777777" w:rsidR="004E1CB1" w:rsidRPr="007C4927" w:rsidRDefault="00000000">
            <w:pPr>
              <w:keepLines/>
              <w:spacing w:line="240" w:lineRule="auto"/>
              <w:jc w:val="both"/>
              <w:rPr>
                <w:rFonts w:ascii="Times New Roman" w:eastAsia="Times New Roman" w:hAnsi="Times New Roman" w:cs="Times New Roman"/>
                <w:b/>
                <w:bCs/>
                <w:lang w:val="pt-BR"/>
              </w:rPr>
            </w:pPr>
            <w:r w:rsidRPr="007C4927">
              <w:rPr>
                <w:rFonts w:ascii="Times New Roman" w:eastAsia="Times New Roman" w:hAnsi="Times New Roman" w:cs="Times New Roman"/>
                <w:lang w:val="pt-BR"/>
              </w:rPr>
              <w:t>I</w:t>
            </w:r>
            <w:r w:rsidRPr="007C4927">
              <w:rPr>
                <w:rFonts w:ascii="Times New Roman" w:eastAsia="Times New Roman" w:hAnsi="Times New Roman" w:cs="Times New Roman"/>
                <w:b/>
                <w:bCs/>
                <w:lang w:val="pt-BR"/>
              </w:rPr>
              <w:t>V. Concluzii</w:t>
            </w:r>
          </w:p>
          <w:p w14:paraId="39036C6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Ca urmare a expertizei de compatibilitate realizate, se va asigura revizuirea proiectului și documentelor anexate prin prisma obiecțiilor și propunerilor enunțate în prezenta Declarație de compatibilitate.</w:t>
            </w:r>
          </w:p>
          <w:p w14:paraId="53628E8C" w14:textId="77777777" w:rsidR="004E1CB1" w:rsidRPr="007C4927" w:rsidRDefault="00000000">
            <w:pPr>
              <w:keepLines/>
              <w:spacing w:line="240" w:lineRule="auto"/>
              <w:jc w:val="both"/>
              <w:rPr>
                <w:rFonts w:ascii="Times New Roman" w:eastAsia="Times New Roman" w:hAnsi="Times New Roman" w:cs="Times New Roman"/>
                <w:i/>
                <w:iCs/>
                <w:lang w:val="pt-BR"/>
              </w:rPr>
            </w:pPr>
            <w:r w:rsidRPr="007C4927">
              <w:rPr>
                <w:rFonts w:ascii="Times New Roman" w:eastAsia="Times New Roman" w:hAnsi="Times New Roman" w:cs="Times New Roman"/>
                <w:i/>
                <w:iCs/>
                <w:lang w:val="pt-BR"/>
              </w:rPr>
              <w:t>Facem mențiunea că analiza Centrului de armonizare a legislației nu are în vedere elementele de oportunitate ale soluțiilor juridice incluse în proiectul de act normativ, ci se referă strict la conformitatea acestora cu Dreptul UE aplicabil, obligațiile juridice asumate în lumina Acordului de Asociere RM-UE și Cadrului de negociere cu Uniunea Europeană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703769E"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rsidRPr="007C4927" w14:paraId="26FEF894"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5923F07"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88F957"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Ministerul Infrastructurii și Dezvoltării Regionale</w:t>
            </w:r>
          </w:p>
          <w:p w14:paraId="4FD23394"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Nr. 21-5213 din 30.09.2025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E119EB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Din perspectiva cerințelor de tehnică legislativă, înaintăm următoarele recomandări de îmbunătățire a calității proiectului, după cum urmează:</w:t>
            </w:r>
          </w:p>
          <w:p w14:paraId="1502A62E"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1. În clauzele de adoptare ale hotărârilor de Guvern supuse modificării, autorul face trimitere la Legea nr. 136/2017 cu privire la Guvern, care reglementează competența generală de elaborare a proiectelor de acte normative și documente de politici. Se recomandă ca referirea să fie formulată precis, cu indicarea articolelor relevante, în concordanță cu regulile de tehnică legislativă prevăzute de Legea nr. 100/2017 privind actele normative.În acest sens, menționăm că, în conformitate cu art. 16 alin. (2¹) din Legea nr. 100/2017 privind actele normative, temeiul pentru emiterea sau aprobarea actelor normative cu sigla UE îl constituie Legea nr. 112/2014 pentru ratificarea Acordului de Asociere între Republica Moldova, pe de o parte, şi Uniunea Europeană şi Comunitatea Europeană a Energiei Atomice şi statele membre ale acestora, pe de altă parte, precum şi Planul național de acțiuni pentru aderarea Republicii Moldova la Uniunea Europeană, din care derivă obligația de armonizare. Astfel, actele normative ale autorităților administrației publice centrale de specialitate şi ale autorităților publice autonome se vor limita la cadrul juridic necesar implementării legislației UE.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ADE211"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Nu 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w:t>
            </w:r>
          </w:p>
          <w:p w14:paraId="26C67839" w14:textId="77777777" w:rsidR="004E1CB1" w:rsidRPr="007C4927" w:rsidRDefault="00000000">
            <w:pPr>
              <w:keepLines/>
              <w:spacing w:line="240" w:lineRule="auto"/>
              <w:jc w:val="both"/>
              <w:rPr>
                <w:rFonts w:ascii="Times New Roman" w:eastAsia="Times New Roman" w:hAnsi="Times New Roman" w:cs="Times New Roman"/>
                <w:lang w:val="pt-BR"/>
              </w:rPr>
            </w:pPr>
            <w:proofErr w:type="spellStart"/>
            <w:r>
              <w:rPr>
                <w:rFonts w:ascii="Times New Roman" w:eastAsia="Times New Roman" w:hAnsi="Times New Roman" w:cs="Times New Roman"/>
              </w:rPr>
              <w:t>Potrivit</w:t>
            </w:r>
            <w:proofErr w:type="spellEnd"/>
            <w:r>
              <w:rPr>
                <w:rFonts w:ascii="Times New Roman" w:eastAsia="Times New Roman" w:hAnsi="Times New Roman" w:cs="Times New Roman"/>
              </w:rPr>
              <w:t xml:space="preserve"> art. 44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xml:space="preserve">. </w:t>
            </w:r>
            <w:r w:rsidRPr="007C4927">
              <w:rPr>
                <w:rFonts w:ascii="Times New Roman" w:eastAsia="Times New Roman" w:hAnsi="Times New Roman" w:cs="Times New Roman"/>
                <w:lang w:val="pt-BR"/>
              </w:rPr>
              <w:t>(1) din Legea nr. 100/2017, clauza de adoptare a actului normativ poate conţine, după caz, şi temeiul legal de adoptare a actului normativ respectiv. În calitate de temei legal se indică doar prevederile legale ce stabilesc competența autorității să emită actul normativ respectiv, pornind de la limitele de reglementare prevăzute de obiectul juridic al actului normativ. În acest sens, pentru actele normative supuse amendării prin prezentul proiect clauza de adoptare va avea următorul conținut „În temeiul art.6 lit. h) din Legea nr.136/2017 cu privire la Guvern (Monitorul Oficial al Republicii Moldova, 2017, nr.252, art.412), cu modificările ulterioare și în temeiul articolului 6 din Legea securității și sănătății în muncă nr. 186-XVI din 10 iulie 2008 (Monitorul Oficial al Republicii Moldova, 2008, nr. 143-144, art. 587)”  (vezi propunerile din expertiza Ministerului Justiției.</w:t>
            </w:r>
          </w:p>
        </w:tc>
      </w:tr>
      <w:tr w:rsidR="004E1CB1" w:rsidRPr="007C4927" w14:paraId="6EDEB89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E92FF63"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5C4698"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0CEF96"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2. Având în vedere că, potrivit Notei de fundamentare, proiectul face trimitere la mai multe acte UE, fără a le transpune integral, clauzele de armonizare urmează a fi revizuite și corelate cu anexele la Hotărârea Guvernului nr. 1171/2018 pentru aprobarea Regulamentului privind armonizarea legislației Republicii Moldova cu legislația Uniunii Europene, pentru a asigura conformitatea cu cerințele procedurale stabilite prin acel regulament.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503A71"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a proiectului propunerea este reflectată</w:t>
            </w:r>
          </w:p>
        </w:tc>
      </w:tr>
      <w:tr w:rsidR="004E1CB1" w14:paraId="6A59F6B2"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15BA9BB"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48B4BF7" w14:textId="77777777" w:rsidR="004E1CB1" w:rsidRDefault="00000000">
            <w:pPr>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Ministerul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Sănătății</w:t>
            </w:r>
            <w:proofErr w:type="spellEnd"/>
          </w:p>
          <w:p w14:paraId="4EEE2543" w14:textId="77777777" w:rsidR="004E1C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Nr.09/3202</w:t>
            </w:r>
          </w:p>
          <w:p w14:paraId="21184FB6" w14:textId="77777777" w:rsidR="004E1C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din 10.10.2025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B6C0D3" w14:textId="77777777" w:rsidR="004E1CB1"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hotărâre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Guvernului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Guvern</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742/MMPS/2025), </w:t>
            </w:r>
            <w:proofErr w:type="spellStart"/>
            <w:r>
              <w:rPr>
                <w:rFonts w:ascii="Times New Roman" w:eastAsia="Times New Roman" w:hAnsi="Times New Roman" w:cs="Times New Roman"/>
              </w:rPr>
              <w:t>autor</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Ministerul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Muncii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Protecției</w:t>
            </w:r>
            <w:proofErr w:type="spellEnd"/>
            <w:r>
              <w:rPr>
                <w:rFonts w:ascii="Times New Roman" w:eastAsia="Times New Roman" w:hAnsi="Times New Roman" w:cs="Times New Roman"/>
              </w:rPr>
              <w:t xml:space="preserve"> Sociale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conform </w:t>
            </w:r>
            <w:proofErr w:type="spellStart"/>
            <w:r>
              <w:rPr>
                <w:rFonts w:ascii="Times New Roman" w:eastAsia="Times New Roman" w:hAnsi="Times New Roman" w:cs="Times New Roman"/>
              </w:rPr>
              <w:t>competențelor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funcționale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comunică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lipsa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obiecții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w:t>
            </w:r>
            <w:proofErr w:type="spellEnd"/>
            <w:r>
              <w:rPr>
                <w:rFonts w:ascii="Times New Roman" w:eastAsia="Times New Roman" w:hAnsi="Times New Roman" w:cs="Times New Roman"/>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1031F9" w14:textId="77777777" w:rsidR="004E1CB1" w:rsidRDefault="00000000">
            <w:pPr>
              <w:keepLines/>
              <w:spacing w:line="240" w:lineRule="auto"/>
              <w:ind w:left="720" w:hanging="360"/>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ia</w:t>
            </w:r>
            <w:proofErr w:type="spellEnd"/>
            <w:r>
              <w:rPr>
                <w:rFonts w:ascii="Times New Roman" w:eastAsia="Times New Roman" w:hAnsi="Times New Roman" w:cs="Times New Roman"/>
              </w:rPr>
              <w:t xml:space="preserve"> act.</w:t>
            </w:r>
          </w:p>
        </w:tc>
      </w:tr>
      <w:tr w:rsidR="004E1CB1" w:rsidRPr="007C4927" w14:paraId="1FCD4153"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59F152"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7.</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8B846B" w14:textId="77777777" w:rsidR="004E1CB1" w:rsidRDefault="00000000">
            <w:pPr>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Ministerul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Finanțelor</w:t>
            </w:r>
            <w:proofErr w:type="spellEnd"/>
          </w:p>
          <w:p w14:paraId="7C63EE76" w14:textId="77777777" w:rsidR="004E1C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Nr. 07/2-03/180/1464</w:t>
            </w:r>
          </w:p>
          <w:p w14:paraId="20C00CCC" w14:textId="77777777" w:rsidR="004E1C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Din 10.10.2025</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2B79F3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Pct.4.2 ,,Impactul financiar și argumentarea costurilor estimative” din Nota de fundamentare prevede că proiectul nu produce impact financiar sau costuri de implementare asupra sectorului public, cu excepția cazurilor când instituțiile publice care nu au amenajate încăperi speciale de odihnă pentru salariați atunci când programul lor de lucru este întrerupt frecvent și în mod regulat.</w:t>
            </w:r>
          </w:p>
          <w:p w14:paraId="5962CD4D"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Astfel, nu este clar în cazurile în care instituțiile nu dispun de încăperi speciale pentru odihna salariaților, din ce surse vor fi acoperite cheltuielile aferente.</w:t>
            </w:r>
          </w:p>
          <w:p w14:paraId="3E6AED26"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acest sens, Nota de fundamentare urmează să fie completată cu prevederi clare în conformitate cu prevederile articolului 30 al Legii nr.100/2017 cu privire la actele normative, care urmează să descrie impactul financiar al prevederilor proiectului.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18A40C" w14:textId="77777777" w:rsidR="004E1CB1" w:rsidRPr="007C4927" w:rsidRDefault="00000000">
            <w:pPr>
              <w:keepLines/>
              <w:spacing w:line="240" w:lineRule="auto"/>
              <w:ind w:left="141"/>
              <w:jc w:val="both"/>
              <w:rPr>
                <w:rFonts w:ascii="Times New Roman" w:eastAsia="Times New Roman" w:hAnsi="Times New Roman" w:cs="Times New Roman"/>
                <w:i/>
                <w:iCs/>
                <w:lang w:val="pt-BR"/>
              </w:rPr>
            </w:pPr>
            <w:r w:rsidRPr="007C4927">
              <w:rPr>
                <w:rFonts w:ascii="Times New Roman" w:eastAsia="Times New Roman" w:hAnsi="Times New Roman" w:cs="Times New Roman"/>
                <w:lang w:val="pt-BR"/>
              </w:rPr>
              <w:t xml:space="preserve">Hotărârea Guvernului nr. 353/2010 deja prevede obligativitatea amenajării spațiilor de odihnă pentru salariați atunci când programul lor de lucru este întrerupt frecvent și în mod regulat în pct. 66. </w:t>
            </w:r>
            <w:r w:rsidRPr="007C4927">
              <w:rPr>
                <w:rFonts w:ascii="Times New Roman" w:eastAsia="Times New Roman" w:hAnsi="Times New Roman" w:cs="Times New Roman"/>
                <w:i/>
                <w:iCs/>
                <w:lang w:val="pt-BR"/>
              </w:rPr>
              <w:t>”Atunci cînd programul de lucru este întrerupt frecvent şi în mod regulat şi nu există încăperi pentru odihnă, trebuie prevăzute alte încăperi în care lucrătorii să poată sta pe durata acestor întreruperi.”</w:t>
            </w:r>
          </w:p>
          <w:p w14:paraId="775A20A5" w14:textId="77777777" w:rsidR="004E1CB1" w:rsidRPr="007C4927" w:rsidRDefault="004E1CB1">
            <w:pPr>
              <w:keepLines/>
              <w:spacing w:line="240" w:lineRule="auto"/>
              <w:ind w:left="141"/>
              <w:rPr>
                <w:rFonts w:ascii="Times New Roman" w:eastAsia="Times New Roman" w:hAnsi="Times New Roman" w:cs="Times New Roman"/>
                <w:i/>
                <w:iCs/>
                <w:lang w:val="pt-BR"/>
              </w:rPr>
            </w:pPr>
          </w:p>
          <w:p w14:paraId="57A3544C" w14:textId="77777777" w:rsidR="004E1CB1" w:rsidRPr="007C4927" w:rsidRDefault="00000000">
            <w:pPr>
              <w:keepLines/>
              <w:spacing w:line="240" w:lineRule="auto"/>
              <w:ind w:left="141"/>
              <w:rPr>
                <w:rFonts w:ascii="Times New Roman" w:eastAsia="Times New Roman" w:hAnsi="Times New Roman" w:cs="Times New Roman"/>
                <w:lang w:val="pt-BR"/>
              </w:rPr>
            </w:pPr>
            <w:r w:rsidRPr="007C4927">
              <w:rPr>
                <w:rFonts w:ascii="Times New Roman" w:eastAsia="Times New Roman" w:hAnsi="Times New Roman" w:cs="Times New Roman"/>
                <w:i/>
                <w:iCs/>
                <w:lang w:val="pt-BR"/>
              </w:rPr>
              <w:t xml:space="preserve">Proiectul de HG la moment acordă protecție suplimentară pentru nefumători. </w:t>
            </w:r>
            <w:r w:rsidRPr="007C4927">
              <w:rPr>
                <w:rFonts w:ascii="Times New Roman" w:eastAsia="Times New Roman" w:hAnsi="Times New Roman" w:cs="Times New Roman"/>
                <w:lang w:val="pt-BR"/>
              </w:rPr>
              <w:t xml:space="preserve">Conform prevederilor Directivei 89/654/EEC „trebuie adoptate măsuri corespunzătoare pentru protecția nefumatorilor împotriva disconfortului cauzat de fumul de tutun în spațiile de odihnă amenajate pentru salariați atunci cînd programul lor de lucru este întrerupt frecvent şi în mod regulat.” </w:t>
            </w:r>
          </w:p>
          <w:p w14:paraId="2FE5D947" w14:textId="77777777" w:rsidR="004E1CB1" w:rsidRPr="007C4927" w:rsidRDefault="00000000">
            <w:pPr>
              <w:keepLines/>
              <w:spacing w:line="240" w:lineRule="auto"/>
              <w:ind w:left="141"/>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Prin urmare Angajatorii vor trebui sa amenajeze aceste încăperi de odihnă astfel încât să protejeze nefumătorii împotriva disconfortului cauzat de fumul de tutun în conformitate cu prevederile Legii nr. 278/2007 privind controlul tutunului </w:t>
            </w:r>
          </w:p>
        </w:tc>
      </w:tr>
      <w:tr w:rsidR="004E1CB1" w14:paraId="08631103"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04FE066"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3607B54"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Confederația Națională a Patronatului</w:t>
            </w:r>
          </w:p>
          <w:p w14:paraId="176809EE"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din Republica Moldova</w:t>
            </w:r>
          </w:p>
          <w:p w14:paraId="0D519CB9" w14:textId="77777777" w:rsidR="004E1CB1"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Nr. 05/1-61 din 07.10.2025</w:t>
            </w:r>
          </w:p>
          <w:p w14:paraId="0EF60D99" w14:textId="77777777" w:rsidR="004E1CB1" w:rsidRDefault="004E1CB1">
            <w:pPr>
              <w:spacing w:line="240" w:lineRule="auto"/>
              <w:jc w:val="center"/>
              <w:rPr>
                <w:rFonts w:ascii="Times New Roman" w:eastAsia="Times New Roman" w:hAnsi="Times New Roman" w:cs="Times New Roman"/>
                <w:b/>
                <w:bCs/>
                <w:highlight w:val="yellow"/>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0745664" w14:textId="77777777" w:rsidR="004E1CB1" w:rsidRPr="007C4927" w:rsidRDefault="00000000">
            <w:pPr>
              <w:pStyle w:val="1"/>
              <w:keepNext w:val="0"/>
              <w:spacing w:before="0" w:after="100" w:line="240" w:lineRule="auto"/>
              <w:jc w:val="both"/>
              <w:rPr>
                <w:rFonts w:ascii="Times New Roman" w:eastAsia="Times New Roman" w:hAnsi="Times New Roman" w:cs="Times New Roman"/>
                <w:sz w:val="22"/>
                <w:szCs w:val="22"/>
                <w:lang w:val="pt-BR"/>
              </w:rPr>
            </w:pPr>
            <w:bookmarkStart w:id="1" w:name="_8g178wxd3nen" w:colFirst="0" w:colLast="0"/>
            <w:bookmarkEnd w:id="1"/>
            <w:r w:rsidRPr="007C4927">
              <w:rPr>
                <w:rFonts w:ascii="Times New Roman" w:eastAsia="Times New Roman" w:hAnsi="Times New Roman" w:cs="Times New Roman"/>
                <w:sz w:val="22"/>
                <w:szCs w:val="22"/>
                <w:lang w:val="pt-BR"/>
              </w:rPr>
              <w:t>comunică lipsă de obiecții asupra acestuia</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A22E975"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Am </w:t>
            </w:r>
            <w:proofErr w:type="spellStart"/>
            <w:r>
              <w:rPr>
                <w:rFonts w:ascii="Times New Roman" w:eastAsia="Times New Roman" w:hAnsi="Times New Roman" w:cs="Times New Roman"/>
              </w:rPr>
              <w:t>luat</w:t>
            </w:r>
            <w:proofErr w:type="spellEnd"/>
            <w:r>
              <w:rPr>
                <w:rFonts w:ascii="Times New Roman" w:eastAsia="Times New Roman" w:hAnsi="Times New Roman" w:cs="Times New Roman"/>
              </w:rPr>
              <w:t xml:space="preserve"> act</w:t>
            </w:r>
          </w:p>
        </w:tc>
      </w:tr>
      <w:tr w:rsidR="004E1CB1" w14:paraId="4F9C4E63"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B905BF5"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C24A4DD"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Confederația Națională a Sindicatelor  din Moldova</w:t>
            </w:r>
          </w:p>
          <w:p w14:paraId="34D58A7A" w14:textId="77777777" w:rsidR="004E1CB1"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Nr. 05-07/579 din 03.10.2025</w:t>
            </w:r>
          </w:p>
          <w:p w14:paraId="7F2E3C23" w14:textId="77777777" w:rsidR="004E1CB1" w:rsidRDefault="004E1CB1">
            <w:pPr>
              <w:spacing w:line="240" w:lineRule="auto"/>
              <w:jc w:val="center"/>
              <w:rPr>
                <w:rFonts w:ascii="Times New Roman" w:eastAsia="Times New Roman" w:hAnsi="Times New Roman" w:cs="Times New Roman"/>
                <w:b/>
                <w:bCs/>
                <w:highlight w:val="white"/>
              </w:rPr>
            </w:pPr>
          </w:p>
          <w:p w14:paraId="2BC61868" w14:textId="77777777" w:rsidR="004E1CB1" w:rsidRDefault="004E1CB1">
            <w:pPr>
              <w:spacing w:line="240" w:lineRule="auto"/>
              <w:jc w:val="center"/>
              <w:rPr>
                <w:rFonts w:ascii="Times New Roman" w:eastAsia="Times New Roman" w:hAnsi="Times New Roman" w:cs="Times New Roman"/>
                <w:highlight w:val="white"/>
              </w:rPr>
            </w:pPr>
          </w:p>
          <w:p w14:paraId="69A313D6" w14:textId="77777777" w:rsidR="004E1CB1" w:rsidRDefault="004E1CB1">
            <w:pPr>
              <w:spacing w:line="240" w:lineRule="auto"/>
              <w:jc w:val="center"/>
              <w:rPr>
                <w:rFonts w:ascii="Times New Roman" w:eastAsia="Times New Roman" w:hAnsi="Times New Roman" w:cs="Times New Roman"/>
                <w:highlight w:val="white"/>
              </w:rPr>
            </w:pPr>
          </w:p>
          <w:p w14:paraId="303CF294" w14:textId="77777777" w:rsidR="004E1CB1" w:rsidRDefault="004E1CB1">
            <w:pPr>
              <w:spacing w:line="240" w:lineRule="auto"/>
              <w:jc w:val="center"/>
              <w:rPr>
                <w:rFonts w:ascii="Times New Roman" w:eastAsia="Times New Roman" w:hAnsi="Times New Roman" w:cs="Times New Roman"/>
              </w:rPr>
            </w:pPr>
          </w:p>
          <w:p w14:paraId="2D32D894" w14:textId="77777777" w:rsidR="004E1CB1" w:rsidRDefault="004E1CB1">
            <w:pPr>
              <w:spacing w:line="240" w:lineRule="auto"/>
              <w:jc w:val="center"/>
              <w:rPr>
                <w:rFonts w:ascii="Times New Roman" w:eastAsia="Times New Roman" w:hAnsi="Times New Roman" w:cs="Times New Roman"/>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2AB842E" w14:textId="77777777" w:rsidR="004E1CB1" w:rsidRPr="007C4927" w:rsidRDefault="00000000">
            <w:pPr>
              <w:spacing w:line="240" w:lineRule="auto"/>
              <w:ind w:firstLine="566"/>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La pct. 1 cu referire la Hotărârea Guvernului  nr. 353/2010 cu privire la aprobarea cerințelor minime de securitate și sănătate la locul de muncă în punctele 1.3.1. Și 1.3.2., considerăm că nu este oportun de a fi înlocuită noțiunea ”loc de muncă” cu noțiunea ”post de muncă” sau ”încăpere”. În viziunea noastră, ”loc de muncă” semnifică deja un post de lucru sau ansamblul de condiții în care se desfășoară activitatea (de ex. Birou, secție, atelier), iar ”post de lucru” este o unitate organizatorică sau funcțională ocupată de salariat.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FA871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Nu se acceptă.</w:t>
            </w:r>
          </w:p>
          <w:p w14:paraId="1E1D67E8" w14:textId="77777777" w:rsidR="004E1CB1" w:rsidRPr="007C4927" w:rsidRDefault="00000000">
            <w:pPr>
              <w:keepLines/>
              <w:spacing w:line="240" w:lineRule="auto"/>
              <w:jc w:val="both"/>
              <w:rPr>
                <w:rFonts w:ascii="Times New Roman" w:eastAsia="Times New Roman" w:hAnsi="Times New Roman" w:cs="Times New Roman"/>
                <w:highlight w:val="white"/>
                <w:lang w:val="pt-BR"/>
              </w:rPr>
            </w:pPr>
            <w:r w:rsidRPr="007C4927">
              <w:rPr>
                <w:rFonts w:ascii="Times New Roman" w:eastAsia="Times New Roman" w:hAnsi="Times New Roman" w:cs="Times New Roman"/>
                <w:lang w:val="pt-BR"/>
              </w:rPr>
              <w:t xml:space="preserve">Articolul 1 din Legea securității și sănătății în muncă nr. 186/2008 definește locul de muncă </w:t>
            </w:r>
            <w:r w:rsidRPr="007C4927">
              <w:rPr>
                <w:rFonts w:ascii="Times New Roman" w:eastAsia="Times New Roman" w:hAnsi="Times New Roman" w:cs="Times New Roman"/>
                <w:i/>
                <w:iCs/>
                <w:highlight w:val="white"/>
                <w:lang w:val="pt-BR"/>
              </w:rPr>
              <w:t xml:space="preserve">ca </w:t>
            </w:r>
            <w:r w:rsidRPr="007C4927">
              <w:rPr>
                <w:rFonts w:ascii="Times New Roman" w:eastAsia="Times New Roman" w:hAnsi="Times New Roman" w:cs="Times New Roman"/>
                <w:highlight w:val="white"/>
                <w:lang w:val="pt-BR"/>
              </w:rPr>
              <w:t xml:space="preserve">loc destinat pentru organizarea și desfășurarea diferitor genuri de activitate, precum și pentru plasarea </w:t>
            </w:r>
            <w:r w:rsidRPr="007C4927">
              <w:rPr>
                <w:rFonts w:ascii="Times New Roman" w:eastAsia="Times New Roman" w:hAnsi="Times New Roman" w:cs="Times New Roman"/>
                <w:b/>
                <w:bCs/>
                <w:highlight w:val="white"/>
                <w:lang w:val="pt-BR"/>
              </w:rPr>
              <w:t>posturilor de lucru</w:t>
            </w:r>
            <w:r w:rsidRPr="007C4927">
              <w:rPr>
                <w:rFonts w:ascii="Times New Roman" w:eastAsia="Times New Roman" w:hAnsi="Times New Roman" w:cs="Times New Roman"/>
                <w:highlight w:val="white"/>
                <w:lang w:val="pt-BR"/>
              </w:rPr>
              <w:t xml:space="preserve"> în clădirile, edificiile, spațiile închise sau deschise, terenurile, bazinele acvatice ale unității și în orice alt loc din interiorul sau exteriorul unității la care lucrătorul are acces în timpul și pentru executarea sarcinilor sale de lucru, inclusiv locurile pentru prestarea muncii de la distanță, precum și pentru prestarea muncii de către un lucrător independent;</w:t>
            </w:r>
          </w:p>
          <w:p w14:paraId="6927EDFE" w14:textId="77777777" w:rsidR="004E1CB1" w:rsidRPr="007C4927" w:rsidRDefault="00000000">
            <w:pPr>
              <w:keepLines/>
              <w:spacing w:line="240" w:lineRule="auto"/>
              <w:jc w:val="both"/>
              <w:rPr>
                <w:rFonts w:ascii="Times New Roman" w:eastAsia="Times New Roman" w:hAnsi="Times New Roman" w:cs="Times New Roman"/>
                <w:color w:val="333333"/>
                <w:highlight w:val="white"/>
                <w:lang w:val="pt-BR"/>
              </w:rPr>
            </w:pPr>
            <w:r w:rsidRPr="007C4927">
              <w:rPr>
                <w:rFonts w:ascii="Times New Roman" w:eastAsia="Times New Roman" w:hAnsi="Times New Roman" w:cs="Times New Roman"/>
                <w:lang w:val="pt-BR"/>
              </w:rPr>
              <w:lastRenderedPageBreak/>
              <w:t xml:space="preserve">Directiva 89/654/CEE (vezi varianta în limba engleză) a fost modificată prin  </w:t>
            </w:r>
            <w:hyperlink r:id="rId9">
              <w:r w:rsidRPr="007C4927">
                <w:rPr>
                  <w:rFonts w:ascii="Times New Roman" w:eastAsia="Times New Roman" w:hAnsi="Times New Roman" w:cs="Times New Roman"/>
                  <w:color w:val="1155CC"/>
                  <w:u w:val="single"/>
                  <w:lang w:val="pt-BR"/>
                </w:rPr>
                <w:t>Corrigendum</w:t>
              </w:r>
            </w:hyperlink>
            <w:r w:rsidRPr="007C4927">
              <w:rPr>
                <w:rFonts w:ascii="Times New Roman" w:eastAsia="Times New Roman" w:hAnsi="Times New Roman" w:cs="Times New Roman"/>
                <w:lang w:val="pt-BR"/>
              </w:rPr>
              <w:t xml:space="preserve"> din 09.08.1990 (</w:t>
            </w:r>
            <w:r w:rsidRPr="007C4927">
              <w:rPr>
                <w:rFonts w:ascii="Times New Roman" w:eastAsia="Times New Roman" w:hAnsi="Times New Roman" w:cs="Times New Roman"/>
                <w:i/>
                <w:iCs/>
                <w:color w:val="333333"/>
                <w:highlight w:val="white"/>
                <w:lang w:val="pt-BR"/>
              </w:rPr>
              <w:t xml:space="preserve">Jurnalul Oficial L 211 , 09/08/1990 P. 0015 - 0015), </w:t>
            </w:r>
            <w:r w:rsidRPr="007C4927">
              <w:rPr>
                <w:rFonts w:ascii="Times New Roman" w:eastAsia="Times New Roman" w:hAnsi="Times New Roman" w:cs="Times New Roman"/>
                <w:color w:val="333333"/>
                <w:highlight w:val="white"/>
                <w:lang w:val="pt-BR"/>
              </w:rPr>
              <w:t xml:space="preserve">a se vedea versiunea consolidată </w:t>
            </w:r>
            <w:hyperlink r:id="rId10" w:anchor="B-1">
              <w:r w:rsidRPr="007C4927">
                <w:rPr>
                  <w:rFonts w:ascii="Times New Roman" w:eastAsia="Times New Roman" w:hAnsi="Times New Roman" w:cs="Times New Roman"/>
                  <w:color w:val="1155CC"/>
                  <w:highlight w:val="white"/>
                  <w:u w:val="single"/>
                  <w:lang w:val="pt-BR"/>
                </w:rPr>
                <w:t>01989L0654-20190726</w:t>
              </w:r>
            </w:hyperlink>
            <w:r w:rsidRPr="007C4927">
              <w:rPr>
                <w:rFonts w:ascii="Times New Roman" w:eastAsia="Times New Roman" w:hAnsi="Times New Roman" w:cs="Times New Roman"/>
                <w:color w:val="333333"/>
                <w:highlight w:val="white"/>
                <w:lang w:val="pt-BR"/>
              </w:rPr>
              <w:t>.</w:t>
            </w:r>
          </w:p>
          <w:p w14:paraId="3BE22AC0" w14:textId="77777777" w:rsidR="004E1CB1" w:rsidRPr="007C4927" w:rsidRDefault="00000000">
            <w:pPr>
              <w:keepLines/>
              <w:spacing w:line="240" w:lineRule="auto"/>
              <w:jc w:val="both"/>
              <w:rPr>
                <w:rFonts w:ascii="Times New Roman" w:eastAsia="Times New Roman" w:hAnsi="Times New Roman" w:cs="Times New Roman"/>
                <w:color w:val="333333"/>
                <w:highlight w:val="white"/>
                <w:lang w:val="pt-BR"/>
              </w:rPr>
            </w:pPr>
            <w:r w:rsidRPr="007C4927">
              <w:rPr>
                <w:rFonts w:ascii="Times New Roman" w:eastAsia="Times New Roman" w:hAnsi="Times New Roman" w:cs="Times New Roman"/>
                <w:color w:val="333333"/>
                <w:highlight w:val="white"/>
                <w:lang w:val="pt-BR"/>
              </w:rPr>
              <w:t>Modificarea respectivă se referă la substituirea sintagmei „încăperi care conțin locuri de muncă” cu sintagma „încăperi care conțin posturi de lucru”.</w:t>
            </w:r>
          </w:p>
          <w:p w14:paraId="6E8EDCCB"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proofErr w:type="gramStart"/>
            <w:r>
              <w:rPr>
                <w:rFonts w:ascii="Times New Roman" w:eastAsia="Times New Roman" w:hAnsi="Times New Roman" w:cs="Times New Roman"/>
                <w:i/>
                <w:iCs/>
                <w:color w:val="333333"/>
              </w:rPr>
              <w:t>”Annex</w:t>
            </w:r>
            <w:proofErr w:type="gramEnd"/>
            <w:r>
              <w:rPr>
                <w:rFonts w:ascii="Times New Roman" w:eastAsia="Times New Roman" w:hAnsi="Times New Roman" w:cs="Times New Roman"/>
                <w:i/>
                <w:iCs/>
                <w:color w:val="333333"/>
              </w:rPr>
              <w:t xml:space="preserve"> I, page 5, points 7.1 and </w:t>
            </w:r>
            <w:proofErr w:type="gramStart"/>
            <w:r>
              <w:rPr>
                <w:rFonts w:ascii="Times New Roman" w:eastAsia="Times New Roman" w:hAnsi="Times New Roman" w:cs="Times New Roman"/>
                <w:i/>
                <w:iCs/>
                <w:color w:val="333333"/>
              </w:rPr>
              <w:t>8.2 :</w:t>
            </w:r>
            <w:proofErr w:type="gramEnd"/>
          </w:p>
          <w:p w14:paraId="79B937CD" w14:textId="77777777" w:rsidR="004E1CB1" w:rsidRDefault="00000000">
            <w:pPr>
              <w:keepLines/>
              <w:shd w:val="clear" w:color="auto" w:fill="FFFFFF"/>
              <w:spacing w:line="240" w:lineRule="auto"/>
              <w:jc w:val="both"/>
              <w:rPr>
                <w:rFonts w:ascii="Times New Roman" w:eastAsia="Times New Roman" w:hAnsi="Times New Roman" w:cs="Times New Roman"/>
                <w:i/>
                <w:iCs/>
                <w:color w:val="333333"/>
              </w:rPr>
            </w:pPr>
            <w:r>
              <w:rPr>
                <w:rFonts w:ascii="Times New Roman" w:eastAsia="Times New Roman" w:hAnsi="Times New Roman" w:cs="Times New Roman"/>
                <w:i/>
                <w:iCs/>
                <w:color w:val="333333"/>
              </w:rPr>
              <w:t xml:space="preserve">1.2 </w:t>
            </w:r>
            <w:proofErr w:type="gramStart"/>
            <w:r>
              <w:rPr>
                <w:rFonts w:ascii="Times New Roman" w:eastAsia="Times New Roman" w:hAnsi="Times New Roman" w:cs="Times New Roman"/>
                <w:i/>
                <w:iCs/>
                <w:color w:val="333333"/>
              </w:rPr>
              <w:t>for :</w:t>
            </w:r>
            <w:proofErr w:type="gramEnd"/>
            <w:r>
              <w:rPr>
                <w:rFonts w:ascii="Times New Roman" w:eastAsia="Times New Roman" w:hAnsi="Times New Roman" w:cs="Times New Roman"/>
                <w:i/>
                <w:iCs/>
                <w:color w:val="333333"/>
              </w:rPr>
              <w:t xml:space="preserve"> "rooms containing </w:t>
            </w:r>
            <w:proofErr w:type="gramStart"/>
            <w:r>
              <w:rPr>
                <w:rFonts w:ascii="Times New Roman" w:eastAsia="Times New Roman" w:hAnsi="Times New Roman" w:cs="Times New Roman"/>
                <w:i/>
                <w:iCs/>
                <w:color w:val="333333"/>
              </w:rPr>
              <w:t>workplaces'</w:t>
            </w:r>
            <w:proofErr w:type="gramEnd"/>
            <w:r>
              <w:rPr>
                <w:rFonts w:ascii="Times New Roman" w:eastAsia="Times New Roman" w:hAnsi="Times New Roman" w:cs="Times New Roman"/>
                <w:i/>
                <w:iCs/>
                <w:color w:val="333333"/>
              </w:rPr>
              <w:t>,</w:t>
            </w:r>
          </w:p>
          <w:p w14:paraId="519EAE94" w14:textId="77777777" w:rsidR="004E1CB1" w:rsidRDefault="00000000">
            <w:pPr>
              <w:keepLines/>
              <w:shd w:val="clear" w:color="auto" w:fill="FFFFFF"/>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i/>
                <w:iCs/>
                <w:color w:val="333333"/>
              </w:rPr>
              <w:t>read :</w:t>
            </w:r>
            <w:proofErr w:type="gramEnd"/>
            <w:r>
              <w:rPr>
                <w:rFonts w:ascii="Times New Roman" w:eastAsia="Times New Roman" w:hAnsi="Times New Roman" w:cs="Times New Roman"/>
                <w:i/>
                <w:iCs/>
                <w:color w:val="333333"/>
              </w:rPr>
              <w:t xml:space="preserve"> "rooms containing workstations';”</w:t>
            </w:r>
          </w:p>
        </w:tc>
      </w:tr>
      <w:tr w:rsidR="004E1CB1" w14:paraId="61E2B50C"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3A781803" w14:textId="77777777" w:rsidR="004E1CB1" w:rsidRDefault="004E1CB1">
            <w:pPr>
              <w:keepLines/>
              <w:pBdr>
                <w:top w:val="nil"/>
                <w:left w:val="nil"/>
                <w:bottom w:val="nil"/>
                <w:right w:val="nil"/>
                <w:between w:val="nil"/>
              </w:pBdr>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2C3E0215" w14:textId="77777777" w:rsidR="004E1CB1" w:rsidRDefault="00000000">
            <w:pPr>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Concluziile</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expertizelor</w:t>
            </w:r>
            <w:proofErr w:type="spellEnd"/>
          </w:p>
        </w:tc>
      </w:tr>
      <w:tr w:rsidR="004E1CB1" w14:paraId="2DF37325" w14:textId="77777777">
        <w:trPr>
          <w:trHeight w:val="57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14869E5"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75"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135C8B" w14:textId="77777777" w:rsidR="004E1CB1" w:rsidRDefault="00000000">
            <w:pPr>
              <w:spacing w:line="240" w:lineRule="auto"/>
              <w:jc w:val="center"/>
              <w:rPr>
                <w:rFonts w:ascii="Times New Roman" w:eastAsia="Times New Roman" w:hAnsi="Times New Roman" w:cs="Times New Roman"/>
                <w:b/>
                <w:bCs/>
                <w:highlight w:val="white"/>
              </w:rPr>
            </w:pPr>
            <w:proofErr w:type="spellStart"/>
            <w:r>
              <w:rPr>
                <w:rFonts w:ascii="Times New Roman" w:eastAsia="Times New Roman" w:hAnsi="Times New Roman" w:cs="Times New Roman"/>
                <w:b/>
                <w:bCs/>
                <w:highlight w:val="white"/>
              </w:rPr>
              <w:t>Ministerul</w:t>
            </w:r>
            <w:proofErr w:type="spellEnd"/>
            <w:r>
              <w:rPr>
                <w:rFonts w:ascii="Times New Roman" w:eastAsia="Times New Roman" w:hAnsi="Times New Roman" w:cs="Times New Roman"/>
                <w:b/>
                <w:bCs/>
                <w:highlight w:val="white"/>
              </w:rPr>
              <w:t xml:space="preserve"> </w:t>
            </w:r>
            <w:proofErr w:type="spellStart"/>
            <w:r>
              <w:rPr>
                <w:rFonts w:ascii="Times New Roman" w:eastAsia="Times New Roman" w:hAnsi="Times New Roman" w:cs="Times New Roman"/>
                <w:b/>
                <w:bCs/>
                <w:highlight w:val="white"/>
              </w:rPr>
              <w:t>Justiției</w:t>
            </w:r>
            <w:proofErr w:type="spellEnd"/>
          </w:p>
          <w:p w14:paraId="1BD21EFC" w14:textId="77777777" w:rsidR="004E1CB1"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nr. 04/2-10363</w:t>
            </w:r>
          </w:p>
          <w:p w14:paraId="66FB5EE5" w14:textId="77777777" w:rsidR="004E1CB1" w:rsidRDefault="00000000">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din 23.10.2025</w:t>
            </w:r>
          </w:p>
          <w:p w14:paraId="54745D9E" w14:textId="77777777" w:rsidR="004E1CB1" w:rsidRDefault="004E1CB1">
            <w:pPr>
              <w:spacing w:line="240" w:lineRule="auto"/>
              <w:jc w:val="center"/>
              <w:rPr>
                <w:rFonts w:ascii="Times New Roman" w:eastAsia="Times New Roman" w:hAnsi="Times New Roman" w:cs="Times New Roman"/>
                <w:b/>
                <w:bCs/>
                <w:highlight w:val="yellow"/>
              </w:rPr>
            </w:pPr>
          </w:p>
          <w:p w14:paraId="0F385BDB" w14:textId="77777777" w:rsidR="004E1CB1" w:rsidRDefault="004E1CB1">
            <w:pPr>
              <w:spacing w:line="240" w:lineRule="auto"/>
              <w:jc w:val="center"/>
              <w:rPr>
                <w:rFonts w:ascii="Times New Roman" w:eastAsia="Times New Roman" w:hAnsi="Times New Roman" w:cs="Times New Roman"/>
                <w:b/>
                <w:bCs/>
                <w:highlight w:val="yellow"/>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02891CA" w14:textId="77777777" w:rsidR="004E1CB1"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Urmare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examinării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Guvernului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Guvern</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742/MMPS/2025), </w:t>
            </w:r>
            <w:proofErr w:type="spellStart"/>
            <w:r>
              <w:rPr>
                <w:rFonts w:ascii="Times New Roman" w:eastAsia="Times New Roman" w:hAnsi="Times New Roman" w:cs="Times New Roman"/>
              </w:rPr>
              <w:t>comunicăm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următoarele</w:t>
            </w:r>
            <w:proofErr w:type="spellEnd"/>
            <w:r>
              <w:rPr>
                <w:rFonts w:ascii="Times New Roman" w:eastAsia="Times New Roman" w:hAnsi="Times New Roman" w:cs="Times New Roman"/>
              </w:rPr>
              <w:t>.</w:t>
            </w:r>
          </w:p>
          <w:p w14:paraId="2F6DB2D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Sub aspectul intenţiei de reglementare, potrivit notei de fundamentare, proiectul de act normativ a fost elaborat cu scopul asigurării unui mediu mai sigur pentru salariați la locul de muncă în ceea ce ține de ergonomia locului de muncă, precum și securitatea și sănătatea muncii. Astfel, se propune modificarea Hotărârilor Guvernului nr. 353/2010 cu privire la aprobarea cerințelor minime de securitate și sănătate la locul de muncă, nr. 918/2013 privind cerințele minime pentru semnalizarea de securitate și sănătate la locul de muncă și nr. 819/2016 privind cerințele minime de securitate și sănătate în muncă pentru lucrul la monitor.</w:t>
            </w:r>
          </w:p>
          <w:p w14:paraId="1E720439"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Raţionamentele expuse de iniţiator în notă reflectă motivul şi cerinţele care au impus intervenţia normativă.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18D015"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ia</w:t>
            </w:r>
            <w:proofErr w:type="spellEnd"/>
            <w:r>
              <w:rPr>
                <w:rFonts w:ascii="Times New Roman" w:eastAsia="Times New Roman" w:hAnsi="Times New Roman" w:cs="Times New Roman"/>
              </w:rPr>
              <w:t xml:space="preserve"> act</w:t>
            </w:r>
          </w:p>
        </w:tc>
      </w:tr>
      <w:tr w:rsidR="004E1CB1" w:rsidRPr="007C4927" w14:paraId="0D38324C"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F953126"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8B6F6C"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53E5C61"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Pe plan </w:t>
            </w:r>
            <w:proofErr w:type="spellStart"/>
            <w:r>
              <w:rPr>
                <w:rFonts w:ascii="Times New Roman" w:eastAsia="Times New Roman" w:hAnsi="Times New Roman" w:cs="Times New Roman"/>
              </w:rPr>
              <w:t>redacţional</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raport</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normele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tehnică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legislativă</w:t>
            </w:r>
            <w:proofErr w:type="spellEnd"/>
            <w:r>
              <w:rPr>
                <w:rFonts w:ascii="Times New Roman" w:eastAsia="Times New Roman" w:hAnsi="Times New Roman" w:cs="Times New Roman"/>
              </w:rPr>
              <w:t xml:space="preserve"> şi a </w:t>
            </w:r>
            <w:proofErr w:type="spellStart"/>
            <w:r>
              <w:rPr>
                <w:rFonts w:ascii="Times New Roman" w:eastAsia="Times New Roman" w:hAnsi="Times New Roman" w:cs="Times New Roman"/>
              </w:rPr>
              <w:t>cerinţelor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calitate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semnalăm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nu </w:t>
            </w:r>
            <w:proofErr w:type="spellStart"/>
            <w:r>
              <w:rPr>
                <w:rFonts w:ascii="Times New Roman" w:eastAsia="Times New Roman" w:hAnsi="Times New Roman" w:cs="Times New Roman"/>
              </w:rPr>
              <w:t>respectă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cerinţele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calitate</w:t>
            </w:r>
            <w:proofErr w:type="spellEnd"/>
            <w:r>
              <w:rPr>
                <w:rFonts w:ascii="Times New Roman" w:eastAsia="Times New Roman" w:hAnsi="Times New Roman" w:cs="Times New Roman"/>
              </w:rPr>
              <w:t xml:space="preserve"> şi </w:t>
            </w:r>
            <w:proofErr w:type="spellStart"/>
            <w:r>
              <w:rPr>
                <w:rFonts w:ascii="Times New Roman" w:eastAsia="Times New Roman" w:hAnsi="Times New Roman" w:cs="Times New Roman"/>
              </w:rPr>
              <w:t>principiul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coerenței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consecutivităţii</w:t>
            </w:r>
            <w:proofErr w:type="spellEnd"/>
            <w:r>
              <w:rPr>
                <w:rFonts w:ascii="Times New Roman" w:eastAsia="Times New Roman" w:hAnsi="Times New Roman" w:cs="Times New Roman"/>
              </w:rPr>
              <w:t xml:space="preserve"> şi </w:t>
            </w:r>
            <w:proofErr w:type="spellStart"/>
            <w:r>
              <w:rPr>
                <w:rFonts w:ascii="Times New Roman" w:eastAsia="Times New Roman" w:hAnsi="Times New Roman" w:cs="Times New Roman"/>
              </w:rPr>
              <w:t>predictibilităţii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juridice</w:t>
            </w:r>
            <w:proofErr w:type="spellEnd"/>
            <w:r>
              <w:rPr>
                <w:rFonts w:ascii="Times New Roman" w:eastAsia="Times New Roman" w:hAnsi="Times New Roman" w:cs="Times New Roman"/>
              </w:rPr>
              <w:t>.</w:t>
            </w:r>
          </w:p>
          <w:p w14:paraId="446A960F"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Sub aspectul stilului de redactare, menţionăm că textul normativ are un mod deficitar de redactare la redarea procedeelor tehnice de modificare a actului normativ. Prin urmare, semnalăm necesitatea revizuirii substanţiale a proiectului prin prisma normelor de tehnică legislativă pentru elaborarea proiectelor actelor normative prevăzute de Legea nr. 100/2017 cu privire la actele normative.</w:t>
            </w:r>
          </w:p>
          <w:p w14:paraId="480B865B"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context, facem următoarele obiecţii şi propuneri.</w:t>
            </w:r>
          </w:p>
          <w:p w14:paraId="7D2E20C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În clauza de adoptare se va indica doar temeiul juridic concret pentru adoptarea acestui act normativ, referințele la alte norme ale actelor normative care nu constituie temei juridic de adoptare a actului normativ elaborat </w:t>
            </w:r>
            <w:r w:rsidRPr="007C4927">
              <w:rPr>
                <w:rFonts w:ascii="Times New Roman" w:eastAsia="Times New Roman" w:hAnsi="Times New Roman" w:cs="Times New Roman"/>
                <w:u w:val="single"/>
                <w:lang w:val="pt-BR"/>
              </w:rPr>
              <w:t>(nu constituie temei juridic pentru obiectul de reglementare al proiectului)</w:t>
            </w:r>
            <w:r w:rsidRPr="007C4927">
              <w:rPr>
                <w:rFonts w:ascii="Times New Roman" w:eastAsia="Times New Roman" w:hAnsi="Times New Roman" w:cs="Times New Roman"/>
                <w:lang w:val="pt-BR"/>
              </w:rPr>
              <w:t>, nu se vor indica în clauza de adoptare. Astfel, semnalăm că, potrivit art. 44 alin. (1) din Legea nr. 100/2017, clauza de adoptare a actului normativ poate conţine, după caz, şi temeiul legal de adoptare a actului normativ respectiv. În calitate de temei legal se indică doar prevederile legale ce stabilesc competența autorității să emită actul normativ respectiv, pornind de la limitele de reglementare prevăzute de obiectul juridic al actului normativ. În acest caz textul „cerințelor art. 31, alin. (2) și art. 44 din Legea 100/2017 cu privire la actele normative și pct. 34 din Regulamentul privind armonizarea legislației Republicii Moldova cu legislația Uniunii Europene, aprobat prin Hotărârea de Guvern nr. 1171/2018,” se va exclude. Obiecția dată este valabilă situațiilor similare din proiect, care propun modificarea clauzei de adoptare a actelor normative supuse amendării.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DAC7CAF"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 în redacția finală a proiectului propunerea este reflectată</w:t>
            </w:r>
          </w:p>
        </w:tc>
      </w:tr>
      <w:tr w:rsidR="004E1CB1" w:rsidRPr="007C4927" w14:paraId="60B995EE"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FEE56AA"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7F956B"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A9405A8"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Clauza de armonizare nu necesită a fi numerotată, astfel recomandăm redactarea numerotării elementelor structurale ale proiectului.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BA9EB6E"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Se acceptă, în redacția finală propunerea este reflectată. </w:t>
            </w:r>
          </w:p>
        </w:tc>
      </w:tr>
      <w:tr w:rsidR="004E1CB1" w:rsidRPr="007C4927" w14:paraId="35F800A1"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B9A36D"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EBF6FE1"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133D811"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pct. 2 (Hotărârea Guvernului nr. 353/2010 cu privire la aprobarea cerințelor minime de securitate și sănătate la locul de muncă):</w:t>
            </w:r>
          </w:p>
          <w:p w14:paraId="5CF4C909"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La sbp. 2.1 dispoziția de modificare se va reda în felul următor: „Clauza de adoptare va avea următorul cuprins:” (valabil și pentru sbp. 3.1 și 4.1). Totodată, pentru a reflecta în mod corect intervenția normativă privind completarea actului normativ cu clauza de armonizare, se va utiliza formula „se completează cu clauza de armonizare”. Obiecția dată este valabilă și pentru alte situații similare din proiect.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D13556"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 în redacția finală propunerea este reflectată</w:t>
            </w:r>
          </w:p>
        </w:tc>
      </w:tr>
      <w:tr w:rsidR="004E1CB1" w:rsidRPr="007C4927" w14:paraId="176A3D16"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3CF8E8"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C259CA4"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9F740E7"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sbp. 2.2.3, pornind de la volumul modificărilor propuse la pct. 65, se consideră oportună expunerea acestuia în redacție nouă.</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D81CB8A"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punctul 65 este reformulat.</w:t>
            </w:r>
          </w:p>
        </w:tc>
      </w:tr>
      <w:tr w:rsidR="004E1CB1" w14:paraId="386205E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1B62133"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2481D0"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94CBB3"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sbp. 2.2.4, în dispoziția de modificare cuvântul „text” se va substitui cu cuvântul „enunț”, iar în redacția propusă a acestui enunț la pct. 66 textul „(republicată)” se va exclude, ca fiind excedent.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576246"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propunerile</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reflectate</w:t>
            </w:r>
            <w:proofErr w:type="spellEnd"/>
            <w:r>
              <w:rPr>
                <w:rFonts w:ascii="Times New Roman" w:eastAsia="Times New Roman" w:hAnsi="Times New Roman" w:cs="Times New Roman"/>
              </w:rPr>
              <w:t>.</w:t>
            </w:r>
          </w:p>
        </w:tc>
      </w:tr>
      <w:tr w:rsidR="004E1CB1" w:rsidRPr="007C4927" w14:paraId="44F6DD2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88322D"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F9ACFC"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6E01B6"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sbp. 2.2.5, pentru asigurarea unui stil juridic normativ, recomandăm utilizarea formulei „va avea următorul cuprins”.</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2446580"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reflectată.</w:t>
            </w:r>
          </w:p>
        </w:tc>
      </w:tr>
      <w:tr w:rsidR="004E1CB1" w:rsidRPr="007C4927" w14:paraId="2B953332"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D8F1289"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C6E4CB"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43FD1C"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sbp. 2.2.6 textul „în cuprinsul punctului 87” se va substitui cu textul „la punctul 87”.</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4521250"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revlectată.</w:t>
            </w:r>
          </w:p>
        </w:tc>
      </w:tr>
      <w:tr w:rsidR="004E1CB1" w14:paraId="6A26E1EE"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5D9DE7B"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238DBF0"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A5A7C6D"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pct. 3 (Hotărârea Guvernului nr. 918/2013 privind cerințele minime pentru semnalizarea de securitate și sănătate la locul de muncă): La sbp. 3.2, pentru o exprimare adecvată, propunem redarea intenției de modificare a actului normativ utilizând formula „pe tot parcursul textului, cuvintele „…”, la orice formă gramaticală, se substituie cu cuvintele „….”, la forma gramaticală corespunzătoare;” . În același subpunct, textul „ , inclusiv în Anexe,” se va exclude ca fiind excedent, întrucât anexele constituie parte componentă a hotărârii.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C642D33"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acceptă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propunerile</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reflectate</w:t>
            </w:r>
            <w:proofErr w:type="spellEnd"/>
            <w:r>
              <w:rPr>
                <w:rFonts w:ascii="Times New Roman" w:eastAsia="Times New Roman" w:hAnsi="Times New Roman" w:cs="Times New Roman"/>
              </w:rPr>
              <w:t>.</w:t>
            </w:r>
          </w:p>
        </w:tc>
      </w:tr>
      <w:tr w:rsidR="004E1CB1" w:rsidRPr="007C4927" w14:paraId="263E0CC5"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0B65095"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D3E5E44"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B30D2C"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sbp</w:t>
            </w:r>
            <w:proofErr w:type="spellEnd"/>
            <w:r>
              <w:rPr>
                <w:rFonts w:ascii="Times New Roman" w:eastAsia="Times New Roman" w:hAnsi="Times New Roman" w:cs="Times New Roman"/>
              </w:rPr>
              <w:t xml:space="preserve">. 3.3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3.4,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îmbunătățirea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calității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redacționale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actului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normativ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următoarea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formulă</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indicarea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locului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intervenției</w:t>
            </w:r>
            <w:proofErr w:type="spellEnd"/>
            <w:r>
              <w:rPr>
                <w:rFonts w:ascii="Times New Roman" w:eastAsia="Times New Roman" w:hAnsi="Times New Roman" w:cs="Times New Roman"/>
              </w:rPr>
              <w:t xml:space="preserve"> normative: „în </w:t>
            </w:r>
            <w:proofErr w:type="spellStart"/>
            <w:r>
              <w:rPr>
                <w:rFonts w:ascii="Times New Roman" w:eastAsia="Times New Roman" w:hAnsi="Times New Roman" w:cs="Times New Roman"/>
              </w:rPr>
              <w:t>anexa</w:t>
            </w:r>
            <w:proofErr w:type="spellEnd"/>
            <w:r>
              <w:rPr>
                <w:rFonts w:ascii="Times New Roman" w:eastAsia="Times New Roman" w:hAnsi="Times New Roman" w:cs="Times New Roman"/>
              </w:rPr>
              <w:t xml:space="preserve"> nr. 1”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respectiv</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anexa</w:t>
            </w:r>
            <w:proofErr w:type="spellEnd"/>
            <w:r>
              <w:rPr>
                <w:rFonts w:ascii="Times New Roman" w:eastAsia="Times New Roman" w:hAnsi="Times New Roman" w:cs="Times New Roman"/>
              </w:rPr>
              <w:t xml:space="preserve"> nr. 3”.</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C0D5335"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reflectată.</w:t>
            </w:r>
          </w:p>
        </w:tc>
      </w:tr>
      <w:tr w:rsidR="004E1CB1" w14:paraId="665BF16A"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57CA66D"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A097AAB"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8B3A825"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La sbp. 3.3.2, 3.4.1 și 3.4.2, semnalăm că intenția normativă nu corespunde cerinţei previzibilității normei juridice, care presupune ca norma juridică trebuie să fie enunțată cu suficientă precizie.</w:t>
            </w:r>
          </w:p>
          <w:p w14:paraId="0F466BDC"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În context menţionăm că, respectarea actelor normative implică o obligație a autorului, de a reglementa prin texte clare și precise, iar norma trebuie să fie previzibilă și accesibilă.</w:t>
            </w:r>
          </w:p>
          <w:p w14:paraId="1BA4974A" w14:textId="77777777" w:rsidR="004E1CB1" w:rsidRPr="007C4927" w:rsidRDefault="00000000">
            <w:pPr>
              <w:keepLines/>
              <w:spacing w:line="240"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Astfel, pentru asigurarea unei exprimări clare și concise recomandăm reformularea normelor propuse cu indicarea expresă a informației privind „panoul de avertizare” cu indicarea actului normativ de referință (hotărârea Guvernului prin care au fost aprobate cerințele speciale privind clasificarea, etichetarea și ambalarea substanțelor și amestecurilor chimice).</w:t>
            </w:r>
          </w:p>
          <w:p w14:paraId="144CA67C" w14:textId="77777777" w:rsidR="004E1CB1" w:rsidRPr="007C4927" w:rsidRDefault="004E1CB1">
            <w:pPr>
              <w:keepLines/>
              <w:spacing w:line="240" w:lineRule="auto"/>
              <w:jc w:val="both"/>
              <w:rPr>
                <w:rFonts w:ascii="Times New Roman" w:eastAsia="Times New Roman" w:hAnsi="Times New Roman" w:cs="Times New Roman"/>
                <w:lang w:val="pt-BR"/>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B9BAA27"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Se acceptă parțial.</w:t>
            </w:r>
          </w:p>
          <w:p w14:paraId="7DDB8277" w14:textId="77777777" w:rsidR="004E1CB1" w:rsidRDefault="00000000">
            <w:pPr>
              <w:keepLines/>
              <w:spacing w:line="240" w:lineRule="auto"/>
              <w:jc w:val="both"/>
              <w:rPr>
                <w:rFonts w:ascii="Times New Roman" w:eastAsia="Times New Roman" w:hAnsi="Times New Roman" w:cs="Times New Roman"/>
              </w:rPr>
            </w:pPr>
            <w:r w:rsidRPr="007C4927">
              <w:rPr>
                <w:rFonts w:ascii="Times New Roman" w:eastAsia="Times New Roman" w:hAnsi="Times New Roman" w:cs="Times New Roman"/>
                <w:lang w:val="pt-BR"/>
              </w:rPr>
              <w:lastRenderedPageBreak/>
              <w:t xml:space="preserve">Legea nr. 277/2018 prevede aprobarea de către Guvern a </w:t>
            </w:r>
            <w:r w:rsidRPr="007C4927">
              <w:rPr>
                <w:rFonts w:ascii="Times New Roman" w:eastAsia="Times New Roman" w:hAnsi="Times New Roman" w:cs="Times New Roman"/>
                <w:color w:val="333333"/>
                <w:highlight w:val="white"/>
                <w:lang w:val="pt-BR"/>
              </w:rPr>
              <w:t xml:space="preserve"> Regulamentului privind clasificarea, etichetarea și ambalarea substanțelor și amestecurilor. Regulamentul va conține </w:t>
            </w:r>
            <w:r w:rsidRPr="007C4927">
              <w:rPr>
                <w:rFonts w:ascii="Times New Roman" w:eastAsia="Times New Roman" w:hAnsi="Times New Roman" w:cs="Times New Roman"/>
                <w:lang w:val="pt-BR"/>
              </w:rPr>
              <w:t>cerințe speciale privind clasificarea, etichetarea și ambalarea substanțelor și amestecurilor chimice</w:t>
            </w:r>
            <w:r w:rsidRPr="007C4927">
              <w:rPr>
                <w:rFonts w:ascii="Times New Roman" w:eastAsia="Times New Roman" w:hAnsi="Times New Roman" w:cs="Times New Roman"/>
                <w:color w:val="333333"/>
                <w:highlight w:val="white"/>
                <w:lang w:val="pt-BR"/>
              </w:rPr>
              <w:t xml:space="preserve"> La momentul actual Regulamentul în cauză este la etapă de elaborare.</w:t>
            </w:r>
            <w:r w:rsidRPr="007C4927">
              <w:rPr>
                <w:rFonts w:ascii="Times New Roman" w:eastAsia="Times New Roman" w:hAnsi="Times New Roman" w:cs="Times New Roman"/>
                <w:lang w:val="pt-BR"/>
              </w:rPr>
              <w:t xml:space="preserve">. </w:t>
            </w:r>
            <w:r>
              <w:rPr>
                <w:rFonts w:ascii="Times New Roman" w:eastAsia="Times New Roman" w:hAnsi="Times New Roman" w:cs="Times New Roman"/>
              </w:rPr>
              <w:t xml:space="preserve">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reflectată</w:t>
            </w:r>
            <w:proofErr w:type="spellEnd"/>
            <w:r>
              <w:rPr>
                <w:rFonts w:ascii="Times New Roman" w:eastAsia="Times New Roman" w:hAnsi="Times New Roman" w:cs="Times New Roman"/>
              </w:rPr>
              <w:t>.</w:t>
            </w:r>
          </w:p>
          <w:p w14:paraId="69290970" w14:textId="77777777" w:rsidR="004E1CB1" w:rsidRDefault="004E1CB1">
            <w:pPr>
              <w:keepLines/>
              <w:spacing w:line="240" w:lineRule="auto"/>
              <w:jc w:val="both"/>
              <w:rPr>
                <w:rFonts w:ascii="Times New Roman" w:eastAsia="Times New Roman" w:hAnsi="Times New Roman" w:cs="Times New Roman"/>
              </w:rPr>
            </w:pPr>
          </w:p>
        </w:tc>
      </w:tr>
      <w:tr w:rsidR="004E1CB1" w:rsidRPr="007C4927" w14:paraId="063B5A88"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04966A4" w14:textId="77777777" w:rsidR="004E1CB1" w:rsidRDefault="004E1CB1">
            <w:pPr>
              <w:keepLines/>
              <w:spacing w:line="240" w:lineRule="auto"/>
              <w:rPr>
                <w:rFonts w:ascii="Times New Roman" w:eastAsia="Times New Roman" w:hAnsi="Times New Roman" w:cs="Times New Roman"/>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AF39A70"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E789413" w14:textId="77777777" w:rsidR="004E1CB1" w:rsidRDefault="00000000">
            <w:pPr>
              <w:keepLines/>
              <w:spacing w:line="240" w:lineRule="auto"/>
              <w:jc w:val="both"/>
              <w:rPr>
                <w:rFonts w:ascii="Times New Roman" w:eastAsia="Times New Roman" w:hAnsi="Times New Roman" w:cs="Times New Roman"/>
              </w:rPr>
            </w:pPr>
            <w:r w:rsidRPr="007C4927">
              <w:rPr>
                <w:rFonts w:ascii="Times New Roman" w:eastAsia="Times New Roman" w:hAnsi="Times New Roman" w:cs="Times New Roman"/>
                <w:lang w:val="pt-BR"/>
              </w:rPr>
              <w:t xml:space="preserve">Adițional, la sbp. 3.3.2, ce vizează completarea pct. 29 cu un alineat, în dispoziția de modificare cuvântul „nou” se va exclude. Totodată, pentru claritatea normei, în redacția propusă a acestui alineat textul „în punctul 10 din anexa 2” se va substitui cu textul „echivalent celor enumerate în punctul 10 din anexa nr. 2”. </w:t>
            </w:r>
            <w:proofErr w:type="spellStart"/>
            <w:r>
              <w:rPr>
                <w:rFonts w:ascii="Times New Roman" w:eastAsia="Times New Roman" w:hAnsi="Times New Roman" w:cs="Times New Roman"/>
              </w:rPr>
              <w:t>Observațiile</w:t>
            </w:r>
            <w:proofErr w:type="spellEnd"/>
            <w:r>
              <w:rPr>
                <w:rFonts w:ascii="Times New Roman" w:eastAsia="Times New Roman" w:hAnsi="Times New Roman" w:cs="Times New Roman"/>
              </w:rPr>
              <w:t xml:space="preserve"> date sunt </w:t>
            </w:r>
            <w:proofErr w:type="spellStart"/>
            <w:r>
              <w:rPr>
                <w:rFonts w:ascii="Times New Roman" w:eastAsia="Times New Roman" w:hAnsi="Times New Roman" w:cs="Times New Roman"/>
              </w:rPr>
              <w:t>valabile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sbp</w:t>
            </w:r>
            <w:proofErr w:type="spellEnd"/>
            <w:r>
              <w:rPr>
                <w:rFonts w:ascii="Times New Roman" w:eastAsia="Times New Roman" w:hAnsi="Times New Roman" w:cs="Times New Roman"/>
              </w:rPr>
              <w:t>. 3.4.2.</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2D5917D" w14:textId="77777777" w:rsidR="004E1CB1" w:rsidRPr="007C4927" w:rsidRDefault="00000000">
            <w:pPr>
              <w:keepLines/>
              <w:spacing w:line="240" w:lineRule="auto"/>
              <w:rPr>
                <w:rFonts w:ascii="Times New Roman" w:eastAsia="Times New Roman" w:hAnsi="Times New Roman" w:cs="Times New Roman"/>
                <w:lang w:val="pt-BR"/>
              </w:rPr>
            </w:pPr>
            <w:r w:rsidRPr="007C4927">
              <w:rPr>
                <w:rFonts w:ascii="Times New Roman" w:eastAsia="Times New Roman" w:hAnsi="Times New Roman" w:cs="Times New Roman"/>
                <w:lang w:val="pt-BR"/>
              </w:rPr>
              <w:t>Se acceptă, în redacția finală propunerea este reflectată.</w:t>
            </w:r>
          </w:p>
        </w:tc>
      </w:tr>
      <w:tr w:rsidR="004E1CB1" w14:paraId="166CCF50" w14:textId="77777777">
        <w:trPr>
          <w:trHeight w:val="570"/>
        </w:trPr>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E0CB919"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925B592" w14:textId="77777777" w:rsidR="004E1CB1" w:rsidRPr="007C4927" w:rsidRDefault="004E1CB1">
            <w:pPr>
              <w:spacing w:line="240" w:lineRule="auto"/>
              <w:jc w:val="center"/>
              <w:rPr>
                <w:rFonts w:ascii="Times New Roman" w:eastAsia="Times New Roman" w:hAnsi="Times New Roman" w:cs="Times New Roman"/>
                <w:b/>
                <w:bCs/>
                <w:highlight w:val="white"/>
                <w:lang w:val="pt-BR"/>
              </w:rPr>
            </w:pP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B3726F" w14:textId="77777777" w:rsidR="004E1CB1" w:rsidRDefault="00000000">
            <w:pPr>
              <w:keepLines/>
              <w:spacing w:line="240" w:lineRule="auto"/>
              <w:jc w:val="both"/>
              <w:rPr>
                <w:rFonts w:ascii="Times New Roman" w:eastAsia="Times New Roman" w:hAnsi="Times New Roman" w:cs="Times New Roman"/>
              </w:rPr>
            </w:pPr>
            <w:r w:rsidRPr="007C4927">
              <w:rPr>
                <w:rFonts w:ascii="Times New Roman" w:eastAsia="Times New Roman" w:hAnsi="Times New Roman" w:cs="Times New Roman"/>
                <w:lang w:val="pt-BR"/>
              </w:rPr>
              <w:t xml:space="preserve">La pct. 4 (Hotărârea Guvernului nr. 819/2016 privind cerințele minime de securitate și sănătate în muncă pentru lucru la monitor): Pentru a reflecta în mod corect intervenția normativă, recomandăm utilizarea următoarei formule: „4.1. în hotărâre: 4.1.1. clauza de adoptare va avea următorul cuprins:”, în continuare fiind redat textul clauzei de adoptare, după care va fi înserat sbp. 4.1.2 privind completarea hotărârii cu clauza de armonizare, precum și sbp. 4.1.3 privind completarea punctului 2 cu subpunctul 6). </w:t>
            </w:r>
            <w:r>
              <w:rPr>
                <w:rFonts w:ascii="Times New Roman" w:eastAsia="Times New Roman" w:hAnsi="Times New Roman" w:cs="Times New Roman"/>
              </w:rPr>
              <w:t xml:space="preserve">Prin </w:t>
            </w:r>
            <w:proofErr w:type="spellStart"/>
            <w:r>
              <w:rPr>
                <w:rFonts w:ascii="Times New Roman" w:eastAsia="Times New Roman" w:hAnsi="Times New Roman" w:cs="Times New Roman"/>
              </w:rPr>
              <w:t>urmare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modificările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anexă</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vor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expune</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sbp</w:t>
            </w:r>
            <w:proofErr w:type="spellEnd"/>
            <w:r>
              <w:rPr>
                <w:rFonts w:ascii="Times New Roman" w:eastAsia="Times New Roman" w:hAnsi="Times New Roman" w:cs="Times New Roman"/>
              </w:rPr>
              <w:t xml:space="preserve">. 4.2, </w:t>
            </w:r>
            <w:proofErr w:type="spellStart"/>
            <w:r>
              <w:rPr>
                <w:rFonts w:ascii="Times New Roman" w:eastAsia="Times New Roman" w:hAnsi="Times New Roman" w:cs="Times New Roman"/>
              </w:rPr>
              <w:t>fiind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numerotate</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conformitate</w:t>
            </w:r>
            <w:proofErr w:type="spellEnd"/>
            <w:r>
              <w:rPr>
                <w:rFonts w:ascii="Times New Roman" w:eastAsia="Times New Roman" w:hAnsi="Times New Roman" w:cs="Times New Roman"/>
              </w:rPr>
              <w:t xml:space="preserve"> cu </w:t>
            </w:r>
            <w:proofErr w:type="spellStart"/>
            <w:r>
              <w:rPr>
                <w:rFonts w:ascii="Times New Roman" w:eastAsia="Times New Roman" w:hAnsi="Times New Roman" w:cs="Times New Roman"/>
              </w:rPr>
              <w:t>prevederile</w:t>
            </w:r>
            <w:proofErr w:type="spellEnd"/>
            <w:r>
              <w:rPr>
                <w:rFonts w:ascii="Times New Roman" w:eastAsia="Times New Roman" w:hAnsi="Times New Roman" w:cs="Times New Roman"/>
              </w:rPr>
              <w:t xml:space="preserve"> art. 52 </w:t>
            </w:r>
            <w:proofErr w:type="spellStart"/>
            <w:r>
              <w:rPr>
                <w:rFonts w:ascii="Times New Roman" w:eastAsia="Times New Roman" w:hAnsi="Times New Roman" w:cs="Times New Roman"/>
              </w:rPr>
              <w:t>alin</w:t>
            </w:r>
            <w:proofErr w:type="spellEnd"/>
            <w:r>
              <w:rPr>
                <w:rFonts w:ascii="Times New Roman" w:eastAsia="Times New Roman" w:hAnsi="Times New Roman" w:cs="Times New Roman"/>
              </w:rPr>
              <w:t>. (3) din Legea nr. 100/2017.</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D3A08B4" w14:textId="77777777" w:rsidR="004E1CB1" w:rsidRDefault="00000000">
            <w:pPr>
              <w:keepLine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Seacceptă</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redacția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propunerile</w:t>
            </w:r>
            <w:proofErr w:type="spellEnd"/>
            <w:r>
              <w:rPr>
                <w:rFonts w:ascii="Times New Roman" w:eastAsia="Times New Roman" w:hAnsi="Times New Roman" w:cs="Times New Roman"/>
              </w:rPr>
              <w:t xml:space="preserve"> sunt </w:t>
            </w:r>
            <w:proofErr w:type="spellStart"/>
            <w:r>
              <w:rPr>
                <w:rFonts w:ascii="Times New Roman" w:eastAsia="Times New Roman" w:hAnsi="Times New Roman" w:cs="Times New Roman"/>
              </w:rPr>
              <w:t>reflectate</w:t>
            </w:r>
            <w:proofErr w:type="spellEnd"/>
            <w:r>
              <w:rPr>
                <w:rFonts w:ascii="Times New Roman" w:eastAsia="Times New Roman" w:hAnsi="Times New Roman" w:cs="Times New Roman"/>
              </w:rPr>
              <w:t>.</w:t>
            </w:r>
          </w:p>
        </w:tc>
      </w:tr>
      <w:tr w:rsidR="004E1CB1" w14:paraId="55CD8CCB"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759F572"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2475" w:type="dxa"/>
            <w:tcBorders>
              <w:top w:val="single" w:sz="4" w:space="0" w:color="000000"/>
              <w:left w:val="single" w:sz="4" w:space="0" w:color="000000"/>
              <w:bottom w:val="single" w:sz="4" w:space="0" w:color="000000"/>
              <w:right w:val="single" w:sz="4" w:space="0" w:color="444746"/>
            </w:tcBorders>
            <w:shd w:val="clear" w:color="auto" w:fill="auto"/>
            <w:tcMar>
              <w:top w:w="20" w:type="dxa"/>
              <w:left w:w="40" w:type="dxa"/>
              <w:bottom w:w="20" w:type="dxa"/>
              <w:right w:w="40" w:type="dxa"/>
            </w:tcMar>
          </w:tcPr>
          <w:p w14:paraId="0129F7E6"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 xml:space="preserve">Centrul Național Anticorupție </w:t>
            </w:r>
          </w:p>
          <w:p w14:paraId="4217F218" w14:textId="77777777" w:rsidR="004E1CB1" w:rsidRPr="007C4927" w:rsidRDefault="00000000">
            <w:pPr>
              <w:spacing w:line="240" w:lineRule="auto"/>
              <w:jc w:val="center"/>
              <w:rPr>
                <w:rFonts w:ascii="Times New Roman" w:eastAsia="Times New Roman" w:hAnsi="Times New Roman" w:cs="Times New Roman"/>
                <w:b/>
                <w:bCs/>
                <w:highlight w:val="white"/>
                <w:lang w:val="pt-BR"/>
              </w:rPr>
            </w:pPr>
            <w:r w:rsidRPr="007C4927">
              <w:rPr>
                <w:rFonts w:ascii="Times New Roman" w:eastAsia="Times New Roman" w:hAnsi="Times New Roman" w:cs="Times New Roman"/>
                <w:b/>
                <w:bCs/>
                <w:highlight w:val="white"/>
                <w:lang w:val="pt-BR"/>
              </w:rPr>
              <w:t>Nr. EHG25/10921</w:t>
            </w:r>
          </w:p>
          <w:p w14:paraId="2BAF5DC2" w14:textId="77777777" w:rsidR="004E1CB1"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din 20.10.2025</w:t>
            </w:r>
          </w:p>
          <w:p w14:paraId="01ACB505" w14:textId="77777777" w:rsidR="004E1CB1" w:rsidRDefault="004E1CB1">
            <w:pPr>
              <w:spacing w:line="240" w:lineRule="auto"/>
              <w:jc w:val="center"/>
              <w:rPr>
                <w:rFonts w:ascii="Times New Roman" w:eastAsia="Times New Roman" w:hAnsi="Times New Roman" w:cs="Times New Roman"/>
                <w:highlight w:val="white"/>
              </w:rPr>
            </w:pPr>
          </w:p>
          <w:p w14:paraId="59A9369D" w14:textId="77777777" w:rsidR="004E1CB1" w:rsidRDefault="004E1CB1">
            <w:pPr>
              <w:spacing w:line="240" w:lineRule="auto"/>
              <w:jc w:val="center"/>
              <w:rPr>
                <w:rFonts w:ascii="Times New Roman" w:eastAsia="Times New Roman" w:hAnsi="Times New Roman" w:cs="Times New Roman"/>
                <w:b/>
                <w:bCs/>
              </w:rPr>
            </w:pPr>
          </w:p>
          <w:p w14:paraId="4BA10EE9" w14:textId="77777777" w:rsidR="004E1CB1" w:rsidRDefault="004E1CB1">
            <w:pPr>
              <w:spacing w:line="240" w:lineRule="auto"/>
              <w:jc w:val="center"/>
              <w:rPr>
                <w:rFonts w:ascii="Times New Roman" w:eastAsia="Times New Roman" w:hAnsi="Times New Roman" w:cs="Times New Roman"/>
                <w:b/>
                <w:bCs/>
              </w:rPr>
            </w:pPr>
          </w:p>
          <w:p w14:paraId="7CC5E45F" w14:textId="77777777" w:rsidR="004E1CB1" w:rsidRDefault="004E1CB1">
            <w:pPr>
              <w:spacing w:line="240" w:lineRule="auto"/>
              <w:jc w:val="center"/>
              <w:rPr>
                <w:rFonts w:ascii="Times New Roman" w:eastAsia="Times New Roman" w:hAnsi="Times New Roman" w:cs="Times New Roman"/>
                <w:b/>
                <w:bCs/>
              </w:rPr>
            </w:pPr>
          </w:p>
          <w:p w14:paraId="4ED707A6" w14:textId="77777777" w:rsidR="004E1CB1" w:rsidRDefault="004E1CB1">
            <w:pPr>
              <w:spacing w:line="240" w:lineRule="auto"/>
              <w:jc w:val="center"/>
              <w:rPr>
                <w:rFonts w:ascii="Times New Roman" w:eastAsia="Times New Roman" w:hAnsi="Times New Roman" w:cs="Times New Roman"/>
                <w:b/>
                <w:bCs/>
              </w:rPr>
            </w:pPr>
          </w:p>
        </w:tc>
        <w:tc>
          <w:tcPr>
            <w:tcW w:w="5520" w:type="dxa"/>
            <w:tcBorders>
              <w:top w:val="single" w:sz="4" w:space="0" w:color="444746"/>
              <w:left w:val="single" w:sz="4" w:space="0" w:color="444746"/>
              <w:bottom w:val="single" w:sz="4" w:space="0" w:color="444746"/>
              <w:right w:val="single" w:sz="4" w:space="0" w:color="444746"/>
            </w:tcBorders>
            <w:shd w:val="clear" w:color="auto" w:fill="auto"/>
            <w:tcMar>
              <w:top w:w="20" w:type="dxa"/>
              <w:left w:w="40" w:type="dxa"/>
              <w:bottom w:w="20" w:type="dxa"/>
              <w:right w:w="40" w:type="dxa"/>
            </w:tcMar>
          </w:tcPr>
          <w:p w14:paraId="2A4D3DF4" w14:textId="77777777" w:rsidR="004E1CB1" w:rsidRDefault="00000000">
            <w:pPr>
              <w:keepLines/>
              <w:spacing w:line="249" w:lineRule="auto"/>
              <w:jc w:val="both"/>
              <w:rPr>
                <w:rFonts w:ascii="Times New Roman" w:eastAsia="Times New Roman" w:hAnsi="Times New Roman" w:cs="Times New Roman"/>
              </w:rPr>
            </w:pPr>
            <w:r>
              <w:rPr>
                <w:rFonts w:ascii="Times New Roman" w:eastAsia="Times New Roman" w:hAnsi="Times New Roman" w:cs="Times New Roman"/>
              </w:rPr>
              <w:lastRenderedPageBreak/>
              <w:t>RAPORT DE EXPERTIZĂ ANTICORUPŢIE</w:t>
            </w:r>
          </w:p>
          <w:p w14:paraId="704E7A87" w14:textId="77777777" w:rsidR="004E1CB1" w:rsidRDefault="00000000">
            <w:pPr>
              <w:keepLines/>
              <w:spacing w:line="249" w:lineRule="auto"/>
              <w:jc w:val="both"/>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proiectul</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hotărâre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Guvernului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modificarea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Guvern</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domeniul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securității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sănătății</w:t>
            </w:r>
            <w:proofErr w:type="spellEnd"/>
            <w:r>
              <w:rPr>
                <w:rFonts w:ascii="Times New Roman" w:eastAsia="Times New Roman" w:hAnsi="Times New Roman" w:cs="Times New Roman"/>
              </w:rPr>
              <w:t xml:space="preserve"> în </w:t>
            </w:r>
            <w:proofErr w:type="spellStart"/>
            <w:r>
              <w:rPr>
                <w:rFonts w:ascii="Times New Roman" w:eastAsia="Times New Roman" w:hAnsi="Times New Roman" w:cs="Times New Roman"/>
              </w:rPr>
              <w:t>muncă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număr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742/MMPS/2025)</w:t>
            </w:r>
          </w:p>
          <w:p w14:paraId="0DBF726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Nr. EHG25/10921 din 20.10.2025</w:t>
            </w:r>
          </w:p>
          <w:p w14:paraId="049569F0"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Prezentul raport de expertiză anticorupţie a fost întocmit de Centrul Național Anticorupție al Republicii Moldova în baza Legii nr.100/2017 cu privire la actele normative, a Legii nr.1104/2002 cu privire la Centrul Național Anticorupție, a Legii integrității nr.82/2017 și a Metodologiei de efectuare a expertizei anticorupţie a proiectelor de acte legislative și normative, aprobată prin Hotărârea Colegiului Centrului nr.6 din 20 octombrie 2017.</w:t>
            </w:r>
          </w:p>
          <w:p w14:paraId="730DC159"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 Analiza riscurilor de corupere a procesului de promovare a proiectului</w:t>
            </w:r>
          </w:p>
          <w:p w14:paraId="71BF7721"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I.1. Pertinența autorului, categoriei propuse a actului și a procedurii de promovare a proiectului</w:t>
            </w:r>
          </w:p>
          <w:p w14:paraId="594A1A4F"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Autor al proiectului de act normativ este Guvernul, iar autor nemijlocit este Ministerul Muncii și Protecţiei Sociale, ceea ce corespunde art.102 din Constituție, art.14 din Legea nr.100/2017 cu privire la actele normative. Categoria actului normativ propus este Hotărâre a Guvernului, ceea ce corespunde art.102 din Constituție, art.6 şi art.14 din Legea nr.100/2017 cu privire la actele normative. </w:t>
            </w:r>
          </w:p>
          <w:p w14:paraId="0AE02324" w14:textId="77777777" w:rsidR="004E1CB1" w:rsidRPr="007C4927" w:rsidRDefault="004E1CB1">
            <w:pPr>
              <w:keepLines/>
              <w:spacing w:line="249" w:lineRule="auto"/>
              <w:jc w:val="both"/>
              <w:rPr>
                <w:rFonts w:ascii="Times New Roman" w:eastAsia="Times New Roman" w:hAnsi="Times New Roman" w:cs="Times New Roman"/>
                <w:lang w:val="pt-BR"/>
              </w:rPr>
            </w:pPr>
          </w:p>
          <w:p w14:paraId="53B0D8C5"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I.2. Respectarea rigorilor de transparenţă în procesul decizional la promovarea proiectului</w:t>
            </w:r>
          </w:p>
          <w:p w14:paraId="4278DC5A"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Potrivit art.8 al Legii nr.239/2008 privind transparenţa în procesul decizional „etapele asigurării transparenţei procesului de elaborare a deciziilor sunt:</w:t>
            </w:r>
          </w:p>
          <w:p w14:paraId="31AA39EB"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 informarea publicului referitor la iniţierea elaborării deciziei;</w:t>
            </w:r>
          </w:p>
          <w:p w14:paraId="6A7CC250"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b) punerea la dispoziţia părţilor interesate a proiectului de decizie şi a materialelor aferente acestuia;</w:t>
            </w:r>
          </w:p>
          <w:p w14:paraId="4F375E03"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c) consultarea cetăţenilor, asociaţiilor constituite în corespundere cu legea, altor părţi interesate;</w:t>
            </w:r>
          </w:p>
          <w:p w14:paraId="1A1E88F6"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 examinarea recomandărilor cetăţenilor, asociaţiilor constituite în corespundere cu legea, altor părţi interesate în procesul de elaborare a proiectelor de decizii;</w:t>
            </w:r>
          </w:p>
          <w:p w14:paraId="2079001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e) informarea publicului referitor la deciziile adoptate". </w:t>
            </w:r>
          </w:p>
          <w:p w14:paraId="5D061B9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Totodată, art.10 din Legea nr.239/2008 stabileşte expres că: „(1)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14:paraId="4E5D85D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(2) Proiectul de decizie şi materialele aferente acestuia se plasează pe pagina web oficială a autorităţii publice responsabile cel puţin pentru perioada recepţionării şi examinării recomandărilor".</w:t>
            </w:r>
          </w:p>
          <w:p w14:paraId="74E53B7C"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Proiectul supus expertizei anticorupție a fost publicat pentru consultare publică pe pagina web oficială a Ministerului Muncii și Protecției Sociale, precum și pe portalul guvernamental www.particip. gov.md, asigurând accesul părților interesate pentru a-și exprima opinia și a face recomandări asupra acestuia.</w:t>
            </w:r>
          </w:p>
          <w:p w14:paraId="1927F9D6"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Totodată, autorul a asigurat informarea publicului cu privire la inițierea elaborării acestui proiect de decizie. Astfel, se constată că a fost respectată etapa esențială în asigurarea transparenței procesului de elaborare a deciziilor, conform art.8 lit.a) din Legea nr. 239/2008 privind transparența în procesul decizional.</w:t>
            </w:r>
          </w:p>
          <w:p w14:paraId="2DA84EE6"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Prin urmare, având în vedere că proiectul a fost plasat pe paginile web indicate supra și luând în considerare termenele pentru consultări publice, transparența în procesul decizional a fost asigurată integral.</w:t>
            </w:r>
          </w:p>
          <w:p w14:paraId="2CE7A453" w14:textId="77777777" w:rsidR="004E1CB1" w:rsidRPr="007C4927" w:rsidRDefault="004E1CB1">
            <w:pPr>
              <w:keepLines/>
              <w:spacing w:line="249" w:lineRule="auto"/>
              <w:jc w:val="both"/>
              <w:rPr>
                <w:rFonts w:ascii="Times New Roman" w:eastAsia="Times New Roman" w:hAnsi="Times New Roman" w:cs="Times New Roman"/>
                <w:lang w:val="pt-BR"/>
              </w:rPr>
            </w:pPr>
          </w:p>
          <w:p w14:paraId="4D97C4AA"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I.3. Scopul anunţat și scopul real al proiectului</w:t>
            </w:r>
          </w:p>
          <w:p w14:paraId="526096A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Potrivit notei de fundamentare, proiectul are drept scop asigurarea unui mediu mai sigur pentru salariați la locul de muncă în ceea ce ține de ergonomia locului de muncă precum și securitatea și sănătatea muncii.</w:t>
            </w:r>
          </w:p>
          <w:p w14:paraId="5E809042"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Totodată, autorul notează că Republica Moldova are un nivel ridicat de pregătire și conformare la cerințele cadrului normativ al UE, dat fiind faptul că toate cele trei directive sunt practic transpuse. Suplimentar, cadrul normativ actual este adaptat pentru a reglementa în mod specific prevederile directivelor, cu excepția necesității transpunerii unor dispoziții de corectare sau de adaptare a condițiilor de muncă (în ceea ce privește lucrul la monitor sau utilizarea semnelor). Astfel, transpunerea prevederilor rămase ale directivelor UE în cauză nu va necesita modificări semnificative ale legislației naționale și nici implementarea unor mecanisme noi pentru a asigura respectarea drepturilor lucrătorilor, întrucât angajatorii au deja obligația de a asigura protecția lucrătorilor în domeniul securității și sănătății în muncă.</w:t>
            </w:r>
          </w:p>
          <w:p w14:paraId="052B1D0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Analizând normele elaborate, s-a constatat că prin proiect se propune modificarea Hotărârii Guvernului nr. 353/2010 cu privire la aprobarea cerințelor minime de securitate și sănătate la locul de muncă, a Hotărârii Guvernului nr. 918/2013 privind cerințele minime pentru semnalizarea de securitate și sănătate la locul de muncă, precum și a Hotărârii Guvernului nr. 819/2016 privind cerințele minime de securitate și sănătate în muncă pentru lucrul la monitor.</w:t>
            </w:r>
          </w:p>
          <w:p w14:paraId="6205625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Prin urmare, se constată că scopul declarat de către autor în nota de fundamentare corespunde scopului real al proiectului.</w:t>
            </w:r>
          </w:p>
          <w:p w14:paraId="039AAAC8" w14:textId="77777777" w:rsidR="004E1CB1" w:rsidRPr="007C4927" w:rsidRDefault="004E1CB1">
            <w:pPr>
              <w:keepLines/>
              <w:spacing w:line="249" w:lineRule="auto"/>
              <w:jc w:val="both"/>
              <w:rPr>
                <w:rFonts w:ascii="Times New Roman" w:eastAsia="Times New Roman" w:hAnsi="Times New Roman" w:cs="Times New Roman"/>
                <w:lang w:val="pt-BR"/>
              </w:rPr>
            </w:pPr>
          </w:p>
          <w:p w14:paraId="5F9661D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I.4. Interesul public şi interesele private promovate prin proiect </w:t>
            </w:r>
          </w:p>
          <w:p w14:paraId="2734753C"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Proiectul promovează interesul public prin consolidarea măsurilor de protecție a securității și sănătății lucrătorilor.</w:t>
            </w:r>
          </w:p>
          <w:p w14:paraId="22824981" w14:textId="77777777" w:rsidR="004E1CB1" w:rsidRPr="007C4927" w:rsidRDefault="004E1CB1">
            <w:pPr>
              <w:keepLines/>
              <w:spacing w:line="249" w:lineRule="auto"/>
              <w:jc w:val="both"/>
              <w:rPr>
                <w:rFonts w:ascii="Times New Roman" w:eastAsia="Times New Roman" w:hAnsi="Times New Roman" w:cs="Times New Roman"/>
                <w:lang w:val="pt-BR"/>
              </w:rPr>
            </w:pPr>
          </w:p>
          <w:p w14:paraId="7B4A9102"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I.5. Justificarea soluțiilor proiectului </w:t>
            </w:r>
          </w:p>
          <w:p w14:paraId="76A9EDF0"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I.5.1. Suficienţa argumentării din nota informativă. În conformitate cu art.30 al Legii nr.100/2017 cu privire la actele normative, proiectele de acte normative sunt însoțite de „nota de fundamentare care cuprinde:</w:t>
            </w:r>
          </w:p>
          <w:p w14:paraId="701A05E6"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a) denumirea sau numele autorului și, după caz, a/al participanților la elaborarea proiectului actului normativ;</w:t>
            </w:r>
          </w:p>
          <w:p w14:paraId="3161302F"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b) condițiile ce au impus elaborarea proiectului actului normativ;</w:t>
            </w:r>
          </w:p>
          <w:p w14:paraId="788236A4"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c) obiectivele urmărite și soluțiile propuse;</w:t>
            </w:r>
          </w:p>
          <w:p w14:paraId="36771AEE"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 analiza impactului de reglementare;</w:t>
            </w:r>
          </w:p>
          <w:p w14:paraId="1250DEE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e) compatibilitatea proiectului actului normativ cu legislația UE;</w:t>
            </w:r>
          </w:p>
          <w:p w14:paraId="4384E1FF"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f) avizarea și consultarea publică a proiectului actului normativ;</w:t>
            </w:r>
          </w:p>
          <w:p w14:paraId="5BDEBA71"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h) modul de încorporare a actului în cadrul normativ existent; </w:t>
            </w:r>
          </w:p>
          <w:p w14:paraId="0AA373D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 măsurile necesare pentru implementarea prevederilor proiectului actului normativ."</w:t>
            </w:r>
          </w:p>
          <w:p w14:paraId="3B9FE36F"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Argumentele invocate de autor în nota de fundamentare justifică necesitatea elaborării proiectului, fiind întrunite cerințele art.30 din Legea nr.100/2017 cu privire la actele normative.</w:t>
            </w:r>
          </w:p>
          <w:p w14:paraId="7FE4FB7A" w14:textId="77777777" w:rsidR="004E1CB1" w:rsidRPr="007C4927" w:rsidRDefault="004E1CB1">
            <w:pPr>
              <w:keepLines/>
              <w:spacing w:line="249" w:lineRule="auto"/>
              <w:jc w:val="both"/>
              <w:rPr>
                <w:rFonts w:ascii="Times New Roman" w:eastAsia="Times New Roman" w:hAnsi="Times New Roman" w:cs="Times New Roman"/>
                <w:lang w:val="pt-BR"/>
              </w:rPr>
            </w:pPr>
          </w:p>
          <w:p w14:paraId="0E907594"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I.5.2. Argumentarea economică-financiară. Conform art.30 lit.d) al Legii nr.100/2017 cu privire la actele normative, nota de fundamentare trebuie să conțină „d) analiza impactului de reglementare". </w:t>
            </w:r>
          </w:p>
          <w:p w14:paraId="56FB64CA"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Potrivit autorului, „Proiectul nu generează impact financiar și nici costuri de implementare asupra sectorului public, cu excepția cazurilor în care instituțiile publice nu dispun de încăperi speciale de odihnă pentru salariați, atunci când programul acestora de lucru este întrerupt frecvent și în mod regulat, sau în situațiile în care locurile de muncă nu respectă principiile ergonomice privind reflexiile și strălucirea. În aceste cazuri, se impune actualizarea cerințelor tehnice referitoare la amplasarea monitoarelor și dotarea ferestrelor cu sisteme de acoperire reglabilă, în special dacă angajatorii din sectorul public vor fi nevoiți să amenajeze spații speciale de odihnă sau să asigure ergonomia posturilor de lucru. </w:t>
            </w:r>
          </w:p>
          <w:p w14:paraId="055671C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 xml:space="preserve">Totodată este dificil de estimat care ar fi cheltuielile pentru realizarea măsurilor de protecție și prevenire, or ultimele date statistice în acest sens reflectă doar situația generală aferentă unităților economice și sociale cu 20 și mai mulți salariați și toate instituțiile bugetare, indiferent de numărul de salariați pentru perioada de pînă în 2015 (de ex: pentru realizarea măsurilor de protecție și prevenire s-a cheltuit 435,7 lei per salariat, iar în total 252 758,9 mii lei). Datele statistice nu detaliază aceste costuri sau care au fost măsurile concrete.” </w:t>
            </w:r>
          </w:p>
          <w:p w14:paraId="605885D6" w14:textId="77777777" w:rsidR="004E1CB1" w:rsidRPr="007C4927" w:rsidRDefault="004E1CB1">
            <w:pPr>
              <w:keepLines/>
              <w:spacing w:line="249" w:lineRule="auto"/>
              <w:jc w:val="both"/>
              <w:rPr>
                <w:rFonts w:ascii="Times New Roman" w:eastAsia="Times New Roman" w:hAnsi="Times New Roman" w:cs="Times New Roman"/>
                <w:lang w:val="pt-BR"/>
              </w:rPr>
            </w:pPr>
          </w:p>
          <w:p w14:paraId="3F133DB5"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 Analiza generală a factorilor de risc ale proiectului</w:t>
            </w:r>
          </w:p>
          <w:p w14:paraId="60330FDC"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II.1. Limbajul proiectului </w:t>
            </w:r>
          </w:p>
          <w:p w14:paraId="21F45339"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Potrivit art.54 al Legii nr.100/2017 cu privire la actele normative „textul proiectului actului normativ se elaborează [...] cu respectarea următoarelor reguli: [...]</w:t>
            </w:r>
          </w:p>
          <w:p w14:paraId="3529858E"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a) se expune într-un limbaj simplu, clar şi concis [...]</w:t>
            </w:r>
          </w:p>
          <w:p w14:paraId="14F555E1"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c) terminologia utilizată este constantă, uniformă și corespunde celei utilizate în alte acte normative, în legislația Uniunii Europene și în alte instrumente internaționale la care Republica Moldova este parte, cu respectarea prevederilor prezentei legi; [...]</w:t>
            </w:r>
          </w:p>
          <w:p w14:paraId="22EC628B"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e) se interzice folosirea neologismelor dacă există sinonime de largă răspândire, [...]</w:t>
            </w:r>
          </w:p>
          <w:p w14:paraId="618D451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f) se evită folosirea [...] a cuvintelor și expresiilor [...] care nu sînt utilizate sau cu sens ambiguu;</w:t>
            </w:r>
          </w:p>
          <w:p w14:paraId="03A1427B"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g) se evită tautologiile juridice;</w:t>
            </w:r>
          </w:p>
          <w:p w14:paraId="5C800D19"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h) se utilizează, pe cât este posibil, noțiuni monosemantice, [...]".</w:t>
            </w:r>
          </w:p>
          <w:p w14:paraId="37835C90"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Textul proiectului este expus într-un limbaj simplu, clar şi concis, cu respectarea regulilor gramaticale şi de ortografie, întrunind cerinţele prevăzute de art.54 din Legea nr.100/2017. </w:t>
            </w:r>
          </w:p>
          <w:p w14:paraId="4582CA0B" w14:textId="77777777" w:rsidR="004E1CB1" w:rsidRPr="007C4927" w:rsidRDefault="004E1CB1">
            <w:pPr>
              <w:keepLines/>
              <w:spacing w:line="249" w:lineRule="auto"/>
              <w:jc w:val="both"/>
              <w:rPr>
                <w:rFonts w:ascii="Times New Roman" w:eastAsia="Times New Roman" w:hAnsi="Times New Roman" w:cs="Times New Roman"/>
                <w:lang w:val="pt-BR"/>
              </w:rPr>
            </w:pPr>
          </w:p>
          <w:p w14:paraId="458DD7A5"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II.2. Coerența legislativă a proiectului</w:t>
            </w:r>
          </w:p>
          <w:p w14:paraId="6D96B200"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În textul proiectului nu au fost identificate norme contradictorii sau conflicte dintre prevederile acestuia cu reglementările altor acte normative în vigoare.</w:t>
            </w:r>
          </w:p>
          <w:p w14:paraId="49379AC4" w14:textId="77777777" w:rsidR="004E1CB1" w:rsidRPr="007C4927" w:rsidRDefault="004E1CB1">
            <w:pPr>
              <w:keepLines/>
              <w:spacing w:line="249" w:lineRule="auto"/>
              <w:jc w:val="both"/>
              <w:rPr>
                <w:rFonts w:ascii="Times New Roman" w:eastAsia="Times New Roman" w:hAnsi="Times New Roman" w:cs="Times New Roman"/>
                <w:lang w:val="pt-BR"/>
              </w:rPr>
            </w:pPr>
          </w:p>
          <w:p w14:paraId="75393947"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II.3. Activitatea agenţilor publici şi a entităților publice reglementată în proiect</w:t>
            </w:r>
          </w:p>
          <w:p w14:paraId="2F573E19"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Proiectul reglementează activitatea entităților în domeniul securității și sănătății în muncă.</w:t>
            </w:r>
          </w:p>
          <w:p w14:paraId="40F60EBD" w14:textId="77777777" w:rsidR="004E1CB1" w:rsidRPr="007C4927" w:rsidRDefault="004E1CB1">
            <w:pPr>
              <w:keepLines/>
              <w:spacing w:line="249" w:lineRule="auto"/>
              <w:jc w:val="both"/>
              <w:rPr>
                <w:rFonts w:ascii="Times New Roman" w:eastAsia="Times New Roman" w:hAnsi="Times New Roman" w:cs="Times New Roman"/>
                <w:lang w:val="pt-BR"/>
              </w:rPr>
            </w:pPr>
          </w:p>
          <w:p w14:paraId="3AA03157"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II.4. Atingeri ale drepturilor omului care pot fi cauzate la aplicarea proiectului</w:t>
            </w:r>
          </w:p>
          <w:p w14:paraId="2E91B7CA"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Prevederile proiectului nu aduc atingere drepturilor fundamentale ale omului consacrate de Constituţia Republicii Moldova, Declaraţia Universală a Drepturilor Omului şi Convenţia Europeană a Drepturilor Omului.</w:t>
            </w:r>
          </w:p>
          <w:p w14:paraId="27448A6A" w14:textId="77777777" w:rsidR="004E1CB1" w:rsidRPr="007C4927" w:rsidRDefault="004E1CB1">
            <w:pPr>
              <w:keepLines/>
              <w:spacing w:line="249" w:lineRule="auto"/>
              <w:jc w:val="both"/>
              <w:rPr>
                <w:rFonts w:ascii="Times New Roman" w:eastAsia="Times New Roman" w:hAnsi="Times New Roman" w:cs="Times New Roman"/>
                <w:lang w:val="pt-BR"/>
              </w:rPr>
            </w:pPr>
          </w:p>
          <w:p w14:paraId="0B7EC9AC"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III. Concluzia expertizei</w:t>
            </w:r>
          </w:p>
          <w:p w14:paraId="1A0B71B3"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Proiectul a fost elaborat de Ministerul Muncii și Protecției Sociale și are drept scop asigurarea unui mediu mai sigur pentru salariați la locul de muncă în ceea ce ține de ergonomia locului de muncă precum și securitatea și sănătatea muncii. Astfel, prin proiect se propune modificarea Hotărârii Guvernului nr. 353/2010 cu privire la aprobarea cerințelor minime de securitate și sănătate la locul de muncă, a Hotărârii Guvernului nr. 918/2013 privind cerințele minime pentru semnalizarea de securitate și sănătate la locul de muncă, precum și a Hotărârii Guvernului nr. 819/2016 privind cerințele minime de securitate și sănătate în muncă pentru lucrul la monitor. </w:t>
            </w:r>
          </w:p>
          <w:p w14:paraId="4415ABEE" w14:textId="77777777" w:rsidR="004E1CB1" w:rsidRPr="007C4927" w:rsidRDefault="004E1CB1">
            <w:pPr>
              <w:keepLines/>
              <w:spacing w:line="249" w:lineRule="auto"/>
              <w:jc w:val="both"/>
              <w:rPr>
                <w:rFonts w:ascii="Times New Roman" w:eastAsia="Times New Roman" w:hAnsi="Times New Roman" w:cs="Times New Roman"/>
                <w:lang w:val="pt-BR"/>
              </w:rPr>
            </w:pPr>
          </w:p>
          <w:p w14:paraId="0E71A361"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lastRenderedPageBreak/>
              <w:t>Autorul a prezentat Sinteza avizelor parvenite în cadrul procesului de consultare publică a proiectului de către autoritățile responsabile de implementarea prevederilor conţinute în proiect/instituţiilor interesate, fapt ce denotă caracterul definitivat al acestuia și întrunirea condițiilor stabilite de prevederile art.28 din Legea integrității nr.82/2017.</w:t>
            </w:r>
          </w:p>
          <w:p w14:paraId="38957284" w14:textId="77777777" w:rsidR="004E1CB1" w:rsidRPr="007C4927" w:rsidRDefault="004E1CB1">
            <w:pPr>
              <w:keepLines/>
              <w:spacing w:line="249" w:lineRule="auto"/>
              <w:jc w:val="both"/>
              <w:rPr>
                <w:rFonts w:ascii="Times New Roman" w:eastAsia="Times New Roman" w:hAnsi="Times New Roman" w:cs="Times New Roman"/>
                <w:lang w:val="pt-BR"/>
              </w:rPr>
            </w:pPr>
          </w:p>
          <w:p w14:paraId="58570738"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În procesul de promovare a proiectului, au fost respectate rigorile de asigurare a transparenţei decizionale statuate de prevederile art.8 lit.a)-d) din Legea nr. 239/2008 privind transparenţa în procesul decizional. Nota informativă a proiectului a fost structurată cu întrunirea exigențelor de tehnică legislativă statuate de prevederile art.30 lit.a)-f) din Legea nr. 100/2017 cu privire la actele normative.</w:t>
            </w:r>
          </w:p>
          <w:p w14:paraId="1DBCE44F" w14:textId="77777777" w:rsidR="004E1CB1" w:rsidRPr="007C4927" w:rsidRDefault="004E1CB1">
            <w:pPr>
              <w:keepLines/>
              <w:spacing w:line="249" w:lineRule="auto"/>
              <w:jc w:val="both"/>
              <w:rPr>
                <w:rFonts w:ascii="Times New Roman" w:eastAsia="Times New Roman" w:hAnsi="Times New Roman" w:cs="Times New Roman"/>
                <w:lang w:val="pt-BR"/>
              </w:rPr>
            </w:pPr>
          </w:p>
          <w:p w14:paraId="728F72ED"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Implementarea prevederilor propuse poate contribui la realizarea interesului public vizat de proiect, fapt care nu este în detrimentul interesului public general (în sensul prevăzut de prevederile Legii integrităţii nr.82/2017).</w:t>
            </w:r>
          </w:p>
          <w:p w14:paraId="0438F233" w14:textId="77777777" w:rsidR="004E1CB1" w:rsidRPr="007C4927" w:rsidRDefault="004E1CB1">
            <w:pPr>
              <w:keepLines/>
              <w:spacing w:line="249" w:lineRule="auto"/>
              <w:jc w:val="both"/>
              <w:rPr>
                <w:rFonts w:ascii="Times New Roman" w:eastAsia="Times New Roman" w:hAnsi="Times New Roman" w:cs="Times New Roman"/>
                <w:lang w:val="pt-BR"/>
              </w:rPr>
            </w:pPr>
          </w:p>
          <w:p w14:paraId="17B04AFF"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 xml:space="preserve">20.10.2025 </w:t>
            </w:r>
          </w:p>
          <w:p w14:paraId="6139E284"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Expert al Direcției legislație și expertiză anticorupție:</w:t>
            </w:r>
          </w:p>
          <w:p w14:paraId="04B3BF8B" w14:textId="77777777" w:rsidR="004E1CB1" w:rsidRPr="007C4927" w:rsidRDefault="00000000">
            <w:pPr>
              <w:keepLines/>
              <w:spacing w:line="249" w:lineRule="auto"/>
              <w:jc w:val="both"/>
              <w:rPr>
                <w:rFonts w:ascii="Times New Roman" w:eastAsia="Times New Roman" w:hAnsi="Times New Roman" w:cs="Times New Roman"/>
                <w:lang w:val="pt-BR"/>
              </w:rPr>
            </w:pPr>
            <w:r w:rsidRPr="007C4927">
              <w:rPr>
                <w:rFonts w:ascii="Times New Roman" w:eastAsia="Times New Roman" w:hAnsi="Times New Roman" w:cs="Times New Roman"/>
                <w:lang w:val="pt-BR"/>
              </w:rPr>
              <w:t>Diana Scurtu , Inspector principal</w:t>
            </w:r>
          </w:p>
        </w:tc>
        <w:tc>
          <w:tcPr>
            <w:tcW w:w="5730" w:type="dxa"/>
            <w:tcBorders>
              <w:top w:val="single" w:sz="4" w:space="0" w:color="000000"/>
              <w:left w:val="single" w:sz="4" w:space="0" w:color="444746"/>
              <w:bottom w:val="single" w:sz="4" w:space="0" w:color="000000"/>
              <w:right w:val="single" w:sz="4" w:space="0" w:color="000000"/>
            </w:tcBorders>
            <w:shd w:val="clear" w:color="auto" w:fill="auto"/>
            <w:tcMar>
              <w:top w:w="20" w:type="dxa"/>
              <w:left w:w="40" w:type="dxa"/>
              <w:bottom w:w="20" w:type="dxa"/>
              <w:right w:w="40" w:type="dxa"/>
            </w:tcMar>
          </w:tcPr>
          <w:p w14:paraId="7EC7E5F3"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Se ia act.</w:t>
            </w:r>
          </w:p>
        </w:tc>
      </w:tr>
      <w:tr w:rsidR="004E1CB1" w14:paraId="4BD5B787"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99F28C7" w14:textId="77777777" w:rsidR="004E1CB1" w:rsidRDefault="004E1CB1">
            <w:pPr>
              <w:keepLines/>
              <w:spacing w:line="240" w:lineRule="auto"/>
              <w:rPr>
                <w:rFonts w:ascii="Times New Roman" w:eastAsia="Times New Roman" w:hAnsi="Times New Roman" w:cs="Times New Roman"/>
              </w:rPr>
            </w:pPr>
          </w:p>
        </w:tc>
        <w:tc>
          <w:tcPr>
            <w:tcW w:w="2475" w:type="dxa"/>
            <w:tcBorders>
              <w:top w:val="single" w:sz="4" w:space="0" w:color="000000"/>
              <w:left w:val="single" w:sz="4" w:space="0" w:color="000000"/>
              <w:bottom w:val="single" w:sz="4" w:space="0" w:color="000000"/>
              <w:right w:val="single" w:sz="4" w:space="0" w:color="444746"/>
            </w:tcBorders>
            <w:shd w:val="clear" w:color="auto" w:fill="auto"/>
            <w:tcMar>
              <w:top w:w="20" w:type="dxa"/>
              <w:left w:w="40" w:type="dxa"/>
              <w:bottom w:w="20" w:type="dxa"/>
              <w:right w:w="40" w:type="dxa"/>
            </w:tcMar>
          </w:tcPr>
          <w:p w14:paraId="79EC3CBF" w14:textId="77777777" w:rsidR="004E1CB1" w:rsidRDefault="004E1CB1">
            <w:pPr>
              <w:spacing w:line="240" w:lineRule="auto"/>
              <w:jc w:val="center"/>
              <w:rPr>
                <w:rFonts w:ascii="Times New Roman" w:eastAsia="Times New Roman" w:hAnsi="Times New Roman" w:cs="Times New Roman"/>
                <w:b/>
                <w:bCs/>
                <w:highlight w:val="white"/>
              </w:rPr>
            </w:pPr>
          </w:p>
        </w:tc>
        <w:tc>
          <w:tcPr>
            <w:tcW w:w="5520" w:type="dxa"/>
            <w:tcBorders>
              <w:top w:val="single" w:sz="4" w:space="0" w:color="444746"/>
              <w:left w:val="single" w:sz="4" w:space="0" w:color="444746"/>
              <w:bottom w:val="single" w:sz="4" w:space="0" w:color="444746"/>
              <w:right w:val="single" w:sz="4" w:space="0" w:color="444746"/>
            </w:tcBorders>
            <w:shd w:val="clear" w:color="auto" w:fill="auto"/>
            <w:tcMar>
              <w:top w:w="20" w:type="dxa"/>
              <w:left w:w="40" w:type="dxa"/>
              <w:bottom w:w="20" w:type="dxa"/>
              <w:right w:w="40" w:type="dxa"/>
            </w:tcMar>
          </w:tcPr>
          <w:p w14:paraId="76E35F26" w14:textId="77777777" w:rsidR="004E1CB1" w:rsidRDefault="004E1CB1">
            <w:pPr>
              <w:keepLines/>
              <w:spacing w:line="249" w:lineRule="auto"/>
              <w:jc w:val="both"/>
              <w:rPr>
                <w:rFonts w:ascii="Times New Roman" w:eastAsia="Times New Roman" w:hAnsi="Times New Roman" w:cs="Times New Roman"/>
              </w:rPr>
            </w:pPr>
          </w:p>
        </w:tc>
        <w:tc>
          <w:tcPr>
            <w:tcW w:w="5730" w:type="dxa"/>
            <w:tcBorders>
              <w:top w:val="single" w:sz="4" w:space="0" w:color="000000"/>
              <w:left w:val="single" w:sz="4" w:space="0" w:color="444746"/>
              <w:bottom w:val="single" w:sz="4" w:space="0" w:color="000000"/>
              <w:right w:val="single" w:sz="4" w:space="0" w:color="000000"/>
            </w:tcBorders>
            <w:shd w:val="clear" w:color="auto" w:fill="auto"/>
            <w:tcMar>
              <w:top w:w="20" w:type="dxa"/>
              <w:left w:w="40" w:type="dxa"/>
              <w:bottom w:w="20" w:type="dxa"/>
              <w:right w:w="40" w:type="dxa"/>
            </w:tcMar>
          </w:tcPr>
          <w:p w14:paraId="0BC62713" w14:textId="77777777" w:rsidR="004E1CB1" w:rsidRDefault="004E1CB1">
            <w:pPr>
              <w:keepLines/>
              <w:spacing w:line="240" w:lineRule="auto"/>
              <w:rPr>
                <w:rFonts w:ascii="Times New Roman" w:eastAsia="Times New Roman" w:hAnsi="Times New Roman" w:cs="Times New Roman"/>
              </w:rPr>
            </w:pPr>
          </w:p>
        </w:tc>
      </w:tr>
      <w:tr w:rsidR="004E1CB1" w:rsidRPr="007C4927" w14:paraId="5A9C7B9E"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60EE95A6" w14:textId="77777777" w:rsidR="004E1CB1" w:rsidRDefault="004E1CB1">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3BEFF8D1" w14:textId="77777777" w:rsidR="004E1CB1" w:rsidRPr="007C4927" w:rsidRDefault="00000000">
            <w:pPr>
              <w:keepLines/>
              <w:spacing w:line="240" w:lineRule="auto"/>
              <w:jc w:val="center"/>
              <w:rPr>
                <w:rFonts w:ascii="Times New Roman" w:eastAsia="Times New Roman" w:hAnsi="Times New Roman" w:cs="Times New Roman"/>
                <w:b/>
                <w:bCs/>
                <w:lang w:val="pt-BR"/>
              </w:rPr>
            </w:pPr>
            <w:r w:rsidRPr="007C4927">
              <w:rPr>
                <w:rFonts w:ascii="Times New Roman" w:eastAsia="Times New Roman" w:hAnsi="Times New Roman" w:cs="Times New Roman"/>
                <w:b/>
                <w:bCs/>
                <w:lang w:val="pt-BR"/>
              </w:rPr>
              <w:t>Consultări publice</w:t>
            </w:r>
          </w:p>
          <w:p w14:paraId="002938E8" w14:textId="77777777" w:rsidR="004E1CB1" w:rsidRPr="007C4927" w:rsidRDefault="004E1CB1">
            <w:pPr>
              <w:keepLines/>
              <w:spacing w:line="240" w:lineRule="auto"/>
              <w:jc w:val="center"/>
              <w:rPr>
                <w:rFonts w:ascii="Times New Roman" w:eastAsia="Times New Roman" w:hAnsi="Times New Roman" w:cs="Times New Roman"/>
                <w:b/>
                <w:bCs/>
                <w:lang w:val="pt-BR"/>
              </w:rPr>
            </w:pPr>
            <w:hyperlink r:id="rId11">
              <w:r w:rsidRPr="007C4927">
                <w:rPr>
                  <w:rFonts w:ascii="Times New Roman" w:eastAsia="Times New Roman" w:hAnsi="Times New Roman" w:cs="Times New Roman"/>
                  <w:b/>
                  <w:bCs/>
                  <w:color w:val="1155CC"/>
                  <w:u w:val="single"/>
                  <w:lang w:val="pt-BR"/>
                </w:rPr>
                <w:t>https://particip.gov.md/ro/document/stages/se-plaseaza-spre-consultare-publica-proiectul-de-hotarare-pentru-modificarea-unor-hotarari-de-guvern-in-domeniul-securitatii-si-sanatatii-in-munca/15164</w:t>
              </w:r>
            </w:hyperlink>
          </w:p>
          <w:p w14:paraId="4878BAA1" w14:textId="77777777" w:rsidR="004E1CB1" w:rsidRPr="007C4927" w:rsidRDefault="004E1CB1">
            <w:pPr>
              <w:keepLines/>
              <w:spacing w:line="240" w:lineRule="auto"/>
              <w:rPr>
                <w:rFonts w:ascii="Times New Roman" w:eastAsia="Times New Roman" w:hAnsi="Times New Roman" w:cs="Times New Roman"/>
                <w:b/>
                <w:bCs/>
                <w:lang w:val="pt-BR"/>
              </w:rPr>
            </w:pPr>
          </w:p>
        </w:tc>
      </w:tr>
      <w:tr w:rsidR="004E1CB1" w14:paraId="53FCCD7B" w14:textId="77777777">
        <w:trPr>
          <w:trHeight w:val="45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3F4F6A" w14:textId="77777777" w:rsidR="004E1CB1" w:rsidRPr="007C4927" w:rsidRDefault="004E1CB1">
            <w:pPr>
              <w:keepLines/>
              <w:spacing w:line="240" w:lineRule="auto"/>
              <w:rPr>
                <w:rFonts w:ascii="Times New Roman" w:eastAsia="Times New Roman" w:hAnsi="Times New Roman" w:cs="Times New Roman"/>
                <w:lang w:val="pt-BR"/>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D66861" w14:textId="77777777" w:rsidR="004E1CB1"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552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76F2708"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E3936EB" w14:textId="77777777" w:rsidR="004E1CB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w:t>
            </w:r>
          </w:p>
        </w:tc>
      </w:tr>
    </w:tbl>
    <w:p w14:paraId="2463C80B" w14:textId="77777777" w:rsidR="004E1CB1" w:rsidRDefault="004E1CB1">
      <w:pPr>
        <w:keepLines/>
        <w:spacing w:line="240" w:lineRule="auto"/>
        <w:rPr>
          <w:rFonts w:ascii="Times New Roman" w:eastAsia="Times New Roman" w:hAnsi="Times New Roman" w:cs="Times New Roman"/>
        </w:rPr>
      </w:pPr>
    </w:p>
    <w:p w14:paraId="22FE181A" w14:textId="77777777" w:rsidR="004E1CB1" w:rsidRDefault="004E1CB1">
      <w:pPr>
        <w:keepLines/>
        <w:spacing w:line="240" w:lineRule="auto"/>
        <w:rPr>
          <w:rFonts w:ascii="Times New Roman" w:eastAsia="Times New Roman" w:hAnsi="Times New Roman" w:cs="Times New Roman"/>
        </w:rPr>
      </w:pPr>
    </w:p>
    <w:p w14:paraId="08EF6993" w14:textId="77777777" w:rsidR="004E1CB1" w:rsidRDefault="004E1CB1">
      <w:pPr>
        <w:spacing w:before="240" w:line="240" w:lineRule="auto"/>
        <w:ind w:firstLine="708"/>
        <w:jc w:val="both"/>
        <w:rPr>
          <w:rFonts w:ascii="Times New Roman" w:eastAsia="Times New Roman" w:hAnsi="Times New Roman" w:cs="Times New Roman"/>
        </w:rPr>
      </w:pPr>
    </w:p>
    <w:sectPr w:rsidR="004E1CB1">
      <w:headerReference w:type="default" r:id="rId12"/>
      <w:footerReference w:type="default" r:id="rId13"/>
      <w:pgSz w:w="16834" w:h="11909" w:orient="landscape"/>
      <w:pgMar w:top="283"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1CA01" w14:textId="77777777" w:rsidR="00404C83" w:rsidRDefault="00404C83">
      <w:pPr>
        <w:spacing w:line="240" w:lineRule="auto"/>
      </w:pPr>
      <w:r>
        <w:separator/>
      </w:r>
    </w:p>
  </w:endnote>
  <w:endnote w:type="continuationSeparator" w:id="0">
    <w:p w14:paraId="3705E6C9" w14:textId="77777777" w:rsidR="00404C83" w:rsidRDefault="00404C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7AF6F3-0C4B-4A88-BF50-517CE0A318ED}"/>
  </w:font>
  <w:font w:name="Cambria">
    <w:panose1 w:val="02040503050406030204"/>
    <w:charset w:val="00"/>
    <w:family w:val="roman"/>
    <w:pitch w:val="variable"/>
    <w:sig w:usb0="E00006FF" w:usb1="420024FF" w:usb2="02000000" w:usb3="00000000" w:csb0="0000019F" w:csb1="00000000"/>
    <w:embedRegular r:id="rId2" w:fontKey="{8EF9A653-D9F8-4938-9F1A-C3C809747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62BB" w14:textId="77777777" w:rsidR="004E1CB1" w:rsidRDefault="00000000">
    <w:pPr>
      <w:jc w:val="right"/>
    </w:pPr>
    <w:r>
      <w:fldChar w:fldCharType="begin"/>
    </w:r>
    <w:r>
      <w:instrText>PAGE</w:instrText>
    </w:r>
    <w:r>
      <w:fldChar w:fldCharType="separate"/>
    </w:r>
    <w:r w:rsidR="007C49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DC51E" w14:textId="77777777" w:rsidR="00404C83" w:rsidRDefault="00404C83">
      <w:pPr>
        <w:spacing w:line="240" w:lineRule="auto"/>
      </w:pPr>
      <w:r>
        <w:separator/>
      </w:r>
    </w:p>
  </w:footnote>
  <w:footnote w:type="continuationSeparator" w:id="0">
    <w:p w14:paraId="621E6188" w14:textId="77777777" w:rsidR="00404C83" w:rsidRDefault="00404C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BA06" w14:textId="77777777" w:rsidR="004E1CB1" w:rsidRDefault="004E1CB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CB1"/>
    <w:rsid w:val="001739B3"/>
    <w:rsid w:val="00347896"/>
    <w:rsid w:val="00404C83"/>
    <w:rsid w:val="004E1CB1"/>
    <w:rsid w:val="007C4927"/>
    <w:rsid w:val="00A748DA"/>
    <w:rsid w:val="00AF7E93"/>
    <w:rsid w:val="00DC2DD7"/>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4ECE0"/>
  <w15:docId w15:val="{F0311728-3C46-4487-AF16-DA53EEC8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3A01989L0654-20190726"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eur-lex.europa.eu/legal-content/EN/TXT/?uri=celex%3A31989L0654R%2801%29"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ur-lex.europa.eu/legal-content/EN/TXT/?uri=celex%3A31989L0654R%2801%29" TargetMode="External"/><Relationship Id="rId11" Type="http://schemas.openxmlformats.org/officeDocument/2006/relationships/hyperlink" Target="https://particip.gov.md/ro/document/stages/se-plaseaza-spre-consultare-publica-proiectul-de-hotarare-pentru-modificarea-unor-hotarari-de-guvern-in-domeniul-securitatii-si-sanatatii-in-munca/15164"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eur-lex.europa.eu/legal-content/EN/TXT/?uri=CELEX%3A01989L0654-20190726" TargetMode="External"/><Relationship Id="rId4" Type="http://schemas.openxmlformats.org/officeDocument/2006/relationships/footnotes" Target="footnotes.xml"/><Relationship Id="rId9" Type="http://schemas.openxmlformats.org/officeDocument/2006/relationships/hyperlink" Target="https://eur-lex.europa.eu/legal-content/EN/TXT/?uri=celex%3A31989L0654R%2801%2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8850</Words>
  <Characters>51335</Characters>
  <Application>Microsoft Office Word</Application>
  <DocSecurity>0</DocSecurity>
  <Lines>427</Lines>
  <Paragraphs>120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Scurtu</dc:creator>
  <cp:lastModifiedBy>Direcția Politici în Domeniul Raporturi de Muncă</cp:lastModifiedBy>
  <cp:revision>2</cp:revision>
  <dcterms:created xsi:type="dcterms:W3CDTF">2026-02-12T06:14:00Z</dcterms:created>
  <dcterms:modified xsi:type="dcterms:W3CDTF">2026-02-12T06:14:00Z</dcterms:modified>
</cp:coreProperties>
</file>