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B4C53" w14:textId="77777777" w:rsidR="00305C4A" w:rsidRDefault="00754344" w:rsidP="00305C4A">
      <w:pPr>
        <w:jc w:val="center"/>
        <w:rPr>
          <w:b/>
          <w:sz w:val="22"/>
          <w:szCs w:val="22"/>
          <w:lang w:val="ro-RO"/>
        </w:rPr>
      </w:pPr>
      <w:r w:rsidRPr="00305C4A">
        <w:rPr>
          <w:b/>
          <w:sz w:val="22"/>
          <w:szCs w:val="22"/>
          <w:lang w:val="ro-RO"/>
        </w:rPr>
        <w:t>TABEL DE CONCORDANȚĂ</w:t>
      </w:r>
    </w:p>
    <w:tbl>
      <w:tblPr>
        <w:tblW w:w="5000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5664"/>
        <w:gridCol w:w="5830"/>
        <w:gridCol w:w="1691"/>
        <w:gridCol w:w="1271"/>
        <w:gridCol w:w="12"/>
      </w:tblGrid>
      <w:tr w:rsidR="003922FE" w:rsidRPr="00305C4A" w14:paraId="2F33B207" w14:textId="77777777" w:rsidTr="0093088E">
        <w:tc>
          <w:tcPr>
            <w:tcW w:w="218" w:type="pct"/>
          </w:tcPr>
          <w:p w14:paraId="39328AAE" w14:textId="77777777" w:rsidR="009A2FC5" w:rsidRPr="00305C4A" w:rsidRDefault="009A2FC5" w:rsidP="0016738B">
            <w:pPr>
              <w:ind w:firstLine="0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305C4A">
              <w:rPr>
                <w:rFonts w:eastAsia="Calibri"/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4782" w:type="pct"/>
            <w:gridSpan w:val="5"/>
          </w:tcPr>
          <w:p w14:paraId="62FEF892" w14:textId="77777777" w:rsidR="009A2FC5" w:rsidRPr="00305C4A" w:rsidRDefault="009A2FC5" w:rsidP="0016738B">
            <w:pPr>
              <w:ind w:firstLine="0"/>
              <w:rPr>
                <w:bCs/>
                <w:color w:val="333333"/>
                <w:sz w:val="22"/>
                <w:szCs w:val="22"/>
                <w:lang w:val="ro-RO" w:eastAsia="en-GB"/>
              </w:rPr>
            </w:pPr>
            <w:r w:rsidRPr="00305C4A">
              <w:rPr>
                <w:rFonts w:eastAsia="Calibri"/>
                <w:sz w:val="22"/>
                <w:szCs w:val="22"/>
                <w:lang w:val="ro-RO" w:eastAsia="ru-RU"/>
              </w:rPr>
              <w:t>Titlul actului Uniunii Europene, inclusiv cele mai recente amendamente incluse</w:t>
            </w:r>
            <w:r w:rsidRPr="00305C4A">
              <w:rPr>
                <w:bCs/>
                <w:color w:val="333333"/>
                <w:sz w:val="22"/>
                <w:szCs w:val="22"/>
                <w:lang w:val="ro-RO" w:eastAsia="en-GB"/>
              </w:rPr>
              <w:t xml:space="preserve"> </w:t>
            </w:r>
            <w:r w:rsidRPr="00305C4A">
              <w:rPr>
                <w:sz w:val="22"/>
                <w:szCs w:val="22"/>
                <w:lang w:val="ro-RO"/>
              </w:rPr>
              <w:t>și numărul CELEX</w:t>
            </w:r>
          </w:p>
          <w:p w14:paraId="4EDD62DF" w14:textId="77777777" w:rsidR="00795B36" w:rsidRPr="00305C4A" w:rsidRDefault="00795B36" w:rsidP="0016738B">
            <w:pPr>
              <w:ind w:firstLine="0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305C4A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Directiva 2000/84/CE a Parlamentului European și a Consiliului din 19 ianuarie 2001 privind dispozițiile referitoare la orarul de vară</w:t>
            </w:r>
          </w:p>
          <w:p w14:paraId="1F62DFE2" w14:textId="07FB6154" w:rsidR="009A2FC5" w:rsidRPr="00305C4A" w:rsidRDefault="00795B36" w:rsidP="00B052FC">
            <w:pPr>
              <w:ind w:firstLine="0"/>
              <w:rPr>
                <w:bCs/>
                <w:color w:val="333333"/>
                <w:sz w:val="22"/>
                <w:szCs w:val="22"/>
                <w:lang w:val="ro-RO" w:eastAsia="en-GB"/>
              </w:rPr>
            </w:pPr>
            <w:r w:rsidRPr="00305C4A">
              <w:rPr>
                <w:rFonts w:eastAsia="Calibri"/>
                <w:b/>
                <w:bCs/>
                <w:sz w:val="22"/>
                <w:szCs w:val="22"/>
                <w:lang w:val="ro-RO"/>
              </w:rPr>
              <w:t>Număr CELEX: 32000L0084</w:t>
            </w:r>
          </w:p>
        </w:tc>
      </w:tr>
      <w:tr w:rsidR="003922FE" w:rsidRPr="002313CD" w14:paraId="53A88749" w14:textId="77777777" w:rsidTr="0093088E">
        <w:tc>
          <w:tcPr>
            <w:tcW w:w="218" w:type="pct"/>
          </w:tcPr>
          <w:p w14:paraId="6D41709C" w14:textId="77777777" w:rsidR="009A2FC5" w:rsidRPr="00305C4A" w:rsidRDefault="009A2FC5" w:rsidP="0016738B">
            <w:pPr>
              <w:ind w:firstLine="0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305C4A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4782" w:type="pct"/>
            <w:gridSpan w:val="5"/>
          </w:tcPr>
          <w:p w14:paraId="028A081D" w14:textId="77777777" w:rsidR="009A2FC5" w:rsidRPr="00305C4A" w:rsidRDefault="009A2FC5" w:rsidP="0016738B">
            <w:pPr>
              <w:ind w:firstLine="0"/>
              <w:rPr>
                <w:sz w:val="22"/>
                <w:szCs w:val="22"/>
                <w:lang w:val="ro-RO"/>
              </w:rPr>
            </w:pPr>
            <w:r w:rsidRPr="00305C4A">
              <w:rPr>
                <w:rFonts w:eastAsia="Calibri"/>
                <w:sz w:val="22"/>
                <w:szCs w:val="22"/>
                <w:lang w:val="ro-RO" w:eastAsia="ru-RU"/>
              </w:rPr>
              <w:t xml:space="preserve">Titlul </w:t>
            </w:r>
            <w:r w:rsidRPr="00305C4A">
              <w:rPr>
                <w:sz w:val="22"/>
                <w:szCs w:val="22"/>
                <w:lang w:val="ro-RO"/>
              </w:rPr>
              <w:t>actului/actelor normative naționale:</w:t>
            </w:r>
          </w:p>
          <w:p w14:paraId="0465E255" w14:textId="51D17F0C" w:rsidR="0008757F" w:rsidRPr="00305C4A" w:rsidRDefault="009A2FC5" w:rsidP="00B052FC">
            <w:pPr>
              <w:ind w:firstLine="0"/>
              <w:rPr>
                <w:rFonts w:eastAsia="Calibri"/>
                <w:sz w:val="22"/>
                <w:szCs w:val="22"/>
                <w:lang w:val="ro-RO"/>
              </w:rPr>
            </w:pPr>
            <w:r w:rsidRPr="00305C4A">
              <w:rPr>
                <w:rFonts w:eastAsia="Calibri"/>
                <w:b/>
                <w:sz w:val="22"/>
                <w:szCs w:val="22"/>
                <w:lang w:val="ro-RO" w:eastAsia="ru-RU"/>
              </w:rPr>
              <w:t xml:space="preserve">Hotărârea Guvernului </w:t>
            </w:r>
            <w:r w:rsidR="0008757F" w:rsidRPr="00305C4A">
              <w:rPr>
                <w:rFonts w:eastAsia="Calibri"/>
                <w:b/>
                <w:sz w:val="22"/>
                <w:szCs w:val="22"/>
                <w:lang w:val="ro-RO"/>
              </w:rPr>
              <w:t xml:space="preserve">pentru aprobarea </w:t>
            </w:r>
            <w:r w:rsidR="00795B36" w:rsidRPr="00305C4A">
              <w:rPr>
                <w:rFonts w:eastAsia="Calibri"/>
                <w:b/>
                <w:bCs/>
                <w:sz w:val="22"/>
                <w:szCs w:val="22"/>
                <w:lang w:val="ro-RO"/>
              </w:rPr>
              <w:t xml:space="preserve">pentru </w:t>
            </w:r>
            <w:bookmarkStart w:id="0" w:name="_Hlk212107771"/>
            <w:r w:rsidR="00795B36" w:rsidRPr="00305C4A">
              <w:rPr>
                <w:rFonts w:eastAsia="Calibri"/>
                <w:b/>
                <w:bCs/>
                <w:sz w:val="22"/>
                <w:szCs w:val="22"/>
                <w:lang w:val="ro-RO"/>
              </w:rPr>
              <w:t xml:space="preserve">aprobarea orei oficiale pe teritoriul Republicii Moldova și a orarului de vară </w:t>
            </w:r>
            <w:bookmarkEnd w:id="0"/>
          </w:p>
        </w:tc>
      </w:tr>
      <w:tr w:rsidR="003922FE" w:rsidRPr="002313CD" w14:paraId="28759E61" w14:textId="77777777" w:rsidTr="0093088E">
        <w:tc>
          <w:tcPr>
            <w:tcW w:w="218" w:type="pct"/>
          </w:tcPr>
          <w:p w14:paraId="035AD308" w14:textId="77777777" w:rsidR="009A2FC5" w:rsidRPr="00305C4A" w:rsidRDefault="009A2FC5" w:rsidP="0016738B">
            <w:pPr>
              <w:ind w:firstLine="0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305C4A">
              <w:rPr>
                <w:rFonts w:eastAsia="Calibri"/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4782" w:type="pct"/>
            <w:gridSpan w:val="5"/>
          </w:tcPr>
          <w:p w14:paraId="4E5E8417" w14:textId="77777777" w:rsidR="0008757F" w:rsidRPr="00305C4A" w:rsidRDefault="009A2FC5" w:rsidP="0016738B">
            <w:pPr>
              <w:ind w:firstLine="0"/>
              <w:rPr>
                <w:rFonts w:eastAsia="Calibri"/>
                <w:sz w:val="22"/>
                <w:szCs w:val="22"/>
                <w:lang w:val="ro-RO"/>
              </w:rPr>
            </w:pPr>
            <w:r w:rsidRPr="00305C4A">
              <w:rPr>
                <w:rFonts w:eastAsia="Calibri"/>
                <w:sz w:val="22"/>
                <w:szCs w:val="22"/>
                <w:lang w:val="ro-RO"/>
              </w:rPr>
              <w:t>Grad</w:t>
            </w:r>
            <w:r w:rsidR="0008757F" w:rsidRPr="00305C4A">
              <w:rPr>
                <w:rFonts w:eastAsia="Calibri"/>
                <w:sz w:val="22"/>
                <w:szCs w:val="22"/>
                <w:lang w:val="ro-RO"/>
              </w:rPr>
              <w:t xml:space="preserve">ul general de compatibilitate </w:t>
            </w:r>
          </w:p>
          <w:p w14:paraId="1AFE4A50" w14:textId="6D03DDA7" w:rsidR="00FE4449" w:rsidRPr="00305C4A" w:rsidRDefault="009A2FC5" w:rsidP="00B052FC">
            <w:pPr>
              <w:ind w:firstLine="0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305C4A">
              <w:rPr>
                <w:rFonts w:eastAsia="Calibri"/>
                <w:b/>
                <w:sz w:val="22"/>
                <w:szCs w:val="22"/>
                <w:lang w:val="ro-RO"/>
              </w:rPr>
              <w:t>Compatibil</w:t>
            </w:r>
          </w:p>
        </w:tc>
      </w:tr>
      <w:tr w:rsidR="003922FE" w:rsidRPr="002313CD" w14:paraId="13CB63D1" w14:textId="77777777" w:rsidTr="0093088E">
        <w:tc>
          <w:tcPr>
            <w:tcW w:w="218" w:type="pct"/>
          </w:tcPr>
          <w:p w14:paraId="4349B55F" w14:textId="77777777" w:rsidR="009A2FC5" w:rsidRPr="00305C4A" w:rsidRDefault="009A2FC5" w:rsidP="0016738B">
            <w:pPr>
              <w:ind w:firstLine="0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305C4A">
              <w:rPr>
                <w:rFonts w:eastAsia="Calibri"/>
                <w:b/>
                <w:sz w:val="22"/>
                <w:szCs w:val="22"/>
                <w:lang w:val="ro-RO"/>
              </w:rPr>
              <w:t>4.</w:t>
            </w:r>
          </w:p>
        </w:tc>
        <w:tc>
          <w:tcPr>
            <w:tcW w:w="4782" w:type="pct"/>
            <w:gridSpan w:val="5"/>
          </w:tcPr>
          <w:p w14:paraId="7DBFD7F2" w14:textId="77777777" w:rsidR="0008757F" w:rsidRPr="00305C4A" w:rsidRDefault="009A2FC5" w:rsidP="0016738B">
            <w:pPr>
              <w:ind w:firstLine="0"/>
              <w:rPr>
                <w:sz w:val="22"/>
                <w:szCs w:val="22"/>
                <w:lang w:val="ro-RO"/>
              </w:rPr>
            </w:pPr>
            <w:r w:rsidRPr="00305C4A">
              <w:rPr>
                <w:sz w:val="22"/>
                <w:szCs w:val="22"/>
                <w:lang w:val="ro-RO"/>
              </w:rPr>
              <w:t>Autorit</w:t>
            </w:r>
            <w:r w:rsidR="0008757F" w:rsidRPr="00305C4A">
              <w:rPr>
                <w:sz w:val="22"/>
                <w:szCs w:val="22"/>
                <w:lang w:val="ro-RO"/>
              </w:rPr>
              <w:t>atea și persoana responsabilă</w:t>
            </w:r>
          </w:p>
          <w:p w14:paraId="43CC6855" w14:textId="485B37E5" w:rsidR="00FE4449" w:rsidRPr="00305C4A" w:rsidRDefault="009A2FC5" w:rsidP="00B052FC">
            <w:pPr>
              <w:ind w:firstLine="0"/>
              <w:rPr>
                <w:sz w:val="22"/>
                <w:szCs w:val="22"/>
                <w:lang w:val="ro-RO"/>
              </w:rPr>
            </w:pPr>
            <w:r w:rsidRPr="00305C4A">
              <w:rPr>
                <w:b/>
                <w:sz w:val="22"/>
                <w:szCs w:val="22"/>
                <w:lang w:val="ro-RO"/>
              </w:rPr>
              <w:t>Ministerul Dezvoltării Economice și Digitalizării, Lidia Jitari</w:t>
            </w:r>
          </w:p>
        </w:tc>
      </w:tr>
      <w:tr w:rsidR="003922FE" w:rsidRPr="00305C4A" w14:paraId="2D13230F" w14:textId="77777777" w:rsidTr="0093088E">
        <w:tc>
          <w:tcPr>
            <w:tcW w:w="218" w:type="pct"/>
          </w:tcPr>
          <w:p w14:paraId="7CC101B8" w14:textId="77777777" w:rsidR="009A2FC5" w:rsidRPr="00305C4A" w:rsidRDefault="009A2FC5" w:rsidP="0016738B">
            <w:pPr>
              <w:ind w:firstLine="0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305C4A">
              <w:rPr>
                <w:rFonts w:eastAsia="Calibri"/>
                <w:b/>
                <w:sz w:val="22"/>
                <w:szCs w:val="22"/>
                <w:lang w:val="ro-RO"/>
              </w:rPr>
              <w:t>5.</w:t>
            </w:r>
          </w:p>
        </w:tc>
        <w:tc>
          <w:tcPr>
            <w:tcW w:w="4782" w:type="pct"/>
            <w:gridSpan w:val="5"/>
          </w:tcPr>
          <w:p w14:paraId="136BE3E9" w14:textId="5F6F6E26" w:rsidR="00FE4449" w:rsidRPr="00305C4A" w:rsidRDefault="009A2FC5" w:rsidP="00305C4A">
            <w:pPr>
              <w:ind w:firstLine="0"/>
              <w:rPr>
                <w:sz w:val="22"/>
                <w:szCs w:val="22"/>
                <w:lang w:val="ro-RO"/>
              </w:rPr>
            </w:pPr>
            <w:r w:rsidRPr="00305C4A">
              <w:rPr>
                <w:rFonts w:eastAsia="Calibri"/>
                <w:bCs/>
                <w:sz w:val="22"/>
                <w:szCs w:val="22"/>
                <w:lang w:val="ro-RO"/>
              </w:rPr>
              <w:t>Data întocmirii</w:t>
            </w:r>
            <w:r w:rsidR="001E276D" w:rsidRPr="00305C4A">
              <w:rPr>
                <w:rFonts w:eastAsia="Calibri"/>
                <w:bCs/>
                <w:sz w:val="22"/>
                <w:szCs w:val="22"/>
                <w:lang w:val="ro-RO"/>
              </w:rPr>
              <w:t xml:space="preserve"> </w:t>
            </w:r>
            <w:r w:rsidRPr="00305C4A">
              <w:rPr>
                <w:rFonts w:eastAsia="Calibri"/>
                <w:bCs/>
                <w:sz w:val="22"/>
                <w:szCs w:val="22"/>
                <w:lang w:val="ro-RO"/>
              </w:rPr>
              <w:t>–</w:t>
            </w:r>
            <w:r w:rsidR="001E276D" w:rsidRPr="00305C4A">
              <w:rPr>
                <w:rFonts w:eastAsia="Calibri"/>
                <w:bCs/>
                <w:sz w:val="22"/>
                <w:szCs w:val="22"/>
                <w:lang w:val="ro-RO"/>
              </w:rPr>
              <w:t xml:space="preserve"> </w:t>
            </w:r>
            <w:r w:rsidR="00417B93" w:rsidRPr="002313CD">
              <w:rPr>
                <w:rFonts w:eastAsia="Calibri"/>
                <w:b/>
                <w:sz w:val="22"/>
                <w:szCs w:val="22"/>
                <w:lang w:val="ro-RO"/>
              </w:rPr>
              <w:t>0</w:t>
            </w:r>
            <w:r w:rsidR="002313CD" w:rsidRPr="002313CD">
              <w:rPr>
                <w:rFonts w:eastAsia="Calibri"/>
                <w:b/>
                <w:sz w:val="22"/>
                <w:szCs w:val="22"/>
                <w:lang w:val="ro-RO"/>
              </w:rPr>
              <w:t>8</w:t>
            </w:r>
            <w:r w:rsidR="002C3A73" w:rsidRPr="002313CD">
              <w:rPr>
                <w:rFonts w:eastAsia="Calibri"/>
                <w:b/>
                <w:sz w:val="22"/>
                <w:szCs w:val="22"/>
                <w:lang w:val="ro-RO"/>
              </w:rPr>
              <w:t>.1</w:t>
            </w:r>
            <w:r w:rsidR="00417B93" w:rsidRPr="002313CD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  <w:r w:rsidR="002C3A73" w:rsidRPr="002313CD">
              <w:rPr>
                <w:rFonts w:eastAsia="Calibri"/>
                <w:b/>
                <w:sz w:val="22"/>
                <w:szCs w:val="22"/>
                <w:lang w:val="ro-RO"/>
              </w:rPr>
              <w:t>.</w:t>
            </w:r>
            <w:r w:rsidR="002F4805" w:rsidRPr="002313CD">
              <w:rPr>
                <w:rFonts w:eastAsia="Calibri"/>
                <w:b/>
                <w:sz w:val="22"/>
                <w:szCs w:val="22"/>
                <w:lang w:val="ro-RO"/>
              </w:rPr>
              <w:t>2025</w:t>
            </w:r>
            <w:r w:rsidRPr="00305C4A">
              <w:rPr>
                <w:rFonts w:eastAsia="Calibri"/>
                <w:bCs/>
                <w:sz w:val="22"/>
                <w:szCs w:val="22"/>
                <w:lang w:val="ro-RO"/>
              </w:rPr>
              <w:t xml:space="preserve"> </w:t>
            </w:r>
          </w:p>
        </w:tc>
      </w:tr>
      <w:tr w:rsidR="00B052FC" w:rsidRPr="00305C4A" w14:paraId="72BC560A" w14:textId="77777777" w:rsidTr="0093088E">
        <w:trPr>
          <w:gridAfter w:val="1"/>
          <w:wAfter w:w="4" w:type="pct"/>
        </w:trPr>
        <w:tc>
          <w:tcPr>
            <w:tcW w:w="218" w:type="pct"/>
          </w:tcPr>
          <w:p w14:paraId="3F269D80" w14:textId="77777777" w:rsidR="002C3A73" w:rsidRPr="00305C4A" w:rsidRDefault="002C3A73" w:rsidP="0016738B">
            <w:pPr>
              <w:ind w:firstLine="0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1871" w:type="pct"/>
          </w:tcPr>
          <w:p w14:paraId="1751906F" w14:textId="058521D4" w:rsidR="002C3A73" w:rsidRPr="00305C4A" w:rsidRDefault="002C3A73" w:rsidP="00FE4449">
            <w:pPr>
              <w:ind w:firstLine="0"/>
              <w:jc w:val="center"/>
              <w:rPr>
                <w:rFonts w:eastAsia="Calibri"/>
                <w:bCs/>
                <w:sz w:val="22"/>
                <w:szCs w:val="22"/>
                <w:lang w:val="ro-RO"/>
              </w:rPr>
            </w:pPr>
            <w:r w:rsidRPr="00305C4A">
              <w:rPr>
                <w:b/>
                <w:sz w:val="22"/>
                <w:szCs w:val="22"/>
                <w:lang w:val="ro-RO"/>
              </w:rPr>
              <w:t>Actul Uniunii Europene</w:t>
            </w:r>
          </w:p>
        </w:tc>
        <w:tc>
          <w:tcPr>
            <w:tcW w:w="1927" w:type="pct"/>
          </w:tcPr>
          <w:p w14:paraId="2F1EBF80" w14:textId="222CD484" w:rsidR="002C3A73" w:rsidRPr="00305C4A" w:rsidRDefault="00E119E3" w:rsidP="00FE4449">
            <w:pPr>
              <w:ind w:firstLine="0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305C4A">
              <w:rPr>
                <w:rFonts w:eastAsia="Calibri"/>
                <w:b/>
                <w:sz w:val="22"/>
                <w:szCs w:val="22"/>
                <w:lang w:val="ro-RO"/>
              </w:rPr>
              <w:t>Proiect de act normativ național</w:t>
            </w:r>
          </w:p>
        </w:tc>
        <w:tc>
          <w:tcPr>
            <w:tcW w:w="559" w:type="pct"/>
          </w:tcPr>
          <w:p w14:paraId="49A56EC9" w14:textId="77DF0FA3" w:rsidR="002C3A73" w:rsidRPr="00305C4A" w:rsidRDefault="002C3A73" w:rsidP="00FE4449">
            <w:pPr>
              <w:ind w:firstLine="0"/>
              <w:jc w:val="center"/>
              <w:rPr>
                <w:rFonts w:eastAsia="Calibri"/>
                <w:bCs/>
                <w:sz w:val="22"/>
                <w:szCs w:val="22"/>
                <w:lang w:val="ro-RO"/>
              </w:rPr>
            </w:pPr>
            <w:r w:rsidRPr="00305C4A">
              <w:rPr>
                <w:b/>
                <w:sz w:val="22"/>
                <w:szCs w:val="22"/>
                <w:lang w:val="ro-RO"/>
              </w:rPr>
              <w:t>Gradul de compatibilitate</w:t>
            </w:r>
          </w:p>
        </w:tc>
        <w:tc>
          <w:tcPr>
            <w:tcW w:w="420" w:type="pct"/>
          </w:tcPr>
          <w:p w14:paraId="47751BE7" w14:textId="7BF46607" w:rsidR="002C3A73" w:rsidRPr="00305C4A" w:rsidRDefault="002C3A73" w:rsidP="00FE4449">
            <w:pPr>
              <w:ind w:firstLine="0"/>
              <w:jc w:val="center"/>
              <w:rPr>
                <w:rFonts w:eastAsia="Calibri"/>
                <w:bCs/>
                <w:sz w:val="22"/>
                <w:szCs w:val="22"/>
                <w:lang w:val="ro-RO"/>
              </w:rPr>
            </w:pPr>
            <w:r w:rsidRPr="00305C4A">
              <w:rPr>
                <w:b/>
                <w:sz w:val="22"/>
                <w:szCs w:val="22"/>
                <w:lang w:val="ro-RO"/>
              </w:rPr>
              <w:t>Observații</w:t>
            </w:r>
          </w:p>
        </w:tc>
      </w:tr>
      <w:tr w:rsidR="00B052FC" w:rsidRPr="00305C4A" w14:paraId="7F8EAA78" w14:textId="77777777" w:rsidTr="0093088E">
        <w:trPr>
          <w:gridAfter w:val="1"/>
          <w:wAfter w:w="4" w:type="pct"/>
        </w:trPr>
        <w:tc>
          <w:tcPr>
            <w:tcW w:w="2090" w:type="pct"/>
            <w:gridSpan w:val="2"/>
          </w:tcPr>
          <w:p w14:paraId="4BB0BEE7" w14:textId="31D048D9" w:rsidR="008E6E4F" w:rsidRPr="00305C4A" w:rsidRDefault="008E6E4F" w:rsidP="00E119E3">
            <w:pPr>
              <w:ind w:firstLine="0"/>
              <w:jc w:val="center"/>
              <w:rPr>
                <w:rFonts w:eastAsia="Calibri"/>
                <w:bCs/>
                <w:sz w:val="22"/>
                <w:szCs w:val="22"/>
                <w:lang w:val="ro-RO"/>
              </w:rPr>
            </w:pPr>
            <w:r w:rsidRPr="00305C4A">
              <w:rPr>
                <w:rFonts w:eastAsia="Calibri"/>
                <w:b/>
                <w:bCs/>
                <w:sz w:val="22"/>
                <w:szCs w:val="22"/>
                <w:lang w:val="ro-RO"/>
              </w:rPr>
              <w:t>6</w:t>
            </w:r>
          </w:p>
        </w:tc>
        <w:tc>
          <w:tcPr>
            <w:tcW w:w="1927" w:type="pct"/>
          </w:tcPr>
          <w:p w14:paraId="56986FBF" w14:textId="5E1EBBAD" w:rsidR="008E6E4F" w:rsidRPr="00305C4A" w:rsidRDefault="008E6E4F" w:rsidP="002C3A73">
            <w:pPr>
              <w:ind w:firstLine="0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305C4A">
              <w:rPr>
                <w:rFonts w:eastAsia="Calibri"/>
                <w:b/>
                <w:sz w:val="22"/>
                <w:szCs w:val="22"/>
                <w:lang w:val="ro-RO"/>
              </w:rPr>
              <w:t>7</w:t>
            </w:r>
          </w:p>
        </w:tc>
        <w:tc>
          <w:tcPr>
            <w:tcW w:w="559" w:type="pct"/>
          </w:tcPr>
          <w:p w14:paraId="3103C555" w14:textId="5C12CC9D" w:rsidR="008E6E4F" w:rsidRPr="00305C4A" w:rsidRDefault="008E6E4F" w:rsidP="002C3A73">
            <w:pPr>
              <w:ind w:firstLine="0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305C4A">
              <w:rPr>
                <w:rFonts w:eastAsia="Calibri"/>
                <w:b/>
                <w:sz w:val="22"/>
                <w:szCs w:val="22"/>
                <w:lang w:val="ro-RO"/>
              </w:rPr>
              <w:t>8</w:t>
            </w:r>
          </w:p>
        </w:tc>
        <w:tc>
          <w:tcPr>
            <w:tcW w:w="420" w:type="pct"/>
          </w:tcPr>
          <w:p w14:paraId="78B62AA3" w14:textId="69FB1D5E" w:rsidR="008E6E4F" w:rsidRPr="00305C4A" w:rsidRDefault="008E6E4F" w:rsidP="002C3A73">
            <w:pPr>
              <w:ind w:firstLine="0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305C4A">
              <w:rPr>
                <w:rFonts w:eastAsia="Calibri"/>
                <w:b/>
                <w:sz w:val="22"/>
                <w:szCs w:val="22"/>
                <w:lang w:val="ro-RO"/>
              </w:rPr>
              <w:t>9</w:t>
            </w:r>
          </w:p>
        </w:tc>
      </w:tr>
      <w:tr w:rsidR="00B052FC" w:rsidRPr="00305C4A" w14:paraId="048380B4" w14:textId="77777777" w:rsidTr="0093088E">
        <w:trPr>
          <w:gridAfter w:val="1"/>
          <w:wAfter w:w="4" w:type="pct"/>
          <w:trHeight w:val="367"/>
        </w:trPr>
        <w:tc>
          <w:tcPr>
            <w:tcW w:w="2090" w:type="pct"/>
            <w:gridSpan w:val="2"/>
          </w:tcPr>
          <w:p w14:paraId="77C1D974" w14:textId="07713AC5" w:rsidR="008E6E4F" w:rsidRPr="00305C4A" w:rsidRDefault="009A11CE" w:rsidP="00B052FC">
            <w:pPr>
              <w:shd w:val="clear" w:color="auto" w:fill="FFFFFF"/>
              <w:spacing w:before="120"/>
              <w:ind w:firstLine="0"/>
              <w:rPr>
                <w:rFonts w:eastAsia="Calibri"/>
                <w:b/>
                <w:bCs/>
                <w:sz w:val="22"/>
                <w:szCs w:val="22"/>
                <w:lang w:val="ro-RO"/>
              </w:rPr>
            </w:pPr>
            <w:r w:rsidRPr="009A11CE">
              <w:rPr>
                <w:color w:val="000000"/>
                <w:sz w:val="22"/>
                <w:szCs w:val="22"/>
                <w:lang w:val="ro-RO" w:eastAsia="ro-RO"/>
              </w:rPr>
              <w:t>ADOPTĂ PREZENTA DIRECTIVĂ:</w:t>
            </w:r>
          </w:p>
        </w:tc>
        <w:tc>
          <w:tcPr>
            <w:tcW w:w="1927" w:type="pct"/>
          </w:tcPr>
          <w:p w14:paraId="62C039BD" w14:textId="1DE83CA9" w:rsidR="00C675C7" w:rsidRPr="00305C4A" w:rsidRDefault="002D3A42" w:rsidP="00B052FC">
            <w:pPr>
              <w:ind w:firstLine="567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2D3A42">
              <w:rPr>
                <w:b/>
                <w:sz w:val="22"/>
                <w:szCs w:val="22"/>
                <w:lang w:val="ro-RO"/>
              </w:rPr>
              <w:t>Guvernul HOTĂRĂȘTE:</w:t>
            </w:r>
          </w:p>
        </w:tc>
        <w:tc>
          <w:tcPr>
            <w:tcW w:w="559" w:type="pct"/>
          </w:tcPr>
          <w:p w14:paraId="0373F895" w14:textId="5C1C5617" w:rsidR="008E6E4F" w:rsidRPr="00305C4A" w:rsidRDefault="008E6E4F" w:rsidP="00795B36">
            <w:pPr>
              <w:ind w:firstLine="0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420" w:type="pct"/>
          </w:tcPr>
          <w:p w14:paraId="13141558" w14:textId="77777777" w:rsidR="008E6E4F" w:rsidRPr="00305C4A" w:rsidRDefault="008E6E4F" w:rsidP="002C3A73">
            <w:pPr>
              <w:ind w:firstLine="0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</w:tr>
      <w:tr w:rsidR="00B052FC" w:rsidRPr="00B052FC" w14:paraId="49401D57" w14:textId="77777777" w:rsidTr="0093088E">
        <w:trPr>
          <w:gridAfter w:val="1"/>
          <w:wAfter w:w="4" w:type="pct"/>
        </w:trPr>
        <w:tc>
          <w:tcPr>
            <w:tcW w:w="2090" w:type="pct"/>
            <w:gridSpan w:val="2"/>
          </w:tcPr>
          <w:p w14:paraId="373EE6E7" w14:textId="77777777" w:rsidR="009A11CE" w:rsidRPr="00305C4A" w:rsidRDefault="009A11CE" w:rsidP="00305C4A">
            <w:pPr>
              <w:pStyle w:val="Frspaiere"/>
              <w:ind w:firstLine="27"/>
              <w:rPr>
                <w:b/>
                <w:bCs/>
                <w:i/>
                <w:iCs/>
                <w:sz w:val="22"/>
                <w:szCs w:val="22"/>
                <w:lang w:val="ro-RO" w:eastAsia="ro-RO"/>
              </w:rPr>
            </w:pPr>
            <w:r w:rsidRPr="00305C4A">
              <w:rPr>
                <w:b/>
                <w:bCs/>
                <w:i/>
                <w:iCs/>
                <w:sz w:val="22"/>
                <w:szCs w:val="22"/>
                <w:lang w:val="ro-RO" w:eastAsia="ro-RO"/>
              </w:rPr>
              <w:t>Articolul 1</w:t>
            </w:r>
          </w:p>
          <w:p w14:paraId="4B981661" w14:textId="0215DA86" w:rsidR="00795B36" w:rsidRPr="00305C4A" w:rsidRDefault="009A11CE" w:rsidP="00B052FC">
            <w:pPr>
              <w:pStyle w:val="Frspaiere"/>
              <w:ind w:firstLine="27"/>
              <w:rPr>
                <w:rFonts w:eastAsia="Calibri"/>
                <w:b/>
                <w:bCs/>
                <w:sz w:val="22"/>
                <w:szCs w:val="22"/>
                <w:lang w:val="ro-RO"/>
              </w:rPr>
            </w:pPr>
            <w:r w:rsidRPr="00305C4A">
              <w:rPr>
                <w:sz w:val="22"/>
                <w:szCs w:val="22"/>
                <w:lang w:val="ro-RO" w:eastAsia="ro-RO"/>
              </w:rPr>
              <w:t>În sensul prezentei directive, „orar de vară” reprezintă acea perioadă din an în timpul căreia ceasul se dă cu 60 de minute înainte în raport cu restul anului.</w:t>
            </w:r>
          </w:p>
        </w:tc>
        <w:tc>
          <w:tcPr>
            <w:tcW w:w="1927" w:type="pct"/>
          </w:tcPr>
          <w:p w14:paraId="0D973818" w14:textId="5EE31AB3" w:rsidR="002D3A42" w:rsidRPr="002D3A42" w:rsidRDefault="002D3A42" w:rsidP="00305C4A">
            <w:pPr>
              <w:ind w:firstLine="27"/>
              <w:rPr>
                <w:rFonts w:eastAsia="Calibri"/>
                <w:sz w:val="22"/>
                <w:szCs w:val="22"/>
                <w:lang w:val="ro-RO"/>
              </w:rPr>
            </w:pPr>
            <w:r w:rsidRPr="002D3A42">
              <w:rPr>
                <w:rFonts w:eastAsia="Calibri"/>
                <w:b/>
                <w:bCs/>
                <w:sz w:val="22"/>
                <w:szCs w:val="22"/>
                <w:lang w:val="ro-RO"/>
              </w:rPr>
              <w:t>1.</w:t>
            </w:r>
            <w:r w:rsidRPr="002D3A42">
              <w:rPr>
                <w:rFonts w:eastAsia="Calibri"/>
                <w:sz w:val="22"/>
                <w:szCs w:val="22"/>
                <w:lang w:val="ro-RO"/>
              </w:rPr>
              <w:t xml:space="preserve"> O</w:t>
            </w:r>
            <w:r w:rsidRPr="002D3A42">
              <w:rPr>
                <w:sz w:val="22"/>
                <w:szCs w:val="22"/>
                <w:lang w:val="ro-RO" w:eastAsia="ro-RO"/>
              </w:rPr>
              <w:t>ra oficială p</w:t>
            </w:r>
            <w:r w:rsidRPr="002D3A42">
              <w:rPr>
                <w:rFonts w:eastAsia="Calibri"/>
                <w:sz w:val="22"/>
                <w:szCs w:val="22"/>
                <w:lang w:val="ro-RO"/>
              </w:rPr>
              <w:t xml:space="preserve">e teritoriul Republicii Moldova est </w:t>
            </w:r>
            <w:r w:rsidRPr="002D3A42">
              <w:rPr>
                <w:sz w:val="22"/>
                <w:szCs w:val="22"/>
                <w:lang w:val="ro-RO" w:eastAsia="ro-RO"/>
              </w:rPr>
              <w:t>ora standard (</w:t>
            </w:r>
            <w:r w:rsidRPr="002D3A42">
              <w:rPr>
                <w:rFonts w:eastAsia="Calibri"/>
                <w:i/>
                <w:sz w:val="22"/>
                <w:szCs w:val="22"/>
                <w:lang w:val="ro-RO"/>
              </w:rPr>
              <w:t>Timpul Universal Coordonat</w:t>
            </w:r>
            <w:r w:rsidRPr="002D3A42">
              <w:rPr>
                <w:sz w:val="22"/>
                <w:szCs w:val="22"/>
                <w:lang w:val="ro-RO" w:eastAsia="ro-RO"/>
              </w:rPr>
              <w:t xml:space="preserve"> - UTC) stabilită de </w:t>
            </w:r>
            <w:r w:rsidR="00B16341" w:rsidRPr="00B16341">
              <w:rPr>
                <w:rFonts w:eastAsia="Arial"/>
                <w:color w:val="0A0A0A"/>
                <w:sz w:val="24"/>
                <w:szCs w:val="24"/>
                <w:shd w:val="clear" w:color="auto" w:fill="FFFFFF"/>
                <w:lang w:val="ro-RO"/>
              </w:rPr>
              <w:t>Biroul Internațional de Măsuri și Greutăți</w:t>
            </w:r>
            <w:r w:rsidRPr="002D3A42">
              <w:rPr>
                <w:sz w:val="22"/>
                <w:szCs w:val="22"/>
                <w:lang w:val="ro-RO" w:eastAsia="ro-RO"/>
              </w:rPr>
              <w:t xml:space="preserve">, majorată cu două ore și </w:t>
            </w:r>
            <w:r w:rsidRPr="00B16341">
              <w:rPr>
                <w:color w:val="181818"/>
                <w:sz w:val="22"/>
                <w:szCs w:val="22"/>
                <w:shd w:val="clear" w:color="auto" w:fill="FFFFFF"/>
                <w:lang w:val="ro-RO"/>
              </w:rPr>
              <w:t xml:space="preserve">corespunde fusului orar </w:t>
            </w:r>
            <w:r w:rsidRPr="002D3A42">
              <w:rPr>
                <w:sz w:val="22"/>
                <w:szCs w:val="22"/>
                <w:lang w:val="ro-RO" w:eastAsia="ro-RO"/>
              </w:rPr>
              <w:t>(UTC+2).</w:t>
            </w:r>
            <w:r w:rsidRPr="002D3A42">
              <w:rPr>
                <w:rFonts w:eastAsia="Calibri"/>
                <w:i/>
                <w:sz w:val="22"/>
                <w:szCs w:val="22"/>
                <w:lang w:val="ro-RO"/>
              </w:rPr>
              <w:t xml:space="preserve"> </w:t>
            </w:r>
          </w:p>
          <w:p w14:paraId="76B37D4B" w14:textId="77777777" w:rsidR="002D3A42" w:rsidRPr="002D3A42" w:rsidRDefault="002D3A42" w:rsidP="00305C4A">
            <w:pPr>
              <w:ind w:firstLine="27"/>
              <w:rPr>
                <w:color w:val="000000"/>
                <w:sz w:val="22"/>
                <w:szCs w:val="22"/>
                <w:bdr w:val="none" w:sz="0" w:space="0" w:color="auto" w:frame="1"/>
                <w:lang w:val="ro-RO" w:eastAsia="ro-RO"/>
              </w:rPr>
            </w:pPr>
            <w:r w:rsidRPr="002D3A42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ro-RO" w:eastAsia="ro-RO"/>
              </w:rPr>
              <w:t>3.</w:t>
            </w:r>
            <w:r w:rsidRPr="002D3A42">
              <w:rPr>
                <w:color w:val="000000"/>
                <w:sz w:val="22"/>
                <w:szCs w:val="22"/>
                <w:bdr w:val="none" w:sz="0" w:space="0" w:color="auto" w:frame="1"/>
                <w:lang w:val="ro-RO" w:eastAsia="ro-RO"/>
              </w:rPr>
              <w:t xml:space="preserve"> Ora de vară se aplică în țară pentru o anumită perioadă în fiecare an.</w:t>
            </w:r>
          </w:p>
          <w:p w14:paraId="5EDAA58C" w14:textId="726435E7" w:rsidR="002D3A42" w:rsidRPr="002D3A42" w:rsidRDefault="002D3A42" w:rsidP="00305C4A">
            <w:pPr>
              <w:ind w:firstLine="27"/>
              <w:rPr>
                <w:color w:val="000000"/>
                <w:sz w:val="22"/>
                <w:szCs w:val="22"/>
                <w:bdr w:val="none" w:sz="0" w:space="0" w:color="auto" w:frame="1"/>
                <w:lang w:val="ro-RO" w:eastAsia="ro-RO"/>
              </w:rPr>
            </w:pPr>
            <w:r w:rsidRPr="0002785A">
              <w:rPr>
                <w:color w:val="000000"/>
                <w:sz w:val="22"/>
                <w:szCs w:val="22"/>
                <w:bdr w:val="none" w:sz="0" w:space="0" w:color="auto" w:frame="1"/>
                <w:lang w:val="ro-RO" w:eastAsia="ro-RO"/>
              </w:rPr>
              <w:t xml:space="preserve">3.1. </w:t>
            </w:r>
            <w:r w:rsidR="002313CD" w:rsidRPr="002313CD">
              <w:rPr>
                <w:color w:val="000000"/>
                <w:sz w:val="22"/>
                <w:szCs w:val="22"/>
                <w:bdr w:val="none" w:sz="0" w:space="0" w:color="auto" w:frame="1"/>
                <w:lang w:val="ro-RO" w:eastAsia="ro-RO"/>
              </w:rPr>
              <w:t>Ora de vară înseamnă că ora oficială indicată la pct. 1 este mărită cu o oră;</w:t>
            </w:r>
          </w:p>
          <w:p w14:paraId="249F5FBB" w14:textId="77777777" w:rsidR="00795B36" w:rsidRPr="00305C4A" w:rsidRDefault="00795B36" w:rsidP="00305C4A">
            <w:pPr>
              <w:ind w:firstLine="27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559" w:type="pct"/>
          </w:tcPr>
          <w:p w14:paraId="11285045" w14:textId="461F8733" w:rsidR="00795B36" w:rsidRPr="00305C4A" w:rsidRDefault="00B052FC" w:rsidP="00EF09DE">
            <w:pPr>
              <w:ind w:firstLine="0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305C4A">
              <w:rPr>
                <w:rFonts w:eastAsia="Calibri"/>
                <w:sz w:val="22"/>
                <w:szCs w:val="22"/>
                <w:lang w:val="ro-RO"/>
              </w:rPr>
              <w:t>Compatibil</w:t>
            </w:r>
          </w:p>
        </w:tc>
        <w:tc>
          <w:tcPr>
            <w:tcW w:w="420" w:type="pct"/>
          </w:tcPr>
          <w:p w14:paraId="529C178B" w14:textId="77777777" w:rsidR="00795B36" w:rsidRPr="00305C4A" w:rsidRDefault="00795B36" w:rsidP="002C3A73">
            <w:pPr>
              <w:ind w:firstLine="0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</w:tr>
      <w:tr w:rsidR="00B052FC" w:rsidRPr="00305C4A" w14:paraId="5BAD182D" w14:textId="77777777" w:rsidTr="0093088E">
        <w:trPr>
          <w:gridAfter w:val="1"/>
          <w:wAfter w:w="4" w:type="pct"/>
        </w:trPr>
        <w:tc>
          <w:tcPr>
            <w:tcW w:w="2090" w:type="pct"/>
            <w:gridSpan w:val="2"/>
          </w:tcPr>
          <w:p w14:paraId="4BAECEEB" w14:textId="77777777" w:rsidR="009A11CE" w:rsidRPr="00305C4A" w:rsidRDefault="009A11CE" w:rsidP="00305C4A">
            <w:pPr>
              <w:pStyle w:val="Frspaiere"/>
              <w:ind w:firstLine="27"/>
              <w:rPr>
                <w:b/>
                <w:bCs/>
                <w:i/>
                <w:iCs/>
                <w:sz w:val="22"/>
                <w:szCs w:val="22"/>
                <w:lang w:val="ro-RO" w:eastAsia="ro-RO"/>
              </w:rPr>
            </w:pPr>
            <w:r w:rsidRPr="00305C4A">
              <w:rPr>
                <w:b/>
                <w:bCs/>
                <w:i/>
                <w:iCs/>
                <w:sz w:val="22"/>
                <w:szCs w:val="22"/>
                <w:lang w:val="ro-RO" w:eastAsia="ro-RO"/>
              </w:rPr>
              <w:t>Articolul 2</w:t>
            </w:r>
          </w:p>
          <w:p w14:paraId="25DACF45" w14:textId="77777777" w:rsidR="00AA6E01" w:rsidRDefault="009A11CE" w:rsidP="00B052FC">
            <w:pPr>
              <w:pStyle w:val="Frspaiere"/>
              <w:ind w:firstLine="27"/>
              <w:rPr>
                <w:sz w:val="22"/>
                <w:szCs w:val="22"/>
                <w:lang w:val="ro-RO" w:eastAsia="ro-RO"/>
              </w:rPr>
            </w:pPr>
            <w:r w:rsidRPr="00305C4A">
              <w:rPr>
                <w:sz w:val="22"/>
                <w:szCs w:val="22"/>
                <w:lang w:val="ro-RO" w:eastAsia="ro-RO"/>
              </w:rPr>
              <w:t>Începând cu anul 2002, orarul de vară începe, în fiecare stat membru, la ora 1 a dimineții, în timp universal, în ultima duminică din martie.</w:t>
            </w:r>
          </w:p>
          <w:p w14:paraId="2DC92C83" w14:textId="1B6CF4FD" w:rsidR="00B052FC" w:rsidRPr="00305C4A" w:rsidRDefault="00B052FC" w:rsidP="00B052FC">
            <w:pPr>
              <w:pStyle w:val="Frspaiere"/>
              <w:ind w:firstLine="27"/>
              <w:rPr>
                <w:rFonts w:eastAsia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927" w:type="pct"/>
          </w:tcPr>
          <w:p w14:paraId="02DE691A" w14:textId="2BD7BA32" w:rsidR="002D3A42" w:rsidRPr="002D3A42" w:rsidRDefault="002D3A42" w:rsidP="00305C4A">
            <w:pPr>
              <w:ind w:firstLine="27"/>
              <w:rPr>
                <w:color w:val="000000"/>
                <w:sz w:val="22"/>
                <w:szCs w:val="22"/>
                <w:bdr w:val="none" w:sz="0" w:space="0" w:color="auto" w:frame="1"/>
                <w:lang w:val="ro-RO" w:eastAsia="ro-RO"/>
              </w:rPr>
            </w:pPr>
            <w:r w:rsidRPr="002D3A42">
              <w:rPr>
                <w:color w:val="000000"/>
                <w:sz w:val="22"/>
                <w:szCs w:val="22"/>
                <w:bdr w:val="none" w:sz="0" w:space="0" w:color="auto" w:frame="1"/>
                <w:lang w:val="ro-RO" w:eastAsia="ro-RO"/>
              </w:rPr>
              <w:t>3.2. Ora de vară începe la ora 03:00, ora standard, în ultima duminică din martie. Ora indicată devine ora 04:00</w:t>
            </w:r>
            <w:r w:rsidR="005B5D12" w:rsidRPr="00305C4A">
              <w:rPr>
                <w:color w:val="000000"/>
                <w:sz w:val="22"/>
                <w:szCs w:val="22"/>
                <w:bdr w:val="none" w:sz="0" w:space="0" w:color="auto" w:frame="1"/>
                <w:lang w:val="ro-RO" w:eastAsia="ro-RO"/>
              </w:rPr>
              <w:t>;</w:t>
            </w:r>
          </w:p>
          <w:p w14:paraId="19BD6287" w14:textId="77777777" w:rsidR="00795B36" w:rsidRPr="00305C4A" w:rsidRDefault="00795B36" w:rsidP="00305C4A">
            <w:pPr>
              <w:ind w:firstLine="27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559" w:type="pct"/>
          </w:tcPr>
          <w:p w14:paraId="11798CB8" w14:textId="3B6A8740" w:rsidR="00795B36" w:rsidRPr="00305C4A" w:rsidRDefault="00B052FC" w:rsidP="00EF09DE">
            <w:pPr>
              <w:ind w:firstLine="0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>
              <w:rPr>
                <w:rFonts w:eastAsia="Calibri"/>
                <w:sz w:val="22"/>
                <w:szCs w:val="22"/>
                <w:lang w:val="ro-RO"/>
              </w:rPr>
              <w:t>Compatibil</w:t>
            </w:r>
          </w:p>
        </w:tc>
        <w:tc>
          <w:tcPr>
            <w:tcW w:w="420" w:type="pct"/>
          </w:tcPr>
          <w:p w14:paraId="7F1820BE" w14:textId="77777777" w:rsidR="00795B36" w:rsidRPr="00305C4A" w:rsidRDefault="00795B36" w:rsidP="002C3A73">
            <w:pPr>
              <w:ind w:firstLine="0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</w:tr>
      <w:tr w:rsidR="00B052FC" w:rsidRPr="00305C4A" w14:paraId="5F351D19" w14:textId="77777777" w:rsidTr="0093088E">
        <w:trPr>
          <w:gridAfter w:val="1"/>
          <w:wAfter w:w="4" w:type="pct"/>
        </w:trPr>
        <w:tc>
          <w:tcPr>
            <w:tcW w:w="2090" w:type="pct"/>
            <w:gridSpan w:val="2"/>
          </w:tcPr>
          <w:p w14:paraId="1A4B2C33" w14:textId="77777777" w:rsidR="009A11CE" w:rsidRPr="00305C4A" w:rsidRDefault="009A11CE" w:rsidP="00305C4A">
            <w:pPr>
              <w:pStyle w:val="Frspaiere"/>
              <w:ind w:firstLine="27"/>
              <w:rPr>
                <w:b/>
                <w:bCs/>
                <w:i/>
                <w:iCs/>
                <w:sz w:val="22"/>
                <w:szCs w:val="22"/>
                <w:lang w:val="ro-RO" w:eastAsia="ro-RO"/>
              </w:rPr>
            </w:pPr>
            <w:r w:rsidRPr="00305C4A">
              <w:rPr>
                <w:b/>
                <w:bCs/>
                <w:i/>
                <w:iCs/>
                <w:sz w:val="22"/>
                <w:szCs w:val="22"/>
                <w:lang w:val="ro-RO" w:eastAsia="ro-RO"/>
              </w:rPr>
              <w:t>Articolul 3</w:t>
            </w:r>
          </w:p>
          <w:p w14:paraId="146D7A38" w14:textId="77777777" w:rsidR="00795B36" w:rsidRDefault="009A11CE" w:rsidP="00B052FC">
            <w:pPr>
              <w:pStyle w:val="Frspaiere"/>
              <w:ind w:firstLine="27"/>
              <w:rPr>
                <w:sz w:val="22"/>
                <w:szCs w:val="22"/>
                <w:lang w:val="ro-RO" w:eastAsia="ro-RO"/>
              </w:rPr>
            </w:pPr>
            <w:r w:rsidRPr="00305C4A">
              <w:rPr>
                <w:sz w:val="22"/>
                <w:szCs w:val="22"/>
                <w:lang w:val="ro-RO" w:eastAsia="ro-RO"/>
              </w:rPr>
              <w:t>Începând cu anul 2002, orarul de vară se încheie, în fiecare stat membru, la ora 1 a dimineții, în timp universal, în ultima duminică din octombrie.</w:t>
            </w:r>
          </w:p>
          <w:p w14:paraId="7E5BC6EF" w14:textId="62AF81DD" w:rsidR="00B052FC" w:rsidRPr="00305C4A" w:rsidRDefault="00B052FC" w:rsidP="00B052FC">
            <w:pPr>
              <w:pStyle w:val="Frspaiere"/>
              <w:ind w:firstLine="27"/>
              <w:rPr>
                <w:rFonts w:eastAsia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927" w:type="pct"/>
          </w:tcPr>
          <w:p w14:paraId="21EBCA31" w14:textId="75A554B4" w:rsidR="00795B36" w:rsidRPr="00305C4A" w:rsidRDefault="005B5D12" w:rsidP="00B052FC">
            <w:pPr>
              <w:ind w:firstLine="27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5B5D12">
              <w:rPr>
                <w:color w:val="000000"/>
                <w:sz w:val="22"/>
                <w:szCs w:val="22"/>
                <w:bdr w:val="none" w:sz="0" w:space="0" w:color="auto" w:frame="1"/>
                <w:lang w:val="ro-RO" w:eastAsia="ro-RO"/>
              </w:rPr>
              <w:t xml:space="preserve">3.3. </w:t>
            </w:r>
            <w:r w:rsidRPr="005B5D12">
              <w:rPr>
                <w:rFonts w:eastAsia="Aptos"/>
                <w:kern w:val="2"/>
                <w:sz w:val="22"/>
                <w:szCs w:val="22"/>
                <w:lang w:val="ro-RO"/>
                <w14:ligatures w14:val="standardContextual"/>
              </w:rPr>
              <w:t>Ora de vară se termină la ora 04:00, ora de vară, în ultima duminică din octombrie. Ora indicată devine ora 03:00, ora standard.</w:t>
            </w:r>
          </w:p>
        </w:tc>
        <w:tc>
          <w:tcPr>
            <w:tcW w:w="559" w:type="pct"/>
          </w:tcPr>
          <w:p w14:paraId="6DB88DF1" w14:textId="162BEEF0" w:rsidR="00795B36" w:rsidRPr="00305C4A" w:rsidRDefault="00B052FC" w:rsidP="00EF09DE">
            <w:pPr>
              <w:ind w:firstLine="0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>
              <w:rPr>
                <w:rFonts w:eastAsia="Calibri"/>
                <w:sz w:val="22"/>
                <w:szCs w:val="22"/>
                <w:lang w:val="ro-RO"/>
              </w:rPr>
              <w:t>Compatibil</w:t>
            </w:r>
          </w:p>
        </w:tc>
        <w:tc>
          <w:tcPr>
            <w:tcW w:w="420" w:type="pct"/>
          </w:tcPr>
          <w:p w14:paraId="5C2A5614" w14:textId="77777777" w:rsidR="00795B36" w:rsidRPr="00305C4A" w:rsidRDefault="00795B36" w:rsidP="002C3A73">
            <w:pPr>
              <w:ind w:firstLine="0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</w:tr>
      <w:tr w:rsidR="00B052FC" w:rsidRPr="00305C4A" w14:paraId="780C88DC" w14:textId="77777777" w:rsidTr="0093088E">
        <w:trPr>
          <w:gridAfter w:val="1"/>
          <w:wAfter w:w="4" w:type="pct"/>
        </w:trPr>
        <w:tc>
          <w:tcPr>
            <w:tcW w:w="2090" w:type="pct"/>
            <w:gridSpan w:val="2"/>
          </w:tcPr>
          <w:p w14:paraId="127E28CF" w14:textId="77777777" w:rsidR="009A11CE" w:rsidRPr="00305C4A" w:rsidRDefault="009A11CE" w:rsidP="00305C4A">
            <w:pPr>
              <w:pStyle w:val="Frspaiere"/>
              <w:ind w:firstLine="27"/>
              <w:rPr>
                <w:b/>
                <w:bCs/>
                <w:i/>
                <w:iCs/>
                <w:sz w:val="22"/>
                <w:szCs w:val="22"/>
                <w:lang w:val="ro-RO" w:eastAsia="ro-RO"/>
              </w:rPr>
            </w:pPr>
            <w:r w:rsidRPr="00305C4A">
              <w:rPr>
                <w:b/>
                <w:bCs/>
                <w:i/>
                <w:iCs/>
                <w:sz w:val="22"/>
                <w:szCs w:val="22"/>
                <w:lang w:val="ro-RO" w:eastAsia="ro-RO"/>
              </w:rPr>
              <w:t>Articolul 4</w:t>
            </w:r>
          </w:p>
          <w:p w14:paraId="79A4C829" w14:textId="121886D2" w:rsidR="00AA6E01" w:rsidRDefault="009A11CE" w:rsidP="00B052FC">
            <w:pPr>
              <w:pStyle w:val="Frspaiere"/>
              <w:ind w:firstLine="27"/>
              <w:rPr>
                <w:sz w:val="22"/>
                <w:szCs w:val="22"/>
                <w:lang w:val="ro-RO" w:eastAsia="ro-RO"/>
              </w:rPr>
            </w:pPr>
            <w:r w:rsidRPr="00305C4A">
              <w:rPr>
                <w:sz w:val="22"/>
                <w:szCs w:val="22"/>
                <w:lang w:val="ro-RO" w:eastAsia="ro-RO"/>
              </w:rPr>
              <w:t>Comisia publică în Jurnalul Oficial al Comunităților Europene</w:t>
            </w:r>
            <w:hyperlink r:id="rId8" w:anchor="ntr5-L_2001031RO.01002101-E0005" w:history="1">
              <w:r w:rsidRPr="00305C4A">
                <w:rPr>
                  <w:color w:val="0E47CB"/>
                  <w:sz w:val="22"/>
                  <w:szCs w:val="22"/>
                  <w:u w:val="single"/>
                  <w:lang w:val="ro-RO" w:eastAsia="ro-RO"/>
                </w:rPr>
                <w:t>(</w:t>
              </w:r>
              <w:r w:rsidRPr="00305C4A">
                <w:rPr>
                  <w:color w:val="0E47CB"/>
                  <w:sz w:val="22"/>
                  <w:szCs w:val="22"/>
                  <w:vertAlign w:val="superscript"/>
                  <w:lang w:val="ro-RO" w:eastAsia="ro-RO"/>
                </w:rPr>
                <w:t>5</w:t>
              </w:r>
              <w:r w:rsidRPr="00305C4A">
                <w:rPr>
                  <w:color w:val="0E47CB"/>
                  <w:sz w:val="22"/>
                  <w:szCs w:val="22"/>
                  <w:u w:val="single"/>
                  <w:lang w:val="ro-RO" w:eastAsia="ro-RO"/>
                </w:rPr>
                <w:t>)</w:t>
              </w:r>
            </w:hyperlink>
            <w:r w:rsidRPr="00305C4A">
              <w:rPr>
                <w:sz w:val="22"/>
                <w:szCs w:val="22"/>
                <w:lang w:val="ro-RO" w:eastAsia="ro-RO"/>
              </w:rPr>
              <w:t xml:space="preserve">, pentru prima dată la data publicării prezentei directive și, ulterior, din </w:t>
            </w:r>
            <w:r w:rsidRPr="00305C4A">
              <w:rPr>
                <w:sz w:val="22"/>
                <w:szCs w:val="22"/>
                <w:lang w:val="ro-RO" w:eastAsia="ro-RO"/>
              </w:rPr>
              <w:lastRenderedPageBreak/>
              <w:t>cinci în cinci ani, o comunicare conținând calendarul cu datele de început și de încheiere ale orarului de vară pentru următorii cinci ani.</w:t>
            </w:r>
          </w:p>
          <w:p w14:paraId="537ED020" w14:textId="1A4F776D" w:rsidR="00B052FC" w:rsidRPr="00305C4A" w:rsidRDefault="00B052FC" w:rsidP="00B052FC">
            <w:pPr>
              <w:pStyle w:val="Frspaiere"/>
              <w:ind w:firstLine="27"/>
              <w:rPr>
                <w:rFonts w:eastAsia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927" w:type="pct"/>
          </w:tcPr>
          <w:p w14:paraId="7C231996" w14:textId="77777777" w:rsidR="005B5D12" w:rsidRPr="005B5D12" w:rsidRDefault="005B5D12" w:rsidP="00305C4A">
            <w:pPr>
              <w:ind w:firstLine="27"/>
              <w:rPr>
                <w:rFonts w:eastAsia="Calibri"/>
                <w:b/>
                <w:bCs/>
                <w:sz w:val="22"/>
                <w:szCs w:val="22"/>
                <w:lang w:val="ro-RO"/>
              </w:rPr>
            </w:pPr>
            <w:r w:rsidRPr="005B5D12">
              <w:rPr>
                <w:rFonts w:eastAsia="Calibri"/>
                <w:b/>
                <w:bCs/>
                <w:sz w:val="22"/>
                <w:szCs w:val="22"/>
                <w:lang w:val="ro-RO"/>
              </w:rPr>
              <w:lastRenderedPageBreak/>
              <w:t xml:space="preserve">4. </w:t>
            </w:r>
            <w:r w:rsidRPr="005B5D12">
              <w:rPr>
                <w:color w:val="000000"/>
                <w:sz w:val="22"/>
                <w:szCs w:val="22"/>
                <w:bdr w:val="none" w:sz="0" w:space="0" w:color="auto" w:frame="1"/>
                <w:lang w:val="ro-RO" w:eastAsia="ro-RO"/>
              </w:rPr>
              <w:t xml:space="preserve">În </w:t>
            </w:r>
            <w:proofErr w:type="spellStart"/>
            <w:r w:rsidRPr="005B5D12">
              <w:rPr>
                <w:color w:val="000000"/>
                <w:sz w:val="22"/>
                <w:szCs w:val="22"/>
                <w:bdr w:val="none" w:sz="0" w:space="0" w:color="auto" w:frame="1"/>
                <w:lang w:val="ro-RO" w:eastAsia="ro-RO"/>
              </w:rPr>
              <w:t>funcţie</w:t>
            </w:r>
            <w:proofErr w:type="spellEnd"/>
            <w:r w:rsidRPr="005B5D12">
              <w:rPr>
                <w:color w:val="000000"/>
                <w:sz w:val="22"/>
                <w:szCs w:val="22"/>
                <w:bdr w:val="none" w:sz="0" w:space="0" w:color="auto" w:frame="1"/>
                <w:lang w:val="ro-RO" w:eastAsia="ro-RO"/>
              </w:rPr>
              <w:t xml:space="preserve"> de modificările ulterioare intervenite în orarul de vara practicat în </w:t>
            </w:r>
            <w:proofErr w:type="spellStart"/>
            <w:r w:rsidRPr="005B5D12">
              <w:rPr>
                <w:color w:val="000000"/>
                <w:sz w:val="22"/>
                <w:szCs w:val="22"/>
                <w:bdr w:val="none" w:sz="0" w:space="0" w:color="auto" w:frame="1"/>
                <w:lang w:val="ro-RO" w:eastAsia="ro-RO"/>
              </w:rPr>
              <w:t>ţările</w:t>
            </w:r>
            <w:proofErr w:type="spellEnd"/>
            <w:r w:rsidRPr="005B5D12">
              <w:rPr>
                <w:color w:val="000000"/>
                <w:sz w:val="22"/>
                <w:szCs w:val="22"/>
                <w:bdr w:val="none" w:sz="0" w:space="0" w:color="auto" w:frame="1"/>
                <w:lang w:val="ro-RO" w:eastAsia="ro-RO"/>
              </w:rPr>
              <w:t xml:space="preserve"> Uniunii Europene, orarul de vara şi ora de vara, stabilite pe teritoriul Republicii Moldova potrivit pct.3, se vor modifica în mod corespunzător prin hotărâre a Guvernului</w:t>
            </w:r>
          </w:p>
          <w:p w14:paraId="43034AD2" w14:textId="77777777" w:rsidR="00795B36" w:rsidRPr="00305C4A" w:rsidRDefault="00795B36" w:rsidP="00305C4A">
            <w:pPr>
              <w:ind w:firstLine="27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559" w:type="pct"/>
          </w:tcPr>
          <w:p w14:paraId="705A230B" w14:textId="001B78DA" w:rsidR="00795B36" w:rsidRPr="00305C4A" w:rsidRDefault="00B052FC" w:rsidP="00EF09DE">
            <w:pPr>
              <w:ind w:firstLine="0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>
              <w:rPr>
                <w:rFonts w:eastAsia="Calibri"/>
                <w:sz w:val="22"/>
                <w:szCs w:val="22"/>
                <w:lang w:val="ro-RO"/>
              </w:rPr>
              <w:lastRenderedPageBreak/>
              <w:t>Compatibil</w:t>
            </w:r>
          </w:p>
        </w:tc>
        <w:tc>
          <w:tcPr>
            <w:tcW w:w="420" w:type="pct"/>
          </w:tcPr>
          <w:p w14:paraId="4CFF4525" w14:textId="77777777" w:rsidR="00795B36" w:rsidRPr="00305C4A" w:rsidRDefault="00795B36" w:rsidP="002C3A73">
            <w:pPr>
              <w:ind w:firstLine="0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</w:tr>
      <w:tr w:rsidR="00B052FC" w:rsidRPr="00305C4A" w14:paraId="298EB891" w14:textId="77777777" w:rsidTr="0093088E">
        <w:trPr>
          <w:gridAfter w:val="1"/>
          <w:wAfter w:w="4" w:type="pct"/>
        </w:trPr>
        <w:tc>
          <w:tcPr>
            <w:tcW w:w="2090" w:type="pct"/>
            <w:gridSpan w:val="2"/>
          </w:tcPr>
          <w:p w14:paraId="5E6DA23E" w14:textId="77777777" w:rsidR="009A11CE" w:rsidRPr="00305C4A" w:rsidRDefault="009A11CE" w:rsidP="00305C4A">
            <w:pPr>
              <w:pStyle w:val="Frspaiere"/>
              <w:ind w:firstLine="27"/>
              <w:rPr>
                <w:b/>
                <w:bCs/>
                <w:i/>
                <w:iCs/>
                <w:sz w:val="22"/>
                <w:szCs w:val="22"/>
                <w:lang w:val="ro-RO" w:eastAsia="ro-RO"/>
              </w:rPr>
            </w:pPr>
            <w:r w:rsidRPr="00305C4A">
              <w:rPr>
                <w:b/>
                <w:bCs/>
                <w:i/>
                <w:iCs/>
                <w:sz w:val="22"/>
                <w:szCs w:val="22"/>
                <w:lang w:val="ro-RO" w:eastAsia="ro-RO"/>
              </w:rPr>
              <w:t>Articolul 5</w:t>
            </w:r>
          </w:p>
          <w:p w14:paraId="2EF61105" w14:textId="77777777" w:rsidR="009A11CE" w:rsidRPr="00305C4A" w:rsidRDefault="009A11CE" w:rsidP="00305C4A">
            <w:pPr>
              <w:pStyle w:val="Frspaiere"/>
              <w:ind w:firstLine="27"/>
              <w:rPr>
                <w:sz w:val="22"/>
                <w:szCs w:val="22"/>
                <w:lang w:val="ro-RO" w:eastAsia="ro-RO"/>
              </w:rPr>
            </w:pPr>
            <w:r w:rsidRPr="00305C4A">
              <w:rPr>
                <w:sz w:val="22"/>
                <w:szCs w:val="22"/>
                <w:lang w:val="ro-RO" w:eastAsia="ro-RO"/>
              </w:rPr>
              <w:t>Comisia raportează Parlamentului European, Consiliului și Comitetului Economic și Social, până la 31 decembrie 2007, cu privire la consecințele dispozițiilor prezentei directive asupra sectoarelor avute în vedere.</w:t>
            </w:r>
          </w:p>
          <w:p w14:paraId="30F7C742" w14:textId="77777777" w:rsidR="009A11CE" w:rsidRPr="00305C4A" w:rsidRDefault="009A11CE" w:rsidP="00305C4A">
            <w:pPr>
              <w:pStyle w:val="Frspaiere"/>
              <w:ind w:firstLine="27"/>
              <w:rPr>
                <w:sz w:val="22"/>
                <w:szCs w:val="22"/>
                <w:lang w:val="ro-RO" w:eastAsia="ro-RO"/>
              </w:rPr>
            </w:pPr>
            <w:r w:rsidRPr="00305C4A">
              <w:rPr>
                <w:sz w:val="22"/>
                <w:szCs w:val="22"/>
                <w:lang w:val="ro-RO" w:eastAsia="ro-RO"/>
              </w:rPr>
              <w:t>Raportul are la bază informațiile comunicate Comisiei de către fiecare stat membru până la 30 aprilie 2007.</w:t>
            </w:r>
          </w:p>
          <w:p w14:paraId="292D599C" w14:textId="77777777" w:rsidR="00795B36" w:rsidRDefault="009A11CE" w:rsidP="00B052FC">
            <w:pPr>
              <w:pStyle w:val="Frspaiere"/>
              <w:ind w:firstLine="27"/>
              <w:rPr>
                <w:sz w:val="22"/>
                <w:szCs w:val="22"/>
                <w:lang w:val="ro-RO" w:eastAsia="ro-RO"/>
              </w:rPr>
            </w:pPr>
            <w:r w:rsidRPr="00305C4A">
              <w:rPr>
                <w:sz w:val="22"/>
                <w:szCs w:val="22"/>
                <w:lang w:val="ro-RO" w:eastAsia="ro-RO"/>
              </w:rPr>
              <w:t>În continuarea concluziilor raportului, Comisia prezintă, dacă este cazul, propuneri adecvate.</w:t>
            </w:r>
          </w:p>
          <w:p w14:paraId="62599994" w14:textId="6FD004A7" w:rsidR="00B052FC" w:rsidRPr="00305C4A" w:rsidRDefault="00B052FC" w:rsidP="00B052FC">
            <w:pPr>
              <w:pStyle w:val="Frspaiere"/>
              <w:ind w:firstLine="27"/>
              <w:rPr>
                <w:rFonts w:eastAsia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927" w:type="pct"/>
          </w:tcPr>
          <w:p w14:paraId="2265B08A" w14:textId="77777777" w:rsidR="00795B36" w:rsidRPr="00305C4A" w:rsidRDefault="00795B36" w:rsidP="00305C4A">
            <w:pPr>
              <w:ind w:firstLine="27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559" w:type="pct"/>
          </w:tcPr>
          <w:p w14:paraId="32325595" w14:textId="43707645" w:rsidR="00795B36" w:rsidRPr="00305C4A" w:rsidRDefault="00F00E09" w:rsidP="00EF09DE">
            <w:pPr>
              <w:ind w:firstLine="0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305C4A">
              <w:rPr>
                <w:sz w:val="22"/>
                <w:szCs w:val="22"/>
                <w:lang w:val="ro-RO"/>
              </w:rPr>
              <w:t>Prevederi UE neaplicabile</w:t>
            </w:r>
          </w:p>
        </w:tc>
        <w:tc>
          <w:tcPr>
            <w:tcW w:w="420" w:type="pct"/>
          </w:tcPr>
          <w:p w14:paraId="5009F87D" w14:textId="77777777" w:rsidR="00795B36" w:rsidRPr="00305C4A" w:rsidRDefault="00795B36" w:rsidP="002C3A73">
            <w:pPr>
              <w:ind w:firstLine="0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</w:tr>
      <w:tr w:rsidR="00B052FC" w:rsidRPr="00305C4A" w14:paraId="715DD4DC" w14:textId="77777777" w:rsidTr="0093088E">
        <w:trPr>
          <w:gridAfter w:val="1"/>
          <w:wAfter w:w="4" w:type="pct"/>
        </w:trPr>
        <w:tc>
          <w:tcPr>
            <w:tcW w:w="2090" w:type="pct"/>
            <w:gridSpan w:val="2"/>
          </w:tcPr>
          <w:p w14:paraId="5CF482A8" w14:textId="77777777" w:rsidR="009A11CE" w:rsidRPr="00305C4A" w:rsidRDefault="009A11CE" w:rsidP="00305C4A">
            <w:pPr>
              <w:pStyle w:val="Frspaiere"/>
              <w:ind w:firstLine="27"/>
              <w:rPr>
                <w:b/>
                <w:bCs/>
                <w:i/>
                <w:iCs/>
                <w:sz w:val="22"/>
                <w:szCs w:val="22"/>
                <w:lang w:val="ro-RO" w:eastAsia="ro-RO"/>
              </w:rPr>
            </w:pPr>
            <w:r w:rsidRPr="00305C4A">
              <w:rPr>
                <w:b/>
                <w:bCs/>
                <w:i/>
                <w:iCs/>
                <w:sz w:val="22"/>
                <w:szCs w:val="22"/>
                <w:lang w:val="ro-RO" w:eastAsia="ro-RO"/>
              </w:rPr>
              <w:t>Articolul 6</w:t>
            </w:r>
          </w:p>
          <w:p w14:paraId="2B455FBE" w14:textId="77777777" w:rsidR="009A11CE" w:rsidRPr="00305C4A" w:rsidRDefault="009A11CE" w:rsidP="00305C4A">
            <w:pPr>
              <w:pStyle w:val="Frspaiere"/>
              <w:ind w:firstLine="27"/>
              <w:rPr>
                <w:sz w:val="22"/>
                <w:szCs w:val="22"/>
                <w:lang w:val="ro-RO" w:eastAsia="ro-RO"/>
              </w:rPr>
            </w:pPr>
            <w:r w:rsidRPr="00305C4A">
              <w:rPr>
                <w:sz w:val="22"/>
                <w:szCs w:val="22"/>
                <w:lang w:val="ro-RO" w:eastAsia="ro-RO"/>
              </w:rPr>
              <w:t>Prezenta directivă nu se aplică teritoriilor de peste mări ale statelor membre.</w:t>
            </w:r>
          </w:p>
          <w:p w14:paraId="605DCCA0" w14:textId="77777777" w:rsidR="00795B36" w:rsidRPr="00305C4A" w:rsidRDefault="00795B36" w:rsidP="00305C4A">
            <w:pPr>
              <w:pStyle w:val="Frspaiere"/>
              <w:ind w:firstLine="27"/>
              <w:rPr>
                <w:rFonts w:eastAsia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927" w:type="pct"/>
          </w:tcPr>
          <w:p w14:paraId="097FF669" w14:textId="77777777" w:rsidR="00795B36" w:rsidRPr="00305C4A" w:rsidRDefault="00795B36" w:rsidP="00305C4A">
            <w:pPr>
              <w:ind w:firstLine="27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559" w:type="pct"/>
          </w:tcPr>
          <w:p w14:paraId="0D1CDD49" w14:textId="423341CF" w:rsidR="00795B36" w:rsidRPr="00305C4A" w:rsidRDefault="00F00E09" w:rsidP="00EF09DE">
            <w:pPr>
              <w:ind w:firstLine="0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305C4A">
              <w:rPr>
                <w:sz w:val="22"/>
                <w:szCs w:val="22"/>
                <w:lang w:val="ro-RO"/>
              </w:rPr>
              <w:t>Prevederi UE neaplicabile</w:t>
            </w:r>
          </w:p>
        </w:tc>
        <w:tc>
          <w:tcPr>
            <w:tcW w:w="420" w:type="pct"/>
          </w:tcPr>
          <w:p w14:paraId="2761E368" w14:textId="77777777" w:rsidR="00795B36" w:rsidRPr="00305C4A" w:rsidRDefault="00795B36" w:rsidP="002C3A73">
            <w:pPr>
              <w:ind w:firstLine="0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</w:tr>
      <w:tr w:rsidR="00B052FC" w:rsidRPr="00305C4A" w14:paraId="6B14E10E" w14:textId="77777777" w:rsidTr="0093088E">
        <w:trPr>
          <w:gridAfter w:val="1"/>
          <w:wAfter w:w="4" w:type="pct"/>
        </w:trPr>
        <w:tc>
          <w:tcPr>
            <w:tcW w:w="2090" w:type="pct"/>
            <w:gridSpan w:val="2"/>
          </w:tcPr>
          <w:p w14:paraId="2A0CDC1E" w14:textId="77777777" w:rsidR="009A11CE" w:rsidRPr="00305C4A" w:rsidRDefault="009A11CE" w:rsidP="00305C4A">
            <w:pPr>
              <w:pStyle w:val="Frspaiere"/>
              <w:ind w:firstLine="27"/>
              <w:rPr>
                <w:b/>
                <w:bCs/>
                <w:i/>
                <w:iCs/>
                <w:sz w:val="22"/>
                <w:szCs w:val="22"/>
                <w:lang w:val="ro-RO" w:eastAsia="ro-RO"/>
              </w:rPr>
            </w:pPr>
            <w:r w:rsidRPr="00305C4A">
              <w:rPr>
                <w:b/>
                <w:bCs/>
                <w:i/>
                <w:iCs/>
                <w:sz w:val="22"/>
                <w:szCs w:val="22"/>
                <w:lang w:val="ro-RO" w:eastAsia="ro-RO"/>
              </w:rPr>
              <w:t>Articolul 7</w:t>
            </w:r>
          </w:p>
          <w:p w14:paraId="4A65238C" w14:textId="77777777" w:rsidR="009A11CE" w:rsidRPr="00305C4A" w:rsidRDefault="009A11CE" w:rsidP="00305C4A">
            <w:pPr>
              <w:pStyle w:val="Frspaiere"/>
              <w:ind w:firstLine="27"/>
              <w:rPr>
                <w:sz w:val="22"/>
                <w:szCs w:val="22"/>
                <w:lang w:val="ro-RO" w:eastAsia="ro-RO"/>
              </w:rPr>
            </w:pPr>
            <w:r w:rsidRPr="00305C4A">
              <w:rPr>
                <w:sz w:val="22"/>
                <w:szCs w:val="22"/>
                <w:lang w:val="ro-RO" w:eastAsia="ro-RO"/>
              </w:rPr>
              <w:t>Statele membre pun în aplicare actele cu putere de lege și actele administrative necesare aducerii la îndeplinire a prezentei directive până la 31 decembrie 2001. Statele membre informează de îndată Comisia cu privire la aceasta.</w:t>
            </w:r>
          </w:p>
          <w:p w14:paraId="0A0AF63F" w14:textId="77777777" w:rsidR="00795B36" w:rsidRDefault="009A11CE" w:rsidP="00B052FC">
            <w:pPr>
              <w:pStyle w:val="Frspaiere"/>
              <w:ind w:firstLine="27"/>
              <w:rPr>
                <w:sz w:val="22"/>
                <w:szCs w:val="22"/>
                <w:lang w:val="ro-RO" w:eastAsia="ro-RO"/>
              </w:rPr>
            </w:pPr>
            <w:r w:rsidRPr="00305C4A">
              <w:rPr>
                <w:sz w:val="22"/>
                <w:szCs w:val="22"/>
                <w:lang w:val="ro-RO" w:eastAsia="ro-RO"/>
              </w:rPr>
              <w:t>Atunci când statele membre adoptă aceste dispoziții, ele conțin o trimitere la prezenta directivă sau sunt însoțite de o asemenea trimitere la data publicării lor oficiale. Statele membre stabilesc modalitatea de efectuare a acestei trimiteri.</w:t>
            </w:r>
          </w:p>
          <w:p w14:paraId="3EC48E3C" w14:textId="1EFB38E0" w:rsidR="00B052FC" w:rsidRPr="00305C4A" w:rsidRDefault="00B052FC" w:rsidP="00B052FC">
            <w:pPr>
              <w:pStyle w:val="Frspaiere"/>
              <w:ind w:firstLine="27"/>
              <w:rPr>
                <w:rFonts w:eastAsia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927" w:type="pct"/>
          </w:tcPr>
          <w:p w14:paraId="50C380CF" w14:textId="77777777" w:rsidR="00B052FC" w:rsidRPr="002D3A42" w:rsidRDefault="00B052FC" w:rsidP="00B052FC">
            <w:pPr>
              <w:ind w:firstLine="27"/>
              <w:rPr>
                <w:color w:val="000000"/>
                <w:sz w:val="22"/>
                <w:szCs w:val="22"/>
                <w:bdr w:val="none" w:sz="0" w:space="0" w:color="auto" w:frame="1"/>
                <w:lang w:val="ro-RO" w:eastAsia="ro-RO"/>
              </w:rPr>
            </w:pPr>
            <w:r w:rsidRPr="002D3A42">
              <w:rPr>
                <w:rFonts w:eastAsia="Calibri"/>
                <w:b/>
                <w:bCs/>
                <w:sz w:val="22"/>
                <w:szCs w:val="22"/>
                <w:lang w:val="ro-RO"/>
              </w:rPr>
              <w:t>2.</w:t>
            </w:r>
            <w:r w:rsidRPr="002D3A42">
              <w:rPr>
                <w:rFonts w:eastAsia="Calibri"/>
                <w:sz w:val="22"/>
                <w:szCs w:val="22"/>
                <w:lang w:val="ro-RO"/>
              </w:rPr>
              <w:t xml:space="preserve"> Pe teritoriul Republicii Moldova se stabilește </w:t>
            </w:r>
            <w:r w:rsidRPr="002D3A42">
              <w:rPr>
                <w:color w:val="000000"/>
                <w:sz w:val="22"/>
                <w:szCs w:val="22"/>
                <w:bdr w:val="none" w:sz="0" w:space="0" w:color="auto" w:frame="1"/>
                <w:lang w:val="ro-RO" w:eastAsia="ro-RO"/>
              </w:rPr>
              <w:t xml:space="preserve">orarul de vara, corelat cu orarul de vara practicat în </w:t>
            </w:r>
            <w:proofErr w:type="spellStart"/>
            <w:r w:rsidRPr="002D3A42">
              <w:rPr>
                <w:color w:val="000000"/>
                <w:sz w:val="22"/>
                <w:szCs w:val="22"/>
                <w:bdr w:val="none" w:sz="0" w:space="0" w:color="auto" w:frame="1"/>
                <w:lang w:val="ro-RO" w:eastAsia="ro-RO"/>
              </w:rPr>
              <w:t>ţările</w:t>
            </w:r>
            <w:proofErr w:type="spellEnd"/>
            <w:r w:rsidRPr="002D3A42">
              <w:rPr>
                <w:color w:val="000000"/>
                <w:sz w:val="22"/>
                <w:szCs w:val="22"/>
                <w:bdr w:val="none" w:sz="0" w:space="0" w:color="auto" w:frame="1"/>
                <w:lang w:val="ro-RO" w:eastAsia="ro-RO"/>
              </w:rPr>
              <w:t xml:space="preserve"> Uniunii Europene.</w:t>
            </w:r>
          </w:p>
          <w:p w14:paraId="15915F54" w14:textId="77777777" w:rsidR="00795B36" w:rsidRPr="00305C4A" w:rsidRDefault="00795B36" w:rsidP="00305C4A">
            <w:pPr>
              <w:ind w:firstLine="27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559" w:type="pct"/>
          </w:tcPr>
          <w:p w14:paraId="0502D098" w14:textId="3226C057" w:rsidR="00795B36" w:rsidRPr="00305C4A" w:rsidRDefault="00B052FC" w:rsidP="00EF09DE">
            <w:pPr>
              <w:ind w:firstLine="0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Compatibil</w:t>
            </w:r>
            <w:r w:rsidR="00F00E09" w:rsidRPr="00305C4A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420" w:type="pct"/>
          </w:tcPr>
          <w:p w14:paraId="5808F7BD" w14:textId="77777777" w:rsidR="00795B36" w:rsidRPr="00305C4A" w:rsidRDefault="00795B36" w:rsidP="002C3A73">
            <w:pPr>
              <w:ind w:firstLine="0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</w:tr>
      <w:tr w:rsidR="00B052FC" w:rsidRPr="00305C4A" w14:paraId="7F996913" w14:textId="77777777" w:rsidTr="0093088E">
        <w:trPr>
          <w:gridAfter w:val="1"/>
          <w:wAfter w:w="4" w:type="pct"/>
        </w:trPr>
        <w:tc>
          <w:tcPr>
            <w:tcW w:w="2090" w:type="pct"/>
            <w:gridSpan w:val="2"/>
          </w:tcPr>
          <w:p w14:paraId="7D1B1023" w14:textId="77777777" w:rsidR="009A11CE" w:rsidRPr="00305C4A" w:rsidRDefault="009A11CE" w:rsidP="00305C4A">
            <w:pPr>
              <w:pStyle w:val="Frspaiere"/>
              <w:ind w:firstLine="27"/>
              <w:rPr>
                <w:b/>
                <w:bCs/>
                <w:i/>
                <w:iCs/>
                <w:sz w:val="22"/>
                <w:szCs w:val="22"/>
                <w:lang w:val="ro-RO" w:eastAsia="ro-RO"/>
              </w:rPr>
            </w:pPr>
            <w:r w:rsidRPr="00305C4A">
              <w:rPr>
                <w:b/>
                <w:bCs/>
                <w:i/>
                <w:iCs/>
                <w:sz w:val="22"/>
                <w:szCs w:val="22"/>
                <w:lang w:val="ro-RO" w:eastAsia="ro-RO"/>
              </w:rPr>
              <w:t>Articolul 8</w:t>
            </w:r>
          </w:p>
          <w:p w14:paraId="02B4EE8B" w14:textId="124709C0" w:rsidR="00795B36" w:rsidRPr="00305C4A" w:rsidRDefault="009A11CE" w:rsidP="00305C4A">
            <w:pPr>
              <w:pStyle w:val="Frspaiere"/>
              <w:ind w:firstLine="27"/>
              <w:rPr>
                <w:rFonts w:eastAsia="Calibri"/>
                <w:b/>
                <w:bCs/>
                <w:sz w:val="22"/>
                <w:szCs w:val="22"/>
                <w:lang w:val="ro-RO"/>
              </w:rPr>
            </w:pPr>
            <w:r w:rsidRPr="00305C4A">
              <w:rPr>
                <w:sz w:val="22"/>
                <w:szCs w:val="22"/>
                <w:lang w:val="ro-RO" w:eastAsia="ro-RO"/>
              </w:rPr>
              <w:t>Prezenta directivă intră în vigoare la data publicării în Jurnalul Oficial al Comunităților Europene</w:t>
            </w:r>
          </w:p>
        </w:tc>
        <w:tc>
          <w:tcPr>
            <w:tcW w:w="1927" w:type="pct"/>
          </w:tcPr>
          <w:p w14:paraId="2AD1B078" w14:textId="77777777" w:rsidR="005B5D12" w:rsidRPr="005B5D12" w:rsidRDefault="005B5D12" w:rsidP="00305C4A">
            <w:pPr>
              <w:ind w:firstLine="27"/>
              <w:rPr>
                <w:rFonts w:eastAsia="Calibri"/>
                <w:sz w:val="22"/>
                <w:szCs w:val="22"/>
                <w:lang w:val="ro-RO"/>
              </w:rPr>
            </w:pPr>
            <w:r w:rsidRPr="005B5D12">
              <w:rPr>
                <w:rFonts w:eastAsia="Calibri"/>
                <w:b/>
                <w:bCs/>
                <w:sz w:val="22"/>
                <w:szCs w:val="22"/>
                <w:lang w:val="ro-RO"/>
              </w:rPr>
              <w:t>5.</w:t>
            </w:r>
            <w:r w:rsidRPr="005B5D12">
              <w:rPr>
                <w:rFonts w:eastAsia="Calibri"/>
                <w:sz w:val="22"/>
                <w:szCs w:val="22"/>
                <w:lang w:val="ro-RO"/>
              </w:rPr>
              <w:t xml:space="preserve"> Se abrogă Hotărârea </w:t>
            </w:r>
            <w:r w:rsidRPr="005B5D12">
              <w:rPr>
                <w:sz w:val="22"/>
                <w:szCs w:val="22"/>
                <w:lang w:val="ro-RO" w:eastAsia="ro-RO"/>
              </w:rPr>
              <w:t>Consiliului de Miniștri ai R.S.S. Moldovenești nr.132/1990.</w:t>
            </w:r>
          </w:p>
          <w:p w14:paraId="0C1302BD" w14:textId="77777777" w:rsidR="005B5D12" w:rsidRDefault="005B5D12" w:rsidP="00B052FC">
            <w:pPr>
              <w:ind w:firstLine="27"/>
              <w:rPr>
                <w:rFonts w:eastAsia="Calibri"/>
                <w:sz w:val="22"/>
                <w:szCs w:val="22"/>
                <w:lang w:val="ro-RO"/>
              </w:rPr>
            </w:pPr>
            <w:r w:rsidRPr="005B5D12">
              <w:rPr>
                <w:rFonts w:eastAsia="Calibri"/>
                <w:b/>
                <w:bCs/>
                <w:sz w:val="22"/>
                <w:szCs w:val="22"/>
                <w:lang w:val="ro-RO"/>
              </w:rPr>
              <w:t>6.</w:t>
            </w:r>
            <w:r w:rsidRPr="005B5D12">
              <w:rPr>
                <w:rFonts w:eastAsia="Calibri"/>
                <w:sz w:val="22"/>
                <w:szCs w:val="22"/>
                <w:lang w:val="ro-RO"/>
              </w:rPr>
              <w:t xml:space="preserve"> Prezenta hotărâre intră în vigoare la data publicării în Monitorul Oficial al Republicii Moldova.</w:t>
            </w:r>
          </w:p>
          <w:p w14:paraId="722FEEFC" w14:textId="05920FC1" w:rsidR="00B052FC" w:rsidRPr="00305C4A" w:rsidRDefault="00B052FC" w:rsidP="00B052FC">
            <w:pPr>
              <w:ind w:firstLine="27"/>
              <w:rPr>
                <w:rFonts w:eastAsia="Calibri"/>
                <w:sz w:val="22"/>
                <w:szCs w:val="22"/>
                <w:lang w:val="ro-RO"/>
              </w:rPr>
            </w:pPr>
          </w:p>
        </w:tc>
        <w:tc>
          <w:tcPr>
            <w:tcW w:w="559" w:type="pct"/>
          </w:tcPr>
          <w:p w14:paraId="33F024FF" w14:textId="4636A3E0" w:rsidR="00795B36" w:rsidRPr="00305C4A" w:rsidRDefault="00F00E09" w:rsidP="00EF09DE">
            <w:pPr>
              <w:ind w:firstLine="0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305C4A">
              <w:rPr>
                <w:sz w:val="22"/>
                <w:szCs w:val="22"/>
                <w:lang w:val="ro-RO"/>
              </w:rPr>
              <w:t>Prevederi UE neaplicabile</w:t>
            </w:r>
          </w:p>
        </w:tc>
        <w:tc>
          <w:tcPr>
            <w:tcW w:w="420" w:type="pct"/>
          </w:tcPr>
          <w:p w14:paraId="1EC82753" w14:textId="77777777" w:rsidR="00795B36" w:rsidRPr="00305C4A" w:rsidRDefault="00795B36" w:rsidP="002C3A73">
            <w:pPr>
              <w:ind w:firstLine="0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</w:tr>
      <w:tr w:rsidR="00B052FC" w:rsidRPr="00305C4A" w14:paraId="48676809" w14:textId="77777777" w:rsidTr="0093088E">
        <w:trPr>
          <w:gridAfter w:val="1"/>
          <w:wAfter w:w="4" w:type="pct"/>
        </w:trPr>
        <w:tc>
          <w:tcPr>
            <w:tcW w:w="2090" w:type="pct"/>
            <w:gridSpan w:val="2"/>
          </w:tcPr>
          <w:p w14:paraId="25D27ECB" w14:textId="77777777" w:rsidR="009A11CE" w:rsidRPr="00305C4A" w:rsidRDefault="009A11CE" w:rsidP="00305C4A">
            <w:pPr>
              <w:pStyle w:val="Frspaiere"/>
              <w:ind w:firstLine="27"/>
              <w:rPr>
                <w:b/>
                <w:bCs/>
                <w:i/>
                <w:iCs/>
                <w:sz w:val="22"/>
                <w:szCs w:val="22"/>
                <w:lang w:val="ro-RO" w:eastAsia="ro-RO"/>
              </w:rPr>
            </w:pPr>
            <w:r w:rsidRPr="00305C4A">
              <w:rPr>
                <w:b/>
                <w:bCs/>
                <w:i/>
                <w:iCs/>
                <w:sz w:val="22"/>
                <w:szCs w:val="22"/>
                <w:lang w:val="ro-RO" w:eastAsia="ro-RO"/>
              </w:rPr>
              <w:t>Articolul 9</w:t>
            </w:r>
          </w:p>
          <w:p w14:paraId="3ECE25EF" w14:textId="77777777" w:rsidR="00795B36" w:rsidRDefault="009A11CE" w:rsidP="00B052FC">
            <w:pPr>
              <w:pStyle w:val="Frspaiere"/>
              <w:ind w:firstLine="27"/>
              <w:rPr>
                <w:sz w:val="22"/>
                <w:szCs w:val="22"/>
                <w:lang w:val="ro-RO" w:eastAsia="ro-RO"/>
              </w:rPr>
            </w:pPr>
            <w:r w:rsidRPr="00305C4A">
              <w:rPr>
                <w:sz w:val="22"/>
                <w:szCs w:val="22"/>
                <w:lang w:val="ro-RO" w:eastAsia="ro-RO"/>
              </w:rPr>
              <w:t>Prezenta directivă se adresează statelor membre.</w:t>
            </w:r>
          </w:p>
          <w:p w14:paraId="6A69188A" w14:textId="23B01A8E" w:rsidR="00B052FC" w:rsidRPr="00305C4A" w:rsidRDefault="00B052FC" w:rsidP="00B052FC">
            <w:pPr>
              <w:pStyle w:val="Frspaiere"/>
              <w:ind w:firstLine="27"/>
              <w:rPr>
                <w:rFonts w:eastAsia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927" w:type="pct"/>
          </w:tcPr>
          <w:p w14:paraId="5CDF4D75" w14:textId="77777777" w:rsidR="00795B36" w:rsidRPr="00305C4A" w:rsidRDefault="00795B36" w:rsidP="00305C4A">
            <w:pPr>
              <w:ind w:firstLine="27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559" w:type="pct"/>
          </w:tcPr>
          <w:p w14:paraId="7DAB6DD9" w14:textId="24C6FC73" w:rsidR="00795B36" w:rsidRPr="00305C4A" w:rsidRDefault="00F00E09" w:rsidP="00EF09DE">
            <w:pPr>
              <w:ind w:firstLine="0"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305C4A">
              <w:rPr>
                <w:sz w:val="22"/>
                <w:szCs w:val="22"/>
                <w:lang w:val="ro-RO"/>
              </w:rPr>
              <w:t>Prevederi UE neaplicabile</w:t>
            </w:r>
          </w:p>
        </w:tc>
        <w:tc>
          <w:tcPr>
            <w:tcW w:w="420" w:type="pct"/>
          </w:tcPr>
          <w:p w14:paraId="34A210B3" w14:textId="77777777" w:rsidR="00795B36" w:rsidRPr="00305C4A" w:rsidRDefault="00795B36" w:rsidP="002C3A73">
            <w:pPr>
              <w:ind w:firstLine="0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</w:tr>
    </w:tbl>
    <w:p w14:paraId="5921F7F3" w14:textId="77777777" w:rsidR="00F52A75" w:rsidRPr="00305C4A" w:rsidRDefault="00F52A75" w:rsidP="0093088E">
      <w:pPr>
        <w:ind w:firstLine="0"/>
        <w:rPr>
          <w:rFonts w:eastAsia="Calibri"/>
          <w:sz w:val="22"/>
          <w:szCs w:val="22"/>
          <w:lang w:val="ro-RO"/>
        </w:rPr>
      </w:pPr>
    </w:p>
    <w:sectPr w:rsidR="00F52A75" w:rsidRPr="00305C4A" w:rsidSect="00B052FC">
      <w:headerReference w:type="default" r:id="rId9"/>
      <w:footerReference w:type="default" r:id="rId10"/>
      <w:headerReference w:type="first" r:id="rId11"/>
      <w:footerReference w:type="first" r:id="rId12"/>
      <w:pgSz w:w="16840" w:h="11907" w:orient="landscape"/>
      <w:pgMar w:top="851" w:right="851" w:bottom="851" w:left="851" w:header="851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BEE7D" w14:textId="77777777" w:rsidR="00022C40" w:rsidRDefault="00022C40" w:rsidP="009A2FC5">
      <w:r>
        <w:separator/>
      </w:r>
    </w:p>
  </w:endnote>
  <w:endnote w:type="continuationSeparator" w:id="0">
    <w:p w14:paraId="1E7D6E30" w14:textId="77777777" w:rsidR="00022C40" w:rsidRDefault="00022C40" w:rsidP="009A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$Caslo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9D56" w14:textId="6F0F348A" w:rsidR="005D20D4" w:rsidRDefault="005D20D4">
    <w:pPr>
      <w:pStyle w:val="Subsol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51BF" w14:textId="129165F5" w:rsidR="005D20D4" w:rsidRDefault="005D20D4">
    <w:pPr>
      <w:pStyle w:val="Subsol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6DBAC" w14:textId="77777777" w:rsidR="00022C40" w:rsidRDefault="00022C40" w:rsidP="009A2FC5">
      <w:r>
        <w:separator/>
      </w:r>
    </w:p>
  </w:footnote>
  <w:footnote w:type="continuationSeparator" w:id="0">
    <w:p w14:paraId="721B8BC5" w14:textId="77777777" w:rsidR="00022C40" w:rsidRDefault="00022C40" w:rsidP="009A2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ABFDC" w14:textId="3818B78A" w:rsidR="005D20D4" w:rsidRDefault="005D20D4">
    <w:pPr>
      <w:pStyle w:val="Antet"/>
      <w:jc w:val="center"/>
    </w:pPr>
    <w:r>
      <w:fldChar w:fldCharType="begin"/>
    </w:r>
    <w:r>
      <w:instrText>PAGE   \* MERGEFORMAT</w:instrText>
    </w:r>
    <w:r>
      <w:fldChar w:fldCharType="separate"/>
    </w:r>
    <w:r w:rsidR="00623DCD" w:rsidRPr="00623DCD">
      <w:rPr>
        <w:noProof/>
        <w:lang w:val="ro-RO"/>
      </w:rPr>
      <w:t>21</w:t>
    </w:r>
    <w:r>
      <w:rPr>
        <w:noProof/>
        <w:lang w:val="ro-RO"/>
      </w:rPr>
      <w:fldChar w:fldCharType="end"/>
    </w:r>
  </w:p>
  <w:p w14:paraId="24CF0B67" w14:textId="77777777" w:rsidR="005D20D4" w:rsidRDefault="005D20D4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87337" w14:textId="6A19427A" w:rsidR="005D20D4" w:rsidRDefault="005D20D4" w:rsidP="00B7015C">
    <w:pPr>
      <w:jc w:val="right"/>
      <w:rPr>
        <w:b/>
        <w:sz w:val="28"/>
        <w:szCs w:val="28"/>
      </w:rPr>
    </w:pPr>
    <w:r w:rsidRPr="00F15F3F">
      <w:rPr>
        <w:b/>
        <w:sz w:val="28"/>
        <w:szCs w:val="28"/>
      </w:rPr>
      <w:t>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125E"/>
    <w:multiLevelType w:val="hybridMultilevel"/>
    <w:tmpl w:val="165C403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F528C2"/>
    <w:multiLevelType w:val="hybridMultilevel"/>
    <w:tmpl w:val="A028A81C"/>
    <w:lvl w:ilvl="0" w:tplc="606EE1E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4F0641"/>
    <w:multiLevelType w:val="hybridMultilevel"/>
    <w:tmpl w:val="165C4030"/>
    <w:lvl w:ilvl="0" w:tplc="E830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5D55DC"/>
    <w:multiLevelType w:val="hybridMultilevel"/>
    <w:tmpl w:val="F40E5C5C"/>
    <w:lvl w:ilvl="0" w:tplc="89F62DF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17" w:hanging="360"/>
      </w:pPr>
    </w:lvl>
    <w:lvl w:ilvl="2" w:tplc="0418001B" w:tentative="1">
      <w:start w:val="1"/>
      <w:numFmt w:val="lowerRoman"/>
      <w:lvlText w:val="%3."/>
      <w:lvlJc w:val="right"/>
      <w:pPr>
        <w:ind w:left="1837" w:hanging="180"/>
      </w:pPr>
    </w:lvl>
    <w:lvl w:ilvl="3" w:tplc="0418000F" w:tentative="1">
      <w:start w:val="1"/>
      <w:numFmt w:val="decimal"/>
      <w:lvlText w:val="%4."/>
      <w:lvlJc w:val="left"/>
      <w:pPr>
        <w:ind w:left="2557" w:hanging="360"/>
      </w:pPr>
    </w:lvl>
    <w:lvl w:ilvl="4" w:tplc="04180019" w:tentative="1">
      <w:start w:val="1"/>
      <w:numFmt w:val="lowerLetter"/>
      <w:lvlText w:val="%5."/>
      <w:lvlJc w:val="left"/>
      <w:pPr>
        <w:ind w:left="3277" w:hanging="360"/>
      </w:pPr>
    </w:lvl>
    <w:lvl w:ilvl="5" w:tplc="0418001B" w:tentative="1">
      <w:start w:val="1"/>
      <w:numFmt w:val="lowerRoman"/>
      <w:lvlText w:val="%6."/>
      <w:lvlJc w:val="right"/>
      <w:pPr>
        <w:ind w:left="3997" w:hanging="180"/>
      </w:pPr>
    </w:lvl>
    <w:lvl w:ilvl="6" w:tplc="0418000F" w:tentative="1">
      <w:start w:val="1"/>
      <w:numFmt w:val="decimal"/>
      <w:lvlText w:val="%7."/>
      <w:lvlJc w:val="left"/>
      <w:pPr>
        <w:ind w:left="4717" w:hanging="360"/>
      </w:pPr>
    </w:lvl>
    <w:lvl w:ilvl="7" w:tplc="04180019" w:tentative="1">
      <w:start w:val="1"/>
      <w:numFmt w:val="lowerLetter"/>
      <w:lvlText w:val="%8."/>
      <w:lvlJc w:val="left"/>
      <w:pPr>
        <w:ind w:left="5437" w:hanging="360"/>
      </w:pPr>
    </w:lvl>
    <w:lvl w:ilvl="8" w:tplc="0418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 w15:restartNumberingAfterBreak="0">
    <w:nsid w:val="245D40AA"/>
    <w:multiLevelType w:val="hybridMultilevel"/>
    <w:tmpl w:val="05BC54E0"/>
    <w:lvl w:ilvl="0" w:tplc="9252C8BA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2F754E"/>
    <w:multiLevelType w:val="hybridMultilevel"/>
    <w:tmpl w:val="1C7C0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B2197"/>
    <w:multiLevelType w:val="hybridMultilevel"/>
    <w:tmpl w:val="165C4030"/>
    <w:lvl w:ilvl="0" w:tplc="E830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C3D164B"/>
    <w:multiLevelType w:val="hybridMultilevel"/>
    <w:tmpl w:val="165C403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D0216B7"/>
    <w:multiLevelType w:val="multilevel"/>
    <w:tmpl w:val="320C44D2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EEA3CAF"/>
    <w:multiLevelType w:val="hybridMultilevel"/>
    <w:tmpl w:val="165C403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16931FD"/>
    <w:multiLevelType w:val="hybridMultilevel"/>
    <w:tmpl w:val="165C403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1E256E7"/>
    <w:multiLevelType w:val="hybridMultilevel"/>
    <w:tmpl w:val="165C4030"/>
    <w:lvl w:ilvl="0" w:tplc="E830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A217DC"/>
    <w:multiLevelType w:val="hybridMultilevel"/>
    <w:tmpl w:val="8DAEE470"/>
    <w:lvl w:ilvl="0" w:tplc="494C4A7E">
      <w:start w:val="1"/>
      <w:numFmt w:val="lowerLetter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17438364">
    <w:abstractNumId w:val="11"/>
  </w:num>
  <w:num w:numId="2" w16cid:durableId="157043782">
    <w:abstractNumId w:val="1"/>
  </w:num>
  <w:num w:numId="3" w16cid:durableId="1297183609">
    <w:abstractNumId w:val="4"/>
  </w:num>
  <w:num w:numId="4" w16cid:durableId="1272206623">
    <w:abstractNumId w:val="2"/>
  </w:num>
  <w:num w:numId="5" w16cid:durableId="2118519318">
    <w:abstractNumId w:val="0"/>
  </w:num>
  <w:num w:numId="6" w16cid:durableId="1544976127">
    <w:abstractNumId w:val="10"/>
  </w:num>
  <w:num w:numId="7" w16cid:durableId="410473525">
    <w:abstractNumId w:val="9"/>
  </w:num>
  <w:num w:numId="8" w16cid:durableId="1059479210">
    <w:abstractNumId w:val="7"/>
  </w:num>
  <w:num w:numId="9" w16cid:durableId="1741751716">
    <w:abstractNumId w:val="6"/>
  </w:num>
  <w:num w:numId="10" w16cid:durableId="712384644">
    <w:abstractNumId w:val="5"/>
  </w:num>
  <w:num w:numId="11" w16cid:durableId="1390154838">
    <w:abstractNumId w:val="12"/>
  </w:num>
  <w:num w:numId="12" w16cid:durableId="1210336997">
    <w:abstractNumId w:val="8"/>
  </w:num>
  <w:num w:numId="13" w16cid:durableId="1402219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5"/>
    <w:rsid w:val="0000030C"/>
    <w:rsid w:val="00001077"/>
    <w:rsid w:val="0000394C"/>
    <w:rsid w:val="000155A7"/>
    <w:rsid w:val="00022C40"/>
    <w:rsid w:val="000249BD"/>
    <w:rsid w:val="0002785A"/>
    <w:rsid w:val="000413F8"/>
    <w:rsid w:val="00042271"/>
    <w:rsid w:val="0004401D"/>
    <w:rsid w:val="0005143E"/>
    <w:rsid w:val="00054A9D"/>
    <w:rsid w:val="00056149"/>
    <w:rsid w:val="00060311"/>
    <w:rsid w:val="00071A1B"/>
    <w:rsid w:val="00081FAA"/>
    <w:rsid w:val="00082C5E"/>
    <w:rsid w:val="000837C6"/>
    <w:rsid w:val="0008757F"/>
    <w:rsid w:val="00090ADD"/>
    <w:rsid w:val="000B269F"/>
    <w:rsid w:val="000B317A"/>
    <w:rsid w:val="000B5488"/>
    <w:rsid w:val="000C0DFF"/>
    <w:rsid w:val="000C7B43"/>
    <w:rsid w:val="000D216F"/>
    <w:rsid w:val="000D699D"/>
    <w:rsid w:val="000E37CC"/>
    <w:rsid w:val="000E580F"/>
    <w:rsid w:val="000F06B8"/>
    <w:rsid w:val="000F7967"/>
    <w:rsid w:val="00102B86"/>
    <w:rsid w:val="00106AF9"/>
    <w:rsid w:val="00107573"/>
    <w:rsid w:val="001136C0"/>
    <w:rsid w:val="0012128F"/>
    <w:rsid w:val="00125750"/>
    <w:rsid w:val="001269AD"/>
    <w:rsid w:val="001327CD"/>
    <w:rsid w:val="00134D89"/>
    <w:rsid w:val="00136102"/>
    <w:rsid w:val="00155AEC"/>
    <w:rsid w:val="00163BAE"/>
    <w:rsid w:val="001650AB"/>
    <w:rsid w:val="0016738B"/>
    <w:rsid w:val="001706F6"/>
    <w:rsid w:val="001768C9"/>
    <w:rsid w:val="00182274"/>
    <w:rsid w:val="0019370A"/>
    <w:rsid w:val="001A5D71"/>
    <w:rsid w:val="001A6B23"/>
    <w:rsid w:val="001B6FA3"/>
    <w:rsid w:val="001C22E5"/>
    <w:rsid w:val="001C4F22"/>
    <w:rsid w:val="001C5F09"/>
    <w:rsid w:val="001D32CA"/>
    <w:rsid w:val="001E276D"/>
    <w:rsid w:val="001E49C4"/>
    <w:rsid w:val="001E79A3"/>
    <w:rsid w:val="001F5652"/>
    <w:rsid w:val="001F596A"/>
    <w:rsid w:val="00211302"/>
    <w:rsid w:val="002167C0"/>
    <w:rsid w:val="002313CD"/>
    <w:rsid w:val="002414B8"/>
    <w:rsid w:val="00253148"/>
    <w:rsid w:val="00277738"/>
    <w:rsid w:val="0028046E"/>
    <w:rsid w:val="00286F76"/>
    <w:rsid w:val="0029205C"/>
    <w:rsid w:val="002A4308"/>
    <w:rsid w:val="002A75D6"/>
    <w:rsid w:val="002B1CC5"/>
    <w:rsid w:val="002B3DB9"/>
    <w:rsid w:val="002B4675"/>
    <w:rsid w:val="002C1D51"/>
    <w:rsid w:val="002C3A73"/>
    <w:rsid w:val="002C6B3D"/>
    <w:rsid w:val="002D3A42"/>
    <w:rsid w:val="002D47B4"/>
    <w:rsid w:val="002D5BD4"/>
    <w:rsid w:val="002E5329"/>
    <w:rsid w:val="002E58E4"/>
    <w:rsid w:val="002F0580"/>
    <w:rsid w:val="002F379E"/>
    <w:rsid w:val="002F4805"/>
    <w:rsid w:val="00302BAD"/>
    <w:rsid w:val="003050F4"/>
    <w:rsid w:val="00305C4A"/>
    <w:rsid w:val="00307BFB"/>
    <w:rsid w:val="00310E1C"/>
    <w:rsid w:val="00312874"/>
    <w:rsid w:val="00316A6E"/>
    <w:rsid w:val="00323D5C"/>
    <w:rsid w:val="00325F19"/>
    <w:rsid w:val="00327264"/>
    <w:rsid w:val="00340B4F"/>
    <w:rsid w:val="003425EA"/>
    <w:rsid w:val="00342743"/>
    <w:rsid w:val="003444D9"/>
    <w:rsid w:val="0035061F"/>
    <w:rsid w:val="00354919"/>
    <w:rsid w:val="00357B44"/>
    <w:rsid w:val="00360EEC"/>
    <w:rsid w:val="00362E9A"/>
    <w:rsid w:val="003638CE"/>
    <w:rsid w:val="00363BD7"/>
    <w:rsid w:val="003650C2"/>
    <w:rsid w:val="00371E42"/>
    <w:rsid w:val="00375DD9"/>
    <w:rsid w:val="00380E8A"/>
    <w:rsid w:val="00381542"/>
    <w:rsid w:val="00382E88"/>
    <w:rsid w:val="0039064E"/>
    <w:rsid w:val="00391B1A"/>
    <w:rsid w:val="003922FE"/>
    <w:rsid w:val="003932A8"/>
    <w:rsid w:val="00396B94"/>
    <w:rsid w:val="003A6EF8"/>
    <w:rsid w:val="003C1D93"/>
    <w:rsid w:val="003C2AA8"/>
    <w:rsid w:val="003C2DBB"/>
    <w:rsid w:val="003C55FE"/>
    <w:rsid w:val="003C6810"/>
    <w:rsid w:val="003D49D6"/>
    <w:rsid w:val="003D7E31"/>
    <w:rsid w:val="003F060F"/>
    <w:rsid w:val="003F6B86"/>
    <w:rsid w:val="00415E9E"/>
    <w:rsid w:val="00417B93"/>
    <w:rsid w:val="00421087"/>
    <w:rsid w:val="00426CC0"/>
    <w:rsid w:val="00427211"/>
    <w:rsid w:val="004349A9"/>
    <w:rsid w:val="00435CCB"/>
    <w:rsid w:val="00452F5D"/>
    <w:rsid w:val="00474508"/>
    <w:rsid w:val="004756C7"/>
    <w:rsid w:val="00475D65"/>
    <w:rsid w:val="00483DF5"/>
    <w:rsid w:val="004A4006"/>
    <w:rsid w:val="004A57AD"/>
    <w:rsid w:val="004B0A51"/>
    <w:rsid w:val="004B3761"/>
    <w:rsid w:val="004B4DB1"/>
    <w:rsid w:val="004D1BB1"/>
    <w:rsid w:val="004D69EF"/>
    <w:rsid w:val="004F0727"/>
    <w:rsid w:val="004F45F9"/>
    <w:rsid w:val="004F4F13"/>
    <w:rsid w:val="00512562"/>
    <w:rsid w:val="00513F5F"/>
    <w:rsid w:val="00517612"/>
    <w:rsid w:val="00523BA6"/>
    <w:rsid w:val="005250BE"/>
    <w:rsid w:val="00534971"/>
    <w:rsid w:val="0054073B"/>
    <w:rsid w:val="005714D8"/>
    <w:rsid w:val="0057621E"/>
    <w:rsid w:val="005812C4"/>
    <w:rsid w:val="005873CE"/>
    <w:rsid w:val="00592AB5"/>
    <w:rsid w:val="005A2097"/>
    <w:rsid w:val="005A697B"/>
    <w:rsid w:val="005B5D12"/>
    <w:rsid w:val="005C468F"/>
    <w:rsid w:val="005C4D45"/>
    <w:rsid w:val="005D20D4"/>
    <w:rsid w:val="005D5951"/>
    <w:rsid w:val="005E4B16"/>
    <w:rsid w:val="005F4F76"/>
    <w:rsid w:val="00600498"/>
    <w:rsid w:val="0060054F"/>
    <w:rsid w:val="00612837"/>
    <w:rsid w:val="00620B4E"/>
    <w:rsid w:val="00621270"/>
    <w:rsid w:val="00623DCD"/>
    <w:rsid w:val="00630DD1"/>
    <w:rsid w:val="0063577E"/>
    <w:rsid w:val="0065254C"/>
    <w:rsid w:val="00653517"/>
    <w:rsid w:val="00657771"/>
    <w:rsid w:val="00660C38"/>
    <w:rsid w:val="00672109"/>
    <w:rsid w:val="00672D36"/>
    <w:rsid w:val="006753B7"/>
    <w:rsid w:val="006773D6"/>
    <w:rsid w:val="0068172C"/>
    <w:rsid w:val="0068555C"/>
    <w:rsid w:val="00687CF3"/>
    <w:rsid w:val="00696D25"/>
    <w:rsid w:val="006A56EE"/>
    <w:rsid w:val="006A6681"/>
    <w:rsid w:val="006B4860"/>
    <w:rsid w:val="006B5635"/>
    <w:rsid w:val="006B575A"/>
    <w:rsid w:val="006E582D"/>
    <w:rsid w:val="006E64F8"/>
    <w:rsid w:val="006F4F99"/>
    <w:rsid w:val="007000C0"/>
    <w:rsid w:val="00700466"/>
    <w:rsid w:val="007030A6"/>
    <w:rsid w:val="007137BB"/>
    <w:rsid w:val="0071463C"/>
    <w:rsid w:val="00720E52"/>
    <w:rsid w:val="00722C72"/>
    <w:rsid w:val="00722D53"/>
    <w:rsid w:val="00727CDB"/>
    <w:rsid w:val="00730555"/>
    <w:rsid w:val="00737FFC"/>
    <w:rsid w:val="00745D52"/>
    <w:rsid w:val="00750B70"/>
    <w:rsid w:val="00750C3A"/>
    <w:rsid w:val="00754344"/>
    <w:rsid w:val="00782883"/>
    <w:rsid w:val="00782DC8"/>
    <w:rsid w:val="00787FA3"/>
    <w:rsid w:val="007911FE"/>
    <w:rsid w:val="00795B36"/>
    <w:rsid w:val="007B0166"/>
    <w:rsid w:val="007B1C07"/>
    <w:rsid w:val="007B7A14"/>
    <w:rsid w:val="007C34D1"/>
    <w:rsid w:val="007D3F1A"/>
    <w:rsid w:val="007E3619"/>
    <w:rsid w:val="007E480E"/>
    <w:rsid w:val="007E650E"/>
    <w:rsid w:val="00803728"/>
    <w:rsid w:val="0081391A"/>
    <w:rsid w:val="00814062"/>
    <w:rsid w:val="00814A5B"/>
    <w:rsid w:val="00814FF0"/>
    <w:rsid w:val="00817171"/>
    <w:rsid w:val="00822EAD"/>
    <w:rsid w:val="00827F21"/>
    <w:rsid w:val="008306BB"/>
    <w:rsid w:val="0084014B"/>
    <w:rsid w:val="00844E8C"/>
    <w:rsid w:val="008502A1"/>
    <w:rsid w:val="00851022"/>
    <w:rsid w:val="00852339"/>
    <w:rsid w:val="00852359"/>
    <w:rsid w:val="008537A7"/>
    <w:rsid w:val="008547DE"/>
    <w:rsid w:val="00856F53"/>
    <w:rsid w:val="00864062"/>
    <w:rsid w:val="00866ACA"/>
    <w:rsid w:val="00867C08"/>
    <w:rsid w:val="00885943"/>
    <w:rsid w:val="008923C1"/>
    <w:rsid w:val="008A0057"/>
    <w:rsid w:val="008A18FE"/>
    <w:rsid w:val="008A4B28"/>
    <w:rsid w:val="008B2F0D"/>
    <w:rsid w:val="008B45B5"/>
    <w:rsid w:val="008C6F42"/>
    <w:rsid w:val="008E6E4F"/>
    <w:rsid w:val="008F12B5"/>
    <w:rsid w:val="008F4E74"/>
    <w:rsid w:val="008F501F"/>
    <w:rsid w:val="008F5509"/>
    <w:rsid w:val="0091011C"/>
    <w:rsid w:val="00911B9E"/>
    <w:rsid w:val="00921274"/>
    <w:rsid w:val="009236DA"/>
    <w:rsid w:val="0093074E"/>
    <w:rsid w:val="0093088E"/>
    <w:rsid w:val="009323F8"/>
    <w:rsid w:val="00943144"/>
    <w:rsid w:val="00951581"/>
    <w:rsid w:val="009546FD"/>
    <w:rsid w:val="00954FF2"/>
    <w:rsid w:val="00966BBF"/>
    <w:rsid w:val="009720ED"/>
    <w:rsid w:val="009958A6"/>
    <w:rsid w:val="009A11CE"/>
    <w:rsid w:val="009A2009"/>
    <w:rsid w:val="009A2FC5"/>
    <w:rsid w:val="009A7553"/>
    <w:rsid w:val="009B3A2F"/>
    <w:rsid w:val="009C3516"/>
    <w:rsid w:val="009C4D44"/>
    <w:rsid w:val="009D1D36"/>
    <w:rsid w:val="009D64BD"/>
    <w:rsid w:val="009E0EED"/>
    <w:rsid w:val="009E4B7C"/>
    <w:rsid w:val="009E5943"/>
    <w:rsid w:val="009E6AC8"/>
    <w:rsid w:val="009E74CB"/>
    <w:rsid w:val="00A07C18"/>
    <w:rsid w:val="00A16C46"/>
    <w:rsid w:val="00A17DA3"/>
    <w:rsid w:val="00A22502"/>
    <w:rsid w:val="00A26C1E"/>
    <w:rsid w:val="00A27309"/>
    <w:rsid w:val="00A308EE"/>
    <w:rsid w:val="00A36235"/>
    <w:rsid w:val="00A447ED"/>
    <w:rsid w:val="00A5493E"/>
    <w:rsid w:val="00A667B3"/>
    <w:rsid w:val="00A7422F"/>
    <w:rsid w:val="00A879A3"/>
    <w:rsid w:val="00A90CB0"/>
    <w:rsid w:val="00A94998"/>
    <w:rsid w:val="00AA2396"/>
    <w:rsid w:val="00AA6E01"/>
    <w:rsid w:val="00AA7A95"/>
    <w:rsid w:val="00AB0766"/>
    <w:rsid w:val="00AC1630"/>
    <w:rsid w:val="00AC69EB"/>
    <w:rsid w:val="00AD7EAB"/>
    <w:rsid w:val="00AF0D26"/>
    <w:rsid w:val="00B00F39"/>
    <w:rsid w:val="00B052FC"/>
    <w:rsid w:val="00B05FE0"/>
    <w:rsid w:val="00B0773B"/>
    <w:rsid w:val="00B16341"/>
    <w:rsid w:val="00B2202B"/>
    <w:rsid w:val="00B22EFC"/>
    <w:rsid w:val="00B26F41"/>
    <w:rsid w:val="00B3163B"/>
    <w:rsid w:val="00B331BA"/>
    <w:rsid w:val="00B57C26"/>
    <w:rsid w:val="00B7015C"/>
    <w:rsid w:val="00B76F99"/>
    <w:rsid w:val="00B85BC0"/>
    <w:rsid w:val="00B92D7A"/>
    <w:rsid w:val="00B954AA"/>
    <w:rsid w:val="00B95872"/>
    <w:rsid w:val="00B95A9E"/>
    <w:rsid w:val="00BA07B1"/>
    <w:rsid w:val="00BA2E01"/>
    <w:rsid w:val="00BC09CB"/>
    <w:rsid w:val="00BC5C1E"/>
    <w:rsid w:val="00BC641A"/>
    <w:rsid w:val="00BC7702"/>
    <w:rsid w:val="00BD170B"/>
    <w:rsid w:val="00BD2A22"/>
    <w:rsid w:val="00BD6106"/>
    <w:rsid w:val="00BE12FC"/>
    <w:rsid w:val="00BE1FAB"/>
    <w:rsid w:val="00BF3E6E"/>
    <w:rsid w:val="00C052E8"/>
    <w:rsid w:val="00C12B20"/>
    <w:rsid w:val="00C200E3"/>
    <w:rsid w:val="00C25653"/>
    <w:rsid w:val="00C26DD8"/>
    <w:rsid w:val="00C32D35"/>
    <w:rsid w:val="00C33645"/>
    <w:rsid w:val="00C41AD2"/>
    <w:rsid w:val="00C4519E"/>
    <w:rsid w:val="00C5033C"/>
    <w:rsid w:val="00C503B5"/>
    <w:rsid w:val="00C5601E"/>
    <w:rsid w:val="00C57437"/>
    <w:rsid w:val="00C60835"/>
    <w:rsid w:val="00C6292D"/>
    <w:rsid w:val="00C675C7"/>
    <w:rsid w:val="00C7271C"/>
    <w:rsid w:val="00C86F77"/>
    <w:rsid w:val="00C877B6"/>
    <w:rsid w:val="00C94396"/>
    <w:rsid w:val="00C975A5"/>
    <w:rsid w:val="00CB2065"/>
    <w:rsid w:val="00CB4DA1"/>
    <w:rsid w:val="00CB6289"/>
    <w:rsid w:val="00CC2761"/>
    <w:rsid w:val="00CE7908"/>
    <w:rsid w:val="00CF51E6"/>
    <w:rsid w:val="00CF53B2"/>
    <w:rsid w:val="00CF63C6"/>
    <w:rsid w:val="00D00C30"/>
    <w:rsid w:val="00D04BDB"/>
    <w:rsid w:val="00D33DB9"/>
    <w:rsid w:val="00D51F45"/>
    <w:rsid w:val="00D55A82"/>
    <w:rsid w:val="00D679B4"/>
    <w:rsid w:val="00D77EA9"/>
    <w:rsid w:val="00D815FF"/>
    <w:rsid w:val="00D83BFA"/>
    <w:rsid w:val="00D83C62"/>
    <w:rsid w:val="00D9605C"/>
    <w:rsid w:val="00D97F28"/>
    <w:rsid w:val="00DA307D"/>
    <w:rsid w:val="00DB3976"/>
    <w:rsid w:val="00DB5B39"/>
    <w:rsid w:val="00DB5C23"/>
    <w:rsid w:val="00DC485D"/>
    <w:rsid w:val="00DC5C2F"/>
    <w:rsid w:val="00DD18A1"/>
    <w:rsid w:val="00DD6164"/>
    <w:rsid w:val="00DE0FA2"/>
    <w:rsid w:val="00DF6ADB"/>
    <w:rsid w:val="00E1079F"/>
    <w:rsid w:val="00E10A0D"/>
    <w:rsid w:val="00E119E3"/>
    <w:rsid w:val="00E238C9"/>
    <w:rsid w:val="00E33B6E"/>
    <w:rsid w:val="00E36F0E"/>
    <w:rsid w:val="00E40DDC"/>
    <w:rsid w:val="00E42C9C"/>
    <w:rsid w:val="00E63CC3"/>
    <w:rsid w:val="00E73859"/>
    <w:rsid w:val="00E75A5A"/>
    <w:rsid w:val="00E81584"/>
    <w:rsid w:val="00E83FD0"/>
    <w:rsid w:val="00E85022"/>
    <w:rsid w:val="00E91374"/>
    <w:rsid w:val="00E96C97"/>
    <w:rsid w:val="00EA26FB"/>
    <w:rsid w:val="00EA44F5"/>
    <w:rsid w:val="00EA5D71"/>
    <w:rsid w:val="00EB0102"/>
    <w:rsid w:val="00EC1D2B"/>
    <w:rsid w:val="00ED4A49"/>
    <w:rsid w:val="00ED5150"/>
    <w:rsid w:val="00ED7A6B"/>
    <w:rsid w:val="00EE5465"/>
    <w:rsid w:val="00EF09DE"/>
    <w:rsid w:val="00EF0AB5"/>
    <w:rsid w:val="00F00E09"/>
    <w:rsid w:val="00F0784A"/>
    <w:rsid w:val="00F13FE3"/>
    <w:rsid w:val="00F17E04"/>
    <w:rsid w:val="00F22AA0"/>
    <w:rsid w:val="00F236E6"/>
    <w:rsid w:val="00F26128"/>
    <w:rsid w:val="00F34E32"/>
    <w:rsid w:val="00F45C92"/>
    <w:rsid w:val="00F529AF"/>
    <w:rsid w:val="00F52A75"/>
    <w:rsid w:val="00F57EC1"/>
    <w:rsid w:val="00F63A3F"/>
    <w:rsid w:val="00F675BC"/>
    <w:rsid w:val="00F72063"/>
    <w:rsid w:val="00F743A1"/>
    <w:rsid w:val="00FA0CE8"/>
    <w:rsid w:val="00FB13AE"/>
    <w:rsid w:val="00FB39F3"/>
    <w:rsid w:val="00FB46EA"/>
    <w:rsid w:val="00FC5A25"/>
    <w:rsid w:val="00FC7C37"/>
    <w:rsid w:val="00FE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F380D"/>
  <w15:docId w15:val="{083FA2AC-BA42-413A-92DC-21D858DA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FC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itlu8">
    <w:name w:val="heading 8"/>
    <w:basedOn w:val="Normal"/>
    <w:next w:val="Normal"/>
    <w:link w:val="Titlu8Caracter"/>
    <w:qFormat/>
    <w:rsid w:val="009A2FC5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rsid w:val="009A2FC5"/>
    <w:rPr>
      <w:rFonts w:ascii="$Caslon" w:eastAsia="Times New Roman" w:hAnsi="$Caslon" w:cs="Times New Roman"/>
      <w:b/>
      <w:sz w:val="24"/>
      <w:szCs w:val="20"/>
    </w:rPr>
  </w:style>
  <w:style w:type="paragraph" w:styleId="Antet">
    <w:name w:val="header"/>
    <w:basedOn w:val="Normal"/>
    <w:link w:val="AntetCaracter"/>
    <w:rsid w:val="009A2FC5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rsid w:val="009A2FC5"/>
    <w:rPr>
      <w:rFonts w:ascii="Times New Roman" w:eastAsia="Times New Roman" w:hAnsi="Times New Roman" w:cs="Times New Roman"/>
      <w:sz w:val="20"/>
      <w:szCs w:val="20"/>
    </w:rPr>
  </w:style>
  <w:style w:type="paragraph" w:styleId="Subsol">
    <w:name w:val="footer"/>
    <w:basedOn w:val="Normal"/>
    <w:link w:val="SubsolCaracter"/>
    <w:rsid w:val="009A2FC5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rsid w:val="009A2FC5"/>
    <w:rPr>
      <w:rFonts w:ascii="Times New Roman" w:eastAsia="Times New Roman" w:hAnsi="Times New Roman" w:cs="Times New Roman"/>
      <w:sz w:val="20"/>
      <w:szCs w:val="20"/>
    </w:rPr>
  </w:style>
  <w:style w:type="table" w:styleId="Tabelgril">
    <w:name w:val="Table Grid"/>
    <w:basedOn w:val="TabelNormal"/>
    <w:uiPriority w:val="39"/>
    <w:rsid w:val="009A2FC5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deparagrafimplicit"/>
    <w:uiPriority w:val="99"/>
    <w:rsid w:val="009A2FC5"/>
    <w:rPr>
      <w:color w:val="0000FF"/>
      <w:u w:val="single"/>
    </w:rPr>
  </w:style>
  <w:style w:type="table" w:customStyle="1" w:styleId="TableGrid2">
    <w:name w:val="Table Grid2"/>
    <w:basedOn w:val="TabelNormal"/>
    <w:next w:val="Tabelgril"/>
    <w:uiPriority w:val="39"/>
    <w:rsid w:val="009A2FC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9A2F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A2FC5"/>
    <w:rPr>
      <w:rFonts w:ascii="Tahoma" w:eastAsia="Times New Roman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9D1D36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unhideWhenUsed/>
    <w:rsid w:val="0027773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277738"/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277738"/>
    <w:rPr>
      <w:rFonts w:ascii="Times New Roman" w:eastAsia="Times New Roman" w:hAnsi="Times New Roman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27773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27773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M1">
    <w:name w:val="CM1"/>
    <w:basedOn w:val="Normal"/>
    <w:next w:val="Normal"/>
    <w:uiPriority w:val="99"/>
    <w:rsid w:val="002D47B4"/>
    <w:pPr>
      <w:autoSpaceDE w:val="0"/>
      <w:autoSpaceDN w:val="0"/>
      <w:adjustRightInd w:val="0"/>
      <w:ind w:firstLine="0"/>
      <w:jc w:val="left"/>
    </w:pPr>
    <w:rPr>
      <w:rFonts w:ascii="EUAlbertina" w:eastAsiaTheme="minorHAnsi" w:hAnsi="EUAlbertina" w:cstheme="minorBidi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2D47B4"/>
    <w:pPr>
      <w:autoSpaceDE w:val="0"/>
      <w:autoSpaceDN w:val="0"/>
      <w:adjustRightInd w:val="0"/>
      <w:ind w:firstLine="0"/>
      <w:jc w:val="left"/>
    </w:pPr>
    <w:rPr>
      <w:rFonts w:ascii="EUAlbertina" w:eastAsiaTheme="minorHAnsi" w:hAnsi="EUAlbertina" w:cstheme="minorBidi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2D47B4"/>
    <w:pPr>
      <w:autoSpaceDE w:val="0"/>
      <w:autoSpaceDN w:val="0"/>
      <w:adjustRightInd w:val="0"/>
      <w:ind w:firstLine="0"/>
      <w:jc w:val="left"/>
    </w:pPr>
    <w:rPr>
      <w:rFonts w:ascii="EUAlbertina" w:eastAsiaTheme="minorHAnsi" w:hAnsi="EUAlbertina" w:cstheme="minorBidi"/>
      <w:sz w:val="24"/>
      <w:szCs w:val="24"/>
    </w:rPr>
  </w:style>
  <w:style w:type="paragraph" w:styleId="Revizuire">
    <w:name w:val="Revision"/>
    <w:hidden/>
    <w:uiPriority w:val="99"/>
    <w:semiHidden/>
    <w:rsid w:val="00DE0F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2F379E"/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2F379E"/>
    <w:rPr>
      <w:rFonts w:ascii="Times New Roman" w:eastAsia="Times New Roman" w:hAnsi="Times New Roman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2F379E"/>
    <w:rPr>
      <w:vertAlign w:val="superscript"/>
    </w:rPr>
  </w:style>
  <w:style w:type="paragraph" w:styleId="Frspaiere">
    <w:name w:val="No Spacing"/>
    <w:uiPriority w:val="1"/>
    <w:qFormat/>
    <w:rsid w:val="00AA6E0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RO/TXT/HTML/?uri=CELEX:32000L0084&amp;qid=175912954511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52686-6F79-44E1-9E35-4626B4496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2</Pages>
  <Words>630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Jitari Lidia</cp:lastModifiedBy>
  <cp:revision>100</cp:revision>
  <dcterms:created xsi:type="dcterms:W3CDTF">2025-09-29T08:00:00Z</dcterms:created>
  <dcterms:modified xsi:type="dcterms:W3CDTF">2025-12-08T13:36:00Z</dcterms:modified>
</cp:coreProperties>
</file>