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327D7" w14:textId="77777777" w:rsidR="00BA4299" w:rsidRPr="00702367" w:rsidRDefault="00BA4299" w:rsidP="00B24B97">
      <w:pPr>
        <w:widowControl w:val="0"/>
        <w:spacing w:after="0" w:line="276" w:lineRule="auto"/>
        <w:jc w:val="right"/>
        <w:rPr>
          <w:rFonts w:ascii="Times New Roman" w:hAnsi="Times New Roman" w:cs="Times New Roman"/>
          <w:lang w:val="ro-MD"/>
        </w:rPr>
      </w:pPr>
      <w:r w:rsidRPr="00702367">
        <w:rPr>
          <w:rFonts w:ascii="Times New Roman" w:hAnsi="Times New Roman" w:cs="Times New Roman"/>
          <w:lang w:val="ro-MD"/>
        </w:rPr>
        <w:t>Aprobat</w:t>
      </w:r>
    </w:p>
    <w:p w14:paraId="68EC3034" w14:textId="77777777" w:rsidR="00BA4299" w:rsidRPr="00702367" w:rsidRDefault="00BA4299" w:rsidP="00B24B97">
      <w:pPr>
        <w:widowControl w:val="0"/>
        <w:spacing w:after="0" w:line="276" w:lineRule="auto"/>
        <w:jc w:val="right"/>
        <w:rPr>
          <w:rFonts w:ascii="Times New Roman" w:hAnsi="Times New Roman" w:cs="Times New Roman"/>
          <w:lang w:val="ro-MD"/>
        </w:rPr>
      </w:pPr>
      <w:r w:rsidRPr="00702367">
        <w:rPr>
          <w:rFonts w:ascii="Times New Roman" w:hAnsi="Times New Roman" w:cs="Times New Roman"/>
          <w:lang w:val="ro-MD"/>
        </w:rPr>
        <w:t>prin Ordinul Directorului general</w:t>
      </w:r>
    </w:p>
    <w:p w14:paraId="48023792" w14:textId="77777777" w:rsidR="00BA4299" w:rsidRPr="00702367" w:rsidRDefault="00BA4299" w:rsidP="00B24B97">
      <w:pPr>
        <w:widowControl w:val="0"/>
        <w:spacing w:after="0" w:line="276" w:lineRule="auto"/>
        <w:jc w:val="right"/>
        <w:rPr>
          <w:rFonts w:ascii="Times New Roman" w:hAnsi="Times New Roman" w:cs="Times New Roman"/>
          <w:lang w:val="ro-MD"/>
        </w:rPr>
      </w:pPr>
      <w:r w:rsidRPr="00702367">
        <w:rPr>
          <w:rFonts w:ascii="Times New Roman" w:hAnsi="Times New Roman" w:cs="Times New Roman"/>
          <w:lang w:val="ro-MD"/>
        </w:rPr>
        <w:t>al Agenției Geodezie, Cartografie și Cadastru</w:t>
      </w:r>
    </w:p>
    <w:p w14:paraId="181ABF79" w14:textId="77777777" w:rsidR="00BA4299" w:rsidRPr="00702367" w:rsidRDefault="00BA4299" w:rsidP="00B24B97">
      <w:pPr>
        <w:widowControl w:val="0"/>
        <w:spacing w:after="0" w:line="276" w:lineRule="auto"/>
        <w:jc w:val="right"/>
        <w:rPr>
          <w:rFonts w:ascii="Times New Roman" w:hAnsi="Times New Roman" w:cs="Times New Roman"/>
          <w:lang w:val="ro-MD"/>
        </w:rPr>
      </w:pPr>
      <w:r w:rsidRPr="00702367">
        <w:rPr>
          <w:rFonts w:ascii="Times New Roman" w:hAnsi="Times New Roman" w:cs="Times New Roman"/>
          <w:lang w:val="ro-MD"/>
        </w:rPr>
        <w:t>nr. ___ din _____________ 2025</w:t>
      </w:r>
    </w:p>
    <w:p w14:paraId="553039DB" w14:textId="77777777" w:rsidR="00BA4299" w:rsidRPr="00B24B97" w:rsidRDefault="00BA4299" w:rsidP="00B24B97">
      <w:pPr>
        <w:widowControl w:val="0"/>
        <w:spacing w:after="0" w:line="276" w:lineRule="auto"/>
        <w:jc w:val="center"/>
        <w:rPr>
          <w:rFonts w:ascii="Times New Roman" w:hAnsi="Times New Roman" w:cs="Times New Roman"/>
          <w:b/>
          <w:bCs/>
          <w:sz w:val="28"/>
          <w:szCs w:val="28"/>
          <w:lang w:val="ro-MD"/>
        </w:rPr>
      </w:pPr>
    </w:p>
    <w:p w14:paraId="61AA174F" w14:textId="50CB00EB" w:rsidR="00DE35F8" w:rsidRPr="00B24B97" w:rsidRDefault="00DE35F8" w:rsidP="00B24B97">
      <w:pPr>
        <w:widowControl w:val="0"/>
        <w:spacing w:after="0" w:line="276" w:lineRule="auto"/>
        <w:jc w:val="center"/>
        <w:rPr>
          <w:rFonts w:ascii="Times New Roman" w:hAnsi="Times New Roman" w:cs="Times New Roman"/>
          <w:b/>
          <w:bCs/>
          <w:sz w:val="28"/>
          <w:szCs w:val="28"/>
          <w:lang w:val="ro-MD"/>
        </w:rPr>
      </w:pPr>
      <w:r w:rsidRPr="00B24B97">
        <w:rPr>
          <w:rFonts w:ascii="Times New Roman" w:hAnsi="Times New Roman" w:cs="Times New Roman"/>
          <w:b/>
          <w:bCs/>
          <w:sz w:val="28"/>
          <w:szCs w:val="28"/>
          <w:lang w:val="ro-MD"/>
        </w:rPr>
        <w:t xml:space="preserve">GHID ÎN EVALUARE: </w:t>
      </w:r>
      <w:r w:rsidR="00BA4299" w:rsidRPr="00B24B97">
        <w:rPr>
          <w:rFonts w:ascii="Times New Roman" w:hAnsi="Times New Roman" w:cs="Times New Roman"/>
          <w:b/>
          <w:bCs/>
          <w:sz w:val="28"/>
          <w:szCs w:val="28"/>
          <w:lang w:val="ro-MD"/>
        </w:rPr>
        <w:br/>
        <w:t xml:space="preserve">Evaluarea pentru raportare </w:t>
      </w:r>
      <w:r w:rsidR="00A64B87">
        <w:rPr>
          <w:rFonts w:ascii="Times New Roman" w:hAnsi="Times New Roman" w:cs="Times New Roman"/>
          <w:b/>
          <w:bCs/>
          <w:sz w:val="28"/>
          <w:szCs w:val="28"/>
          <w:lang w:val="ro-MD"/>
        </w:rPr>
        <w:t>f</w:t>
      </w:r>
      <w:r w:rsidR="00BA4299" w:rsidRPr="00B24B97">
        <w:rPr>
          <w:rFonts w:ascii="Times New Roman" w:hAnsi="Times New Roman" w:cs="Times New Roman"/>
          <w:b/>
          <w:bCs/>
          <w:sz w:val="28"/>
          <w:szCs w:val="28"/>
          <w:lang w:val="ro-MD"/>
        </w:rPr>
        <w:t>inanciară</w:t>
      </w:r>
    </w:p>
    <w:p w14:paraId="50F525B0" w14:textId="77777777" w:rsidR="00BA4299" w:rsidRPr="00B24B97" w:rsidRDefault="00BA4299" w:rsidP="00B24B97">
      <w:pPr>
        <w:widowControl w:val="0"/>
        <w:spacing w:after="0" w:line="276" w:lineRule="auto"/>
        <w:jc w:val="center"/>
        <w:rPr>
          <w:rFonts w:ascii="Times New Roman" w:hAnsi="Times New Roman" w:cs="Times New Roman"/>
          <w:b/>
          <w:bCs/>
          <w:sz w:val="28"/>
          <w:szCs w:val="28"/>
        </w:rPr>
      </w:pPr>
      <w:bookmarkStart w:id="0" w:name="_Toc213487900"/>
    </w:p>
    <w:p w14:paraId="09E624AD" w14:textId="5C2DA285" w:rsidR="006A465B" w:rsidRPr="00B24B97" w:rsidRDefault="00BA4299" w:rsidP="00B24B97">
      <w:pPr>
        <w:widowControl w:val="0"/>
        <w:spacing w:after="0" w:line="276" w:lineRule="auto"/>
        <w:jc w:val="center"/>
        <w:rPr>
          <w:rFonts w:ascii="Times New Roman" w:hAnsi="Times New Roman" w:cs="Times New Roman"/>
          <w:b/>
          <w:bCs/>
          <w:sz w:val="28"/>
          <w:szCs w:val="28"/>
        </w:rPr>
      </w:pPr>
      <w:r w:rsidRPr="00B24B97">
        <w:rPr>
          <w:rFonts w:ascii="Times New Roman" w:hAnsi="Times New Roman" w:cs="Times New Roman"/>
          <w:b/>
          <w:bCs/>
          <w:sz w:val="28"/>
          <w:szCs w:val="28"/>
        </w:rPr>
        <w:t xml:space="preserve">CAPITOLUL I. </w:t>
      </w:r>
      <w:r w:rsidR="00DE35F8" w:rsidRPr="00B24B97">
        <w:rPr>
          <w:rFonts w:ascii="Times New Roman" w:hAnsi="Times New Roman" w:cs="Times New Roman"/>
          <w:b/>
          <w:bCs/>
          <w:sz w:val="28"/>
          <w:szCs w:val="28"/>
        </w:rPr>
        <w:t>DISPOZIȚII GENERALE</w:t>
      </w:r>
      <w:bookmarkEnd w:id="0"/>
    </w:p>
    <w:p w14:paraId="0DA20A35" w14:textId="3FA54166" w:rsidR="003E7E01" w:rsidRPr="00B24B97" w:rsidRDefault="003E7E01" w:rsidP="00B01836">
      <w:pPr>
        <w:pStyle w:val="ListParagraph"/>
        <w:widowControl w:val="0"/>
        <w:numPr>
          <w:ilvl w:val="0"/>
          <w:numId w:val="2"/>
        </w:numPr>
        <w:tabs>
          <w:tab w:val="left" w:pos="117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lang w:val="ro-MD"/>
        </w:rPr>
        <w:t xml:space="preserve">Prezentul Ghid oferă clarificări și specificări privind aplicarea procesului de evaluare în scopuri contabile, în contextul elaborării rapoartelor și situațiilor financiare ale entităților economice. Printre principalele scopuri contabile pentru care este necesară efectuarea unei evaluări se regăsesc: determinarea valorii activelor și datoriilor în vederea recunoașterii acestora în situația poziției financiare (bilanț); alocarea prețului de achiziție în cazul combinărilor de întreprinderi, conform prevederilor </w:t>
      </w:r>
      <w:r w:rsidR="00C26A65">
        <w:rPr>
          <w:rFonts w:ascii="Times New Roman" w:hAnsi="Times New Roman" w:cs="Times New Roman"/>
          <w:sz w:val="28"/>
          <w:szCs w:val="28"/>
          <w:lang w:val="ro-MD"/>
        </w:rPr>
        <w:t>Standardelor Internaționale de Raportare Financiară (</w:t>
      </w:r>
      <w:r w:rsidRPr="00B24B97">
        <w:rPr>
          <w:rFonts w:ascii="Times New Roman" w:hAnsi="Times New Roman" w:cs="Times New Roman"/>
          <w:sz w:val="28"/>
          <w:szCs w:val="28"/>
          <w:lang w:val="ro-MD"/>
        </w:rPr>
        <w:t>IFRS</w:t>
      </w:r>
      <w:r w:rsidR="00C26A65">
        <w:rPr>
          <w:rFonts w:ascii="Times New Roman" w:hAnsi="Times New Roman" w:cs="Times New Roman"/>
          <w:sz w:val="28"/>
          <w:szCs w:val="28"/>
          <w:lang w:val="ro-MD"/>
        </w:rPr>
        <w:t>)</w:t>
      </w:r>
      <w:r w:rsidRPr="00B24B97">
        <w:rPr>
          <w:rFonts w:ascii="Times New Roman" w:hAnsi="Times New Roman" w:cs="Times New Roman"/>
          <w:sz w:val="28"/>
          <w:szCs w:val="28"/>
          <w:lang w:val="ro-MD"/>
        </w:rPr>
        <w:t>; testarea pentru depreciere, în scopul stabilirii valorii recuperabile a activelor; clasificarea și evaluarea contractelor de leasing, în vederea recunoașterii activelor aferente dreptului de utilizare și a datoriilor corespunzătoare; identificarea datelor de intrare relevante pentru calculul amortizării și recunoașterea cheltuielilor asociate în situația rezultatului global.</w:t>
      </w:r>
    </w:p>
    <w:p w14:paraId="647F9450" w14:textId="5B1373E7" w:rsidR="00F45A97" w:rsidRPr="00B24B97" w:rsidRDefault="00891921" w:rsidP="00B01836">
      <w:pPr>
        <w:pStyle w:val="ListParagraph"/>
        <w:widowControl w:val="0"/>
        <w:numPr>
          <w:ilvl w:val="0"/>
          <w:numId w:val="2"/>
        </w:numPr>
        <w:tabs>
          <w:tab w:val="left" w:pos="117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Prezentul Ghid face referire la cerințe ale</w:t>
      </w:r>
      <w:r w:rsidR="00326B63" w:rsidRPr="00B24B97">
        <w:rPr>
          <w:rFonts w:ascii="Times New Roman" w:hAnsi="Times New Roman" w:cs="Times New Roman"/>
          <w:sz w:val="28"/>
          <w:szCs w:val="28"/>
        </w:rPr>
        <w:t xml:space="preserve"> legislației naționale </w:t>
      </w:r>
      <w:r w:rsidR="00C26A65">
        <w:rPr>
          <w:rFonts w:ascii="Times New Roman" w:hAnsi="Times New Roman" w:cs="Times New Roman"/>
          <w:sz w:val="28"/>
          <w:szCs w:val="28"/>
        </w:rPr>
        <w:t>privind</w:t>
      </w:r>
      <w:r w:rsidR="00326B63" w:rsidRPr="00B24B97">
        <w:rPr>
          <w:rFonts w:ascii="Times New Roman" w:hAnsi="Times New Roman" w:cs="Times New Roman"/>
          <w:sz w:val="28"/>
          <w:szCs w:val="28"/>
        </w:rPr>
        <w:t xml:space="preserve"> Standarde</w:t>
      </w:r>
      <w:r w:rsidR="00C26A65">
        <w:rPr>
          <w:rFonts w:ascii="Times New Roman" w:hAnsi="Times New Roman" w:cs="Times New Roman"/>
          <w:sz w:val="28"/>
          <w:szCs w:val="28"/>
        </w:rPr>
        <w:t>le</w:t>
      </w:r>
      <w:r w:rsidR="00326B63" w:rsidRPr="00B24B97">
        <w:rPr>
          <w:rFonts w:ascii="Times New Roman" w:hAnsi="Times New Roman" w:cs="Times New Roman"/>
          <w:sz w:val="28"/>
          <w:szCs w:val="28"/>
        </w:rPr>
        <w:t xml:space="preserve"> de Contabilitate și</w:t>
      </w:r>
      <w:r w:rsidRPr="00B24B97">
        <w:rPr>
          <w:rFonts w:ascii="Times New Roman" w:hAnsi="Times New Roman" w:cs="Times New Roman"/>
          <w:sz w:val="28"/>
          <w:szCs w:val="28"/>
        </w:rPr>
        <w:t xml:space="preserve"> Standarde</w:t>
      </w:r>
      <w:r w:rsidR="00C26A65">
        <w:rPr>
          <w:rFonts w:ascii="Times New Roman" w:hAnsi="Times New Roman" w:cs="Times New Roman"/>
          <w:sz w:val="28"/>
          <w:szCs w:val="28"/>
        </w:rPr>
        <w:t>le</w:t>
      </w:r>
      <w:r w:rsidR="00326B63" w:rsidRPr="00B24B97">
        <w:rPr>
          <w:rFonts w:ascii="Times New Roman" w:hAnsi="Times New Roman" w:cs="Times New Roman"/>
          <w:sz w:val="28"/>
          <w:szCs w:val="28"/>
        </w:rPr>
        <w:t xml:space="preserve"> d</w:t>
      </w:r>
      <w:r w:rsidRPr="00B24B97">
        <w:rPr>
          <w:rFonts w:ascii="Times New Roman" w:hAnsi="Times New Roman" w:cs="Times New Roman"/>
          <w:sz w:val="28"/>
          <w:szCs w:val="28"/>
        </w:rPr>
        <w:t>e Raportare Financiară</w:t>
      </w:r>
      <w:r w:rsidR="00326B63" w:rsidRPr="00B24B97">
        <w:rPr>
          <w:rFonts w:ascii="Times New Roman" w:hAnsi="Times New Roman" w:cs="Times New Roman"/>
          <w:sz w:val="28"/>
          <w:szCs w:val="28"/>
        </w:rPr>
        <w:t>. Sunt considerate prevederile L</w:t>
      </w:r>
      <w:r w:rsidR="00F45A97" w:rsidRPr="00B24B97">
        <w:rPr>
          <w:rFonts w:ascii="Times New Roman" w:hAnsi="Times New Roman" w:cs="Times New Roman"/>
          <w:sz w:val="28"/>
          <w:szCs w:val="28"/>
        </w:rPr>
        <w:t xml:space="preserve">egii </w:t>
      </w:r>
      <w:r w:rsidR="00326B63" w:rsidRPr="00B24B97">
        <w:rPr>
          <w:rFonts w:ascii="Times New Roman" w:hAnsi="Times New Roman" w:cs="Times New Roman"/>
          <w:sz w:val="28"/>
          <w:szCs w:val="28"/>
        </w:rPr>
        <w:t>contabilității</w:t>
      </w:r>
      <w:r w:rsidR="00F45A97" w:rsidRPr="00B24B97">
        <w:rPr>
          <w:rFonts w:ascii="Times New Roman" w:hAnsi="Times New Roman" w:cs="Times New Roman"/>
          <w:sz w:val="28"/>
          <w:szCs w:val="28"/>
        </w:rPr>
        <w:t xml:space="preserve"> şi raportării financiare nr.287/2017 (publicată în Monitorul Oficial al Republicii Moldova, 2018, nr.1-6, art.22), cu modificările ulterioare, şi a</w:t>
      </w:r>
      <w:r w:rsidR="00C26A65">
        <w:rPr>
          <w:rFonts w:ascii="Times New Roman" w:hAnsi="Times New Roman" w:cs="Times New Roman"/>
          <w:sz w:val="28"/>
          <w:szCs w:val="28"/>
        </w:rPr>
        <w:t>le</w:t>
      </w:r>
      <w:r w:rsidR="00F45A97" w:rsidRPr="00B24B97">
        <w:rPr>
          <w:rFonts w:ascii="Times New Roman" w:hAnsi="Times New Roman" w:cs="Times New Roman"/>
          <w:sz w:val="28"/>
          <w:szCs w:val="28"/>
        </w:rPr>
        <w:t xml:space="preserve"> Hotăr</w:t>
      </w:r>
      <w:r w:rsidR="00C26A65">
        <w:rPr>
          <w:rFonts w:ascii="Times New Roman" w:hAnsi="Times New Roman" w:cs="Times New Roman"/>
          <w:sz w:val="28"/>
          <w:szCs w:val="28"/>
        </w:rPr>
        <w:t>â</w:t>
      </w:r>
      <w:r w:rsidR="00F45A97" w:rsidRPr="00B24B97">
        <w:rPr>
          <w:rFonts w:ascii="Times New Roman" w:hAnsi="Times New Roman" w:cs="Times New Roman"/>
          <w:sz w:val="28"/>
          <w:szCs w:val="28"/>
        </w:rPr>
        <w:t>rii Guvernului Republicii Moldova nr.238/2008 „Privind aplicarea Standardelor Internaționale de Raportare Financiară pe teritoriul Republicii Moldova” (</w:t>
      </w:r>
      <w:r w:rsidR="00C26A65">
        <w:rPr>
          <w:rFonts w:ascii="Times New Roman" w:hAnsi="Times New Roman" w:cs="Times New Roman"/>
          <w:sz w:val="28"/>
          <w:szCs w:val="28"/>
        </w:rPr>
        <w:t xml:space="preserve">publicate în </w:t>
      </w:r>
      <w:r w:rsidR="00F45A97" w:rsidRPr="00B24B97">
        <w:rPr>
          <w:rFonts w:ascii="Times New Roman" w:hAnsi="Times New Roman" w:cs="Times New Roman"/>
          <w:sz w:val="28"/>
          <w:szCs w:val="28"/>
        </w:rPr>
        <w:t>Monitorul Oficial al Republicii Moldova, 2008, nr.47-48, art.302)</w:t>
      </w:r>
      <w:r w:rsidR="00326B63" w:rsidRPr="00B24B97">
        <w:rPr>
          <w:rFonts w:ascii="Times New Roman" w:hAnsi="Times New Roman" w:cs="Times New Roman"/>
          <w:sz w:val="28"/>
          <w:szCs w:val="28"/>
        </w:rPr>
        <w:t>.</w:t>
      </w:r>
    </w:p>
    <w:p w14:paraId="7D186F8C" w14:textId="1570DF5E" w:rsidR="00326B63" w:rsidRPr="00B24B97" w:rsidRDefault="00B8313D" w:rsidP="00B01836">
      <w:pPr>
        <w:pStyle w:val="ListParagraph"/>
        <w:widowControl w:val="0"/>
        <w:numPr>
          <w:ilvl w:val="0"/>
          <w:numId w:val="2"/>
        </w:numPr>
        <w:tabs>
          <w:tab w:val="left" w:pos="117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 xml:space="preserve">În sensul prezentului Ghid se utilizează următoarele noțiuni: </w:t>
      </w:r>
    </w:p>
    <w:p w14:paraId="670AC2B0" w14:textId="264134EE" w:rsidR="00AC57FB" w:rsidRPr="00B24B97" w:rsidRDefault="00AC57FB" w:rsidP="00B01836">
      <w:pPr>
        <w:pStyle w:val="ListParagraph"/>
        <w:widowControl w:val="0"/>
        <w:numPr>
          <w:ilvl w:val="1"/>
          <w:numId w:val="2"/>
        </w:numPr>
        <w:tabs>
          <w:tab w:val="left" w:pos="135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b/>
          <w:bCs/>
          <w:i/>
          <w:iCs/>
          <w:sz w:val="28"/>
          <w:szCs w:val="28"/>
        </w:rPr>
        <w:t>standarde de contabilitate</w:t>
      </w:r>
      <w:r w:rsidRPr="00B24B97">
        <w:rPr>
          <w:rFonts w:ascii="Times New Roman" w:hAnsi="Times New Roman" w:cs="Times New Roman"/>
          <w:sz w:val="28"/>
          <w:szCs w:val="28"/>
        </w:rPr>
        <w:t xml:space="preserve"> – Standarde Internaționale de Raportare Financiară și Standarde Naționale de Contabilitate; </w:t>
      </w:r>
    </w:p>
    <w:p w14:paraId="2CB1FFE9" w14:textId="4E80E399" w:rsidR="00AC57FB" w:rsidRPr="00B24B97" w:rsidRDefault="00AC57FB" w:rsidP="00B01836">
      <w:pPr>
        <w:pStyle w:val="ListParagraph"/>
        <w:widowControl w:val="0"/>
        <w:numPr>
          <w:ilvl w:val="1"/>
          <w:numId w:val="2"/>
        </w:numPr>
        <w:tabs>
          <w:tab w:val="left" w:pos="135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b/>
          <w:bCs/>
          <w:i/>
          <w:iCs/>
          <w:sz w:val="28"/>
          <w:szCs w:val="28"/>
        </w:rPr>
        <w:t>Standarde Naționale de Contabilitate</w:t>
      </w:r>
      <w:r w:rsidRPr="00B24B97">
        <w:rPr>
          <w:rFonts w:ascii="Times New Roman" w:hAnsi="Times New Roman" w:cs="Times New Roman"/>
          <w:sz w:val="28"/>
          <w:szCs w:val="28"/>
        </w:rPr>
        <w:t xml:space="preserve"> – acte normative elaborate în baza Directivei 2013/34/UE a Parlamentului European și a Consiliului</w:t>
      </w:r>
      <w:r w:rsidR="00C26A65">
        <w:rPr>
          <w:rFonts w:ascii="Times New Roman" w:hAnsi="Times New Roman" w:cs="Times New Roman"/>
          <w:sz w:val="28"/>
          <w:szCs w:val="28"/>
        </w:rPr>
        <w:t xml:space="preserve"> și</w:t>
      </w:r>
      <w:r w:rsidRPr="00B24B97">
        <w:rPr>
          <w:rFonts w:ascii="Times New Roman" w:hAnsi="Times New Roman" w:cs="Times New Roman"/>
          <w:sz w:val="28"/>
          <w:szCs w:val="28"/>
        </w:rPr>
        <w:t xml:space="preserve"> aprobate de Ministerul Finanțelor (în continuare – SNC); </w:t>
      </w:r>
    </w:p>
    <w:p w14:paraId="4F3D9423" w14:textId="3A972DA4" w:rsidR="00DE35F8" w:rsidRPr="00B24B97" w:rsidRDefault="00AC57FB" w:rsidP="00B01836">
      <w:pPr>
        <w:pStyle w:val="ListParagraph"/>
        <w:widowControl w:val="0"/>
        <w:numPr>
          <w:ilvl w:val="1"/>
          <w:numId w:val="2"/>
        </w:numPr>
        <w:tabs>
          <w:tab w:val="left" w:pos="135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b/>
          <w:bCs/>
          <w:i/>
          <w:iCs/>
          <w:sz w:val="28"/>
          <w:szCs w:val="28"/>
        </w:rPr>
        <w:t>Standarde Internaționale de Raportare Financiară</w:t>
      </w:r>
      <w:r w:rsidRPr="00B24B97">
        <w:rPr>
          <w:rFonts w:ascii="Times New Roman" w:hAnsi="Times New Roman" w:cs="Times New Roman"/>
          <w:b/>
          <w:bCs/>
          <w:sz w:val="28"/>
          <w:szCs w:val="28"/>
        </w:rPr>
        <w:t xml:space="preserve"> </w:t>
      </w:r>
      <w:r w:rsidRPr="00B24B97">
        <w:rPr>
          <w:rFonts w:ascii="Times New Roman" w:hAnsi="Times New Roman" w:cs="Times New Roman"/>
          <w:sz w:val="28"/>
          <w:szCs w:val="28"/>
        </w:rPr>
        <w:t xml:space="preserve">– standarde şi interpretări emise de Consiliul pentru Standarde Internaționale de Contabilitate, acceptate </w:t>
      </w:r>
      <w:r w:rsidRPr="00B24B97">
        <w:rPr>
          <w:rFonts w:ascii="Times New Roman" w:hAnsi="Times New Roman" w:cs="Times New Roman"/>
          <w:sz w:val="28"/>
          <w:szCs w:val="28"/>
        </w:rPr>
        <w:lastRenderedPageBreak/>
        <w:t xml:space="preserve">pentru aplicare în Republica Moldova (în continuare – IFRS). </w:t>
      </w:r>
      <w:r w:rsidR="00293791" w:rsidRPr="00B24B97">
        <w:rPr>
          <w:rFonts w:ascii="Times New Roman" w:hAnsi="Times New Roman" w:cs="Times New Roman"/>
          <w:sz w:val="28"/>
          <w:szCs w:val="28"/>
        </w:rPr>
        <w:t xml:space="preserve">Acestea cuprind: </w:t>
      </w:r>
    </w:p>
    <w:p w14:paraId="3D182045" w14:textId="322D8DD0" w:rsidR="00DE35F8" w:rsidRPr="00B24B97" w:rsidRDefault="00293791" w:rsidP="00B01836">
      <w:pPr>
        <w:pStyle w:val="ListParagraph"/>
        <w:widowControl w:val="0"/>
        <w:numPr>
          <w:ilvl w:val="2"/>
          <w:numId w:val="2"/>
        </w:numPr>
        <w:tabs>
          <w:tab w:val="left" w:pos="153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 xml:space="preserve">Standardele Internaționale de Raportare Financiară (IFRS), </w:t>
      </w:r>
    </w:p>
    <w:p w14:paraId="0CD4145E" w14:textId="12DD70B9" w:rsidR="00DE35F8" w:rsidRPr="00B24B97" w:rsidRDefault="00293791" w:rsidP="00B01836">
      <w:pPr>
        <w:pStyle w:val="ListParagraph"/>
        <w:widowControl w:val="0"/>
        <w:numPr>
          <w:ilvl w:val="2"/>
          <w:numId w:val="2"/>
        </w:numPr>
        <w:tabs>
          <w:tab w:val="left" w:pos="153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 xml:space="preserve">Standardele Internaționale de Contabilitate (IAS), și </w:t>
      </w:r>
    </w:p>
    <w:p w14:paraId="012B2BB6" w14:textId="6990619E" w:rsidR="00DE35F8" w:rsidRPr="00B24B97" w:rsidRDefault="00880FC0" w:rsidP="00B01836">
      <w:pPr>
        <w:pStyle w:val="ListParagraph"/>
        <w:widowControl w:val="0"/>
        <w:numPr>
          <w:ilvl w:val="2"/>
          <w:numId w:val="2"/>
        </w:numPr>
        <w:tabs>
          <w:tab w:val="left" w:pos="1530"/>
        </w:tabs>
        <w:spacing w:after="0" w:line="276" w:lineRule="auto"/>
        <w:ind w:left="0" w:firstLine="720"/>
        <w:jc w:val="both"/>
        <w:rPr>
          <w:rFonts w:ascii="Times New Roman" w:hAnsi="Times New Roman" w:cs="Times New Roman"/>
          <w:sz w:val="28"/>
          <w:szCs w:val="28"/>
        </w:rPr>
      </w:pPr>
      <w:r>
        <w:rPr>
          <w:rFonts w:ascii="Times New Roman" w:hAnsi="Times New Roman" w:cs="Times New Roman"/>
          <w:sz w:val="28"/>
          <w:szCs w:val="28"/>
        </w:rPr>
        <w:t>i</w:t>
      </w:r>
      <w:r w:rsidR="00293791" w:rsidRPr="00B24B97">
        <w:rPr>
          <w:rFonts w:ascii="Times New Roman" w:hAnsi="Times New Roman" w:cs="Times New Roman"/>
          <w:sz w:val="28"/>
          <w:szCs w:val="28"/>
        </w:rPr>
        <w:t xml:space="preserve">nterpretările elaborate de Comitetul pentru Interpretarea Standardelor Internaționale de Raportare Financiară (IFRIC) sau de fostul Comitet Permanent pentru Interpretări (SIC). </w:t>
      </w:r>
    </w:p>
    <w:p w14:paraId="616DB167" w14:textId="5EF2D057" w:rsidR="00AC57FB" w:rsidRPr="00B24B97" w:rsidRDefault="00BA05C3" w:rsidP="00B01836">
      <w:pPr>
        <w:pStyle w:val="ListParagraph"/>
        <w:widowControl w:val="0"/>
        <w:numPr>
          <w:ilvl w:val="1"/>
          <w:numId w:val="2"/>
        </w:numPr>
        <w:tabs>
          <w:tab w:val="left" w:pos="144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b/>
          <w:bCs/>
          <w:i/>
          <w:iCs/>
          <w:sz w:val="28"/>
          <w:szCs w:val="28"/>
        </w:rPr>
        <w:t>Valoarea realizabilă netă</w:t>
      </w:r>
      <w:r w:rsidRPr="00B24B97">
        <w:rPr>
          <w:rFonts w:ascii="Times New Roman" w:hAnsi="Times New Roman" w:cs="Times New Roman"/>
          <w:sz w:val="28"/>
          <w:szCs w:val="28"/>
        </w:rPr>
        <w:t xml:space="preserve"> este prețul de vânzare estimat pe parcursul desfășurării normale a activității minus costurile estimate pentru finalizare şi costurile estimate necesare efectuării vânzării. </w:t>
      </w:r>
    </w:p>
    <w:p w14:paraId="706C7D78" w14:textId="36FE8426" w:rsidR="00BA05C3" w:rsidRPr="00B24B97" w:rsidRDefault="00BA05C3" w:rsidP="00B01836">
      <w:pPr>
        <w:pStyle w:val="ListParagraph"/>
        <w:widowControl w:val="0"/>
        <w:numPr>
          <w:ilvl w:val="1"/>
          <w:numId w:val="2"/>
        </w:numPr>
        <w:tabs>
          <w:tab w:val="left" w:pos="144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b/>
          <w:bCs/>
          <w:i/>
          <w:iCs/>
          <w:sz w:val="28"/>
          <w:szCs w:val="28"/>
        </w:rPr>
        <w:t>Valoarea justă</w:t>
      </w:r>
      <w:r w:rsidRPr="00B24B97">
        <w:rPr>
          <w:rFonts w:ascii="Times New Roman" w:hAnsi="Times New Roman" w:cs="Times New Roman"/>
          <w:sz w:val="28"/>
          <w:szCs w:val="28"/>
        </w:rPr>
        <w:t xml:space="preserve"> </w:t>
      </w:r>
      <w:r w:rsidR="00CC1BB3" w:rsidRPr="00B24B97">
        <w:rPr>
          <w:rFonts w:ascii="Times New Roman" w:hAnsi="Times New Roman" w:cs="Times New Roman"/>
          <w:sz w:val="28"/>
          <w:szCs w:val="28"/>
        </w:rPr>
        <w:t>reprezintă</w:t>
      </w:r>
      <w:r w:rsidRPr="00B24B97">
        <w:rPr>
          <w:rFonts w:ascii="Times New Roman" w:hAnsi="Times New Roman" w:cs="Times New Roman"/>
          <w:sz w:val="28"/>
          <w:szCs w:val="28"/>
        </w:rPr>
        <w:t xml:space="preserve"> prețul care ar fi încasat pentru vânzarea unui activ sau plătit pentru transferul unei datorii într-o tranzacție reglementată între participanții de pe piață, la data evaluării.</w:t>
      </w:r>
    </w:p>
    <w:p w14:paraId="5659DC1C" w14:textId="505E0772" w:rsidR="00781A35" w:rsidRPr="00B24B97" w:rsidRDefault="00781A35" w:rsidP="00B01836">
      <w:pPr>
        <w:pStyle w:val="ListParagraph"/>
        <w:widowControl w:val="0"/>
        <w:numPr>
          <w:ilvl w:val="1"/>
          <w:numId w:val="2"/>
        </w:numPr>
        <w:tabs>
          <w:tab w:val="left" w:pos="144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b/>
          <w:bCs/>
          <w:i/>
          <w:iCs/>
          <w:sz w:val="28"/>
          <w:szCs w:val="28"/>
        </w:rPr>
        <w:t>Valoarea contabilă</w:t>
      </w:r>
      <w:r w:rsidRPr="00B24B97">
        <w:rPr>
          <w:rFonts w:ascii="Times New Roman" w:hAnsi="Times New Roman" w:cs="Times New Roman"/>
          <w:sz w:val="28"/>
          <w:szCs w:val="28"/>
        </w:rPr>
        <w:t xml:space="preserve"> este valoarea la care un activ este recunoscut după ce se deduc amortizarea cumulată şi pierderile cumulate din depreciere.</w:t>
      </w:r>
    </w:p>
    <w:p w14:paraId="050591CC" w14:textId="30FDA14C" w:rsidR="00BA05C3" w:rsidRPr="00B24B97" w:rsidRDefault="00781A35" w:rsidP="00B01836">
      <w:pPr>
        <w:pStyle w:val="ListParagraph"/>
        <w:widowControl w:val="0"/>
        <w:numPr>
          <w:ilvl w:val="1"/>
          <w:numId w:val="2"/>
        </w:numPr>
        <w:tabs>
          <w:tab w:val="left" w:pos="144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b/>
          <w:bCs/>
          <w:i/>
          <w:iCs/>
          <w:sz w:val="28"/>
          <w:szCs w:val="28"/>
        </w:rPr>
        <w:t>Valoarea amortizabilă</w:t>
      </w:r>
      <w:r w:rsidRPr="00B24B97">
        <w:rPr>
          <w:rFonts w:ascii="Times New Roman" w:hAnsi="Times New Roman" w:cs="Times New Roman"/>
          <w:sz w:val="28"/>
          <w:szCs w:val="28"/>
        </w:rPr>
        <w:t xml:space="preserve"> este costul unui activ, sau o altă valoare care </w:t>
      </w:r>
      <w:r w:rsidR="00A71439" w:rsidRPr="00B24B97">
        <w:rPr>
          <w:rFonts w:ascii="Times New Roman" w:hAnsi="Times New Roman" w:cs="Times New Roman"/>
          <w:sz w:val="28"/>
          <w:szCs w:val="28"/>
        </w:rPr>
        <w:t>înlocuiește</w:t>
      </w:r>
      <w:r w:rsidRPr="00B24B97">
        <w:rPr>
          <w:rFonts w:ascii="Times New Roman" w:hAnsi="Times New Roman" w:cs="Times New Roman"/>
          <w:sz w:val="28"/>
          <w:szCs w:val="28"/>
        </w:rPr>
        <w:t xml:space="preserve"> costul, minus valoarea reziduală a activului.</w:t>
      </w:r>
    </w:p>
    <w:p w14:paraId="03CE8785" w14:textId="1A93188A" w:rsidR="00781A35" w:rsidRPr="00B24B97" w:rsidRDefault="00781A35" w:rsidP="00B01836">
      <w:pPr>
        <w:pStyle w:val="ListParagraph"/>
        <w:widowControl w:val="0"/>
        <w:numPr>
          <w:ilvl w:val="1"/>
          <w:numId w:val="2"/>
        </w:numPr>
        <w:tabs>
          <w:tab w:val="left" w:pos="144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b/>
          <w:bCs/>
          <w:i/>
          <w:iCs/>
          <w:sz w:val="28"/>
          <w:szCs w:val="28"/>
        </w:rPr>
        <w:t>Costul</w:t>
      </w:r>
      <w:r w:rsidRPr="00B24B97">
        <w:rPr>
          <w:rFonts w:ascii="Times New Roman" w:hAnsi="Times New Roman" w:cs="Times New Roman"/>
          <w:i/>
          <w:iCs/>
          <w:sz w:val="28"/>
          <w:szCs w:val="28"/>
        </w:rPr>
        <w:t xml:space="preserve"> </w:t>
      </w:r>
      <w:r w:rsidRPr="00B24B97">
        <w:rPr>
          <w:rFonts w:ascii="Times New Roman" w:hAnsi="Times New Roman" w:cs="Times New Roman"/>
          <w:sz w:val="28"/>
          <w:szCs w:val="28"/>
        </w:rPr>
        <w:t xml:space="preserve">reprezintă suma în numerar sau în echivalente de numerar plătită sau valoarea justă a altei contraprestații furnizate pentru a dobândi un activ la momentul </w:t>
      </w:r>
      <w:r w:rsidR="00CC1BB3" w:rsidRPr="00B24B97">
        <w:rPr>
          <w:rFonts w:ascii="Times New Roman" w:hAnsi="Times New Roman" w:cs="Times New Roman"/>
          <w:sz w:val="28"/>
          <w:szCs w:val="28"/>
        </w:rPr>
        <w:t>achiziției</w:t>
      </w:r>
      <w:r w:rsidRPr="00B24B97">
        <w:rPr>
          <w:rFonts w:ascii="Times New Roman" w:hAnsi="Times New Roman" w:cs="Times New Roman"/>
          <w:sz w:val="28"/>
          <w:szCs w:val="28"/>
        </w:rPr>
        <w:t xml:space="preserve"> sau </w:t>
      </w:r>
      <w:r w:rsidR="00CC1BB3" w:rsidRPr="00B24B97">
        <w:rPr>
          <w:rFonts w:ascii="Times New Roman" w:hAnsi="Times New Roman" w:cs="Times New Roman"/>
          <w:sz w:val="28"/>
          <w:szCs w:val="28"/>
        </w:rPr>
        <w:t>construcției</w:t>
      </w:r>
      <w:r w:rsidRPr="00B24B97">
        <w:rPr>
          <w:rFonts w:ascii="Times New Roman" w:hAnsi="Times New Roman" w:cs="Times New Roman"/>
          <w:sz w:val="28"/>
          <w:szCs w:val="28"/>
        </w:rPr>
        <w:t xml:space="preserve"> sale</w:t>
      </w:r>
      <w:r w:rsidR="00CC1BB3" w:rsidRPr="00B24B97">
        <w:rPr>
          <w:rFonts w:ascii="Times New Roman" w:hAnsi="Times New Roman" w:cs="Times New Roman"/>
          <w:sz w:val="28"/>
          <w:szCs w:val="28"/>
        </w:rPr>
        <w:t xml:space="preserve">. </w:t>
      </w:r>
    </w:p>
    <w:p w14:paraId="333DD00E" w14:textId="315E40EA" w:rsidR="00CC1BB3" w:rsidRPr="00B24B97" w:rsidRDefault="00CC1BB3" w:rsidP="00B01836">
      <w:pPr>
        <w:pStyle w:val="ListParagraph"/>
        <w:widowControl w:val="0"/>
        <w:numPr>
          <w:ilvl w:val="1"/>
          <w:numId w:val="2"/>
        </w:numPr>
        <w:tabs>
          <w:tab w:val="left" w:pos="144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b/>
          <w:bCs/>
          <w:i/>
          <w:iCs/>
          <w:sz w:val="28"/>
          <w:szCs w:val="28"/>
        </w:rPr>
        <w:t>Valoarea recuperabilă</w:t>
      </w:r>
      <w:r w:rsidRPr="00B24B97">
        <w:rPr>
          <w:rFonts w:ascii="Times New Roman" w:hAnsi="Times New Roman" w:cs="Times New Roman"/>
          <w:sz w:val="28"/>
          <w:szCs w:val="28"/>
        </w:rPr>
        <w:t xml:space="preserve"> este cea mai mare valoare dintre valoarea justă a unui activ minus costurile generate de vânzare şi valoarea sa de utilizare. </w:t>
      </w:r>
    </w:p>
    <w:p w14:paraId="4A6CF57F" w14:textId="17E31B7D" w:rsidR="00CC1BB3" w:rsidRPr="00B24B97" w:rsidRDefault="00CC1BB3" w:rsidP="00B01836">
      <w:pPr>
        <w:pStyle w:val="ListParagraph"/>
        <w:widowControl w:val="0"/>
        <w:numPr>
          <w:ilvl w:val="1"/>
          <w:numId w:val="2"/>
        </w:numPr>
        <w:tabs>
          <w:tab w:val="left" w:pos="1134"/>
          <w:tab w:val="left" w:pos="144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b/>
          <w:bCs/>
          <w:i/>
          <w:iCs/>
          <w:sz w:val="28"/>
          <w:szCs w:val="28"/>
        </w:rPr>
        <w:t>Valoarea reziduală</w:t>
      </w:r>
      <w:r w:rsidRPr="00B24B97">
        <w:rPr>
          <w:rFonts w:ascii="Times New Roman" w:hAnsi="Times New Roman" w:cs="Times New Roman"/>
          <w:sz w:val="28"/>
          <w:szCs w:val="28"/>
        </w:rPr>
        <w:t xml:space="preserve"> a unui activ este valoarea estimată pe care ar obţine-o în prezent o entitate din </w:t>
      </w:r>
      <w:r w:rsidR="00925595" w:rsidRPr="00B24B97">
        <w:rPr>
          <w:rFonts w:ascii="Times New Roman" w:hAnsi="Times New Roman" w:cs="Times New Roman"/>
          <w:sz w:val="28"/>
          <w:szCs w:val="28"/>
        </w:rPr>
        <w:t>vânzarea</w:t>
      </w:r>
      <w:r w:rsidRPr="00B24B97">
        <w:rPr>
          <w:rFonts w:ascii="Times New Roman" w:hAnsi="Times New Roman" w:cs="Times New Roman"/>
          <w:sz w:val="28"/>
          <w:szCs w:val="28"/>
        </w:rPr>
        <w:t xml:space="preserve"> unui activ, după deducerea costurilor estimate asociate </w:t>
      </w:r>
      <w:r w:rsidR="00925595" w:rsidRPr="00B24B97">
        <w:rPr>
          <w:rFonts w:ascii="Times New Roman" w:hAnsi="Times New Roman" w:cs="Times New Roman"/>
          <w:sz w:val="28"/>
          <w:szCs w:val="28"/>
        </w:rPr>
        <w:t>transferului</w:t>
      </w:r>
      <w:r w:rsidRPr="00B24B97">
        <w:rPr>
          <w:rFonts w:ascii="Times New Roman" w:hAnsi="Times New Roman" w:cs="Times New Roman"/>
          <w:sz w:val="28"/>
          <w:szCs w:val="28"/>
        </w:rPr>
        <w:t>, dacă activul ar avea deja vechimea şi starea prevăzute la sfârșitul duratei sale de viață utilă.</w:t>
      </w:r>
    </w:p>
    <w:p w14:paraId="502E0EE7" w14:textId="403AD357" w:rsidR="00CC1BB3" w:rsidRPr="00B24B97" w:rsidRDefault="00CC1BB3" w:rsidP="00B01836">
      <w:pPr>
        <w:pStyle w:val="ListParagraph"/>
        <w:widowControl w:val="0"/>
        <w:numPr>
          <w:ilvl w:val="1"/>
          <w:numId w:val="2"/>
        </w:numPr>
        <w:tabs>
          <w:tab w:val="left" w:pos="117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b/>
          <w:bCs/>
          <w:i/>
          <w:iCs/>
          <w:sz w:val="28"/>
          <w:szCs w:val="28"/>
        </w:rPr>
        <w:t>Durata de viață utilă</w:t>
      </w:r>
      <w:r w:rsidRPr="00B24B97">
        <w:rPr>
          <w:rFonts w:ascii="Times New Roman" w:hAnsi="Times New Roman" w:cs="Times New Roman"/>
          <w:sz w:val="28"/>
          <w:szCs w:val="28"/>
        </w:rPr>
        <w:t xml:space="preserve"> este fie:</w:t>
      </w:r>
    </w:p>
    <w:p w14:paraId="11FE85BE" w14:textId="3CF912AF" w:rsidR="00CC1BB3" w:rsidRPr="00B24B97" w:rsidRDefault="00CC1BB3" w:rsidP="00B01836">
      <w:pPr>
        <w:pStyle w:val="ListParagraph"/>
        <w:widowControl w:val="0"/>
        <w:numPr>
          <w:ilvl w:val="2"/>
          <w:numId w:val="2"/>
        </w:numPr>
        <w:tabs>
          <w:tab w:val="left" w:pos="1170"/>
          <w:tab w:val="left" w:pos="171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perioada în care se preconizează că un activ va fi disponibil pentru a fi utilizat de către o entitate; fie</w:t>
      </w:r>
    </w:p>
    <w:p w14:paraId="33A8AF75" w14:textId="27A73003" w:rsidR="00CC1BB3" w:rsidRPr="00B24B97" w:rsidRDefault="00CC1BB3" w:rsidP="00B01836">
      <w:pPr>
        <w:pStyle w:val="ListParagraph"/>
        <w:widowControl w:val="0"/>
        <w:numPr>
          <w:ilvl w:val="2"/>
          <w:numId w:val="2"/>
        </w:numPr>
        <w:tabs>
          <w:tab w:val="left" w:pos="1170"/>
          <w:tab w:val="left" w:pos="171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 xml:space="preserve">numărul de unități de producție sau de unități similare pe care entitatea preconizează să le obțină de la activ. </w:t>
      </w:r>
    </w:p>
    <w:p w14:paraId="471D4710" w14:textId="695FDF63" w:rsidR="00DE35F8" w:rsidRPr="00B24B97" w:rsidRDefault="00293791" w:rsidP="00B01836">
      <w:pPr>
        <w:pStyle w:val="ListParagraph"/>
        <w:widowControl w:val="0"/>
        <w:numPr>
          <w:ilvl w:val="1"/>
          <w:numId w:val="2"/>
        </w:numPr>
        <w:tabs>
          <w:tab w:val="left" w:pos="117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b/>
          <w:bCs/>
          <w:i/>
          <w:iCs/>
          <w:sz w:val="28"/>
          <w:szCs w:val="28"/>
        </w:rPr>
        <w:t>Unitate de cont</w:t>
      </w:r>
      <w:r w:rsidRPr="00B24B97">
        <w:rPr>
          <w:rFonts w:ascii="Times New Roman" w:hAnsi="Times New Roman" w:cs="Times New Roman"/>
          <w:sz w:val="28"/>
          <w:szCs w:val="28"/>
        </w:rPr>
        <w:t xml:space="preserve">: nivelul la care un activ, care urmează să fie evaluat, este agregat sau dezagregat cu alte active. </w:t>
      </w:r>
    </w:p>
    <w:p w14:paraId="67980991" w14:textId="5482DD22" w:rsidR="002362AB" w:rsidRDefault="008D13E7" w:rsidP="00B01836">
      <w:pPr>
        <w:pStyle w:val="ListParagraph"/>
        <w:widowControl w:val="0"/>
        <w:numPr>
          <w:ilvl w:val="0"/>
          <w:numId w:val="2"/>
        </w:numPr>
        <w:tabs>
          <w:tab w:val="left" w:pos="117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 xml:space="preserve">Evaluările destinate includerii în situațiile financiare urmează a fi efectuate cu respectarea cerințelor stabilite de </w:t>
      </w:r>
      <w:r w:rsidR="00880FC0">
        <w:rPr>
          <w:rFonts w:ascii="Times New Roman" w:hAnsi="Times New Roman" w:cs="Times New Roman"/>
          <w:sz w:val="28"/>
          <w:szCs w:val="28"/>
        </w:rPr>
        <w:t>s</w:t>
      </w:r>
      <w:r w:rsidRPr="00B24B97">
        <w:rPr>
          <w:rFonts w:ascii="Times New Roman" w:hAnsi="Times New Roman" w:cs="Times New Roman"/>
          <w:sz w:val="28"/>
          <w:szCs w:val="28"/>
        </w:rPr>
        <w:t xml:space="preserve">tandardele aplicabile de </w:t>
      </w:r>
      <w:r w:rsidR="00880FC0">
        <w:rPr>
          <w:rFonts w:ascii="Times New Roman" w:hAnsi="Times New Roman" w:cs="Times New Roman"/>
          <w:sz w:val="28"/>
          <w:szCs w:val="28"/>
        </w:rPr>
        <w:t>r</w:t>
      </w:r>
      <w:r w:rsidRPr="00B24B97">
        <w:rPr>
          <w:rFonts w:ascii="Times New Roman" w:hAnsi="Times New Roman" w:cs="Times New Roman"/>
          <w:sz w:val="28"/>
          <w:szCs w:val="28"/>
        </w:rPr>
        <w:t xml:space="preserve">aportare </w:t>
      </w:r>
      <w:r w:rsidR="00880FC0">
        <w:rPr>
          <w:rFonts w:ascii="Times New Roman" w:hAnsi="Times New Roman" w:cs="Times New Roman"/>
          <w:sz w:val="28"/>
          <w:szCs w:val="28"/>
        </w:rPr>
        <w:t>f</w:t>
      </w:r>
      <w:r w:rsidRPr="00B24B97">
        <w:rPr>
          <w:rFonts w:ascii="Times New Roman" w:hAnsi="Times New Roman" w:cs="Times New Roman"/>
          <w:sz w:val="28"/>
          <w:szCs w:val="28"/>
        </w:rPr>
        <w:t xml:space="preserve">inanciară, ținând cont de particularitățile evaluării în scopuri de raportare financiară. În procesul de evaluare </w:t>
      </w:r>
      <w:r w:rsidRPr="00B24B97">
        <w:rPr>
          <w:rFonts w:ascii="Times New Roman" w:hAnsi="Times New Roman" w:cs="Times New Roman"/>
          <w:sz w:val="28"/>
          <w:szCs w:val="28"/>
        </w:rPr>
        <w:lastRenderedPageBreak/>
        <w:t xml:space="preserve">se vor aplica, de asemenea, principiile prevăzute în </w:t>
      </w:r>
      <w:r w:rsidR="00880FC0">
        <w:rPr>
          <w:rFonts w:ascii="Times New Roman" w:hAnsi="Times New Roman" w:cs="Times New Roman"/>
          <w:sz w:val="28"/>
          <w:szCs w:val="28"/>
        </w:rPr>
        <w:t>s</w:t>
      </w:r>
      <w:r w:rsidRPr="00B24B97">
        <w:rPr>
          <w:rFonts w:ascii="Times New Roman" w:hAnsi="Times New Roman" w:cs="Times New Roman"/>
          <w:sz w:val="28"/>
          <w:szCs w:val="28"/>
        </w:rPr>
        <w:t>tandardele generale, cu excepția cazurilor în care acestea sunt expres modificate prin prevederile standardului contabil relevant sau ale prezentului Ghid.</w:t>
      </w:r>
    </w:p>
    <w:p w14:paraId="3B6A48FA" w14:textId="4A6131AA" w:rsidR="00574688" w:rsidRPr="00B24B97" w:rsidRDefault="00574688" w:rsidP="00B01836">
      <w:pPr>
        <w:pStyle w:val="ListParagraph"/>
        <w:widowControl w:val="0"/>
        <w:numPr>
          <w:ilvl w:val="0"/>
          <w:numId w:val="2"/>
        </w:numPr>
        <w:tabs>
          <w:tab w:val="left" w:pos="1170"/>
        </w:tabs>
        <w:spacing w:after="0" w:line="276" w:lineRule="auto"/>
        <w:ind w:left="0" w:firstLine="720"/>
        <w:jc w:val="both"/>
        <w:rPr>
          <w:rFonts w:ascii="Times New Roman" w:hAnsi="Times New Roman" w:cs="Times New Roman"/>
          <w:sz w:val="28"/>
          <w:szCs w:val="28"/>
        </w:rPr>
      </w:pPr>
      <w:r w:rsidRPr="00574688">
        <w:rPr>
          <w:rFonts w:ascii="Times New Roman" w:hAnsi="Times New Roman" w:cs="Times New Roman"/>
          <w:sz w:val="28"/>
          <w:szCs w:val="28"/>
        </w:rPr>
        <w:t>Pentru clarificarea termenilor utilizați în evaluare și în contabilitate, se aplică corelările din Anexa nr.1.</w:t>
      </w:r>
    </w:p>
    <w:p w14:paraId="69BFB42B" w14:textId="77777777" w:rsidR="002362AB" w:rsidRPr="00B24B97" w:rsidRDefault="002362AB" w:rsidP="00B24B97">
      <w:pPr>
        <w:pStyle w:val="ListParagraph"/>
        <w:widowControl w:val="0"/>
        <w:spacing w:after="0" w:line="276" w:lineRule="auto"/>
        <w:ind w:left="360"/>
        <w:jc w:val="both"/>
        <w:rPr>
          <w:rFonts w:ascii="Times New Roman" w:hAnsi="Times New Roman" w:cs="Times New Roman"/>
          <w:sz w:val="28"/>
          <w:szCs w:val="28"/>
        </w:rPr>
      </w:pPr>
    </w:p>
    <w:p w14:paraId="67A40F68" w14:textId="62A3340F" w:rsidR="00DE35F8" w:rsidRPr="00B24B97" w:rsidRDefault="00BA4299" w:rsidP="00880FC0">
      <w:pPr>
        <w:pStyle w:val="ListParagraph"/>
        <w:widowControl w:val="0"/>
        <w:spacing w:after="0" w:line="276" w:lineRule="auto"/>
        <w:ind w:left="0"/>
        <w:jc w:val="center"/>
        <w:outlineLvl w:val="0"/>
        <w:rPr>
          <w:rFonts w:ascii="Times New Roman" w:hAnsi="Times New Roman" w:cs="Times New Roman"/>
          <w:b/>
          <w:bCs/>
          <w:sz w:val="28"/>
          <w:szCs w:val="28"/>
        </w:rPr>
      </w:pPr>
      <w:bookmarkStart w:id="1" w:name="_Toc213487901"/>
      <w:r w:rsidRPr="00B24B97">
        <w:rPr>
          <w:rFonts w:ascii="Times New Roman" w:hAnsi="Times New Roman" w:cs="Times New Roman"/>
          <w:b/>
          <w:bCs/>
          <w:sz w:val="28"/>
          <w:szCs w:val="28"/>
        </w:rPr>
        <w:t xml:space="preserve">CAPITOLUL </w:t>
      </w:r>
      <w:r w:rsidR="00A71439" w:rsidRPr="00B24B97">
        <w:rPr>
          <w:rFonts w:ascii="Times New Roman" w:hAnsi="Times New Roman" w:cs="Times New Roman"/>
          <w:b/>
          <w:bCs/>
          <w:sz w:val="28"/>
          <w:szCs w:val="28"/>
        </w:rPr>
        <w:t xml:space="preserve">II. </w:t>
      </w:r>
      <w:r w:rsidR="008D13E7" w:rsidRPr="00B24B97">
        <w:rPr>
          <w:rFonts w:ascii="Times New Roman" w:hAnsi="Times New Roman" w:cs="Times New Roman"/>
          <w:b/>
          <w:bCs/>
          <w:sz w:val="28"/>
          <w:szCs w:val="28"/>
        </w:rPr>
        <w:t>TERMENII DE REFERINȚĂ</w:t>
      </w:r>
      <w:bookmarkEnd w:id="1"/>
    </w:p>
    <w:p w14:paraId="7E6F854E" w14:textId="77777777" w:rsidR="002A4922" w:rsidRPr="00B24B97" w:rsidRDefault="002A4922" w:rsidP="00B01836">
      <w:pPr>
        <w:pStyle w:val="ListParagraph"/>
        <w:widowControl w:val="0"/>
        <w:numPr>
          <w:ilvl w:val="0"/>
          <w:numId w:val="2"/>
        </w:numPr>
        <w:tabs>
          <w:tab w:val="left" w:pos="126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lang w:val="it-IT"/>
        </w:rPr>
        <w:t xml:space="preserve">În completarea cerinței de identificare clară a activului supus evaluării, conform punctului 20.1 lit. (a) din SEV 101 „Termenii de referință ai evaluării”, termenii de referință vor conține, de asemenea, mențiuni explicite privind modul de utilizare sau clasificare contabilă a respectivului activ de către entitatea raportoare. Această precizare este esențială, întrucât tratamentul contabil aferent unor active sau datorii identice ori similare poate varia în funcție de utilizarea lor specifică în cadrul entității. </w:t>
      </w:r>
      <w:r w:rsidRPr="00B24B97">
        <w:rPr>
          <w:rFonts w:ascii="Times New Roman" w:hAnsi="Times New Roman" w:cs="Times New Roman"/>
          <w:sz w:val="28"/>
          <w:szCs w:val="28"/>
        </w:rPr>
        <w:t>Spre exemplu:</w:t>
      </w:r>
    </w:p>
    <w:p w14:paraId="1759F8B3" w14:textId="77777777" w:rsidR="002A4922" w:rsidRPr="00B24B97" w:rsidRDefault="002A4922" w:rsidP="00B01836">
      <w:pPr>
        <w:pStyle w:val="ListParagraph"/>
        <w:widowControl w:val="0"/>
        <w:numPr>
          <w:ilvl w:val="1"/>
          <w:numId w:val="2"/>
        </w:numPr>
        <w:spacing w:after="0" w:line="276" w:lineRule="auto"/>
        <w:ind w:left="0" w:firstLine="720"/>
        <w:jc w:val="both"/>
        <w:rPr>
          <w:rFonts w:ascii="Times New Roman" w:hAnsi="Times New Roman" w:cs="Times New Roman"/>
          <w:sz w:val="28"/>
          <w:szCs w:val="28"/>
          <w:lang w:val="it-IT"/>
        </w:rPr>
      </w:pPr>
      <w:r w:rsidRPr="00B24B97">
        <w:rPr>
          <w:rFonts w:ascii="Times New Roman" w:hAnsi="Times New Roman" w:cs="Times New Roman"/>
          <w:sz w:val="28"/>
          <w:szCs w:val="28"/>
          <w:lang w:val="it-IT"/>
        </w:rPr>
        <w:t>O proprietate imobiliară poate fi:</w:t>
      </w:r>
    </w:p>
    <w:p w14:paraId="71A6AC23" w14:textId="77777777" w:rsidR="002A4922" w:rsidRPr="00B24B97" w:rsidRDefault="002A4922" w:rsidP="00B01836">
      <w:pPr>
        <w:pStyle w:val="ListParagraph"/>
        <w:widowControl w:val="0"/>
        <w:numPr>
          <w:ilvl w:val="2"/>
          <w:numId w:val="2"/>
        </w:numPr>
        <w:spacing w:after="0" w:line="276" w:lineRule="auto"/>
        <w:ind w:left="0" w:firstLine="720"/>
        <w:jc w:val="both"/>
        <w:rPr>
          <w:rFonts w:ascii="Times New Roman" w:hAnsi="Times New Roman" w:cs="Times New Roman"/>
          <w:sz w:val="28"/>
          <w:szCs w:val="28"/>
          <w:lang w:val="it-IT"/>
        </w:rPr>
      </w:pPr>
      <w:r w:rsidRPr="00B24B97">
        <w:rPr>
          <w:rFonts w:ascii="Times New Roman" w:hAnsi="Times New Roman" w:cs="Times New Roman"/>
          <w:sz w:val="28"/>
          <w:szCs w:val="28"/>
          <w:lang w:val="it-IT"/>
        </w:rPr>
        <w:t xml:space="preserve">recunoscută ca </w:t>
      </w:r>
      <w:r w:rsidRPr="00B24B97">
        <w:rPr>
          <w:rFonts w:ascii="Times New Roman" w:hAnsi="Times New Roman" w:cs="Times New Roman"/>
          <w:i/>
          <w:iCs/>
          <w:sz w:val="28"/>
          <w:szCs w:val="28"/>
          <w:lang w:val="it-IT"/>
        </w:rPr>
        <w:t>imobilizare corporală</w:t>
      </w:r>
      <w:r w:rsidRPr="00B24B97">
        <w:rPr>
          <w:rFonts w:ascii="Times New Roman" w:hAnsi="Times New Roman" w:cs="Times New Roman"/>
          <w:sz w:val="28"/>
          <w:szCs w:val="28"/>
          <w:lang w:val="it-IT"/>
        </w:rPr>
        <w:t xml:space="preserve"> dacă este utilizată în activitatea operațională a entității;</w:t>
      </w:r>
    </w:p>
    <w:p w14:paraId="2226B500" w14:textId="77777777" w:rsidR="002A4922" w:rsidRPr="00B24B97" w:rsidRDefault="002A4922" w:rsidP="00B01836">
      <w:pPr>
        <w:pStyle w:val="ListParagraph"/>
        <w:widowControl w:val="0"/>
        <w:numPr>
          <w:ilvl w:val="2"/>
          <w:numId w:val="2"/>
        </w:numPr>
        <w:spacing w:after="0" w:line="276" w:lineRule="auto"/>
        <w:ind w:left="0" w:firstLine="720"/>
        <w:jc w:val="both"/>
        <w:rPr>
          <w:rFonts w:ascii="Times New Roman" w:hAnsi="Times New Roman" w:cs="Times New Roman"/>
          <w:sz w:val="28"/>
          <w:szCs w:val="28"/>
          <w:lang w:val="it-IT"/>
        </w:rPr>
      </w:pPr>
      <w:r w:rsidRPr="00B24B97">
        <w:rPr>
          <w:rFonts w:ascii="Times New Roman" w:hAnsi="Times New Roman" w:cs="Times New Roman"/>
          <w:sz w:val="28"/>
          <w:szCs w:val="28"/>
          <w:lang w:val="it-IT"/>
        </w:rPr>
        <w:t xml:space="preserve">tratată ca </w:t>
      </w:r>
      <w:r w:rsidRPr="00B24B97">
        <w:rPr>
          <w:rFonts w:ascii="Times New Roman" w:hAnsi="Times New Roman" w:cs="Times New Roman"/>
          <w:i/>
          <w:iCs/>
          <w:sz w:val="28"/>
          <w:szCs w:val="28"/>
          <w:lang w:val="it-IT"/>
        </w:rPr>
        <w:t>investiție imobiliară</w:t>
      </w:r>
      <w:r w:rsidRPr="00B24B97">
        <w:rPr>
          <w:rFonts w:ascii="Times New Roman" w:hAnsi="Times New Roman" w:cs="Times New Roman"/>
          <w:sz w:val="28"/>
          <w:szCs w:val="28"/>
          <w:lang w:val="it-IT"/>
        </w:rPr>
        <w:t xml:space="preserve"> dacă este deținută pentru a genera venituri din chirii și/sau pentru aprecierea valorii capitalului;</w:t>
      </w:r>
    </w:p>
    <w:p w14:paraId="41FA8543" w14:textId="77777777" w:rsidR="002A4922" w:rsidRPr="00B24B97" w:rsidRDefault="002A4922" w:rsidP="00B01836">
      <w:pPr>
        <w:pStyle w:val="ListParagraph"/>
        <w:widowControl w:val="0"/>
        <w:numPr>
          <w:ilvl w:val="2"/>
          <w:numId w:val="2"/>
        </w:numPr>
        <w:spacing w:after="0" w:line="276" w:lineRule="auto"/>
        <w:ind w:left="0" w:firstLine="720"/>
        <w:jc w:val="both"/>
        <w:rPr>
          <w:rFonts w:ascii="Times New Roman" w:hAnsi="Times New Roman" w:cs="Times New Roman"/>
          <w:sz w:val="28"/>
          <w:szCs w:val="28"/>
          <w:lang w:val="it-IT"/>
        </w:rPr>
      </w:pPr>
      <w:r w:rsidRPr="00B24B97">
        <w:rPr>
          <w:rFonts w:ascii="Times New Roman" w:hAnsi="Times New Roman" w:cs="Times New Roman"/>
          <w:sz w:val="28"/>
          <w:szCs w:val="28"/>
          <w:lang w:val="it-IT"/>
        </w:rPr>
        <w:t>inclusă în categoria de stocuri, în cazul în care este deținută de o întreprindere care are ca obiect de activitate dezvoltarea imobiliară;</w:t>
      </w:r>
    </w:p>
    <w:p w14:paraId="42D72106" w14:textId="77777777" w:rsidR="002A4922" w:rsidRPr="00B24B97" w:rsidRDefault="002A4922" w:rsidP="00B01836">
      <w:pPr>
        <w:pStyle w:val="ListParagraph"/>
        <w:widowControl w:val="0"/>
        <w:numPr>
          <w:ilvl w:val="2"/>
          <w:numId w:val="2"/>
        </w:numPr>
        <w:spacing w:after="0" w:line="276" w:lineRule="auto"/>
        <w:ind w:left="0" w:firstLine="720"/>
        <w:jc w:val="both"/>
        <w:rPr>
          <w:rFonts w:ascii="Times New Roman" w:hAnsi="Times New Roman" w:cs="Times New Roman"/>
          <w:sz w:val="28"/>
          <w:szCs w:val="28"/>
          <w:lang w:val="it-IT"/>
        </w:rPr>
      </w:pPr>
      <w:r w:rsidRPr="00B24B97">
        <w:rPr>
          <w:rFonts w:ascii="Times New Roman" w:hAnsi="Times New Roman" w:cs="Times New Roman"/>
          <w:sz w:val="28"/>
          <w:szCs w:val="28"/>
          <w:lang w:val="it-IT"/>
        </w:rPr>
        <w:t xml:space="preserve">clasificată ca </w:t>
      </w:r>
      <w:r w:rsidRPr="00B24B97">
        <w:rPr>
          <w:rFonts w:ascii="Times New Roman" w:hAnsi="Times New Roman" w:cs="Times New Roman"/>
          <w:i/>
          <w:iCs/>
          <w:sz w:val="28"/>
          <w:szCs w:val="28"/>
          <w:lang w:val="it-IT"/>
        </w:rPr>
        <w:t>activ excedentar</w:t>
      </w:r>
      <w:r w:rsidRPr="00B24B97">
        <w:rPr>
          <w:rFonts w:ascii="Times New Roman" w:hAnsi="Times New Roman" w:cs="Times New Roman"/>
          <w:sz w:val="28"/>
          <w:szCs w:val="28"/>
          <w:lang w:val="it-IT"/>
        </w:rPr>
        <w:t>, dacă nu este utilizată în scopul desfășurării activității curente.</w:t>
      </w:r>
    </w:p>
    <w:p w14:paraId="521ABA2C" w14:textId="77777777" w:rsidR="002A4922" w:rsidRPr="00B24B97" w:rsidRDefault="002A4922" w:rsidP="00B01836">
      <w:pPr>
        <w:pStyle w:val="ListParagraph"/>
        <w:widowControl w:val="0"/>
        <w:numPr>
          <w:ilvl w:val="1"/>
          <w:numId w:val="2"/>
        </w:numPr>
        <w:spacing w:after="0" w:line="276" w:lineRule="auto"/>
        <w:ind w:left="0" w:firstLine="720"/>
        <w:jc w:val="both"/>
        <w:rPr>
          <w:rFonts w:ascii="Times New Roman" w:hAnsi="Times New Roman" w:cs="Times New Roman"/>
          <w:sz w:val="28"/>
          <w:szCs w:val="28"/>
          <w:lang w:val="it-IT"/>
        </w:rPr>
      </w:pPr>
      <w:r w:rsidRPr="00B24B97">
        <w:rPr>
          <w:rFonts w:ascii="Times New Roman" w:hAnsi="Times New Roman" w:cs="Times New Roman"/>
          <w:sz w:val="28"/>
          <w:szCs w:val="28"/>
          <w:lang w:val="it-IT"/>
        </w:rPr>
        <w:t>Instrumentele financiare deținute în vederea colectării fluxurilor de numerar contractuale (rate de rambursare a principalului și dobânzi) pot fi recunoscute în contabilitate altfel decât instrumentele financiare deținute în scopuri speculative sau de tranzacționare.</w:t>
      </w:r>
    </w:p>
    <w:p w14:paraId="6664FF67" w14:textId="77777777" w:rsidR="002A4922" w:rsidRPr="00B24B97" w:rsidRDefault="002A4922" w:rsidP="00B01836">
      <w:pPr>
        <w:pStyle w:val="ListParagraph"/>
        <w:widowControl w:val="0"/>
        <w:numPr>
          <w:ilvl w:val="1"/>
          <w:numId w:val="2"/>
        </w:numPr>
        <w:spacing w:after="0" w:line="276" w:lineRule="auto"/>
        <w:ind w:left="0" w:firstLine="720"/>
        <w:jc w:val="both"/>
        <w:rPr>
          <w:rFonts w:ascii="Times New Roman" w:hAnsi="Times New Roman" w:cs="Times New Roman"/>
          <w:sz w:val="28"/>
          <w:szCs w:val="28"/>
          <w:lang w:val="it-IT"/>
        </w:rPr>
      </w:pPr>
      <w:r w:rsidRPr="00B24B97">
        <w:rPr>
          <w:rFonts w:ascii="Times New Roman" w:hAnsi="Times New Roman" w:cs="Times New Roman"/>
          <w:sz w:val="28"/>
          <w:szCs w:val="28"/>
          <w:lang w:val="it-IT"/>
        </w:rPr>
        <w:t>Activele necorporale dobândite prin fuziune sau achiziție de întreprindere pot necesita o evaluare inițială distinctă de activele similare deja deținute de entitate, ca urmare a particularităților de recunoaștere și evaluare prevăzute de standardele relevante.</w:t>
      </w:r>
    </w:p>
    <w:p w14:paraId="4BA6EEF4" w14:textId="77777777" w:rsidR="002A4922" w:rsidRPr="00B24B97" w:rsidRDefault="002A4922" w:rsidP="00B01836">
      <w:pPr>
        <w:pStyle w:val="ListParagraph"/>
        <w:widowControl w:val="0"/>
        <w:numPr>
          <w:ilvl w:val="0"/>
          <w:numId w:val="2"/>
        </w:numPr>
        <w:tabs>
          <w:tab w:val="left" w:pos="1170"/>
        </w:tabs>
        <w:spacing w:after="0" w:line="276" w:lineRule="auto"/>
        <w:ind w:left="0" w:firstLine="720"/>
        <w:jc w:val="both"/>
        <w:rPr>
          <w:rFonts w:ascii="Times New Roman" w:hAnsi="Times New Roman" w:cs="Times New Roman"/>
          <w:sz w:val="28"/>
          <w:szCs w:val="28"/>
          <w:lang w:val="it-IT"/>
        </w:rPr>
      </w:pPr>
      <w:r w:rsidRPr="00B24B97">
        <w:rPr>
          <w:rFonts w:ascii="Times New Roman" w:hAnsi="Times New Roman" w:cs="Times New Roman"/>
          <w:sz w:val="28"/>
          <w:szCs w:val="28"/>
          <w:lang w:val="it-IT"/>
        </w:rPr>
        <w:t>În situațiile în care un activ este utilizat în mod integrat împreună cu alte active identificabile, se va determina unitatea de cont corespunzătoare, în funcție de clasificarea utilizată de entitatea raportoare. Standardele de raportare financiară pot oferi indicații privind stabilirea unității de cont și gradul de agregare aplicabil pentru anumite tipuri de active, respectiv pentru scopuri contabile specifice.</w:t>
      </w:r>
    </w:p>
    <w:p w14:paraId="5CBD25BC" w14:textId="2C201731" w:rsidR="00AC4987" w:rsidRPr="00B24B97" w:rsidRDefault="00AC4987" w:rsidP="00B01836">
      <w:pPr>
        <w:pStyle w:val="ListParagraph"/>
        <w:widowControl w:val="0"/>
        <w:numPr>
          <w:ilvl w:val="0"/>
          <w:numId w:val="2"/>
        </w:numPr>
        <w:tabs>
          <w:tab w:val="left" w:pos="117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lang w:val="it-IT"/>
        </w:rPr>
        <w:t xml:space="preserve">Pentru a respecta cerințele prevăzute la SEV 101 „Termenii de referință ai </w:t>
      </w:r>
      <w:r w:rsidRPr="00B24B97">
        <w:rPr>
          <w:rFonts w:ascii="Times New Roman" w:hAnsi="Times New Roman" w:cs="Times New Roman"/>
          <w:sz w:val="28"/>
          <w:szCs w:val="28"/>
          <w:lang w:val="it-IT"/>
        </w:rPr>
        <w:lastRenderedPageBreak/>
        <w:t>evaluării”, punctul 20.1 lit. (c), privind precizarea utilizării desemnate, termenii de referință ai evaluării trebuie să includă, în mod explicit, identificarea standardului contabil aplicabil și scopul contabil concret pentru care se solicită evaluarea.</w:t>
      </w:r>
      <w:r w:rsidR="00824C41" w:rsidRPr="00B24B97">
        <w:rPr>
          <w:rFonts w:ascii="Times New Roman" w:hAnsi="Times New Roman" w:cs="Times New Roman"/>
          <w:sz w:val="28"/>
          <w:szCs w:val="28"/>
          <w:lang w:val="it-IT"/>
        </w:rPr>
        <w:t xml:space="preserve"> </w:t>
      </w:r>
      <w:r w:rsidRPr="00B24B97">
        <w:rPr>
          <w:rFonts w:ascii="Times New Roman" w:hAnsi="Times New Roman" w:cs="Times New Roman"/>
          <w:sz w:val="28"/>
          <w:szCs w:val="28"/>
          <w:lang w:val="it-IT"/>
        </w:rPr>
        <w:t xml:space="preserve">Utilizarea desemnată, în contextul raportării financiare, constă în aplicarea rezultatelor evaluării în procesul de întocmire a situațiilor financiare, în conformitate cu cerințele standardelor de raportare financiară recunoscute (de exemplu, IFRS, IAS, reglementările contabile naționale etc.). Scopul contabil al </w:t>
      </w:r>
      <w:r w:rsidRPr="00B24B97">
        <w:rPr>
          <w:rFonts w:ascii="Times New Roman" w:hAnsi="Times New Roman" w:cs="Times New Roman"/>
          <w:sz w:val="28"/>
          <w:szCs w:val="28"/>
        </w:rPr>
        <w:t>evaluării trebuie descris clar și poate include, după caz:</w:t>
      </w:r>
    </w:p>
    <w:p w14:paraId="5F5D90D6" w14:textId="643366F2" w:rsidR="00AC4987" w:rsidRPr="00B24B97" w:rsidRDefault="00320630" w:rsidP="00B01836">
      <w:pPr>
        <w:pStyle w:val="ListParagraph"/>
        <w:widowControl w:val="0"/>
        <w:numPr>
          <w:ilvl w:val="1"/>
          <w:numId w:val="2"/>
        </w:numPr>
        <w:spacing w:after="0" w:line="276" w:lineRule="auto"/>
        <w:ind w:left="0" w:firstLine="720"/>
        <w:jc w:val="both"/>
        <w:rPr>
          <w:rFonts w:ascii="Times New Roman" w:hAnsi="Times New Roman" w:cs="Times New Roman"/>
          <w:sz w:val="28"/>
          <w:szCs w:val="28"/>
        </w:rPr>
      </w:pPr>
      <w:r>
        <w:rPr>
          <w:rFonts w:ascii="Times New Roman" w:hAnsi="Times New Roman" w:cs="Times New Roman"/>
          <w:b/>
          <w:bCs/>
          <w:i/>
          <w:iCs/>
          <w:sz w:val="28"/>
          <w:szCs w:val="28"/>
        </w:rPr>
        <w:t>d</w:t>
      </w:r>
      <w:r w:rsidR="002362AB" w:rsidRPr="00B24B97">
        <w:rPr>
          <w:rFonts w:ascii="Times New Roman" w:hAnsi="Times New Roman" w:cs="Times New Roman"/>
          <w:b/>
          <w:bCs/>
          <w:i/>
          <w:iCs/>
          <w:sz w:val="28"/>
          <w:szCs w:val="28"/>
        </w:rPr>
        <w:t>eterminarea valorii contabile</w:t>
      </w:r>
      <w:r w:rsidR="002362AB" w:rsidRPr="00B24B97">
        <w:rPr>
          <w:rFonts w:ascii="Times New Roman" w:hAnsi="Times New Roman" w:cs="Times New Roman"/>
          <w:sz w:val="28"/>
          <w:szCs w:val="28"/>
        </w:rPr>
        <w:t xml:space="preserve"> </w:t>
      </w:r>
      <w:r w:rsidR="00AC4987" w:rsidRPr="00B24B97">
        <w:rPr>
          <w:rFonts w:ascii="Times New Roman" w:hAnsi="Times New Roman" w:cs="Times New Roman"/>
          <w:sz w:val="28"/>
          <w:szCs w:val="28"/>
        </w:rPr>
        <w:t>a unui activ sau a unei datorii la recunoașterea inițială sau la evaluarea ulterioară;</w:t>
      </w:r>
    </w:p>
    <w:p w14:paraId="0E091A46" w14:textId="7FF55167" w:rsidR="00AD523A" w:rsidRPr="00B24B97" w:rsidRDefault="00320630" w:rsidP="00B01836">
      <w:pPr>
        <w:pStyle w:val="ListParagraph"/>
        <w:widowControl w:val="0"/>
        <w:numPr>
          <w:ilvl w:val="1"/>
          <w:numId w:val="2"/>
        </w:numPr>
        <w:spacing w:after="0" w:line="276" w:lineRule="auto"/>
        <w:ind w:left="0" w:firstLine="720"/>
        <w:jc w:val="both"/>
        <w:rPr>
          <w:rFonts w:ascii="Times New Roman" w:hAnsi="Times New Roman" w:cs="Times New Roman"/>
          <w:sz w:val="28"/>
          <w:szCs w:val="28"/>
          <w:lang w:val="it-IT"/>
        </w:rPr>
      </w:pPr>
      <w:r>
        <w:rPr>
          <w:rFonts w:ascii="Times New Roman" w:hAnsi="Times New Roman" w:cs="Times New Roman"/>
          <w:b/>
          <w:bCs/>
          <w:i/>
          <w:iCs/>
          <w:sz w:val="28"/>
          <w:szCs w:val="28"/>
          <w:lang w:val="it-IT"/>
        </w:rPr>
        <w:t>c</w:t>
      </w:r>
      <w:r w:rsidR="002362AB" w:rsidRPr="00B24B97">
        <w:rPr>
          <w:rFonts w:ascii="Times New Roman" w:hAnsi="Times New Roman" w:cs="Times New Roman"/>
          <w:b/>
          <w:bCs/>
          <w:i/>
          <w:iCs/>
          <w:sz w:val="28"/>
          <w:szCs w:val="28"/>
          <w:lang w:val="it-IT"/>
        </w:rPr>
        <w:t>alcularea cheltuielilor cu amortizarea/ deprecierea</w:t>
      </w:r>
      <w:r w:rsidR="00AD523A" w:rsidRPr="00B24B97">
        <w:rPr>
          <w:rFonts w:ascii="Times New Roman" w:hAnsi="Times New Roman" w:cs="Times New Roman"/>
          <w:sz w:val="28"/>
          <w:szCs w:val="28"/>
          <w:lang w:val="it-IT"/>
        </w:rPr>
        <w:t>, conform duratei de viață utilă și valorii amortizabile stabilite potrivit IAS 16 sau altor standarde relevante.</w:t>
      </w:r>
    </w:p>
    <w:p w14:paraId="238A3F08" w14:textId="2DB0704A" w:rsidR="00AC4987" w:rsidRPr="00B24B97" w:rsidRDefault="00320630" w:rsidP="00B01836">
      <w:pPr>
        <w:pStyle w:val="ListParagraph"/>
        <w:widowControl w:val="0"/>
        <w:numPr>
          <w:ilvl w:val="1"/>
          <w:numId w:val="2"/>
        </w:numPr>
        <w:spacing w:after="0" w:line="276" w:lineRule="auto"/>
        <w:ind w:left="0" w:firstLine="720"/>
        <w:jc w:val="both"/>
        <w:rPr>
          <w:rFonts w:ascii="Times New Roman" w:hAnsi="Times New Roman" w:cs="Times New Roman"/>
          <w:sz w:val="28"/>
          <w:szCs w:val="28"/>
        </w:rPr>
      </w:pPr>
      <w:r>
        <w:rPr>
          <w:rFonts w:ascii="Times New Roman" w:hAnsi="Times New Roman" w:cs="Times New Roman"/>
          <w:b/>
          <w:bCs/>
          <w:i/>
          <w:iCs/>
          <w:sz w:val="28"/>
          <w:szCs w:val="28"/>
        </w:rPr>
        <w:t>a</w:t>
      </w:r>
      <w:r w:rsidR="002362AB" w:rsidRPr="00B24B97">
        <w:rPr>
          <w:rFonts w:ascii="Times New Roman" w:hAnsi="Times New Roman" w:cs="Times New Roman"/>
          <w:b/>
          <w:bCs/>
          <w:i/>
          <w:iCs/>
          <w:sz w:val="28"/>
          <w:szCs w:val="28"/>
        </w:rPr>
        <w:t>locarea prețului de achiziție</w:t>
      </w:r>
      <w:r w:rsidR="002362AB" w:rsidRPr="00B24B97">
        <w:rPr>
          <w:rFonts w:ascii="Times New Roman" w:hAnsi="Times New Roman" w:cs="Times New Roman"/>
          <w:sz w:val="28"/>
          <w:szCs w:val="28"/>
        </w:rPr>
        <w:t xml:space="preserve"> </w:t>
      </w:r>
      <w:r w:rsidR="00AC4987" w:rsidRPr="00B24B97">
        <w:rPr>
          <w:rFonts w:ascii="Times New Roman" w:hAnsi="Times New Roman" w:cs="Times New Roman"/>
          <w:sz w:val="28"/>
          <w:szCs w:val="28"/>
        </w:rPr>
        <w:t>în cazul unei combinări de întreprinderi, conform IFRS 3;</w:t>
      </w:r>
    </w:p>
    <w:p w14:paraId="09A0CEDB" w14:textId="312EA7D7" w:rsidR="00AC4987" w:rsidRPr="00B24B97" w:rsidRDefault="00320630" w:rsidP="00B01836">
      <w:pPr>
        <w:pStyle w:val="ListParagraph"/>
        <w:widowControl w:val="0"/>
        <w:numPr>
          <w:ilvl w:val="1"/>
          <w:numId w:val="2"/>
        </w:numPr>
        <w:spacing w:after="0" w:line="276" w:lineRule="auto"/>
        <w:ind w:left="0" w:firstLine="720"/>
        <w:jc w:val="both"/>
        <w:rPr>
          <w:rFonts w:ascii="Times New Roman" w:hAnsi="Times New Roman" w:cs="Times New Roman"/>
          <w:sz w:val="28"/>
          <w:szCs w:val="28"/>
        </w:rPr>
      </w:pPr>
      <w:r>
        <w:rPr>
          <w:rFonts w:ascii="Times New Roman" w:hAnsi="Times New Roman" w:cs="Times New Roman"/>
          <w:b/>
          <w:bCs/>
          <w:i/>
          <w:iCs/>
          <w:sz w:val="28"/>
          <w:szCs w:val="28"/>
        </w:rPr>
        <w:t>t</w:t>
      </w:r>
      <w:r w:rsidR="002362AB" w:rsidRPr="00B24B97">
        <w:rPr>
          <w:rFonts w:ascii="Times New Roman" w:hAnsi="Times New Roman" w:cs="Times New Roman"/>
          <w:b/>
          <w:bCs/>
          <w:i/>
          <w:iCs/>
          <w:sz w:val="28"/>
          <w:szCs w:val="28"/>
        </w:rPr>
        <w:t>estarea pentru depreciere</w:t>
      </w:r>
      <w:r w:rsidR="00AC4987" w:rsidRPr="00B24B97">
        <w:rPr>
          <w:rFonts w:ascii="Times New Roman" w:hAnsi="Times New Roman" w:cs="Times New Roman"/>
          <w:sz w:val="28"/>
          <w:szCs w:val="28"/>
        </w:rPr>
        <w:t>, conform IAS 36, în vederea stabilirii valorii recuperabile a activului;</w:t>
      </w:r>
    </w:p>
    <w:p w14:paraId="792C5CD4" w14:textId="2C709F26" w:rsidR="00AC4987" w:rsidRPr="00B24B97" w:rsidRDefault="00320630" w:rsidP="00B01836">
      <w:pPr>
        <w:pStyle w:val="ListParagraph"/>
        <w:widowControl w:val="0"/>
        <w:numPr>
          <w:ilvl w:val="1"/>
          <w:numId w:val="2"/>
        </w:numPr>
        <w:spacing w:after="0" w:line="276" w:lineRule="auto"/>
        <w:ind w:left="0" w:firstLine="720"/>
        <w:jc w:val="both"/>
        <w:rPr>
          <w:rFonts w:ascii="Times New Roman" w:hAnsi="Times New Roman" w:cs="Times New Roman"/>
          <w:sz w:val="28"/>
          <w:szCs w:val="28"/>
          <w:lang w:val="it-IT"/>
        </w:rPr>
      </w:pPr>
      <w:r>
        <w:rPr>
          <w:rFonts w:ascii="Times New Roman" w:hAnsi="Times New Roman" w:cs="Times New Roman"/>
          <w:b/>
          <w:bCs/>
          <w:i/>
          <w:iCs/>
          <w:sz w:val="28"/>
          <w:szCs w:val="28"/>
          <w:lang w:val="it-IT"/>
        </w:rPr>
        <w:t>c</w:t>
      </w:r>
      <w:r w:rsidR="002362AB" w:rsidRPr="00B24B97">
        <w:rPr>
          <w:rFonts w:ascii="Times New Roman" w:hAnsi="Times New Roman" w:cs="Times New Roman"/>
          <w:b/>
          <w:bCs/>
          <w:i/>
          <w:iCs/>
          <w:sz w:val="28"/>
          <w:szCs w:val="28"/>
          <w:lang w:val="it-IT"/>
        </w:rPr>
        <w:t>lasificarea și evaluarea contractelor de leasing</w:t>
      </w:r>
      <w:r w:rsidR="00AC4987" w:rsidRPr="00B24B97">
        <w:rPr>
          <w:rFonts w:ascii="Times New Roman" w:hAnsi="Times New Roman" w:cs="Times New Roman"/>
          <w:sz w:val="28"/>
          <w:szCs w:val="28"/>
          <w:lang w:val="it-IT"/>
        </w:rPr>
        <w:t>, în conformitate cu IFRS 16, în scopul recunoașterii activului aferent dreptului de utilizare și a datoriei de leasing</w:t>
      </w:r>
      <w:r>
        <w:rPr>
          <w:rFonts w:ascii="Times New Roman" w:hAnsi="Times New Roman" w:cs="Times New Roman"/>
          <w:sz w:val="28"/>
          <w:szCs w:val="28"/>
          <w:lang w:val="it-IT"/>
        </w:rPr>
        <w:t>.</w:t>
      </w:r>
    </w:p>
    <w:p w14:paraId="66C5CE2D" w14:textId="1FF5EFEC" w:rsidR="00851AD1" w:rsidRPr="00B24B97" w:rsidRDefault="00851AD1" w:rsidP="00B01836">
      <w:pPr>
        <w:pStyle w:val="ListParagraph"/>
        <w:widowControl w:val="0"/>
        <w:numPr>
          <w:ilvl w:val="0"/>
          <w:numId w:val="2"/>
        </w:numPr>
        <w:tabs>
          <w:tab w:val="left" w:pos="1170"/>
        </w:tabs>
        <w:spacing w:after="0" w:line="276" w:lineRule="auto"/>
        <w:ind w:left="0" w:firstLine="720"/>
        <w:jc w:val="both"/>
        <w:rPr>
          <w:rFonts w:ascii="Times New Roman" w:hAnsi="Times New Roman" w:cs="Times New Roman"/>
          <w:sz w:val="28"/>
          <w:szCs w:val="28"/>
          <w:lang w:val="it-IT"/>
        </w:rPr>
      </w:pPr>
      <w:r w:rsidRPr="00B24B97">
        <w:rPr>
          <w:rFonts w:ascii="Times New Roman" w:hAnsi="Times New Roman" w:cs="Times New Roman"/>
          <w:sz w:val="28"/>
          <w:szCs w:val="28"/>
          <w:lang w:val="it-IT"/>
        </w:rPr>
        <w:t>Conform SEV 101, punctul 20.1 lit. (h), tipul valorii utilizat în evaluare trebuie indicat expres. Tipurile valorii prevăzute în standardele contabile relevante includ, fără a se limita la:</w:t>
      </w:r>
      <w:r w:rsidR="00AC4987" w:rsidRPr="00B24B97">
        <w:rPr>
          <w:rFonts w:ascii="Times New Roman" w:hAnsi="Times New Roman" w:cs="Times New Roman"/>
          <w:sz w:val="28"/>
          <w:szCs w:val="28"/>
          <w:lang w:val="it-IT"/>
        </w:rPr>
        <w:t xml:space="preserve"> </w:t>
      </w:r>
      <w:r w:rsidR="00D5340A">
        <w:rPr>
          <w:rFonts w:ascii="Times New Roman" w:hAnsi="Times New Roman" w:cs="Times New Roman"/>
          <w:sz w:val="28"/>
          <w:szCs w:val="28"/>
          <w:lang w:val="it-IT"/>
        </w:rPr>
        <w:t>v</w:t>
      </w:r>
      <w:r w:rsidRPr="00B24B97">
        <w:rPr>
          <w:rFonts w:ascii="Times New Roman" w:hAnsi="Times New Roman" w:cs="Times New Roman"/>
          <w:sz w:val="28"/>
          <w:szCs w:val="28"/>
          <w:lang w:val="it-IT"/>
        </w:rPr>
        <w:t>aloarea justă, în general echivalentă cu valoarea de piață, conform definiției din SEV;</w:t>
      </w:r>
      <w:r w:rsidR="00AC4987" w:rsidRPr="00B24B97">
        <w:rPr>
          <w:rFonts w:ascii="Times New Roman" w:hAnsi="Times New Roman" w:cs="Times New Roman"/>
          <w:sz w:val="28"/>
          <w:szCs w:val="28"/>
          <w:lang w:val="it-IT"/>
        </w:rPr>
        <w:t xml:space="preserve"> </w:t>
      </w:r>
      <w:r w:rsidR="00D5340A">
        <w:rPr>
          <w:rFonts w:ascii="Times New Roman" w:hAnsi="Times New Roman" w:cs="Times New Roman"/>
          <w:sz w:val="28"/>
          <w:szCs w:val="28"/>
          <w:lang w:val="it-IT"/>
        </w:rPr>
        <w:t>v</w:t>
      </w:r>
      <w:r w:rsidRPr="00B24B97">
        <w:rPr>
          <w:rFonts w:ascii="Times New Roman" w:hAnsi="Times New Roman" w:cs="Times New Roman"/>
          <w:sz w:val="28"/>
          <w:szCs w:val="28"/>
          <w:lang w:val="it-IT"/>
        </w:rPr>
        <w:t>aloarea realizabilă netă, utilizată în special pentru evaluarea stocurilor;</w:t>
      </w:r>
      <w:r w:rsidR="00AC4987" w:rsidRPr="00B24B97">
        <w:rPr>
          <w:rFonts w:ascii="Times New Roman" w:hAnsi="Times New Roman" w:cs="Times New Roman"/>
          <w:sz w:val="28"/>
          <w:szCs w:val="28"/>
          <w:lang w:val="it-IT"/>
        </w:rPr>
        <w:t xml:space="preserve"> </w:t>
      </w:r>
      <w:r w:rsidR="00D5340A">
        <w:rPr>
          <w:rFonts w:ascii="Times New Roman" w:hAnsi="Times New Roman" w:cs="Times New Roman"/>
          <w:sz w:val="28"/>
          <w:szCs w:val="28"/>
          <w:lang w:val="it-IT"/>
        </w:rPr>
        <w:t>v</w:t>
      </w:r>
      <w:r w:rsidRPr="00B24B97">
        <w:rPr>
          <w:rFonts w:ascii="Times New Roman" w:hAnsi="Times New Roman" w:cs="Times New Roman"/>
          <w:sz w:val="28"/>
          <w:szCs w:val="28"/>
          <w:lang w:val="it-IT"/>
        </w:rPr>
        <w:t>aloarea recuperabilă, aplicabilă în testele de depreciere pentru active.</w:t>
      </w:r>
      <w:r w:rsidR="00AC4987" w:rsidRPr="00B24B97">
        <w:rPr>
          <w:rFonts w:ascii="Times New Roman" w:hAnsi="Times New Roman" w:cs="Times New Roman"/>
          <w:sz w:val="28"/>
          <w:szCs w:val="28"/>
          <w:lang w:val="it-IT"/>
        </w:rPr>
        <w:t xml:space="preserve"> </w:t>
      </w:r>
      <w:r w:rsidRPr="00B24B97">
        <w:rPr>
          <w:rFonts w:ascii="Times New Roman" w:hAnsi="Times New Roman" w:cs="Times New Roman"/>
          <w:sz w:val="28"/>
          <w:szCs w:val="28"/>
          <w:lang w:val="it-IT"/>
        </w:rPr>
        <w:t>Definițiile acestor concepte sunt prevăzute în standardele de contabilitate aplicabile, iar selectarea corectă a tipului valorii este esențială pentru asigurarea conformității evaluării cu scopul și cerințele raportării financiare.</w:t>
      </w:r>
    </w:p>
    <w:p w14:paraId="0A009226" w14:textId="6D131310" w:rsidR="0061128D" w:rsidRPr="00B24B97" w:rsidRDefault="000E709C" w:rsidP="00B01836">
      <w:pPr>
        <w:pStyle w:val="ListParagraph"/>
        <w:widowControl w:val="0"/>
        <w:numPr>
          <w:ilvl w:val="0"/>
          <w:numId w:val="2"/>
        </w:numPr>
        <w:tabs>
          <w:tab w:val="left" w:pos="1170"/>
        </w:tabs>
        <w:spacing w:after="0" w:line="276" w:lineRule="auto"/>
        <w:ind w:left="0" w:firstLine="720"/>
        <w:jc w:val="both"/>
        <w:rPr>
          <w:rFonts w:ascii="Times New Roman" w:hAnsi="Times New Roman" w:cs="Times New Roman"/>
          <w:sz w:val="28"/>
          <w:szCs w:val="28"/>
        </w:rPr>
      </w:pPr>
      <w:r w:rsidRPr="000E709C">
        <w:rPr>
          <w:rFonts w:ascii="Times New Roman" w:hAnsi="Times New Roman" w:cs="Times New Roman"/>
          <w:sz w:val="28"/>
          <w:szCs w:val="28"/>
          <w:lang w:val="it-IT"/>
        </w:rPr>
        <w:t xml:space="preserve">În conformitate cu prevederile SEV 101 „Termenii de referință ai evaluării”, punctul 20.1 lit. (k), termenii de referință ai evaluării trebuie să includă declararea expresă a tuturor ipotezelor relevante luate în considerare în cadrul procesului de evaluare. Ipotezele aplicabile trebuie să reflecte modul de utilizare sau clasificare contabilă a activului, astfel încât rezultatul evaluării să fie corespunzător scopului contabil pentru care este efectuată. În general, standardele de raportare financiară prevăd ca situațiile financiare să fie întocmite pe baza ipotezei continuității activității, cu excepția cazurilor în care conducerea entității: are intenția de a lichida entitatea sau de a înceta activitatea sa economică; sau nu deține nicio alternativă realistă în afara acestor scenarii. Prin urmare, cu excepția unor situații particulare (de exemplu, în cazul anumitor instrumente financiare </w:t>
      </w:r>
      <w:r w:rsidRPr="000E709C">
        <w:rPr>
          <w:rFonts w:ascii="Times New Roman" w:hAnsi="Times New Roman" w:cs="Times New Roman"/>
          <w:sz w:val="28"/>
          <w:szCs w:val="28"/>
          <w:lang w:val="it-IT"/>
        </w:rPr>
        <w:lastRenderedPageBreak/>
        <w:t>sau al unor active identificate pentru vânzare), se consideră că este adecvată ipoteza utilizării continue a activului ca parte integrantă a entității raportoare. Această ipoteză nu este aplicabilă în următoarele situații:</w:t>
      </w:r>
    </w:p>
    <w:p w14:paraId="52F37772" w14:textId="77777777" w:rsidR="0061128D" w:rsidRPr="00B24B97" w:rsidRDefault="0061128D" w:rsidP="00B01836">
      <w:pPr>
        <w:pStyle w:val="ListParagraph"/>
        <w:widowControl w:val="0"/>
        <w:numPr>
          <w:ilvl w:val="1"/>
          <w:numId w:val="2"/>
        </w:numPr>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atunci când există dovezi clare privind intenția entității de a vinde, transfera sau casa activul respectiv;</w:t>
      </w:r>
    </w:p>
    <w:p w14:paraId="613A40BB" w14:textId="5B84771B" w:rsidR="0061128D" w:rsidRPr="00B24B97" w:rsidRDefault="0061128D" w:rsidP="00B01836">
      <w:pPr>
        <w:pStyle w:val="ListParagraph"/>
        <w:widowControl w:val="0"/>
        <w:numPr>
          <w:ilvl w:val="1"/>
          <w:numId w:val="2"/>
        </w:numPr>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 xml:space="preserve">când standardele contabile impun în mod expres determinarea unei valori recuperabile prin </w:t>
      </w:r>
      <w:r w:rsidR="00E855A4" w:rsidRPr="00B24B97">
        <w:rPr>
          <w:rFonts w:ascii="Times New Roman" w:hAnsi="Times New Roman" w:cs="Times New Roman"/>
          <w:sz w:val="28"/>
          <w:szCs w:val="28"/>
        </w:rPr>
        <w:t>vânzare</w:t>
      </w:r>
      <w:r w:rsidRPr="00B24B97">
        <w:rPr>
          <w:rFonts w:ascii="Times New Roman" w:hAnsi="Times New Roman" w:cs="Times New Roman"/>
          <w:sz w:val="28"/>
          <w:szCs w:val="28"/>
        </w:rPr>
        <w:t>;</w:t>
      </w:r>
    </w:p>
    <w:p w14:paraId="12D22A7E" w14:textId="0E6E2949" w:rsidR="0061128D" w:rsidRPr="00B24B97" w:rsidRDefault="0061128D" w:rsidP="00B01836">
      <w:pPr>
        <w:pStyle w:val="ListParagraph"/>
        <w:widowControl w:val="0"/>
        <w:numPr>
          <w:ilvl w:val="1"/>
          <w:numId w:val="2"/>
        </w:numPr>
        <w:spacing w:after="0" w:line="276" w:lineRule="auto"/>
        <w:ind w:left="0" w:firstLine="720"/>
        <w:jc w:val="both"/>
        <w:rPr>
          <w:rFonts w:ascii="Times New Roman" w:hAnsi="Times New Roman" w:cs="Times New Roman"/>
          <w:sz w:val="28"/>
          <w:szCs w:val="28"/>
          <w:lang w:val="it-IT"/>
        </w:rPr>
      </w:pPr>
      <w:r w:rsidRPr="00B24B97">
        <w:rPr>
          <w:rFonts w:ascii="Times New Roman" w:hAnsi="Times New Roman" w:cs="Times New Roman"/>
          <w:sz w:val="28"/>
          <w:szCs w:val="28"/>
          <w:lang w:val="it-IT"/>
        </w:rPr>
        <w:t>când se aplică testul de depreciere sau se determină valoarea justă în afara premiselor de continuitate.</w:t>
      </w:r>
    </w:p>
    <w:p w14:paraId="41CE28D0" w14:textId="17741794" w:rsidR="0061128D" w:rsidRPr="00B24B97" w:rsidRDefault="002E1904" w:rsidP="00B01836">
      <w:pPr>
        <w:pStyle w:val="ListParagraph"/>
        <w:widowControl w:val="0"/>
        <w:numPr>
          <w:ilvl w:val="0"/>
          <w:numId w:val="2"/>
        </w:numPr>
        <w:spacing w:after="0" w:line="276" w:lineRule="auto"/>
        <w:ind w:left="0" w:firstLine="720"/>
        <w:jc w:val="both"/>
        <w:rPr>
          <w:rFonts w:ascii="Times New Roman" w:hAnsi="Times New Roman" w:cs="Times New Roman"/>
          <w:sz w:val="28"/>
          <w:szCs w:val="28"/>
          <w:lang w:val="it-IT"/>
        </w:rPr>
      </w:pPr>
      <w:r w:rsidRPr="002E1904">
        <w:rPr>
          <w:rFonts w:ascii="Times New Roman" w:hAnsi="Times New Roman" w:cs="Times New Roman"/>
          <w:sz w:val="28"/>
          <w:szCs w:val="28"/>
        </w:rPr>
        <w:t>Totodată, în cadrul termenilor de referință ai evaluării este necesar să fie identificate și declarate ipotezele privind stabilirea unității de cont. Aceste ipoteze trebuie să precizeze dacă activul este evaluat individual (de sine stătător) sau împreună cu alte active complementare, în cadrul unui ansamblu operațional (de exemplu, o unitate generatoare de numerar). În unele cazuri, standardele de raportare financiară aplicabile pot conține prevederi explicite privind ipotezele sau premisele de evaluare permise, inclusiv referitor la gradul de agregare sau la structura unității de cont relevante pentru recunoaștere și prezentare în situațiile financiare</w:t>
      </w:r>
      <w:r w:rsidR="0061128D" w:rsidRPr="00B24B97">
        <w:rPr>
          <w:rFonts w:ascii="Times New Roman" w:hAnsi="Times New Roman" w:cs="Times New Roman"/>
          <w:sz w:val="28"/>
          <w:szCs w:val="28"/>
        </w:rPr>
        <w:t>.</w:t>
      </w:r>
    </w:p>
    <w:p w14:paraId="6FB1F693" w14:textId="34D4C42D" w:rsidR="0061128D" w:rsidRPr="00B24B97" w:rsidRDefault="002E1904" w:rsidP="00B01836">
      <w:pPr>
        <w:pStyle w:val="ListParagraph"/>
        <w:widowControl w:val="0"/>
        <w:numPr>
          <w:ilvl w:val="0"/>
          <w:numId w:val="2"/>
        </w:numPr>
        <w:spacing w:after="0" w:line="276" w:lineRule="auto"/>
        <w:ind w:left="0" w:firstLine="720"/>
        <w:jc w:val="both"/>
        <w:rPr>
          <w:rFonts w:ascii="Times New Roman" w:hAnsi="Times New Roman" w:cs="Times New Roman"/>
          <w:sz w:val="28"/>
          <w:szCs w:val="28"/>
          <w:lang w:val="it-IT"/>
        </w:rPr>
      </w:pPr>
      <w:r w:rsidRPr="002E1904">
        <w:rPr>
          <w:rFonts w:ascii="Times New Roman" w:hAnsi="Times New Roman" w:cs="Times New Roman"/>
          <w:sz w:val="28"/>
          <w:szCs w:val="28"/>
        </w:rPr>
        <w:t>Ca regulă generală, valoarea estimată în scopul includerii într-o situație financiară trebuie determinată pe baza ipotezelor standard aplicabile într-un context de raportare financiară obișnuit. Utilizarea ipotezelor speciale este, în mod normal, inadecvată pentru astfel de scopuri, cu excepția cazurilor în care standardele contabile impun sau permit expres acest lucru. Prin urmare, ipotezele speciale (conform definiției din SEV 102) trebuie evitate în evaluările destinate raportării financiare, cu excepția situațiilor justificate și documentate corespunzător</w:t>
      </w:r>
      <w:r w:rsidR="0061128D" w:rsidRPr="00B24B97">
        <w:rPr>
          <w:rFonts w:ascii="Times New Roman" w:hAnsi="Times New Roman" w:cs="Times New Roman"/>
          <w:sz w:val="28"/>
          <w:szCs w:val="28"/>
        </w:rPr>
        <w:t xml:space="preserve">. </w:t>
      </w:r>
    </w:p>
    <w:p w14:paraId="35A1E4F2" w14:textId="49D4E250" w:rsidR="00442783" w:rsidRPr="00B24B97" w:rsidRDefault="00442783" w:rsidP="00B01836">
      <w:pPr>
        <w:pStyle w:val="ListParagraph"/>
        <w:widowControl w:val="0"/>
        <w:numPr>
          <w:ilvl w:val="0"/>
          <w:numId w:val="2"/>
        </w:numPr>
        <w:spacing w:after="0" w:line="276" w:lineRule="auto"/>
        <w:ind w:left="0" w:firstLine="720"/>
        <w:jc w:val="both"/>
        <w:rPr>
          <w:rFonts w:ascii="Times New Roman" w:hAnsi="Times New Roman" w:cs="Times New Roman"/>
          <w:sz w:val="28"/>
          <w:szCs w:val="28"/>
          <w:lang w:val="it-IT"/>
        </w:rPr>
      </w:pPr>
      <w:r w:rsidRPr="00B24B97">
        <w:rPr>
          <w:rFonts w:ascii="Times New Roman" w:hAnsi="Times New Roman" w:cs="Times New Roman"/>
          <w:sz w:val="28"/>
          <w:szCs w:val="28"/>
          <w:lang w:val="it-IT"/>
        </w:rPr>
        <w:t>În aplicarea cerințelor prevăzute de SEV 101 „Termenii de referință ai evaluării”, punctul 20.1 lit. (o) privind restricțiile de utilizare, difuzare și publicare, este necesar ca în cadrul termenilor de referință ai evaluării să fie clar specificate următoarele aspecte:</w:t>
      </w:r>
    </w:p>
    <w:p w14:paraId="1ED8D715" w14:textId="64CD5605" w:rsidR="00442783" w:rsidRPr="00B24B97" w:rsidRDefault="00442783" w:rsidP="00B01836">
      <w:pPr>
        <w:pStyle w:val="ListParagraph"/>
        <w:widowControl w:val="0"/>
        <w:numPr>
          <w:ilvl w:val="1"/>
          <w:numId w:val="2"/>
        </w:numPr>
        <w:spacing w:after="0" w:line="276" w:lineRule="auto"/>
        <w:ind w:left="0" w:firstLine="720"/>
        <w:jc w:val="both"/>
        <w:rPr>
          <w:rFonts w:ascii="Times New Roman" w:hAnsi="Times New Roman" w:cs="Times New Roman"/>
          <w:sz w:val="28"/>
          <w:szCs w:val="28"/>
          <w:lang w:val="it-IT"/>
        </w:rPr>
      </w:pPr>
      <w:r w:rsidRPr="00B24B97">
        <w:rPr>
          <w:rFonts w:ascii="Times New Roman" w:hAnsi="Times New Roman" w:cs="Times New Roman"/>
          <w:sz w:val="28"/>
          <w:szCs w:val="28"/>
          <w:lang w:val="it-IT"/>
        </w:rPr>
        <w:t>amploarea și forma în care rezultatul evaluării sau orice referință la valoarea determinată poate fi prezentată în cadrul situațiilor financiare publicate sau în documentele conexe;</w:t>
      </w:r>
    </w:p>
    <w:p w14:paraId="7FBFF8D2" w14:textId="3469D928" w:rsidR="00442783" w:rsidRPr="00B24B97" w:rsidRDefault="00442783" w:rsidP="00B01836">
      <w:pPr>
        <w:pStyle w:val="ListParagraph"/>
        <w:widowControl w:val="0"/>
        <w:numPr>
          <w:ilvl w:val="1"/>
          <w:numId w:val="2"/>
        </w:numPr>
        <w:spacing w:after="0" w:line="276" w:lineRule="auto"/>
        <w:ind w:left="0" w:firstLine="720"/>
        <w:jc w:val="both"/>
        <w:rPr>
          <w:rFonts w:ascii="Times New Roman" w:hAnsi="Times New Roman" w:cs="Times New Roman"/>
          <w:sz w:val="28"/>
          <w:szCs w:val="28"/>
          <w:lang w:val="it-IT"/>
        </w:rPr>
      </w:pPr>
      <w:r w:rsidRPr="00B24B97">
        <w:rPr>
          <w:rFonts w:ascii="Times New Roman" w:hAnsi="Times New Roman" w:cs="Times New Roman"/>
          <w:sz w:val="28"/>
          <w:szCs w:val="28"/>
          <w:lang w:val="it-IT"/>
        </w:rPr>
        <w:t>măsura în care evaluatorul poate fi solicitat să răspundă la întrebări adresate de auditorul entității cu privire la raționamentul, metodele și concluziile utilizate în cadrul evaluării.</w:t>
      </w:r>
    </w:p>
    <w:p w14:paraId="02B99956" w14:textId="4CCA4470" w:rsidR="00442783" w:rsidRPr="00B24B97" w:rsidRDefault="00442783" w:rsidP="00670B6E">
      <w:pPr>
        <w:widowControl w:val="0"/>
        <w:spacing w:after="0" w:line="276" w:lineRule="auto"/>
        <w:ind w:firstLine="720"/>
        <w:jc w:val="both"/>
        <w:rPr>
          <w:rFonts w:ascii="Times New Roman" w:hAnsi="Times New Roman" w:cs="Times New Roman"/>
          <w:sz w:val="28"/>
          <w:szCs w:val="28"/>
          <w:lang w:val="it-IT"/>
        </w:rPr>
      </w:pPr>
      <w:r w:rsidRPr="00B24B97">
        <w:rPr>
          <w:rFonts w:ascii="Times New Roman" w:hAnsi="Times New Roman" w:cs="Times New Roman"/>
          <w:sz w:val="28"/>
          <w:szCs w:val="28"/>
          <w:lang w:val="it-IT"/>
        </w:rPr>
        <w:t xml:space="preserve">Aceste precizări vor fi formulate clar în termenii de referință, pentru a asigura </w:t>
      </w:r>
      <w:r w:rsidRPr="00B24B97">
        <w:rPr>
          <w:rFonts w:ascii="Times New Roman" w:hAnsi="Times New Roman" w:cs="Times New Roman"/>
          <w:sz w:val="28"/>
          <w:szCs w:val="28"/>
          <w:lang w:val="it-IT"/>
        </w:rPr>
        <w:lastRenderedPageBreak/>
        <w:t>transparența în utilizarea evaluării și delimitarea responsabilităților între părțile implicate (client, auditor, evaluator).</w:t>
      </w:r>
    </w:p>
    <w:p w14:paraId="274987EF" w14:textId="196292B2" w:rsidR="00442783" w:rsidRPr="00B24B97" w:rsidRDefault="00442783" w:rsidP="00B01836">
      <w:pPr>
        <w:pStyle w:val="ListParagraph"/>
        <w:widowControl w:val="0"/>
        <w:numPr>
          <w:ilvl w:val="0"/>
          <w:numId w:val="2"/>
        </w:numPr>
        <w:spacing w:after="0" w:line="276" w:lineRule="auto"/>
        <w:ind w:left="0" w:firstLine="720"/>
        <w:jc w:val="both"/>
        <w:rPr>
          <w:rFonts w:ascii="Times New Roman" w:hAnsi="Times New Roman" w:cs="Times New Roman"/>
          <w:sz w:val="28"/>
          <w:szCs w:val="28"/>
          <w:lang w:val="it-IT"/>
        </w:rPr>
      </w:pPr>
      <w:r w:rsidRPr="00B24B97">
        <w:rPr>
          <w:rFonts w:ascii="Times New Roman" w:hAnsi="Times New Roman" w:cs="Times New Roman"/>
          <w:sz w:val="28"/>
          <w:szCs w:val="28"/>
          <w:lang w:val="it-IT"/>
        </w:rPr>
        <w:t>Pentru a respecta prevederile referitoare la restricțiile de utilizare</w:t>
      </w:r>
      <w:r w:rsidR="00FA5F2B" w:rsidRPr="00B24B97">
        <w:rPr>
          <w:rFonts w:ascii="Times New Roman" w:hAnsi="Times New Roman" w:cs="Times New Roman"/>
          <w:sz w:val="28"/>
          <w:szCs w:val="28"/>
          <w:lang w:val="it-IT"/>
        </w:rPr>
        <w:t>, difuzare</w:t>
      </w:r>
      <w:r w:rsidRPr="00B24B97">
        <w:rPr>
          <w:rFonts w:ascii="Times New Roman" w:hAnsi="Times New Roman" w:cs="Times New Roman"/>
          <w:sz w:val="28"/>
          <w:szCs w:val="28"/>
          <w:lang w:val="it-IT"/>
        </w:rPr>
        <w:t xml:space="preserve"> și </w:t>
      </w:r>
      <w:r w:rsidR="00FA5F2B" w:rsidRPr="00B24B97">
        <w:rPr>
          <w:rFonts w:ascii="Times New Roman" w:hAnsi="Times New Roman" w:cs="Times New Roman"/>
          <w:sz w:val="28"/>
          <w:szCs w:val="28"/>
          <w:lang w:val="it-IT"/>
        </w:rPr>
        <w:t>publicare</w:t>
      </w:r>
      <w:r w:rsidRPr="00B24B97">
        <w:rPr>
          <w:rFonts w:ascii="Times New Roman" w:hAnsi="Times New Roman" w:cs="Times New Roman"/>
          <w:sz w:val="28"/>
          <w:szCs w:val="28"/>
          <w:lang w:val="it-IT"/>
        </w:rPr>
        <w:t>, stipulate în SEV 101, punctul 20.1 lit. (o), raportul de evaluare va conține, în mod explicit, orice condiții privind reproducerea, publicarea sau includerea acestuia, integral sau parțial, în situațiile financiare sau în alte documente oficiale ale entității. Aceasta include mențiuni privind:</w:t>
      </w:r>
      <w:r w:rsidR="00FA5F2B" w:rsidRPr="00B24B97">
        <w:rPr>
          <w:rFonts w:ascii="Times New Roman" w:hAnsi="Times New Roman" w:cs="Times New Roman"/>
          <w:sz w:val="28"/>
          <w:szCs w:val="28"/>
          <w:lang w:val="it-IT"/>
        </w:rPr>
        <w:t xml:space="preserve"> </w:t>
      </w:r>
      <w:r w:rsidRPr="00B24B97">
        <w:rPr>
          <w:rFonts w:ascii="Times New Roman" w:hAnsi="Times New Roman" w:cs="Times New Roman"/>
          <w:sz w:val="28"/>
          <w:szCs w:val="28"/>
          <w:lang w:val="it-IT"/>
        </w:rPr>
        <w:t>dreptul de a face trimitere la raport în nota explicativă a situațiilor financiare</w:t>
      </w:r>
      <w:r w:rsidR="00FA5F2B" w:rsidRPr="00B24B97">
        <w:rPr>
          <w:rFonts w:ascii="Times New Roman" w:hAnsi="Times New Roman" w:cs="Times New Roman"/>
          <w:sz w:val="28"/>
          <w:szCs w:val="28"/>
          <w:lang w:val="it-IT"/>
        </w:rPr>
        <w:t xml:space="preserve">; </w:t>
      </w:r>
      <w:r w:rsidRPr="00B24B97">
        <w:rPr>
          <w:rFonts w:ascii="Times New Roman" w:hAnsi="Times New Roman" w:cs="Times New Roman"/>
          <w:sz w:val="28"/>
          <w:szCs w:val="28"/>
          <w:lang w:val="it-IT"/>
        </w:rPr>
        <w:t>limitarea utilizării raportului strict în scopul declarat;</w:t>
      </w:r>
      <w:r w:rsidR="00FA5F2B" w:rsidRPr="00B24B97">
        <w:rPr>
          <w:rFonts w:ascii="Times New Roman" w:hAnsi="Times New Roman" w:cs="Times New Roman"/>
          <w:sz w:val="28"/>
          <w:szCs w:val="28"/>
          <w:lang w:val="it-IT"/>
        </w:rPr>
        <w:t xml:space="preserve"> </w:t>
      </w:r>
      <w:r w:rsidRPr="00B24B97">
        <w:rPr>
          <w:rFonts w:ascii="Times New Roman" w:hAnsi="Times New Roman" w:cs="Times New Roman"/>
          <w:sz w:val="28"/>
          <w:szCs w:val="28"/>
          <w:lang w:val="it-IT"/>
        </w:rPr>
        <w:t>condițiile în care terțe părți pot avea acces la conținutul evaluării (</w:t>
      </w:r>
      <w:r w:rsidR="00963CD5">
        <w:rPr>
          <w:rFonts w:ascii="Times New Roman" w:hAnsi="Times New Roman" w:cs="Times New Roman"/>
          <w:sz w:val="28"/>
          <w:szCs w:val="28"/>
          <w:lang w:val="it-IT"/>
        </w:rPr>
        <w:t xml:space="preserve">de </w:t>
      </w:r>
      <w:r w:rsidRPr="00B24B97">
        <w:rPr>
          <w:rFonts w:ascii="Times New Roman" w:hAnsi="Times New Roman" w:cs="Times New Roman"/>
          <w:sz w:val="28"/>
          <w:szCs w:val="28"/>
          <w:lang w:val="it-IT"/>
        </w:rPr>
        <w:t>ex</w:t>
      </w:r>
      <w:r w:rsidR="00963CD5">
        <w:rPr>
          <w:rFonts w:ascii="Times New Roman" w:hAnsi="Times New Roman" w:cs="Times New Roman"/>
          <w:sz w:val="28"/>
          <w:szCs w:val="28"/>
          <w:lang w:val="it-IT"/>
        </w:rPr>
        <w:t>emplu:</w:t>
      </w:r>
      <w:r w:rsidRPr="00B24B97">
        <w:rPr>
          <w:rFonts w:ascii="Times New Roman" w:hAnsi="Times New Roman" w:cs="Times New Roman"/>
          <w:sz w:val="28"/>
          <w:szCs w:val="28"/>
          <w:lang w:val="it-IT"/>
        </w:rPr>
        <w:t xml:space="preserve"> auditori, autorități, investitori).</w:t>
      </w:r>
    </w:p>
    <w:p w14:paraId="42DDD99D" w14:textId="77777777" w:rsidR="00CB7DA0" w:rsidRPr="00B24B97" w:rsidRDefault="00CB7DA0" w:rsidP="00B24B97">
      <w:pPr>
        <w:pStyle w:val="ListParagraph"/>
        <w:widowControl w:val="0"/>
        <w:spacing w:after="0" w:line="276" w:lineRule="auto"/>
        <w:jc w:val="both"/>
        <w:rPr>
          <w:rFonts w:ascii="Times New Roman" w:hAnsi="Times New Roman" w:cs="Times New Roman"/>
          <w:b/>
          <w:bCs/>
          <w:sz w:val="28"/>
          <w:szCs w:val="28"/>
        </w:rPr>
      </w:pPr>
    </w:p>
    <w:p w14:paraId="7AD54944" w14:textId="75A271A1" w:rsidR="00CB7DA0" w:rsidRPr="00B24B97" w:rsidRDefault="00BA4299" w:rsidP="00963CD5">
      <w:pPr>
        <w:pStyle w:val="ListParagraph"/>
        <w:widowControl w:val="0"/>
        <w:spacing w:after="0" w:line="276" w:lineRule="auto"/>
        <w:ind w:left="0"/>
        <w:jc w:val="center"/>
        <w:outlineLvl w:val="0"/>
        <w:rPr>
          <w:rFonts w:ascii="Times New Roman" w:hAnsi="Times New Roman" w:cs="Times New Roman"/>
          <w:b/>
          <w:bCs/>
          <w:sz w:val="28"/>
          <w:szCs w:val="28"/>
        </w:rPr>
      </w:pPr>
      <w:bookmarkStart w:id="2" w:name="_Toc213487902"/>
      <w:r w:rsidRPr="00B24B97">
        <w:rPr>
          <w:rFonts w:ascii="Times New Roman" w:hAnsi="Times New Roman" w:cs="Times New Roman"/>
          <w:b/>
          <w:bCs/>
          <w:sz w:val="28"/>
          <w:szCs w:val="28"/>
        </w:rPr>
        <w:t xml:space="preserve">CAPITOLUL </w:t>
      </w:r>
      <w:r w:rsidR="00A71439" w:rsidRPr="00B24B97">
        <w:rPr>
          <w:rFonts w:ascii="Times New Roman" w:hAnsi="Times New Roman" w:cs="Times New Roman"/>
          <w:b/>
          <w:bCs/>
          <w:sz w:val="28"/>
          <w:szCs w:val="28"/>
        </w:rPr>
        <w:t xml:space="preserve">III. </w:t>
      </w:r>
      <w:r w:rsidR="00CA1F67" w:rsidRPr="00B24B97">
        <w:rPr>
          <w:rFonts w:ascii="Times New Roman" w:hAnsi="Times New Roman" w:cs="Times New Roman"/>
          <w:b/>
          <w:bCs/>
          <w:sz w:val="28"/>
          <w:szCs w:val="28"/>
        </w:rPr>
        <w:t>RAPORTARE</w:t>
      </w:r>
      <w:bookmarkEnd w:id="2"/>
    </w:p>
    <w:p w14:paraId="1628CB19" w14:textId="77777777" w:rsidR="00FA5F2B" w:rsidRPr="00B24B97" w:rsidRDefault="00FA5F2B" w:rsidP="00B24B97">
      <w:pPr>
        <w:pStyle w:val="ListParagraph"/>
        <w:widowControl w:val="0"/>
        <w:spacing w:after="0" w:line="276" w:lineRule="auto"/>
        <w:ind w:left="1080"/>
        <w:jc w:val="both"/>
        <w:rPr>
          <w:rFonts w:ascii="Times New Roman" w:hAnsi="Times New Roman" w:cs="Times New Roman"/>
          <w:b/>
          <w:bCs/>
          <w:sz w:val="28"/>
          <w:szCs w:val="28"/>
        </w:rPr>
      </w:pPr>
    </w:p>
    <w:p w14:paraId="44766C19" w14:textId="4F5E90AE" w:rsidR="005721AB" w:rsidRPr="00B24B97" w:rsidRDefault="00F75957" w:rsidP="00B01836">
      <w:pPr>
        <w:pStyle w:val="ListParagraph"/>
        <w:widowControl w:val="0"/>
        <w:numPr>
          <w:ilvl w:val="0"/>
          <w:numId w:val="2"/>
        </w:numPr>
        <w:tabs>
          <w:tab w:val="left" w:pos="1260"/>
        </w:tabs>
        <w:spacing w:after="0" w:line="276" w:lineRule="auto"/>
        <w:ind w:left="0" w:firstLine="720"/>
        <w:jc w:val="both"/>
        <w:rPr>
          <w:rFonts w:ascii="Times New Roman" w:hAnsi="Times New Roman" w:cs="Times New Roman"/>
          <w:sz w:val="28"/>
          <w:szCs w:val="28"/>
          <w:lang w:val="it-IT"/>
        </w:rPr>
      </w:pPr>
      <w:r w:rsidRPr="00F75957">
        <w:rPr>
          <w:rFonts w:ascii="Times New Roman" w:hAnsi="Times New Roman" w:cs="Times New Roman"/>
          <w:sz w:val="28"/>
          <w:szCs w:val="28"/>
          <w:lang w:val="it-IT"/>
        </w:rPr>
        <w:t>Raportul de evaluare va include toate informațiile pe care entitatea raportoare este obligată să le dezvăluie în conformitate cu standardele de raportare financiară aplicabile și care au fost transmise evaluatorului în acest scop. În cazul evaluărilor la valoarea justă, raportul va conține, după caz, următoarele elemente esențiale: metodele de evaluare utilizate și ipotezele semnificative aplicate; nivelul de transparență și observabilitate al datelor de intrare; gradul în care determinarea valorii s-a bazat pe prețuri de piață observabile, tranzacții recente comparabile sau pe modele de evaluare care implică judecăți profesionale</w:t>
      </w:r>
      <w:r w:rsidR="005721AB" w:rsidRPr="00B24B97">
        <w:rPr>
          <w:rFonts w:ascii="Times New Roman" w:hAnsi="Times New Roman" w:cs="Times New Roman"/>
          <w:sz w:val="28"/>
          <w:szCs w:val="28"/>
          <w:lang w:val="it-IT"/>
        </w:rPr>
        <w:t>.</w:t>
      </w:r>
    </w:p>
    <w:p w14:paraId="1DE022D9" w14:textId="5C56AEB0" w:rsidR="005721AB" w:rsidRPr="00B24B97" w:rsidRDefault="005721AB" w:rsidP="00B01836">
      <w:pPr>
        <w:pStyle w:val="ListParagraph"/>
        <w:widowControl w:val="0"/>
        <w:numPr>
          <w:ilvl w:val="0"/>
          <w:numId w:val="2"/>
        </w:numPr>
        <w:tabs>
          <w:tab w:val="left" w:pos="1260"/>
        </w:tabs>
        <w:spacing w:after="0" w:line="276" w:lineRule="auto"/>
        <w:ind w:left="0" w:firstLine="720"/>
        <w:jc w:val="both"/>
        <w:rPr>
          <w:rFonts w:ascii="Times New Roman" w:hAnsi="Times New Roman" w:cs="Times New Roman"/>
          <w:sz w:val="28"/>
          <w:szCs w:val="28"/>
          <w:lang w:val="it-IT"/>
        </w:rPr>
      </w:pPr>
      <w:r w:rsidRPr="00B24B97">
        <w:rPr>
          <w:rFonts w:ascii="Times New Roman" w:hAnsi="Times New Roman" w:cs="Times New Roman"/>
          <w:sz w:val="28"/>
          <w:szCs w:val="28"/>
          <w:lang w:val="it-IT"/>
        </w:rPr>
        <w:t>De asemenea, dacă este relevant pentru scopul evaluării și dacă a fost agreat prin termenii de referință, raportul poate include alte informații solicitate de cadrul de raportare financiară al entității, cum ar fi: analize de sensibilitate care evidențiază impactul modificării unora dintre datele de intrare semnificative asupra valorii estimate; clasificarea în cadrul ierarhiei valorii juste, conform IFRS 13 (</w:t>
      </w:r>
      <w:r w:rsidR="003A6A1A">
        <w:rPr>
          <w:rFonts w:ascii="Times New Roman" w:hAnsi="Times New Roman" w:cs="Times New Roman"/>
          <w:sz w:val="28"/>
          <w:szCs w:val="28"/>
          <w:lang w:val="it-IT"/>
        </w:rPr>
        <w:t>n</w:t>
      </w:r>
      <w:r w:rsidRPr="00B24B97">
        <w:rPr>
          <w:rFonts w:ascii="Times New Roman" w:hAnsi="Times New Roman" w:cs="Times New Roman"/>
          <w:sz w:val="28"/>
          <w:szCs w:val="28"/>
          <w:lang w:val="it-IT"/>
        </w:rPr>
        <w:t>ivel</w:t>
      </w:r>
      <w:r w:rsidR="003A6A1A">
        <w:rPr>
          <w:rFonts w:ascii="Times New Roman" w:hAnsi="Times New Roman" w:cs="Times New Roman"/>
          <w:sz w:val="28"/>
          <w:szCs w:val="28"/>
          <w:lang w:val="it-IT"/>
        </w:rPr>
        <w:t>ul</w:t>
      </w:r>
      <w:r w:rsidRPr="00B24B97">
        <w:rPr>
          <w:rFonts w:ascii="Times New Roman" w:hAnsi="Times New Roman" w:cs="Times New Roman"/>
          <w:sz w:val="28"/>
          <w:szCs w:val="28"/>
          <w:lang w:val="it-IT"/>
        </w:rPr>
        <w:t xml:space="preserve"> 1, 2 sau 3); alte dezvăluiri calitative sau cantitative cerute de standardele de raportare financiară. În toate cazurile, includerea acestor informații va depinde de comunicarea lor prealabilă de către entitatea raportoare și de includerea explicită a acestor cerințe în termenii de referință ai evaluării, astfel încât raportul să sprijine o raportare financiară conformă și completă.</w:t>
      </w:r>
    </w:p>
    <w:p w14:paraId="1B641C6D" w14:textId="7EC71301" w:rsidR="005721AB" w:rsidRPr="00B24B97" w:rsidRDefault="005721AB" w:rsidP="00B01836">
      <w:pPr>
        <w:pStyle w:val="ListParagraph"/>
        <w:widowControl w:val="0"/>
        <w:numPr>
          <w:ilvl w:val="0"/>
          <w:numId w:val="2"/>
        </w:numPr>
        <w:tabs>
          <w:tab w:val="left" w:pos="1260"/>
        </w:tabs>
        <w:spacing w:after="0" w:line="276" w:lineRule="auto"/>
        <w:ind w:left="0" w:firstLine="720"/>
        <w:jc w:val="both"/>
        <w:rPr>
          <w:rFonts w:ascii="Times New Roman" w:hAnsi="Times New Roman" w:cs="Times New Roman"/>
          <w:sz w:val="28"/>
          <w:szCs w:val="28"/>
          <w:lang w:val="it-IT"/>
        </w:rPr>
      </w:pPr>
      <w:r w:rsidRPr="00B24B97">
        <w:rPr>
          <w:rFonts w:ascii="Times New Roman" w:hAnsi="Times New Roman" w:cs="Times New Roman"/>
          <w:sz w:val="28"/>
          <w:szCs w:val="28"/>
          <w:lang w:val="it-IT"/>
        </w:rPr>
        <w:t>În anumite situații, în special în contextul raportării financiare și în vederea calculării amortizării contabile, evaluatorului i se poate solicita să estimeze și să prezinte în raport durata de viață rămasă pentru activele evaluate, inclusiv pentru cele deja complet amortizate din punct de vedere contabil.</w:t>
      </w:r>
      <w:r w:rsidR="00700241" w:rsidRPr="00B24B97">
        <w:rPr>
          <w:rFonts w:ascii="Times New Roman" w:hAnsi="Times New Roman" w:cs="Times New Roman"/>
          <w:sz w:val="28"/>
          <w:szCs w:val="28"/>
          <w:lang w:val="it-IT"/>
        </w:rPr>
        <w:t xml:space="preserve"> </w:t>
      </w:r>
      <w:r w:rsidRPr="00B24B97">
        <w:rPr>
          <w:rFonts w:ascii="Times New Roman" w:hAnsi="Times New Roman" w:cs="Times New Roman"/>
          <w:sz w:val="28"/>
          <w:szCs w:val="28"/>
          <w:lang w:val="it-IT"/>
        </w:rPr>
        <w:t xml:space="preserve">În acest context, evaluatorul are responsabilitatea de a informa clientul că determinarea duratei de viață rămase poate necesita o analiză </w:t>
      </w:r>
      <w:r w:rsidRPr="00B24B97">
        <w:rPr>
          <w:rFonts w:ascii="Times New Roman" w:hAnsi="Times New Roman" w:cs="Times New Roman"/>
          <w:sz w:val="28"/>
          <w:szCs w:val="28"/>
          <w:lang w:val="it-IT"/>
        </w:rPr>
        <w:lastRenderedPageBreak/>
        <w:t>comună cu entitatea raportoare, inclusiv cu participarea unei comisii tehnice interne desemnate.</w:t>
      </w:r>
      <w:r w:rsidR="00700241" w:rsidRPr="00B24B97">
        <w:rPr>
          <w:rFonts w:ascii="Times New Roman" w:hAnsi="Times New Roman" w:cs="Times New Roman"/>
          <w:sz w:val="28"/>
          <w:szCs w:val="28"/>
          <w:lang w:val="it-IT"/>
        </w:rPr>
        <w:t xml:space="preserve"> </w:t>
      </w:r>
      <w:r w:rsidRPr="00B24B97">
        <w:rPr>
          <w:rFonts w:ascii="Times New Roman" w:hAnsi="Times New Roman" w:cs="Times New Roman"/>
          <w:sz w:val="28"/>
          <w:szCs w:val="28"/>
          <w:lang w:val="it-IT"/>
        </w:rPr>
        <w:t>Este important de subliniat faptul că pot exista diferențe între durata de viață rămasă estimată în scopul evaluării (în special atunci când se determină o valoare de piață sau o valoare de utilizare) și durata de viață rămasă utilizată în evidența contabilă pentru calculul amortizării.</w:t>
      </w:r>
      <w:r w:rsidR="00700241" w:rsidRPr="00B24B97">
        <w:rPr>
          <w:rFonts w:ascii="Times New Roman" w:hAnsi="Times New Roman" w:cs="Times New Roman"/>
          <w:sz w:val="28"/>
          <w:szCs w:val="28"/>
          <w:lang w:val="it-IT"/>
        </w:rPr>
        <w:t xml:space="preserve"> </w:t>
      </w:r>
      <w:r w:rsidRPr="00B24B97">
        <w:rPr>
          <w:rFonts w:ascii="Times New Roman" w:hAnsi="Times New Roman" w:cs="Times New Roman"/>
          <w:sz w:val="28"/>
          <w:szCs w:val="28"/>
          <w:lang w:val="it-IT"/>
        </w:rPr>
        <w:t>Prin urmare, stabilirea finală a duratelor de amortizare revine entității raportoare, în conformitate cu politicile contabile proprii și cu cadrul de raportare financiară aplicabil.</w:t>
      </w:r>
    </w:p>
    <w:p w14:paraId="1D34CABD" w14:textId="64CDDE88" w:rsidR="005721AB" w:rsidRPr="00B24B97" w:rsidRDefault="005721AB" w:rsidP="00B01836">
      <w:pPr>
        <w:pStyle w:val="ListParagraph"/>
        <w:widowControl w:val="0"/>
        <w:numPr>
          <w:ilvl w:val="0"/>
          <w:numId w:val="2"/>
        </w:numPr>
        <w:tabs>
          <w:tab w:val="left" w:pos="1260"/>
        </w:tabs>
        <w:spacing w:after="0" w:line="276" w:lineRule="auto"/>
        <w:ind w:left="0" w:firstLine="720"/>
        <w:jc w:val="both"/>
        <w:rPr>
          <w:rFonts w:ascii="Times New Roman" w:hAnsi="Times New Roman" w:cs="Times New Roman"/>
          <w:sz w:val="28"/>
          <w:szCs w:val="28"/>
          <w:lang w:val="it-IT"/>
        </w:rPr>
      </w:pPr>
      <w:r w:rsidRPr="00B24B97">
        <w:rPr>
          <w:rFonts w:ascii="Times New Roman" w:hAnsi="Times New Roman" w:cs="Times New Roman"/>
          <w:sz w:val="28"/>
          <w:szCs w:val="28"/>
          <w:lang w:val="it-IT"/>
        </w:rPr>
        <w:t>Este o practică frecventă ca un activ supus evaluării să fie reflectat în contabilitatea entității sub mai multe poziții de inventar, fiecare cu date de intrare și durate de amortizare distincte, ca urmare a înregistrărilor succesive de achiziții, modernizări sau completări.</w:t>
      </w:r>
      <w:r w:rsidR="00700241" w:rsidRPr="00B24B97">
        <w:rPr>
          <w:rFonts w:ascii="Times New Roman" w:hAnsi="Times New Roman" w:cs="Times New Roman"/>
          <w:sz w:val="28"/>
          <w:szCs w:val="28"/>
          <w:lang w:val="it-IT"/>
        </w:rPr>
        <w:t xml:space="preserve"> </w:t>
      </w:r>
      <w:r w:rsidRPr="00B24B97">
        <w:rPr>
          <w:rFonts w:ascii="Times New Roman" w:hAnsi="Times New Roman" w:cs="Times New Roman"/>
          <w:sz w:val="28"/>
          <w:szCs w:val="28"/>
          <w:lang w:val="it-IT"/>
        </w:rPr>
        <w:t>Atunci când utilizarea desemnată a evaluării este determinarea unei valori agregate (de exemplu, valoarea de piață) pentru activul respectiv, iar clientul solicită alocarea valorii totale la nivelul fiecărui număr de inventar sau subcomponentă distinctă, evaluatorul poate realiza această alocare doar în măsura în care există informații suficiente și dacă acest aspect este convenit prin termenii de referință ai evaluării.</w:t>
      </w:r>
      <w:r w:rsidR="00700241" w:rsidRPr="00B24B97">
        <w:rPr>
          <w:rFonts w:ascii="Times New Roman" w:hAnsi="Times New Roman" w:cs="Times New Roman"/>
          <w:sz w:val="28"/>
          <w:szCs w:val="28"/>
          <w:lang w:val="it-IT"/>
        </w:rPr>
        <w:t xml:space="preserve"> </w:t>
      </w:r>
      <w:r w:rsidRPr="00B24B97">
        <w:rPr>
          <w:rFonts w:ascii="Times New Roman" w:hAnsi="Times New Roman" w:cs="Times New Roman"/>
          <w:sz w:val="28"/>
          <w:szCs w:val="28"/>
          <w:lang w:val="it-IT"/>
        </w:rPr>
        <w:t>În astfel de cazuri, evaluatorul trebuie să:</w:t>
      </w:r>
      <w:r w:rsidR="00700241" w:rsidRPr="00B24B97">
        <w:rPr>
          <w:rFonts w:ascii="Times New Roman" w:hAnsi="Times New Roman" w:cs="Times New Roman"/>
          <w:sz w:val="28"/>
          <w:szCs w:val="28"/>
          <w:lang w:val="it-IT"/>
        </w:rPr>
        <w:t xml:space="preserve"> </w:t>
      </w:r>
      <w:r w:rsidRPr="00B24B97">
        <w:rPr>
          <w:rFonts w:ascii="Times New Roman" w:hAnsi="Times New Roman" w:cs="Times New Roman"/>
          <w:sz w:val="28"/>
          <w:szCs w:val="28"/>
          <w:lang w:val="it-IT"/>
        </w:rPr>
        <w:t>utilizeze chei de alocare obiective, bazate pe informațiile disponibile (de exemplu, costuri istorice, proporții fizice, capacitate tehnică etc.);</w:t>
      </w:r>
      <w:r w:rsidR="00700241" w:rsidRPr="00B24B97">
        <w:rPr>
          <w:rFonts w:ascii="Times New Roman" w:hAnsi="Times New Roman" w:cs="Times New Roman"/>
          <w:sz w:val="28"/>
          <w:szCs w:val="28"/>
          <w:lang w:val="it-IT"/>
        </w:rPr>
        <w:t xml:space="preserve"> </w:t>
      </w:r>
      <w:r w:rsidRPr="00B24B97">
        <w:rPr>
          <w:rFonts w:ascii="Times New Roman" w:hAnsi="Times New Roman" w:cs="Times New Roman"/>
          <w:sz w:val="28"/>
          <w:szCs w:val="28"/>
          <w:lang w:val="it-IT"/>
        </w:rPr>
        <w:t>descrie în raport metodologia utilizată și raționamentul profesional care a stat la baza repartizării valorii.</w:t>
      </w:r>
      <w:r w:rsidR="00700241" w:rsidRPr="00B24B97">
        <w:rPr>
          <w:rFonts w:ascii="Times New Roman" w:hAnsi="Times New Roman" w:cs="Times New Roman"/>
          <w:sz w:val="28"/>
          <w:szCs w:val="28"/>
          <w:lang w:val="it-IT"/>
        </w:rPr>
        <w:t xml:space="preserve"> </w:t>
      </w:r>
    </w:p>
    <w:p w14:paraId="0D8225E9" w14:textId="67FCCF9E" w:rsidR="005721AB" w:rsidRPr="00B24B97" w:rsidRDefault="005721AB" w:rsidP="00B01836">
      <w:pPr>
        <w:pStyle w:val="ListParagraph"/>
        <w:widowControl w:val="0"/>
        <w:numPr>
          <w:ilvl w:val="0"/>
          <w:numId w:val="2"/>
        </w:numPr>
        <w:tabs>
          <w:tab w:val="left" w:pos="1260"/>
        </w:tabs>
        <w:spacing w:after="0" w:line="276" w:lineRule="auto"/>
        <w:ind w:left="0" w:firstLine="720"/>
        <w:jc w:val="both"/>
        <w:rPr>
          <w:rFonts w:ascii="Times New Roman" w:hAnsi="Times New Roman" w:cs="Times New Roman"/>
          <w:sz w:val="28"/>
          <w:szCs w:val="28"/>
          <w:lang w:val="it-IT"/>
        </w:rPr>
      </w:pPr>
      <w:r w:rsidRPr="00B24B97">
        <w:rPr>
          <w:rFonts w:ascii="Times New Roman" w:hAnsi="Times New Roman" w:cs="Times New Roman"/>
          <w:sz w:val="28"/>
          <w:szCs w:val="28"/>
          <w:lang w:val="it-IT"/>
        </w:rPr>
        <w:t>Este recomandat ca evaluatorul să menționeze explicit în raport că:</w:t>
      </w:r>
      <w:r w:rsidR="00700241" w:rsidRPr="00B24B97">
        <w:rPr>
          <w:rFonts w:ascii="Times New Roman" w:hAnsi="Times New Roman" w:cs="Times New Roman"/>
          <w:sz w:val="28"/>
          <w:szCs w:val="28"/>
          <w:lang w:val="it-IT"/>
        </w:rPr>
        <w:t xml:space="preserve"> </w:t>
      </w:r>
      <w:r w:rsidRPr="00B24B97">
        <w:rPr>
          <w:rFonts w:ascii="Times New Roman" w:hAnsi="Times New Roman" w:cs="Times New Roman"/>
          <w:sz w:val="28"/>
          <w:szCs w:val="28"/>
          <w:lang w:val="it-IT"/>
        </w:rPr>
        <w:t>opin</w:t>
      </w:r>
      <w:r w:rsidR="003A6A1A">
        <w:rPr>
          <w:rFonts w:ascii="Times New Roman" w:hAnsi="Times New Roman" w:cs="Times New Roman"/>
          <w:sz w:val="28"/>
          <w:szCs w:val="28"/>
          <w:lang w:val="it-IT"/>
        </w:rPr>
        <w:t>ia</w:t>
      </w:r>
      <w:r w:rsidRPr="00B24B97">
        <w:rPr>
          <w:rFonts w:ascii="Times New Roman" w:hAnsi="Times New Roman" w:cs="Times New Roman"/>
          <w:sz w:val="28"/>
          <w:szCs w:val="28"/>
          <w:lang w:val="it-IT"/>
        </w:rPr>
        <w:t xml:space="preserve"> sa de valoare corespunde</w:t>
      </w:r>
      <w:r w:rsidR="003A6A1A">
        <w:rPr>
          <w:rFonts w:ascii="Times New Roman" w:hAnsi="Times New Roman" w:cs="Times New Roman"/>
          <w:sz w:val="28"/>
          <w:szCs w:val="28"/>
          <w:lang w:val="it-IT"/>
        </w:rPr>
        <w:t xml:space="preserve"> </w:t>
      </w:r>
      <w:r w:rsidRPr="00B24B97">
        <w:rPr>
          <w:rFonts w:ascii="Times New Roman" w:hAnsi="Times New Roman" w:cs="Times New Roman"/>
          <w:sz w:val="28"/>
          <w:szCs w:val="28"/>
          <w:lang w:val="it-IT"/>
        </w:rPr>
        <w:t>activul</w:t>
      </w:r>
      <w:r w:rsidR="00586448">
        <w:rPr>
          <w:rFonts w:ascii="Times New Roman" w:hAnsi="Times New Roman" w:cs="Times New Roman"/>
          <w:sz w:val="28"/>
          <w:szCs w:val="28"/>
          <w:lang w:val="it-IT"/>
        </w:rPr>
        <w:t>ui</w:t>
      </w:r>
      <w:r w:rsidRPr="00B24B97">
        <w:rPr>
          <w:rFonts w:ascii="Times New Roman" w:hAnsi="Times New Roman" w:cs="Times New Roman"/>
          <w:sz w:val="28"/>
          <w:szCs w:val="28"/>
          <w:lang w:val="it-IT"/>
        </w:rPr>
        <w:t xml:space="preserve"> evaluat în ansamblul său;</w:t>
      </w:r>
      <w:r w:rsidR="00700241" w:rsidRPr="00B24B97">
        <w:rPr>
          <w:rFonts w:ascii="Times New Roman" w:hAnsi="Times New Roman" w:cs="Times New Roman"/>
          <w:sz w:val="28"/>
          <w:szCs w:val="28"/>
          <w:lang w:val="it-IT"/>
        </w:rPr>
        <w:t xml:space="preserve"> </w:t>
      </w:r>
      <w:r w:rsidRPr="00B24B97">
        <w:rPr>
          <w:rFonts w:ascii="Times New Roman" w:hAnsi="Times New Roman" w:cs="Times New Roman"/>
          <w:sz w:val="28"/>
          <w:szCs w:val="28"/>
          <w:lang w:val="it-IT"/>
        </w:rPr>
        <w:t>valorile alocate pe componente sau poziții de inventar au caracter orientativ și pot să nu reflecte în mod individual o valoare de piață sau alt tip de valoare conform SEV.</w:t>
      </w:r>
      <w:r w:rsidR="00700241" w:rsidRPr="00B24B97">
        <w:rPr>
          <w:rFonts w:ascii="Times New Roman" w:hAnsi="Times New Roman" w:cs="Times New Roman"/>
          <w:sz w:val="28"/>
          <w:szCs w:val="28"/>
          <w:lang w:val="it-IT"/>
        </w:rPr>
        <w:t xml:space="preserve"> Spre e</w:t>
      </w:r>
      <w:r w:rsidRPr="00B24B97">
        <w:rPr>
          <w:rFonts w:ascii="Times New Roman" w:hAnsi="Times New Roman" w:cs="Times New Roman"/>
          <w:sz w:val="28"/>
          <w:szCs w:val="28"/>
          <w:lang w:val="it-IT"/>
        </w:rPr>
        <w:t>xemplu: O valoare de piață estimată pentru un echipament complex, care este ulterior alocată între poziția inițială de inventar și diverse modernizări, pe baza unei chei proporționale cu costul, nu reprezintă neapărat o valoare de piață individuală pentru fiecare dintre aceste elemente.</w:t>
      </w:r>
    </w:p>
    <w:p w14:paraId="7873E6CD" w14:textId="77777777" w:rsidR="00F96D51" w:rsidRPr="00B24B97" w:rsidRDefault="00F96D51" w:rsidP="00B24B97">
      <w:pPr>
        <w:pStyle w:val="ListParagraph"/>
        <w:widowControl w:val="0"/>
        <w:spacing w:after="0" w:line="276" w:lineRule="auto"/>
        <w:jc w:val="both"/>
        <w:rPr>
          <w:rFonts w:ascii="Times New Roman" w:hAnsi="Times New Roman" w:cs="Times New Roman"/>
          <w:sz w:val="28"/>
          <w:szCs w:val="28"/>
        </w:rPr>
      </w:pPr>
    </w:p>
    <w:p w14:paraId="369003DB" w14:textId="721B5944" w:rsidR="00AD523A" w:rsidRPr="00B24B97" w:rsidRDefault="00BA4299" w:rsidP="00586448">
      <w:pPr>
        <w:pStyle w:val="ListParagraph"/>
        <w:widowControl w:val="0"/>
        <w:tabs>
          <w:tab w:val="left" w:pos="0"/>
        </w:tabs>
        <w:spacing w:after="0" w:line="276" w:lineRule="auto"/>
        <w:ind w:left="0"/>
        <w:jc w:val="center"/>
        <w:outlineLvl w:val="0"/>
        <w:rPr>
          <w:rFonts w:ascii="Times New Roman" w:hAnsi="Times New Roman" w:cs="Times New Roman"/>
          <w:b/>
          <w:bCs/>
          <w:sz w:val="28"/>
          <w:szCs w:val="28"/>
        </w:rPr>
      </w:pPr>
      <w:bookmarkStart w:id="3" w:name="_Toc213487903"/>
      <w:r w:rsidRPr="00B24B97">
        <w:rPr>
          <w:rFonts w:ascii="Times New Roman" w:hAnsi="Times New Roman" w:cs="Times New Roman"/>
          <w:b/>
          <w:bCs/>
          <w:sz w:val="28"/>
          <w:szCs w:val="28"/>
        </w:rPr>
        <w:t xml:space="preserve">CAPITOLUL IV. </w:t>
      </w:r>
      <w:r w:rsidR="00AD523A" w:rsidRPr="00B24B97">
        <w:rPr>
          <w:rFonts w:ascii="Times New Roman" w:hAnsi="Times New Roman" w:cs="Times New Roman"/>
          <w:b/>
          <w:bCs/>
          <w:sz w:val="28"/>
          <w:szCs w:val="28"/>
        </w:rPr>
        <w:t>DETERMINAREA VALORII CONTABILE</w:t>
      </w:r>
      <w:bookmarkEnd w:id="3"/>
    </w:p>
    <w:p w14:paraId="02F69053" w14:textId="77777777" w:rsidR="00390A3B" w:rsidRPr="00B24B97" w:rsidRDefault="00390A3B" w:rsidP="00B24B97">
      <w:pPr>
        <w:pStyle w:val="ListParagraph"/>
        <w:widowControl w:val="0"/>
        <w:spacing w:after="0" w:line="276" w:lineRule="auto"/>
        <w:jc w:val="both"/>
        <w:rPr>
          <w:rFonts w:ascii="Times New Roman" w:hAnsi="Times New Roman" w:cs="Times New Roman"/>
          <w:b/>
          <w:bCs/>
          <w:sz w:val="28"/>
          <w:szCs w:val="28"/>
        </w:rPr>
      </w:pPr>
    </w:p>
    <w:p w14:paraId="243F1120" w14:textId="38A51493" w:rsidR="00852FDB" w:rsidRPr="00B24B97" w:rsidRDefault="00852FDB" w:rsidP="00B01836">
      <w:pPr>
        <w:pStyle w:val="ListParagraph"/>
        <w:widowControl w:val="0"/>
        <w:numPr>
          <w:ilvl w:val="0"/>
          <w:numId w:val="3"/>
        </w:numPr>
        <w:spacing w:after="0" w:line="276" w:lineRule="auto"/>
        <w:jc w:val="both"/>
        <w:outlineLvl w:val="1"/>
        <w:rPr>
          <w:rFonts w:ascii="Times New Roman" w:hAnsi="Times New Roman" w:cs="Times New Roman"/>
          <w:b/>
          <w:bCs/>
          <w:sz w:val="28"/>
          <w:szCs w:val="28"/>
        </w:rPr>
      </w:pPr>
      <w:bookmarkStart w:id="4" w:name="_Toc213487904"/>
      <w:r w:rsidRPr="00B24B97">
        <w:rPr>
          <w:rFonts w:ascii="Times New Roman" w:hAnsi="Times New Roman" w:cs="Times New Roman"/>
          <w:b/>
          <w:bCs/>
          <w:sz w:val="28"/>
          <w:szCs w:val="28"/>
        </w:rPr>
        <w:t>Valoarea justă</w:t>
      </w:r>
      <w:bookmarkEnd w:id="4"/>
      <w:r w:rsidRPr="00B24B97">
        <w:rPr>
          <w:rFonts w:ascii="Times New Roman" w:hAnsi="Times New Roman" w:cs="Times New Roman"/>
          <w:b/>
          <w:bCs/>
          <w:sz w:val="28"/>
          <w:szCs w:val="28"/>
        </w:rPr>
        <w:t xml:space="preserve"> </w:t>
      </w:r>
    </w:p>
    <w:p w14:paraId="47698E23" w14:textId="77777777" w:rsidR="008D38E1" w:rsidRPr="00B24B97" w:rsidRDefault="008D38E1" w:rsidP="00B01836">
      <w:pPr>
        <w:pStyle w:val="ListParagraph"/>
        <w:widowControl w:val="0"/>
        <w:numPr>
          <w:ilvl w:val="0"/>
          <w:numId w:val="2"/>
        </w:numPr>
        <w:tabs>
          <w:tab w:val="left" w:pos="126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Potrivit SEV 102 „Tipuri ale valorii”, Anexă, punctul A70, valoarea justă, așa cum este definită în cadrul IFRS, este clasificată în categoria „alte tipuri ale valorii” și este utilizată exclusiv în scopul raportării financiare.</w:t>
      </w:r>
    </w:p>
    <w:p w14:paraId="17D73D50" w14:textId="77777777" w:rsidR="008D38E1" w:rsidRPr="00B24B97" w:rsidRDefault="008D38E1" w:rsidP="00B01836">
      <w:pPr>
        <w:pStyle w:val="ListParagraph"/>
        <w:widowControl w:val="0"/>
        <w:numPr>
          <w:ilvl w:val="0"/>
          <w:numId w:val="2"/>
        </w:numPr>
        <w:tabs>
          <w:tab w:val="left" w:pos="126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 xml:space="preserve">Conform definiției din IFRS 13, valoarea justă reprezintă </w:t>
      </w:r>
      <w:r w:rsidRPr="00B24B97">
        <w:rPr>
          <w:rFonts w:ascii="Times New Roman" w:hAnsi="Times New Roman" w:cs="Times New Roman"/>
          <w:i/>
          <w:iCs/>
          <w:sz w:val="28"/>
          <w:szCs w:val="28"/>
        </w:rPr>
        <w:t xml:space="preserve">prețul care ar fi încasat pentru vânzarea unui activ sau plătit pentru transferul unei datorii, într-o </w:t>
      </w:r>
      <w:r w:rsidRPr="00B24B97">
        <w:rPr>
          <w:rFonts w:ascii="Times New Roman" w:hAnsi="Times New Roman" w:cs="Times New Roman"/>
          <w:i/>
          <w:iCs/>
          <w:sz w:val="28"/>
          <w:szCs w:val="28"/>
        </w:rPr>
        <w:lastRenderedPageBreak/>
        <w:t>tranzacție reglementată, între participanți de pe piață, la data evaluării</w:t>
      </w:r>
      <w:r w:rsidRPr="00B24B97">
        <w:rPr>
          <w:rFonts w:ascii="Times New Roman" w:hAnsi="Times New Roman" w:cs="Times New Roman"/>
          <w:sz w:val="28"/>
          <w:szCs w:val="28"/>
        </w:rPr>
        <w:t xml:space="preserve">. </w:t>
      </w:r>
      <w:r w:rsidRPr="00B24B97">
        <w:rPr>
          <w:rFonts w:ascii="Times New Roman" w:hAnsi="Times New Roman" w:cs="Times New Roman"/>
          <w:sz w:val="28"/>
          <w:szCs w:val="28"/>
          <w:lang w:val="it-IT"/>
        </w:rPr>
        <w:t>Această abordare reflectă o perspectivă orientată spre piață și nu una specifică entității.</w:t>
      </w:r>
    </w:p>
    <w:p w14:paraId="62E0AE4E" w14:textId="2B347E1F" w:rsidR="008D38E1" w:rsidRPr="00B24B97" w:rsidRDefault="008D38E1" w:rsidP="00B01836">
      <w:pPr>
        <w:pStyle w:val="ListParagraph"/>
        <w:widowControl w:val="0"/>
        <w:numPr>
          <w:ilvl w:val="0"/>
          <w:numId w:val="2"/>
        </w:numPr>
        <w:tabs>
          <w:tab w:val="left" w:pos="126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 xml:space="preserve">Dispozițiile detaliate din IFRS 13, inclusiv referințele la: participanți de pe piață; tranzacții desfășurate în condiții normale; piața principală sau cea mai avantajoasă; și cea mai bună utilizare a activului, demonstrează că, în esență, valoarea justă conform IFRS este, în general, aliniată conceptual cu noțiunea de valoare de piață, așa cum este aceasta definită și analizată în SEV 102. Prin urmare, în numeroase situații practice, valoarea de piață determinată conform SEV poate fi considerată echivalentă cu valoarea justă cerută de IFRS 13, cu respectarea unor ipoteze specifice impuse de standardele de contabilitate, cum ar fi: determinarea unității de cont; excluderea restricțiilor privind vânzarea activului; ignorarea efectului de blocaj (blockage discount) asupra valorii. </w:t>
      </w:r>
    </w:p>
    <w:p w14:paraId="3F6CE819" w14:textId="667224CD" w:rsidR="000A4E8A" w:rsidRPr="00B24B97" w:rsidRDefault="000A4E8A" w:rsidP="00B01836">
      <w:pPr>
        <w:pStyle w:val="ListParagraph"/>
        <w:widowControl w:val="0"/>
        <w:numPr>
          <w:ilvl w:val="0"/>
          <w:numId w:val="2"/>
        </w:numPr>
        <w:tabs>
          <w:tab w:val="left" w:pos="126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lang w:val="it-IT"/>
        </w:rPr>
        <w:t xml:space="preserve">Valoarea justă, conform </w:t>
      </w:r>
      <w:r w:rsidRPr="00B24B97">
        <w:rPr>
          <w:rFonts w:ascii="Times New Roman" w:hAnsi="Times New Roman" w:cs="Times New Roman"/>
          <w:sz w:val="28"/>
          <w:szCs w:val="28"/>
        </w:rPr>
        <w:t>IFRS, se aplică unității de cont aferente unui activ sau unei datorii, astfel cum este aceasta stabilită în standardul de raportare financiară relevant. În mod obișnuit, unitatea de cont este reprezentată de activul sau datoria individuală, însă, în anumite circumstanțe, poate fi definită ca un grup de active și/sau datorii care sunt în mod funcțional sau economic interdependente. IFRS 13 prevede că, în cazul evaluării activelor, entitatea trebuie să stabilească dacă valoarea maximă pentru participanții de pe piață ar rezulta: din utilizarea activului împreună cu alte active sau datorii, privite ca un grup (în cadrul celei mai bune utilizări); sau din utilizarea activului în mod independent, ca activ de sine stătător.</w:t>
      </w:r>
    </w:p>
    <w:p w14:paraId="41930241" w14:textId="71149F4F" w:rsidR="00390A3B" w:rsidRPr="00B24B97" w:rsidRDefault="00390A3B" w:rsidP="00B01836">
      <w:pPr>
        <w:pStyle w:val="NormalWeb"/>
        <w:widowControl w:val="0"/>
        <w:numPr>
          <w:ilvl w:val="0"/>
          <w:numId w:val="2"/>
        </w:numPr>
        <w:tabs>
          <w:tab w:val="left" w:pos="1260"/>
        </w:tabs>
        <w:spacing w:before="0" w:beforeAutospacing="0" w:after="0" w:afterAutospacing="0" w:line="276" w:lineRule="auto"/>
        <w:ind w:left="0" w:firstLine="720"/>
        <w:jc w:val="both"/>
        <w:rPr>
          <w:sz w:val="28"/>
          <w:szCs w:val="28"/>
          <w:lang w:val="it-IT"/>
        </w:rPr>
      </w:pPr>
      <w:r w:rsidRPr="00B24B97">
        <w:rPr>
          <w:rStyle w:val="Strong"/>
          <w:rFonts w:eastAsiaTheme="majorEastAsia"/>
          <w:b w:val="0"/>
          <w:bCs w:val="0"/>
          <w:sz w:val="28"/>
          <w:szCs w:val="28"/>
          <w:lang w:val="ro-RO"/>
        </w:rPr>
        <w:t>Conform IFRS 13</w:t>
      </w:r>
      <w:r w:rsidRPr="00B24B97">
        <w:rPr>
          <w:sz w:val="28"/>
          <w:szCs w:val="28"/>
          <w:lang w:val="ro-RO"/>
        </w:rPr>
        <w:t xml:space="preserve">, evaluarea unei </w:t>
      </w:r>
      <w:r w:rsidRPr="00B24B97">
        <w:rPr>
          <w:rStyle w:val="Strong"/>
          <w:rFonts w:eastAsiaTheme="majorEastAsia"/>
          <w:b w:val="0"/>
          <w:bCs w:val="0"/>
          <w:sz w:val="28"/>
          <w:szCs w:val="28"/>
          <w:lang w:val="ro-RO"/>
        </w:rPr>
        <w:t>datorii la valoarea justă</w:t>
      </w:r>
      <w:r w:rsidRPr="00B24B97">
        <w:rPr>
          <w:sz w:val="28"/>
          <w:szCs w:val="28"/>
          <w:lang w:val="ro-RO"/>
        </w:rPr>
        <w:t xml:space="preserve"> presupune că aceasta este </w:t>
      </w:r>
      <w:r w:rsidRPr="00B24B97">
        <w:rPr>
          <w:rStyle w:val="Strong"/>
          <w:rFonts w:eastAsiaTheme="majorEastAsia"/>
          <w:b w:val="0"/>
          <w:bCs w:val="0"/>
          <w:sz w:val="28"/>
          <w:szCs w:val="28"/>
          <w:lang w:val="ro-RO"/>
        </w:rPr>
        <w:t>transferată unui participant de pe piață</w:t>
      </w:r>
      <w:r w:rsidRPr="00B24B97">
        <w:rPr>
          <w:sz w:val="28"/>
          <w:szCs w:val="28"/>
          <w:lang w:val="ro-RO"/>
        </w:rPr>
        <w:t xml:space="preserve"> la data evaluării, și </w:t>
      </w:r>
      <w:r w:rsidRPr="00B24B97">
        <w:rPr>
          <w:rStyle w:val="Strong"/>
          <w:rFonts w:eastAsiaTheme="majorEastAsia"/>
          <w:b w:val="0"/>
          <w:bCs w:val="0"/>
          <w:sz w:val="28"/>
          <w:szCs w:val="28"/>
          <w:lang w:val="ro-RO"/>
        </w:rPr>
        <w:t>nu</w:t>
      </w:r>
      <w:r w:rsidRPr="00B24B97">
        <w:rPr>
          <w:sz w:val="28"/>
          <w:szCs w:val="28"/>
          <w:lang w:val="ro-RO"/>
        </w:rPr>
        <w:t xml:space="preserve"> că este </w:t>
      </w:r>
      <w:r w:rsidRPr="00B24B97">
        <w:rPr>
          <w:rStyle w:val="Strong"/>
          <w:rFonts w:eastAsiaTheme="majorEastAsia"/>
          <w:b w:val="0"/>
          <w:bCs w:val="0"/>
          <w:sz w:val="28"/>
          <w:szCs w:val="28"/>
          <w:lang w:val="ro-RO"/>
        </w:rPr>
        <w:t>stinsă, compensată</w:t>
      </w:r>
      <w:r w:rsidRPr="00B24B97">
        <w:rPr>
          <w:sz w:val="28"/>
          <w:szCs w:val="28"/>
          <w:lang w:val="ro-RO"/>
        </w:rPr>
        <w:t xml:space="preserve"> sau decontată direct cu creditorul inițial. În situațiile în care pentru datoria respectivă </w:t>
      </w:r>
      <w:r w:rsidRPr="00B24B97">
        <w:rPr>
          <w:rStyle w:val="Strong"/>
          <w:rFonts w:eastAsiaTheme="majorEastAsia"/>
          <w:b w:val="0"/>
          <w:bCs w:val="0"/>
          <w:sz w:val="28"/>
          <w:szCs w:val="28"/>
          <w:lang w:val="ro-RO"/>
        </w:rPr>
        <w:t>nu există un preț de piață observabil</w:t>
      </w:r>
      <w:r w:rsidRPr="00B24B97">
        <w:rPr>
          <w:sz w:val="28"/>
          <w:szCs w:val="28"/>
          <w:lang w:val="ro-RO"/>
        </w:rPr>
        <w:t xml:space="preserve">, valoarea justă trebuie estimată </w:t>
      </w:r>
      <w:r w:rsidR="00D264C4" w:rsidRPr="00B24B97">
        <w:rPr>
          <w:sz w:val="28"/>
          <w:szCs w:val="28"/>
          <w:lang w:val="ro-RO"/>
        </w:rPr>
        <w:t>u</w:t>
      </w:r>
      <w:r w:rsidRPr="00B24B97">
        <w:rPr>
          <w:sz w:val="28"/>
          <w:szCs w:val="28"/>
          <w:lang w:val="ro-RO"/>
        </w:rPr>
        <w:t xml:space="preserve">tilizând </w:t>
      </w:r>
      <w:r w:rsidRPr="00B24B97">
        <w:rPr>
          <w:rStyle w:val="Strong"/>
          <w:rFonts w:eastAsiaTheme="majorEastAsia"/>
          <w:b w:val="0"/>
          <w:bCs w:val="0"/>
          <w:sz w:val="28"/>
          <w:szCs w:val="28"/>
          <w:lang w:val="ro-RO"/>
        </w:rPr>
        <w:t xml:space="preserve">metoda pe care ar aplica-o </w:t>
      </w:r>
      <w:r w:rsidR="00D264C4" w:rsidRPr="00B24B97">
        <w:rPr>
          <w:rStyle w:val="Strong"/>
          <w:rFonts w:eastAsiaTheme="majorEastAsia"/>
          <w:b w:val="0"/>
          <w:bCs w:val="0"/>
          <w:sz w:val="28"/>
          <w:szCs w:val="28"/>
          <w:lang w:val="ro-RO"/>
        </w:rPr>
        <w:t>contra partea</w:t>
      </w:r>
      <w:r w:rsidRPr="00B24B97">
        <w:rPr>
          <w:sz w:val="28"/>
          <w:szCs w:val="28"/>
          <w:lang w:val="ro-RO"/>
        </w:rPr>
        <w:t xml:space="preserve"> (deținătorul datoriei) pentru a evalua valoarea activului corespunzător – reflectând astfel perspectiva pieței asupra obligației. </w:t>
      </w:r>
      <w:r w:rsidRPr="00B24B97">
        <w:rPr>
          <w:rStyle w:val="Strong"/>
          <w:rFonts w:eastAsiaTheme="majorEastAsia"/>
          <w:b w:val="0"/>
          <w:bCs w:val="0"/>
          <w:sz w:val="28"/>
          <w:szCs w:val="28"/>
          <w:lang w:val="ro-RO"/>
        </w:rPr>
        <w:t>Valoarea justă a unei datorii trebuie să includă riscul de neperformanță</w:t>
      </w:r>
      <w:r w:rsidRPr="00B24B97">
        <w:rPr>
          <w:sz w:val="28"/>
          <w:szCs w:val="28"/>
          <w:lang w:val="ro-RO"/>
        </w:rPr>
        <w:t xml:space="preserve"> asociat cu acea obligație, considerând că acest risc </w:t>
      </w:r>
      <w:r w:rsidRPr="00B24B97">
        <w:rPr>
          <w:rStyle w:val="Strong"/>
          <w:rFonts w:eastAsiaTheme="majorEastAsia"/>
          <w:b w:val="0"/>
          <w:bCs w:val="0"/>
          <w:sz w:val="28"/>
          <w:szCs w:val="28"/>
          <w:lang w:val="ro-RO"/>
        </w:rPr>
        <w:t>rămâne constant înainte și după transferul ipotetic</w:t>
      </w:r>
      <w:r w:rsidRPr="00B24B97">
        <w:rPr>
          <w:sz w:val="28"/>
          <w:szCs w:val="28"/>
          <w:lang w:val="ro-RO"/>
        </w:rPr>
        <w:t xml:space="preserve">. </w:t>
      </w:r>
      <w:r w:rsidRPr="00B24B97">
        <w:rPr>
          <w:sz w:val="28"/>
          <w:szCs w:val="28"/>
          <w:lang w:val="it-IT"/>
        </w:rPr>
        <w:t xml:space="preserve">Acest risc de neperformanță </w:t>
      </w:r>
      <w:r w:rsidRPr="00B24B97">
        <w:rPr>
          <w:rStyle w:val="Strong"/>
          <w:rFonts w:eastAsiaTheme="majorEastAsia"/>
          <w:b w:val="0"/>
          <w:bCs w:val="0"/>
          <w:sz w:val="28"/>
          <w:szCs w:val="28"/>
          <w:lang w:val="it-IT"/>
        </w:rPr>
        <w:t>include riscul de credit</w:t>
      </w:r>
      <w:r w:rsidRPr="00B24B97">
        <w:rPr>
          <w:sz w:val="28"/>
          <w:szCs w:val="28"/>
          <w:lang w:val="it-IT"/>
        </w:rPr>
        <w:t xml:space="preserve"> al entității raportoare și este o componentă esențială în determinarea valorii juste.</w:t>
      </w:r>
    </w:p>
    <w:p w14:paraId="28D2CE50" w14:textId="778C59A7" w:rsidR="00A71439" w:rsidRPr="00B24B97" w:rsidRDefault="00390A3B" w:rsidP="00B01836">
      <w:pPr>
        <w:pStyle w:val="NormalWeb"/>
        <w:widowControl w:val="0"/>
        <w:numPr>
          <w:ilvl w:val="0"/>
          <w:numId w:val="2"/>
        </w:numPr>
        <w:tabs>
          <w:tab w:val="left" w:pos="1260"/>
        </w:tabs>
        <w:spacing w:before="0" w:beforeAutospacing="0" w:after="0" w:afterAutospacing="0" w:line="276" w:lineRule="auto"/>
        <w:ind w:left="0" w:firstLine="720"/>
        <w:jc w:val="both"/>
        <w:rPr>
          <w:sz w:val="28"/>
          <w:szCs w:val="28"/>
          <w:lang w:val="it-IT"/>
        </w:rPr>
      </w:pPr>
      <w:r w:rsidRPr="00B24B97">
        <w:rPr>
          <w:sz w:val="28"/>
          <w:szCs w:val="28"/>
          <w:lang w:val="it-IT"/>
        </w:rPr>
        <w:t xml:space="preserve">IFRS 13 conține prevederi speciale aplicabile </w:t>
      </w:r>
      <w:r w:rsidRPr="00B24B97">
        <w:rPr>
          <w:rStyle w:val="Strong"/>
          <w:rFonts w:eastAsiaTheme="majorEastAsia"/>
          <w:b w:val="0"/>
          <w:bCs w:val="0"/>
          <w:sz w:val="28"/>
          <w:szCs w:val="28"/>
          <w:lang w:val="it-IT"/>
        </w:rPr>
        <w:t>datoriilor pentru care nu există un activ corespunzător</w:t>
      </w:r>
      <w:r w:rsidRPr="00B24B97">
        <w:rPr>
          <w:sz w:val="28"/>
          <w:szCs w:val="28"/>
          <w:lang w:val="it-IT"/>
        </w:rPr>
        <w:t xml:space="preserve">, caz întâlnit frecvent în cazul </w:t>
      </w:r>
      <w:r w:rsidRPr="00B24B97">
        <w:rPr>
          <w:rStyle w:val="Strong"/>
          <w:rFonts w:eastAsiaTheme="majorEastAsia"/>
          <w:b w:val="0"/>
          <w:bCs w:val="0"/>
          <w:sz w:val="28"/>
          <w:szCs w:val="28"/>
          <w:lang w:val="it-IT"/>
        </w:rPr>
        <w:t>datoriilor nefinanciare</w:t>
      </w:r>
      <w:r w:rsidRPr="00B24B97">
        <w:rPr>
          <w:sz w:val="28"/>
          <w:szCs w:val="28"/>
          <w:lang w:val="it-IT"/>
        </w:rPr>
        <w:t xml:space="preserve"> (ex.: obligații de mediu, provizioane pentru demontare etc.). În plus, standardul impune ca, în estimarea valorii juste a unei datorii, </w:t>
      </w:r>
      <w:r w:rsidRPr="00B24B97">
        <w:rPr>
          <w:rStyle w:val="Strong"/>
          <w:rFonts w:eastAsiaTheme="majorEastAsia"/>
          <w:b w:val="0"/>
          <w:bCs w:val="0"/>
          <w:sz w:val="28"/>
          <w:szCs w:val="28"/>
          <w:lang w:val="it-IT"/>
        </w:rPr>
        <w:t>să nu se țină cont de restricțiile contractuale sau legale</w:t>
      </w:r>
      <w:r w:rsidRPr="00B24B97">
        <w:rPr>
          <w:sz w:val="28"/>
          <w:szCs w:val="28"/>
          <w:lang w:val="it-IT"/>
        </w:rPr>
        <w:t xml:space="preserve"> care limitează capacitatea entității de a transfera acea datorie către un participant de pe piață. </w:t>
      </w:r>
      <w:r w:rsidRPr="00B24B97">
        <w:rPr>
          <w:sz w:val="28"/>
          <w:szCs w:val="28"/>
          <w:lang w:val="it-IT"/>
        </w:rPr>
        <w:lastRenderedPageBreak/>
        <w:t xml:space="preserve">Astfel de restricții </w:t>
      </w:r>
      <w:r w:rsidRPr="00B24B97">
        <w:rPr>
          <w:rStyle w:val="Strong"/>
          <w:rFonts w:eastAsiaTheme="majorEastAsia"/>
          <w:b w:val="0"/>
          <w:bCs w:val="0"/>
          <w:sz w:val="28"/>
          <w:szCs w:val="28"/>
          <w:lang w:val="it-IT"/>
        </w:rPr>
        <w:t>nu afectează evaluarea valorii juste</w:t>
      </w:r>
      <w:r w:rsidRPr="00B24B97">
        <w:rPr>
          <w:sz w:val="28"/>
          <w:szCs w:val="28"/>
          <w:lang w:val="it-IT"/>
        </w:rPr>
        <w:t>, întrucât premisa de bază este existența unei piețe active și a unui transfer teoretic între participanți de pe piață în condiții normale.</w:t>
      </w:r>
    </w:p>
    <w:p w14:paraId="6F1C7B57" w14:textId="460AA946" w:rsidR="00390A3B" w:rsidRPr="00B24B97" w:rsidRDefault="00390A3B" w:rsidP="00B01836">
      <w:pPr>
        <w:pStyle w:val="ListParagraph"/>
        <w:widowControl w:val="0"/>
        <w:numPr>
          <w:ilvl w:val="0"/>
          <w:numId w:val="3"/>
        </w:numPr>
        <w:spacing w:after="0" w:line="276" w:lineRule="auto"/>
        <w:jc w:val="both"/>
        <w:outlineLvl w:val="1"/>
        <w:rPr>
          <w:rFonts w:ascii="Times New Roman" w:hAnsi="Times New Roman" w:cs="Times New Roman"/>
          <w:b/>
          <w:bCs/>
          <w:sz w:val="28"/>
          <w:szCs w:val="28"/>
          <w:lang w:val="it-IT"/>
        </w:rPr>
      </w:pPr>
      <w:bookmarkStart w:id="5" w:name="_Toc213487905"/>
      <w:r w:rsidRPr="00B24B97">
        <w:rPr>
          <w:rFonts w:ascii="Times New Roman" w:hAnsi="Times New Roman" w:cs="Times New Roman"/>
          <w:b/>
          <w:bCs/>
          <w:sz w:val="28"/>
          <w:szCs w:val="28"/>
          <w:lang w:val="it-IT"/>
        </w:rPr>
        <w:t>Date de intrare</w:t>
      </w:r>
      <w:bookmarkEnd w:id="5"/>
    </w:p>
    <w:p w14:paraId="3FA8FBA9" w14:textId="3A681B60" w:rsidR="008D38E1" w:rsidRPr="00B24B97" w:rsidRDefault="001F58E7" w:rsidP="00B01836">
      <w:pPr>
        <w:pStyle w:val="ListParagraph"/>
        <w:widowControl w:val="0"/>
        <w:numPr>
          <w:ilvl w:val="0"/>
          <w:numId w:val="2"/>
        </w:numPr>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IFRS 13 stabilește o ierarhie a valorii juste care clasifică pe trei niveluri datele de intrare pentru tehnicile de evaluare utilizate pentru evaluarea valorii juste</w:t>
      </w:r>
      <w:r w:rsidR="0020532F" w:rsidRPr="00B24B97">
        <w:rPr>
          <w:rFonts w:ascii="Times New Roman" w:hAnsi="Times New Roman" w:cs="Times New Roman"/>
          <w:sz w:val="28"/>
          <w:szCs w:val="28"/>
        </w:rPr>
        <w:t>, după cum urmează</w:t>
      </w:r>
      <w:r w:rsidRPr="00B24B97">
        <w:rPr>
          <w:rFonts w:ascii="Times New Roman" w:hAnsi="Times New Roman" w:cs="Times New Roman"/>
          <w:sz w:val="28"/>
          <w:szCs w:val="28"/>
        </w:rPr>
        <w:t>:</w:t>
      </w:r>
    </w:p>
    <w:p w14:paraId="03632F79" w14:textId="28B0AAC8" w:rsidR="001F58E7" w:rsidRPr="00B24B97" w:rsidRDefault="001F58E7" w:rsidP="00B01836">
      <w:pPr>
        <w:pStyle w:val="ListParagraph"/>
        <w:widowControl w:val="0"/>
        <w:numPr>
          <w:ilvl w:val="1"/>
          <w:numId w:val="2"/>
        </w:numPr>
        <w:tabs>
          <w:tab w:val="left" w:pos="993"/>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 xml:space="preserve">Datele de intrare de nivelul 1 sunt prețuri cotate (neajustate) pe </w:t>
      </w:r>
      <w:r w:rsidR="0020532F" w:rsidRPr="00B24B97">
        <w:rPr>
          <w:rFonts w:ascii="Times New Roman" w:hAnsi="Times New Roman" w:cs="Times New Roman"/>
          <w:sz w:val="28"/>
          <w:szCs w:val="28"/>
        </w:rPr>
        <w:t>piețe</w:t>
      </w:r>
      <w:r w:rsidRPr="00B24B97">
        <w:rPr>
          <w:rFonts w:ascii="Times New Roman" w:hAnsi="Times New Roman" w:cs="Times New Roman"/>
          <w:sz w:val="28"/>
          <w:szCs w:val="28"/>
        </w:rPr>
        <w:t xml:space="preserve"> active pentru active şi datorii identice, la care entitatea are acces la data de evaluare.</w:t>
      </w:r>
      <w:r w:rsidR="0020532F" w:rsidRPr="00B24B97">
        <w:rPr>
          <w:rFonts w:ascii="Times New Roman" w:hAnsi="Times New Roman" w:cs="Times New Roman"/>
          <w:sz w:val="28"/>
          <w:szCs w:val="28"/>
        </w:rPr>
        <w:t xml:space="preserve"> Un preț cotat pe o piață activă oferă cea mai fiabilă dovadă a valorii juste şi trebuie utilizat ori de câte ori este disponibil, fără ajustări, pentru evaluarea valorii juste. </w:t>
      </w:r>
    </w:p>
    <w:p w14:paraId="7D453D24" w14:textId="77777777" w:rsidR="00A71439" w:rsidRPr="00B24B97" w:rsidRDefault="0020532F" w:rsidP="00B01836">
      <w:pPr>
        <w:pStyle w:val="ListParagraph"/>
        <w:widowControl w:val="0"/>
        <w:numPr>
          <w:ilvl w:val="1"/>
          <w:numId w:val="2"/>
        </w:numPr>
        <w:tabs>
          <w:tab w:val="left" w:pos="993"/>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 xml:space="preserve">Datele de intrare de nivelul 2 sunt date de intrare diferite de prețurile cotate incluse la nivelul 1, care sunt observabile direct sau indirect pentru activ sau datorie. Ajustările datelor de intrare de nivelul 2 variază în funcție de factorii specifici activului sau datoriei. Factorii respectivi includ: </w:t>
      </w:r>
    </w:p>
    <w:p w14:paraId="7A0705D1" w14:textId="77777777" w:rsidR="00A71439" w:rsidRPr="00B24B97" w:rsidRDefault="0020532F" w:rsidP="00B01836">
      <w:pPr>
        <w:pStyle w:val="ListParagraph"/>
        <w:widowControl w:val="0"/>
        <w:numPr>
          <w:ilvl w:val="2"/>
          <w:numId w:val="2"/>
        </w:numPr>
        <w:tabs>
          <w:tab w:val="left" w:pos="156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 xml:space="preserve">condiția sau amplasamentul activului; </w:t>
      </w:r>
    </w:p>
    <w:p w14:paraId="239CC4FB" w14:textId="77777777" w:rsidR="00A71439" w:rsidRPr="00B24B97" w:rsidRDefault="0020532F" w:rsidP="00B01836">
      <w:pPr>
        <w:pStyle w:val="ListParagraph"/>
        <w:widowControl w:val="0"/>
        <w:numPr>
          <w:ilvl w:val="2"/>
          <w:numId w:val="2"/>
        </w:numPr>
        <w:tabs>
          <w:tab w:val="left" w:pos="156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 xml:space="preserve">măsura în care datele de intrare se referă la elemente comparabile cu activul sau datoria; și </w:t>
      </w:r>
    </w:p>
    <w:p w14:paraId="53833611" w14:textId="67B0CD2B" w:rsidR="001F58E7" w:rsidRPr="00B24B97" w:rsidRDefault="0020532F" w:rsidP="00B01836">
      <w:pPr>
        <w:pStyle w:val="ListParagraph"/>
        <w:widowControl w:val="0"/>
        <w:numPr>
          <w:ilvl w:val="2"/>
          <w:numId w:val="2"/>
        </w:numPr>
        <w:tabs>
          <w:tab w:val="left" w:pos="1560"/>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volumul şi nivelul de activitate de pe piețele pe care sunt observate datele de intrare.</w:t>
      </w:r>
    </w:p>
    <w:p w14:paraId="08BD22A3" w14:textId="4E79F88E" w:rsidR="0020532F" w:rsidRPr="00B24B97" w:rsidRDefault="0020532F" w:rsidP="00B01836">
      <w:pPr>
        <w:pStyle w:val="ListParagraph"/>
        <w:widowControl w:val="0"/>
        <w:numPr>
          <w:ilvl w:val="1"/>
          <w:numId w:val="2"/>
        </w:numPr>
        <w:tabs>
          <w:tab w:val="left" w:pos="993"/>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 xml:space="preserve">Datele de intrare de nivelul 3 sunt date de intrare neobservabile pentru activ sau datorie. </w:t>
      </w:r>
      <w:r w:rsidR="00852FDB" w:rsidRPr="00B24B97">
        <w:rPr>
          <w:rFonts w:ascii="Times New Roman" w:hAnsi="Times New Roman" w:cs="Times New Roman"/>
          <w:sz w:val="28"/>
          <w:szCs w:val="28"/>
        </w:rPr>
        <w:t>Datele de intrare neobservabile trebuie să reflecte ipotezele pe care le-ar folosi participanții de pe piață la stabilirea prețului unui activ sau al unei datorii, inclusiv ipotezele referitoare la risc.</w:t>
      </w:r>
    </w:p>
    <w:p w14:paraId="379F824B" w14:textId="6EDDD51E" w:rsidR="00D264C4" w:rsidRPr="00B24B97" w:rsidRDefault="00852FDB"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rStyle w:val="Strong"/>
          <w:rFonts w:eastAsiaTheme="majorEastAsia"/>
          <w:b w:val="0"/>
          <w:bCs w:val="0"/>
          <w:sz w:val="28"/>
          <w:szCs w:val="28"/>
          <w:lang w:val="it-IT"/>
        </w:rPr>
        <w:t>IFRS 13</w:t>
      </w:r>
      <w:r w:rsidRPr="00B24B97">
        <w:rPr>
          <w:sz w:val="28"/>
          <w:szCs w:val="28"/>
          <w:lang w:val="it-IT"/>
        </w:rPr>
        <w:t xml:space="preserve"> prevede că, în cadrul situațiilor financiare, entitatea trebuie să </w:t>
      </w:r>
      <w:r w:rsidRPr="00B24B97">
        <w:rPr>
          <w:rStyle w:val="Strong"/>
          <w:rFonts w:eastAsiaTheme="majorEastAsia"/>
          <w:b w:val="0"/>
          <w:bCs w:val="0"/>
          <w:sz w:val="28"/>
          <w:szCs w:val="28"/>
          <w:lang w:val="it-IT"/>
        </w:rPr>
        <w:t>indice nivelul corespunzător din ierarhia valorii juste</w:t>
      </w:r>
      <w:r w:rsidRPr="00B24B97">
        <w:rPr>
          <w:sz w:val="28"/>
          <w:szCs w:val="28"/>
          <w:lang w:val="it-IT"/>
        </w:rPr>
        <w:t xml:space="preserve"> pentru fiecare activ sau datorie evaluată la valoarea justă. Atunci când evaluarea se bazează pe </w:t>
      </w:r>
      <w:r w:rsidRPr="00B24B97">
        <w:rPr>
          <w:rStyle w:val="Strong"/>
          <w:rFonts w:eastAsiaTheme="majorEastAsia"/>
          <w:b w:val="0"/>
          <w:bCs w:val="0"/>
          <w:sz w:val="28"/>
          <w:szCs w:val="28"/>
          <w:lang w:val="it-IT"/>
        </w:rPr>
        <w:t>date de intrare de nivel 3</w:t>
      </w:r>
      <w:r w:rsidRPr="00B24B97">
        <w:rPr>
          <w:b/>
          <w:bCs/>
          <w:sz w:val="28"/>
          <w:szCs w:val="28"/>
          <w:lang w:val="it-IT"/>
        </w:rPr>
        <w:t xml:space="preserve"> </w:t>
      </w:r>
      <w:r w:rsidRPr="00B24B97">
        <w:rPr>
          <w:sz w:val="28"/>
          <w:szCs w:val="28"/>
          <w:lang w:val="it-IT"/>
        </w:rPr>
        <w:t xml:space="preserve">(date neobservabile, bazate pe estimări interne și raționamente profesionale), IFRS 13 impune </w:t>
      </w:r>
      <w:r w:rsidRPr="00B24B97">
        <w:rPr>
          <w:rStyle w:val="Strong"/>
          <w:rFonts w:eastAsiaTheme="majorEastAsia"/>
          <w:b w:val="0"/>
          <w:bCs w:val="0"/>
          <w:sz w:val="28"/>
          <w:szCs w:val="28"/>
          <w:lang w:val="it-IT"/>
        </w:rPr>
        <w:t>cerințe suplimentare de prezentare</w:t>
      </w:r>
      <w:r w:rsidRPr="00B24B97">
        <w:rPr>
          <w:sz w:val="28"/>
          <w:szCs w:val="28"/>
          <w:lang w:val="it-IT"/>
        </w:rPr>
        <w:t xml:space="preserve"> și justificare în situațiile financiare. Din acest motiv, un </w:t>
      </w:r>
      <w:r w:rsidRPr="00B24B97">
        <w:rPr>
          <w:rStyle w:val="Strong"/>
          <w:rFonts w:eastAsiaTheme="majorEastAsia"/>
          <w:b w:val="0"/>
          <w:bCs w:val="0"/>
          <w:sz w:val="28"/>
          <w:szCs w:val="28"/>
          <w:lang w:val="it-IT"/>
        </w:rPr>
        <w:t>raport de evaluare întocmit în scopul utilizării în raportarea financiară</w:t>
      </w:r>
      <w:r w:rsidRPr="00B24B97">
        <w:rPr>
          <w:b/>
          <w:bCs/>
          <w:sz w:val="28"/>
          <w:szCs w:val="28"/>
          <w:lang w:val="it-IT"/>
        </w:rPr>
        <w:t>,</w:t>
      </w:r>
      <w:r w:rsidRPr="00B24B97">
        <w:rPr>
          <w:sz w:val="28"/>
          <w:szCs w:val="28"/>
          <w:lang w:val="it-IT"/>
        </w:rPr>
        <w:t xml:space="preserve"> conform cerințelor IFRS, ar trebui să conțină </w:t>
      </w:r>
      <w:r w:rsidRPr="00B24B97">
        <w:rPr>
          <w:rStyle w:val="Strong"/>
          <w:rFonts w:eastAsiaTheme="majorEastAsia"/>
          <w:b w:val="0"/>
          <w:bCs w:val="0"/>
          <w:sz w:val="28"/>
          <w:szCs w:val="28"/>
          <w:lang w:val="it-IT"/>
        </w:rPr>
        <w:t>informații suficiente și detaliate</w:t>
      </w:r>
      <w:r w:rsidRPr="00B24B97">
        <w:rPr>
          <w:sz w:val="28"/>
          <w:szCs w:val="28"/>
          <w:lang w:val="it-IT"/>
        </w:rPr>
        <w:t xml:space="preserve"> privind </w:t>
      </w:r>
      <w:r w:rsidRPr="00B24B97">
        <w:rPr>
          <w:rStyle w:val="Strong"/>
          <w:rFonts w:eastAsiaTheme="majorEastAsia"/>
          <w:b w:val="0"/>
          <w:bCs w:val="0"/>
          <w:sz w:val="28"/>
          <w:szCs w:val="28"/>
          <w:lang w:val="it-IT"/>
        </w:rPr>
        <w:t>natura, sursa și gradul de observabilitate</w:t>
      </w:r>
      <w:r w:rsidRPr="00B24B97">
        <w:rPr>
          <w:sz w:val="28"/>
          <w:szCs w:val="28"/>
          <w:lang w:val="it-IT"/>
        </w:rPr>
        <w:t xml:space="preserve"> al datelor de intrare utilizate în procesul de evaluare.</w:t>
      </w:r>
    </w:p>
    <w:p w14:paraId="3296AA7A" w14:textId="3CFDA5E9" w:rsidR="00AD523A" w:rsidRPr="00B24B97" w:rsidRDefault="00AD523A" w:rsidP="00B01836">
      <w:pPr>
        <w:pStyle w:val="NormalWeb"/>
        <w:widowControl w:val="0"/>
        <w:numPr>
          <w:ilvl w:val="0"/>
          <w:numId w:val="3"/>
        </w:numPr>
        <w:spacing w:before="0" w:beforeAutospacing="0" w:after="0" w:afterAutospacing="0" w:line="276" w:lineRule="auto"/>
        <w:jc w:val="both"/>
        <w:outlineLvl w:val="1"/>
        <w:rPr>
          <w:b/>
          <w:bCs/>
          <w:sz w:val="28"/>
          <w:szCs w:val="28"/>
          <w:lang w:val="it-IT"/>
        </w:rPr>
      </w:pPr>
      <w:bookmarkStart w:id="6" w:name="_Toc213487906"/>
      <w:r w:rsidRPr="00B24B97">
        <w:rPr>
          <w:b/>
          <w:bCs/>
          <w:sz w:val="28"/>
          <w:szCs w:val="28"/>
          <w:lang w:val="it-IT"/>
        </w:rPr>
        <w:t>Tehnici de evaluare</w:t>
      </w:r>
      <w:bookmarkEnd w:id="6"/>
      <w:r w:rsidRPr="00B24B97">
        <w:rPr>
          <w:b/>
          <w:bCs/>
          <w:sz w:val="28"/>
          <w:szCs w:val="28"/>
          <w:lang w:val="it-IT"/>
        </w:rPr>
        <w:t xml:space="preserve"> </w:t>
      </w:r>
    </w:p>
    <w:p w14:paraId="0F6481D8" w14:textId="1CD5E2A3" w:rsidR="00AD523A" w:rsidRPr="00B24B97" w:rsidRDefault="00AD523A" w:rsidP="00B01836">
      <w:pPr>
        <w:pStyle w:val="NormalWeb"/>
        <w:widowControl w:val="0"/>
        <w:numPr>
          <w:ilvl w:val="0"/>
          <w:numId w:val="2"/>
        </w:numPr>
        <w:tabs>
          <w:tab w:val="left" w:pos="1260"/>
        </w:tabs>
        <w:spacing w:before="0" w:beforeAutospacing="0" w:after="0" w:afterAutospacing="0" w:line="276" w:lineRule="auto"/>
        <w:ind w:left="0" w:firstLine="720"/>
        <w:jc w:val="both"/>
        <w:rPr>
          <w:sz w:val="28"/>
          <w:szCs w:val="28"/>
          <w:lang w:val="it-IT"/>
        </w:rPr>
      </w:pPr>
      <w:r w:rsidRPr="00B24B97">
        <w:rPr>
          <w:sz w:val="28"/>
          <w:szCs w:val="28"/>
          <w:lang w:val="it-IT"/>
        </w:rPr>
        <w:t xml:space="preserve">Evaluatorul trebuie să aplice metode de evaluare adecvate situației specifice și să utilizeze, în măsura posibilității, date observabile din piață, reducând la minimum </w:t>
      </w:r>
      <w:r w:rsidRPr="00B24B97">
        <w:rPr>
          <w:sz w:val="28"/>
          <w:szCs w:val="28"/>
          <w:lang w:val="it-IT"/>
        </w:rPr>
        <w:lastRenderedPageBreak/>
        <w:t>utilizarea datelor neobservabile, pentru a obține o estimare fiabilă a valorii juste. Scopul aplicării tehnicilor de evaluare este estimarea prețului care ar rezulta dintr-o tranzacție ordonată de vânzare a unui activ sau de transfer al unei datorii între participanți de pe piață, la data evaluării și în condiții de piață actuale.</w:t>
      </w:r>
    </w:p>
    <w:p w14:paraId="0D56DC69" w14:textId="77777777" w:rsidR="00AD523A" w:rsidRPr="00B24B97" w:rsidRDefault="00AD523A" w:rsidP="00B01836">
      <w:pPr>
        <w:pStyle w:val="NormalWeb"/>
        <w:widowControl w:val="0"/>
        <w:numPr>
          <w:ilvl w:val="0"/>
          <w:numId w:val="2"/>
        </w:numPr>
        <w:tabs>
          <w:tab w:val="left" w:pos="1260"/>
        </w:tabs>
        <w:spacing w:before="0" w:beforeAutospacing="0" w:after="0" w:afterAutospacing="0" w:line="276" w:lineRule="auto"/>
        <w:ind w:left="0" w:firstLine="720"/>
        <w:jc w:val="both"/>
        <w:rPr>
          <w:sz w:val="28"/>
          <w:szCs w:val="28"/>
          <w:lang w:val="it-IT"/>
        </w:rPr>
      </w:pPr>
      <w:r w:rsidRPr="00B24B97">
        <w:rPr>
          <w:sz w:val="28"/>
          <w:szCs w:val="28"/>
          <w:lang w:val="it-IT"/>
        </w:rPr>
        <w:t>Valoarea justă poate fi estimată prin metodele celor trei abordări în evaluare: abordarea prin piață, abordarea prin cost (de înlocuire sau de reconstituire), abordarea prin venit.</w:t>
      </w:r>
    </w:p>
    <w:p w14:paraId="1397CB4E" w14:textId="312B5FEA" w:rsidR="00AD523A" w:rsidRPr="00B24B97" w:rsidRDefault="00AD523A" w:rsidP="00B01836">
      <w:pPr>
        <w:pStyle w:val="NormalWeb"/>
        <w:widowControl w:val="0"/>
        <w:numPr>
          <w:ilvl w:val="0"/>
          <w:numId w:val="2"/>
        </w:numPr>
        <w:tabs>
          <w:tab w:val="left" w:pos="1260"/>
        </w:tabs>
        <w:spacing w:before="0" w:beforeAutospacing="0" w:after="0" w:afterAutospacing="0" w:line="276" w:lineRule="auto"/>
        <w:ind w:left="0" w:firstLine="720"/>
        <w:jc w:val="both"/>
        <w:rPr>
          <w:sz w:val="28"/>
          <w:szCs w:val="28"/>
          <w:lang w:val="it-IT"/>
        </w:rPr>
      </w:pPr>
      <w:r w:rsidRPr="00B24B97">
        <w:rPr>
          <w:sz w:val="28"/>
          <w:szCs w:val="28"/>
          <w:lang w:val="it-IT"/>
        </w:rPr>
        <w:t>În cadrul abordării prin piață pot fi utilizate metodele indicate în SEV 103 „Abordări și metode de evaluare: Anexă”. De asemenea</w:t>
      </w:r>
      <w:r w:rsidR="00956B72">
        <w:rPr>
          <w:sz w:val="28"/>
          <w:szCs w:val="28"/>
          <w:lang w:val="it-IT"/>
        </w:rPr>
        <w:t>,</w:t>
      </w:r>
      <w:r w:rsidRPr="00B24B97">
        <w:rPr>
          <w:sz w:val="28"/>
          <w:szCs w:val="28"/>
          <w:lang w:val="it-IT"/>
        </w:rPr>
        <w:t xml:space="preserve"> IFRS 13 consideră consecvente cu abordarea prin piaţă tehnicile de evaluare care presupun stabilirea prețurilor pe o bază matriceală. Stabilirea prețurilor pe o bază matriceală este o tehnică matematică utilizată în principal pentru evaluarea unor tipuri de instrumente financiare, cum ar fi titlurile de creanţă, fără a se baza exclusiv pe preţuri cotate pentru titluri specifice, ci mai degrabă pe relaţia titlurilor cu alte titluri de referinţă cotate. </w:t>
      </w:r>
    </w:p>
    <w:p w14:paraId="57627C7B" w14:textId="77777777" w:rsidR="00AD523A" w:rsidRPr="00B24B97" w:rsidRDefault="00AD523A" w:rsidP="00B01836">
      <w:pPr>
        <w:pStyle w:val="NormalWeb"/>
        <w:widowControl w:val="0"/>
        <w:numPr>
          <w:ilvl w:val="0"/>
          <w:numId w:val="2"/>
        </w:numPr>
        <w:tabs>
          <w:tab w:val="left" w:pos="1260"/>
        </w:tabs>
        <w:spacing w:before="0" w:beforeAutospacing="0" w:after="0" w:afterAutospacing="0" w:line="276" w:lineRule="auto"/>
        <w:ind w:left="0" w:firstLine="720"/>
        <w:jc w:val="both"/>
        <w:rPr>
          <w:sz w:val="28"/>
          <w:szCs w:val="28"/>
          <w:lang w:val="it-IT"/>
        </w:rPr>
      </w:pPr>
      <w:r w:rsidRPr="00B24B97">
        <w:rPr>
          <w:sz w:val="28"/>
          <w:szCs w:val="28"/>
          <w:lang w:val="it-IT"/>
        </w:rPr>
        <w:t xml:space="preserve">Abordarea prin cost reflectă valoarea care ar fi necesară în acel moment pentru a înlocui capacitatea de serviciu a activului (denumită deseori costul curent de înlocuire). În cadrul abordării prin cost pot fi utilizate metodele indicate în SEV 103 „Abordări și metode de evaluare: Anexă”, însă preferabilă este metoda costului de înlocuire (adesea, pentru a estima valoarea justă a activelor corporale utilizate în combinație cu alte active sau cu alte active şi datorii). </w:t>
      </w:r>
    </w:p>
    <w:p w14:paraId="22E9342B" w14:textId="77777777" w:rsidR="00AD523A" w:rsidRPr="00B24B97" w:rsidRDefault="00AD523A" w:rsidP="00B01836">
      <w:pPr>
        <w:pStyle w:val="NormalWeb"/>
        <w:widowControl w:val="0"/>
        <w:numPr>
          <w:ilvl w:val="0"/>
          <w:numId w:val="2"/>
        </w:numPr>
        <w:tabs>
          <w:tab w:val="left" w:pos="1260"/>
        </w:tabs>
        <w:spacing w:before="0" w:beforeAutospacing="0" w:after="0" w:afterAutospacing="0" w:line="276" w:lineRule="auto"/>
        <w:ind w:left="0" w:firstLine="720"/>
        <w:jc w:val="both"/>
        <w:rPr>
          <w:sz w:val="28"/>
          <w:szCs w:val="28"/>
          <w:lang w:val="it-IT"/>
        </w:rPr>
      </w:pPr>
      <w:r w:rsidRPr="00B24B97">
        <w:rPr>
          <w:sz w:val="28"/>
          <w:szCs w:val="28"/>
          <w:lang w:val="it-IT"/>
        </w:rPr>
        <w:t xml:space="preserve">Când se utilizează abordarea prin venit, evaluarea la valoarea justă reflectă așteptările actuale ale pieţei privind valorile viitoare ale fluxurilor de numerar / veniturilor și cheltuielilor. IFRS 13 exemplifică tehnicile de evaluare în cadrul abordării prin venit astfel: </w:t>
      </w:r>
    </w:p>
    <w:p w14:paraId="1C22E3D7" w14:textId="77777777" w:rsidR="00AD523A" w:rsidRPr="00B24B97" w:rsidRDefault="00AD523A" w:rsidP="00B01836">
      <w:pPr>
        <w:pStyle w:val="NormalWeb"/>
        <w:widowControl w:val="0"/>
        <w:numPr>
          <w:ilvl w:val="1"/>
          <w:numId w:val="2"/>
        </w:numPr>
        <w:tabs>
          <w:tab w:val="left" w:pos="993"/>
        </w:tabs>
        <w:spacing w:before="0" w:beforeAutospacing="0" w:after="0" w:afterAutospacing="0" w:line="276" w:lineRule="auto"/>
        <w:ind w:left="0" w:firstLine="720"/>
        <w:jc w:val="both"/>
        <w:rPr>
          <w:sz w:val="28"/>
          <w:szCs w:val="28"/>
          <w:lang w:val="it-IT"/>
        </w:rPr>
      </w:pPr>
      <w:r w:rsidRPr="00B24B97">
        <w:rPr>
          <w:sz w:val="28"/>
          <w:szCs w:val="28"/>
          <w:lang w:val="it-IT"/>
        </w:rPr>
        <w:t>tehnicile valorii actualizate (Metoda fluxului de numerar actualizat);</w:t>
      </w:r>
    </w:p>
    <w:p w14:paraId="3C4446EE" w14:textId="77777777" w:rsidR="00AD523A" w:rsidRPr="00B24B97" w:rsidRDefault="00AD523A" w:rsidP="00B01836">
      <w:pPr>
        <w:pStyle w:val="NormalWeb"/>
        <w:widowControl w:val="0"/>
        <w:numPr>
          <w:ilvl w:val="1"/>
          <w:numId w:val="2"/>
        </w:numPr>
        <w:tabs>
          <w:tab w:val="left" w:pos="993"/>
        </w:tabs>
        <w:spacing w:before="0" w:beforeAutospacing="0" w:after="0" w:afterAutospacing="0" w:line="276" w:lineRule="auto"/>
        <w:ind w:left="0" w:firstLine="720"/>
        <w:jc w:val="both"/>
        <w:rPr>
          <w:sz w:val="28"/>
          <w:szCs w:val="28"/>
          <w:lang w:val="it-IT"/>
        </w:rPr>
      </w:pPr>
      <w:r w:rsidRPr="00B24B97">
        <w:rPr>
          <w:sz w:val="28"/>
          <w:szCs w:val="28"/>
          <w:lang w:val="it-IT"/>
        </w:rPr>
        <w:t xml:space="preserve">modele de evaluare a opţiunii, cum ar fi formula Black-Scholes-Merton sau un model binomial (adică modelul raster – „lattice model”), care includ tehnici de obţinere a valorii actualizate şi reflectă atât valoarea-timp, cât şi valoarea intrinsecă a unei opţiuni; și </w:t>
      </w:r>
    </w:p>
    <w:p w14:paraId="7F1010F4" w14:textId="77777777" w:rsidR="00AD523A" w:rsidRPr="00B24B97" w:rsidRDefault="00AD523A" w:rsidP="00B01836">
      <w:pPr>
        <w:pStyle w:val="NormalWeb"/>
        <w:widowControl w:val="0"/>
        <w:numPr>
          <w:ilvl w:val="1"/>
          <w:numId w:val="2"/>
        </w:numPr>
        <w:tabs>
          <w:tab w:val="left" w:pos="993"/>
        </w:tabs>
        <w:spacing w:before="0" w:beforeAutospacing="0" w:after="0" w:afterAutospacing="0" w:line="276" w:lineRule="auto"/>
        <w:ind w:left="0" w:firstLine="720"/>
        <w:jc w:val="both"/>
        <w:rPr>
          <w:sz w:val="28"/>
          <w:szCs w:val="28"/>
          <w:lang w:val="it-IT"/>
        </w:rPr>
      </w:pPr>
      <w:r w:rsidRPr="00B24B97">
        <w:rPr>
          <w:sz w:val="28"/>
          <w:szCs w:val="28"/>
          <w:lang w:val="it-IT"/>
        </w:rPr>
        <w:t>metoda rezultatului excedentar pe mai multe perioade, utilizată pentru evaluarea valorii juste a unor imobilizări necorporale.</w:t>
      </w:r>
    </w:p>
    <w:p w14:paraId="2C5F3C33" w14:textId="77777777" w:rsidR="00AD523A" w:rsidRPr="00B24B97"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Metodele din cadrul abordărilor trebuie aplicate individual sau în combinație, în funcție de natura activului sau datoriei evaluate. În unele cazuri este suficientă o singură abordare (ex. evaluarea unui activ tranzacționat pe o piață activă), iar în alte cazuri este necesară aplicarea mai multor abordări (ex. evaluarea unei unități generatoare de </w:t>
      </w:r>
      <w:r w:rsidRPr="00B24B97">
        <w:rPr>
          <w:sz w:val="28"/>
          <w:szCs w:val="28"/>
          <w:lang w:val="it-IT"/>
        </w:rPr>
        <w:lastRenderedPageBreak/>
        <w:t>numerar).</w:t>
      </w:r>
    </w:p>
    <w:p w14:paraId="513788BE" w14:textId="77777777" w:rsidR="00AD523A" w:rsidRPr="00B24B97"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Atunci când se aplică mai multe abordări, rezultatele obținute trebuie analizate pentru a identifica o valoare justă reprezentativă, aflată în intervalul valorilor estimate.</w:t>
      </w:r>
    </w:p>
    <w:p w14:paraId="1A3B231D" w14:textId="77777777" w:rsidR="00AD523A" w:rsidRPr="00B24B97"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 În cazul în care prețul tranzacției este considerat valoare justă la recunoașterea inițială, iar în perioadele ulterioare se aplică o metodă bazată pe date neobservabile, tehnica respectivă trebuie calibrată, astfel încât rezultatul acesteia la momentul inițial să corespundă prețului tranzacției. Calibrarea are rolul de a menține concordanța cu condițiile curente de piață și de a verifica dacă sunt necesare ajustări în aplicarea metodei de evaluare.</w:t>
      </w:r>
    </w:p>
    <w:p w14:paraId="4A72A860" w14:textId="5F855C16" w:rsidR="00AD523A" w:rsidRPr="00B24B97"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La evaluăr</w:t>
      </w:r>
      <w:r w:rsidR="00BC68EF">
        <w:rPr>
          <w:sz w:val="28"/>
          <w:szCs w:val="28"/>
          <w:lang w:val="it-IT"/>
        </w:rPr>
        <w:t>i</w:t>
      </w:r>
      <w:r w:rsidRPr="00B24B97">
        <w:rPr>
          <w:sz w:val="28"/>
          <w:szCs w:val="28"/>
          <w:lang w:val="it-IT"/>
        </w:rPr>
        <w:t>le ulterioare, metodele care se bazează pe date neobservabile trebuie să fie verificate în raport cu informații observabile relevante, disponibile la data evaluării (de exemplu, prețuri ale unor active similare).</w:t>
      </w:r>
    </w:p>
    <w:p w14:paraId="41D495B3" w14:textId="5D9324B5" w:rsidR="00AD523A" w:rsidRPr="00B24B97" w:rsidRDefault="00AD523A" w:rsidP="00B01836">
      <w:pPr>
        <w:pStyle w:val="NormalWeb"/>
        <w:widowControl w:val="0"/>
        <w:numPr>
          <w:ilvl w:val="0"/>
          <w:numId w:val="3"/>
        </w:numPr>
        <w:spacing w:before="0" w:beforeAutospacing="0" w:after="0" w:afterAutospacing="0" w:line="276" w:lineRule="auto"/>
        <w:jc w:val="both"/>
        <w:outlineLvl w:val="1"/>
        <w:rPr>
          <w:b/>
          <w:bCs/>
          <w:sz w:val="28"/>
          <w:szCs w:val="28"/>
          <w:lang w:val="it-IT"/>
        </w:rPr>
      </w:pPr>
      <w:bookmarkStart w:id="7" w:name="_Toc213487907"/>
      <w:r w:rsidRPr="00B24B97">
        <w:rPr>
          <w:b/>
          <w:bCs/>
          <w:sz w:val="28"/>
          <w:szCs w:val="28"/>
          <w:lang w:val="it-IT"/>
        </w:rPr>
        <w:t>Recunoașterea inițială și reevaluarea activelor</w:t>
      </w:r>
      <w:bookmarkEnd w:id="7"/>
      <w:r w:rsidRPr="00B24B97">
        <w:rPr>
          <w:b/>
          <w:bCs/>
          <w:sz w:val="28"/>
          <w:szCs w:val="28"/>
          <w:lang w:val="it-IT"/>
        </w:rPr>
        <w:t xml:space="preserve"> </w:t>
      </w:r>
    </w:p>
    <w:p w14:paraId="4A34DBFC" w14:textId="77777777" w:rsidR="00F12FD8"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Conform </w:t>
      </w:r>
      <w:r w:rsidRPr="00B24B97">
        <w:rPr>
          <w:i/>
          <w:iCs/>
          <w:sz w:val="28"/>
          <w:szCs w:val="28"/>
          <w:lang w:val="it-IT"/>
        </w:rPr>
        <w:t>IAS 2 „Stocuri”,</w:t>
      </w:r>
      <w:r w:rsidRPr="00B24B97">
        <w:rPr>
          <w:sz w:val="28"/>
          <w:szCs w:val="28"/>
          <w:lang w:val="it-IT"/>
        </w:rPr>
        <w:t xml:space="preserve"> stocurile sunt active: </w:t>
      </w:r>
    </w:p>
    <w:p w14:paraId="3303340F" w14:textId="77777777" w:rsidR="00F12FD8" w:rsidRDefault="00AD523A" w:rsidP="00B01836">
      <w:pPr>
        <w:pStyle w:val="NormalWeb"/>
        <w:widowControl w:val="0"/>
        <w:numPr>
          <w:ilvl w:val="1"/>
          <w:numId w:val="2"/>
        </w:numPr>
        <w:spacing w:before="0" w:beforeAutospacing="0" w:after="0" w:afterAutospacing="0" w:line="276" w:lineRule="auto"/>
        <w:ind w:left="0" w:firstLine="720"/>
        <w:jc w:val="both"/>
        <w:rPr>
          <w:sz w:val="28"/>
          <w:szCs w:val="28"/>
          <w:lang w:val="it-IT"/>
        </w:rPr>
      </w:pPr>
      <w:r w:rsidRPr="00B24B97">
        <w:rPr>
          <w:sz w:val="28"/>
          <w:szCs w:val="28"/>
          <w:lang w:val="it-IT"/>
        </w:rPr>
        <w:t>deținute în vederea vânzării pe parcursul desfășurării normale a activității;</w:t>
      </w:r>
    </w:p>
    <w:p w14:paraId="62042AA4" w14:textId="77777777" w:rsidR="00F12FD8" w:rsidRDefault="00AD523A" w:rsidP="00B01836">
      <w:pPr>
        <w:pStyle w:val="NormalWeb"/>
        <w:widowControl w:val="0"/>
        <w:numPr>
          <w:ilvl w:val="1"/>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în curs de producție pentru o astfel de vânzare; sau </w:t>
      </w:r>
    </w:p>
    <w:p w14:paraId="0755CCC6" w14:textId="374616AA" w:rsidR="00AD523A" w:rsidRPr="00B24B97" w:rsidRDefault="00AD523A" w:rsidP="00B01836">
      <w:pPr>
        <w:pStyle w:val="NormalWeb"/>
        <w:widowControl w:val="0"/>
        <w:numPr>
          <w:ilvl w:val="1"/>
          <w:numId w:val="2"/>
        </w:numPr>
        <w:spacing w:before="0" w:beforeAutospacing="0" w:after="0" w:afterAutospacing="0" w:line="276" w:lineRule="auto"/>
        <w:ind w:left="0" w:firstLine="720"/>
        <w:jc w:val="both"/>
        <w:rPr>
          <w:sz w:val="28"/>
          <w:szCs w:val="28"/>
          <w:lang w:val="it-IT"/>
        </w:rPr>
      </w:pPr>
      <w:r w:rsidRPr="00B24B97">
        <w:rPr>
          <w:sz w:val="28"/>
          <w:szCs w:val="28"/>
          <w:lang w:val="it-IT"/>
        </w:rPr>
        <w:t>sub formă de materiale sau alte consumabile ce urmează a fi folosite în procesul de producție sau pentru prestarea de servicii.</w:t>
      </w:r>
    </w:p>
    <w:p w14:paraId="13DD42AF" w14:textId="77777777" w:rsidR="00AD523A" w:rsidRPr="00B24B97"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De obicei, valoarea contabilă a stocurilor este redusă până la valoarea realizabilă netă. Valoarea realizabilă netă se referă la suma netă pe care o entitate preconizează că o va realiza din vânzarea stocului pe parcursul desfășurării normale a activității. Valoarea realizabilă netă pentru stocuri poate să nu fie egală cu valoarea justă minus costurile generate de vânzare.</w:t>
      </w:r>
    </w:p>
    <w:p w14:paraId="511297C9" w14:textId="77777777" w:rsidR="00AD523A" w:rsidRPr="00B24B97"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Uneori, în scopul estimării valorii realizabile nete, poate fi adecvat să se grupeze elementele similare sau conexe. Acesta poate fi cazul unor elemente de natura stocurilor care aparțin aceleiași linii de produse, care au scopuri sau utilizări finale similare, care sunt produse și comercializate în aceeași zonă geografică și care nu pot, practic, să fie evaluate separat de alte elemente din acea linie de produse. Nu este adecvat să se reducă valoarea contabilă a stocurilor pe baza unei clasificări, de exemplu, produse finite sau toate stocurile dintr-un anumit segment de activitate. </w:t>
      </w:r>
    </w:p>
    <w:p w14:paraId="47070F7C" w14:textId="34FDBF65" w:rsidR="00AD523A" w:rsidRPr="00B24B97"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Estimările valorii realizabile nete se bazează pe cele mai credibile dovezi disponibile la momentul efectuării estimărilor cu privire la suma la care se așteaptă a fi realizate stocurile. Aceste estimări iau în considerare fluctuațiile de preț sau de cost care sunt direct legate de evenimentele survenite după sfârșitul perioadei, în măsura în care </w:t>
      </w:r>
      <w:r w:rsidRPr="00B24B97">
        <w:rPr>
          <w:sz w:val="28"/>
          <w:szCs w:val="28"/>
          <w:lang w:val="it-IT"/>
        </w:rPr>
        <w:lastRenderedPageBreak/>
        <w:t>aceste evenimente confirmă condițiile existente la sfârșitul perioadei.</w:t>
      </w:r>
    </w:p>
    <w:p w14:paraId="51E83A31" w14:textId="77777777" w:rsidR="00AD523A" w:rsidRPr="00B24B97"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Modalitatea de evaluare a valorii realizabile nete depinde de scopul pentru care stocurile sunt deținute. De exemplu, valoarea realizabilă netă a cantității de stocuri deținute pentru onorarea unor contracte ferme de vânzare de bunuri sau de prestare de servicii se bazează pe prețul contractului. În situația în care cantitatea specificată în contractele de vânzare este mai mică decât cantitatea de stocuri deținută, valoarea realizabilă netă a surplusului se bazează pe preturile generale de vânzare. Pot apărea provizioane din contractele ferme de vânzare, peste cantitățile de stocuri deținute, sau din contractele ferme de cumpărare. Asemenea provizioane sunt tratate în IAS 37 „Provizioane, datorii contingente și active contingente”.</w:t>
      </w:r>
    </w:p>
    <w:p w14:paraId="5BF51D56" w14:textId="77777777" w:rsidR="00EE3AD2"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Conform </w:t>
      </w:r>
      <w:r w:rsidRPr="00B24B97">
        <w:rPr>
          <w:i/>
          <w:iCs/>
          <w:sz w:val="28"/>
          <w:szCs w:val="28"/>
          <w:lang w:val="it-IT"/>
        </w:rPr>
        <w:t>IAS 16 „Imobilizări corporale</w:t>
      </w:r>
      <w:r w:rsidRPr="00B24B97">
        <w:rPr>
          <w:sz w:val="28"/>
          <w:szCs w:val="28"/>
          <w:lang w:val="it-IT"/>
        </w:rPr>
        <w:t xml:space="preserve">”, imobilizările corporale sunt elemente corporale care: </w:t>
      </w:r>
    </w:p>
    <w:p w14:paraId="7C069BC8" w14:textId="72F6C3BB" w:rsidR="00EE3AD2" w:rsidRDefault="00AD523A" w:rsidP="00B01836">
      <w:pPr>
        <w:pStyle w:val="NormalWeb"/>
        <w:widowControl w:val="0"/>
        <w:numPr>
          <w:ilvl w:val="1"/>
          <w:numId w:val="2"/>
        </w:numPr>
        <w:spacing w:before="0" w:beforeAutospacing="0" w:after="0" w:afterAutospacing="0" w:line="276" w:lineRule="auto"/>
        <w:ind w:left="0" w:firstLine="720"/>
        <w:jc w:val="both"/>
        <w:rPr>
          <w:sz w:val="28"/>
          <w:szCs w:val="28"/>
          <w:lang w:val="it-IT"/>
        </w:rPr>
      </w:pPr>
      <w:r w:rsidRPr="00B24B97">
        <w:rPr>
          <w:sz w:val="28"/>
          <w:szCs w:val="28"/>
          <w:lang w:val="it-IT"/>
        </w:rPr>
        <w:t>sunt deținute în vederea utilizării pentru producerea sau furnizarea de bunuri sau servicii, pentru a fi închiriate terților sau pentru a fi folosite în scopuri administrative; și</w:t>
      </w:r>
    </w:p>
    <w:p w14:paraId="04A77DB5" w14:textId="18A7A878" w:rsidR="00AD523A" w:rsidRPr="00B24B97" w:rsidRDefault="00AD523A" w:rsidP="00B01836">
      <w:pPr>
        <w:pStyle w:val="NormalWeb"/>
        <w:widowControl w:val="0"/>
        <w:numPr>
          <w:ilvl w:val="1"/>
          <w:numId w:val="2"/>
        </w:numPr>
        <w:spacing w:before="0" w:beforeAutospacing="0" w:after="0" w:afterAutospacing="0" w:line="276" w:lineRule="auto"/>
        <w:ind w:left="0" w:firstLine="720"/>
        <w:jc w:val="both"/>
        <w:rPr>
          <w:sz w:val="28"/>
          <w:szCs w:val="28"/>
          <w:lang w:val="it-IT"/>
        </w:rPr>
      </w:pPr>
      <w:r w:rsidRPr="00B24B97">
        <w:rPr>
          <w:sz w:val="28"/>
          <w:szCs w:val="28"/>
          <w:lang w:val="it-IT"/>
        </w:rPr>
        <w:t>se preconizează că vor fi utilizate pe parcursul mai multor perioade.</w:t>
      </w:r>
    </w:p>
    <w:p w14:paraId="3E7E3181" w14:textId="77777777" w:rsidR="00AD523A" w:rsidRPr="00B24B97"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Elementele imobilizărilor corporale a căror valoare justă poate fi evaluată în mod fiabil trebuie contabilizate la o valoare reevaluată, aceasta fiind valoarea justă la data reevaluării minus orice amortizare cumulată ulterior și orice pierderi cumulate din depreciere.</w:t>
      </w:r>
    </w:p>
    <w:p w14:paraId="65365CB9" w14:textId="6C9FAC0B" w:rsidR="00AD523A" w:rsidRPr="00B24B97"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IFRS 5 „Active imobilizate deținute în vederea vânzării și activități întrerupte” concretizează că activul imobilizat (sau grup destinat cedării) clasificat ca fiind deținut în vederea vânzării (distribuirii) trebuie evaluat la cea mai mică valoare dintre valoarea contabilă și valoarea justă minus costurile generate de vânzare (distribuire). </w:t>
      </w:r>
    </w:p>
    <w:p w14:paraId="627F947D" w14:textId="77777777" w:rsidR="00AD523A" w:rsidRPr="00B24B97"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Conform </w:t>
      </w:r>
      <w:r w:rsidRPr="00B24B97">
        <w:rPr>
          <w:i/>
          <w:iCs/>
          <w:sz w:val="28"/>
          <w:szCs w:val="28"/>
          <w:lang w:val="it-IT"/>
        </w:rPr>
        <w:t>IAS 32 „Instrumente financiare: prezentare</w:t>
      </w:r>
      <w:r w:rsidRPr="00B24B97">
        <w:rPr>
          <w:sz w:val="28"/>
          <w:szCs w:val="28"/>
          <w:lang w:val="it-IT"/>
        </w:rPr>
        <w:t xml:space="preserve">” un instrument financiar este orice contract care generează simultan un activ financiar al unei entități și o datorie financiară sau un instrument de capitaluri proprii al unei alte entități.  </w:t>
      </w:r>
    </w:p>
    <w:p w14:paraId="40F0D0FF" w14:textId="23634A55" w:rsidR="00AD523A" w:rsidRPr="00B24B97" w:rsidRDefault="00D22CB6"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Pr>
          <w:sz w:val="28"/>
          <w:szCs w:val="28"/>
          <w:lang w:val="it-IT"/>
        </w:rPr>
        <w:t>Atât a</w:t>
      </w:r>
      <w:r w:rsidR="00AD523A" w:rsidRPr="00B24B97">
        <w:rPr>
          <w:sz w:val="28"/>
          <w:szCs w:val="28"/>
          <w:lang w:val="it-IT"/>
        </w:rPr>
        <w:t>ctivele</w:t>
      </w:r>
      <w:r>
        <w:rPr>
          <w:sz w:val="28"/>
          <w:szCs w:val="28"/>
          <w:lang w:val="it-IT"/>
        </w:rPr>
        <w:t>,</w:t>
      </w:r>
      <w:r w:rsidR="00AD523A" w:rsidRPr="00B24B97">
        <w:rPr>
          <w:sz w:val="28"/>
          <w:szCs w:val="28"/>
          <w:lang w:val="it-IT"/>
        </w:rPr>
        <w:t xml:space="preserve"> cât și datoriile financiare, conform IFRS 9 „Instrumente financiare”, la recunoașterea inițială se evaluează la valoarea sa justă plus sau minus costurile tranzacției care sunt direct atribuibile achiziției sau emisiunii activului financiar sau datoriei financiare. </w:t>
      </w:r>
    </w:p>
    <w:p w14:paraId="464A3404" w14:textId="77777777" w:rsidR="00AD523A" w:rsidRPr="00B24B97"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Valoarea justă a unui instrument financiar la recunoașterea inițială este, în mod normal, prețul tranzacției. Totuși, dacă o parte din contravaloarea plătită sau primită este pentru alt element decât instrumentul financiar, o entitate trebuie să evalueze valoarea justă a instrumentului financiar. De exemplu, valoarea justă a unui împrumut pe termen </w:t>
      </w:r>
      <w:r w:rsidRPr="00B24B97">
        <w:rPr>
          <w:sz w:val="28"/>
          <w:szCs w:val="28"/>
          <w:lang w:val="it-IT"/>
        </w:rPr>
        <w:lastRenderedPageBreak/>
        <w:t>lung sau a unei creanțe care nu este purtătoare de dobândă poate fi evaluată drept valoarea actualizată a tuturor intrărilor viitoare de numerar actualizate utilizând rata de referință a (ratele de referință ale) dobânzii de pe piață pentru un instrument similar (din punctul de vedere al monedei, condițiilor, tipului ratei dobânzii și al altor factori) cu un rating de credit similar.</w:t>
      </w:r>
    </w:p>
    <w:p w14:paraId="07E9F493" w14:textId="77777777" w:rsidR="003E291F"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După recunoașterea inițială, o entitate trebuie să evalueze un activ financiar la: </w:t>
      </w:r>
    </w:p>
    <w:p w14:paraId="11854D95" w14:textId="77777777" w:rsidR="003E291F" w:rsidRDefault="00AD523A" w:rsidP="00B01836">
      <w:pPr>
        <w:pStyle w:val="NormalWeb"/>
        <w:widowControl w:val="0"/>
        <w:numPr>
          <w:ilvl w:val="1"/>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costul amortizat; </w:t>
      </w:r>
    </w:p>
    <w:p w14:paraId="68334F41" w14:textId="77777777" w:rsidR="003E291F" w:rsidRDefault="00AD523A" w:rsidP="00B01836">
      <w:pPr>
        <w:pStyle w:val="NormalWeb"/>
        <w:widowControl w:val="0"/>
        <w:numPr>
          <w:ilvl w:val="1"/>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valoarea justă prin alte elemente ale rezultatului global; sau </w:t>
      </w:r>
    </w:p>
    <w:p w14:paraId="2D02B210" w14:textId="05D66938" w:rsidR="00AD523A" w:rsidRPr="00B24B97" w:rsidRDefault="00AD523A" w:rsidP="00B01836">
      <w:pPr>
        <w:pStyle w:val="NormalWeb"/>
        <w:widowControl w:val="0"/>
        <w:numPr>
          <w:ilvl w:val="1"/>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valoarea justă prin profit sau pierdere. </w:t>
      </w:r>
    </w:p>
    <w:p w14:paraId="4DFCA93F" w14:textId="77777777" w:rsidR="00CB09D0"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După recunoașterea inițială, o entitate trebuie să evalueze o datorie financiară la</w:t>
      </w:r>
      <w:r w:rsidR="00CB09D0">
        <w:rPr>
          <w:sz w:val="28"/>
          <w:szCs w:val="28"/>
          <w:lang w:val="it-IT"/>
        </w:rPr>
        <w:t>:</w:t>
      </w:r>
    </w:p>
    <w:p w14:paraId="63D7077C" w14:textId="77777777" w:rsidR="00CB09D0" w:rsidRDefault="00AD523A" w:rsidP="00B01836">
      <w:pPr>
        <w:pStyle w:val="NormalWeb"/>
        <w:widowControl w:val="0"/>
        <w:numPr>
          <w:ilvl w:val="1"/>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costul amortizat sau </w:t>
      </w:r>
    </w:p>
    <w:p w14:paraId="3C17170E" w14:textId="63BB8554" w:rsidR="00AD523A" w:rsidRPr="00B24B97" w:rsidRDefault="00AD523A" w:rsidP="00B01836">
      <w:pPr>
        <w:pStyle w:val="NormalWeb"/>
        <w:widowControl w:val="0"/>
        <w:numPr>
          <w:ilvl w:val="1"/>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valoarea justă prin profit sau pierdere, când aceasta poate genera informații mai relevante. </w:t>
      </w:r>
    </w:p>
    <w:p w14:paraId="1FF0025E" w14:textId="77777777" w:rsidR="00AD523A" w:rsidRPr="00B24B97"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Conform </w:t>
      </w:r>
      <w:r w:rsidRPr="00B24B97">
        <w:rPr>
          <w:i/>
          <w:iCs/>
          <w:sz w:val="28"/>
          <w:szCs w:val="28"/>
          <w:lang w:val="it-IT"/>
        </w:rPr>
        <w:t>IAS 38 „Imobilizări necorporale</w:t>
      </w:r>
      <w:r w:rsidRPr="00B24B97">
        <w:rPr>
          <w:sz w:val="28"/>
          <w:szCs w:val="28"/>
          <w:lang w:val="it-IT"/>
        </w:rPr>
        <w:t>” o imobilizare necorporală este un activ nemonetar identificabil fără formă fizică.</w:t>
      </w:r>
    </w:p>
    <w:p w14:paraId="066BEC09" w14:textId="77777777" w:rsidR="00AD523A" w:rsidRPr="00B24B97"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O imobilizare necorporală la recunoașterea inițială trebuie evaluată la cost. Ulterior imobilizarea necorporală va fi contabilizată la o valoare reevaluată care reprezintă valoarea sa justă la data reevaluării minus orice amortizare ulterioară cumulată și orice pierderi din depreciere cumulate ulterioare.</w:t>
      </w:r>
    </w:p>
    <w:p w14:paraId="0E1F27B4" w14:textId="77777777" w:rsidR="00B1491F" w:rsidRPr="00B24B97"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Dacă o imobilizare necorporală este dobândită în cadrul unei combinări de întreprinderi, costul imobilizării necorporale respective este valoarea sa justă la data achiziției. </w:t>
      </w:r>
    </w:p>
    <w:p w14:paraId="0B4AE519" w14:textId="5E3D184B" w:rsidR="00B1491F" w:rsidRPr="00B24B97"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Este important </w:t>
      </w:r>
      <w:r w:rsidR="00D22CB6">
        <w:rPr>
          <w:sz w:val="28"/>
          <w:szCs w:val="28"/>
          <w:lang w:val="it-IT"/>
        </w:rPr>
        <w:t xml:space="preserve">dă se </w:t>
      </w:r>
      <w:r w:rsidRPr="00B24B97">
        <w:rPr>
          <w:sz w:val="28"/>
          <w:szCs w:val="28"/>
          <w:lang w:val="it-IT"/>
        </w:rPr>
        <w:t>evalu</w:t>
      </w:r>
      <w:r w:rsidR="00D22CB6">
        <w:rPr>
          <w:sz w:val="28"/>
          <w:szCs w:val="28"/>
          <w:lang w:val="it-IT"/>
        </w:rPr>
        <w:t>eze</w:t>
      </w:r>
      <w:r w:rsidRPr="00B24B97">
        <w:rPr>
          <w:sz w:val="28"/>
          <w:szCs w:val="28"/>
          <w:lang w:val="it-IT"/>
        </w:rPr>
        <w:t xml:space="preserve"> dacă durata de viață utilă a unei imobilizări necorporale este determinată sau nedeterminată și, în cazul în care este determinată - perioada acesteia sau numărul de unități de producție sau unități similare care constituie acea durată de viață utilă. Durata de viață utilă a unei imobilizări necorporale care decurge din drepturile contractuale sau din alte drepturi legale nu trebuie să depășească perioada drepturilor contractuale sau a celorlalte drepturi legale, dar poate fi mai scurtă, în funcție de perioada pentru care entitatea preconizează că va folosi activul.</w:t>
      </w:r>
    </w:p>
    <w:p w14:paraId="382DD9AC" w14:textId="77777777" w:rsidR="00B1491F" w:rsidRPr="00B24B97"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Valoarea reziduală a unei imobilizări necorporale cu o durată de viață utilă determinată trebuie evaluată la zero, cu excepția cazurilor în care: </w:t>
      </w:r>
    </w:p>
    <w:p w14:paraId="232520FB" w14:textId="4F6A12C0" w:rsidR="00B1491F" w:rsidRPr="00B24B97" w:rsidRDefault="00AD523A" w:rsidP="00B01836">
      <w:pPr>
        <w:pStyle w:val="NormalWeb"/>
        <w:widowControl w:val="0"/>
        <w:numPr>
          <w:ilvl w:val="1"/>
          <w:numId w:val="2"/>
        </w:numPr>
        <w:tabs>
          <w:tab w:val="left" w:pos="993"/>
        </w:tabs>
        <w:spacing w:before="0" w:beforeAutospacing="0" w:after="0" w:afterAutospacing="0" w:line="276" w:lineRule="auto"/>
        <w:ind w:left="0" w:firstLine="720"/>
        <w:jc w:val="both"/>
        <w:rPr>
          <w:sz w:val="28"/>
          <w:szCs w:val="28"/>
          <w:lang w:val="it-IT"/>
        </w:rPr>
      </w:pPr>
      <w:r w:rsidRPr="00B24B97">
        <w:rPr>
          <w:sz w:val="28"/>
          <w:szCs w:val="28"/>
          <w:lang w:val="it-IT"/>
        </w:rPr>
        <w:t>există un angajament al unei terțe p</w:t>
      </w:r>
      <w:r w:rsidR="00167BB9">
        <w:rPr>
          <w:sz w:val="28"/>
          <w:szCs w:val="28"/>
          <w:lang w:val="it-IT"/>
        </w:rPr>
        <w:t>ă</w:t>
      </w:r>
      <w:r w:rsidRPr="00B24B97">
        <w:rPr>
          <w:sz w:val="28"/>
          <w:szCs w:val="28"/>
          <w:lang w:val="it-IT"/>
        </w:rPr>
        <w:t>rți de achiziționare a imobilizării la sfârșitul duratei sale de viață utilă; sau</w:t>
      </w:r>
    </w:p>
    <w:p w14:paraId="75EAC6B3" w14:textId="77777777" w:rsidR="008035E6" w:rsidRDefault="00AD523A" w:rsidP="00B01836">
      <w:pPr>
        <w:pStyle w:val="NormalWeb"/>
        <w:widowControl w:val="0"/>
        <w:numPr>
          <w:ilvl w:val="1"/>
          <w:numId w:val="2"/>
        </w:numPr>
        <w:tabs>
          <w:tab w:val="left" w:pos="993"/>
        </w:tabs>
        <w:spacing w:before="0" w:beforeAutospacing="0" w:after="0" w:afterAutospacing="0" w:line="276" w:lineRule="auto"/>
        <w:ind w:left="0" w:firstLine="720"/>
        <w:jc w:val="both"/>
        <w:rPr>
          <w:sz w:val="28"/>
          <w:szCs w:val="28"/>
          <w:lang w:val="it-IT"/>
        </w:rPr>
      </w:pPr>
      <w:r w:rsidRPr="00B24B97">
        <w:rPr>
          <w:sz w:val="28"/>
          <w:szCs w:val="28"/>
          <w:lang w:val="it-IT"/>
        </w:rPr>
        <w:lastRenderedPageBreak/>
        <w:t xml:space="preserve">există o piață activă pentru activul în cauză și: </w:t>
      </w:r>
    </w:p>
    <w:p w14:paraId="167B5F83" w14:textId="77777777" w:rsidR="008035E6" w:rsidRDefault="00AD523A" w:rsidP="00B01836">
      <w:pPr>
        <w:pStyle w:val="NormalWeb"/>
        <w:widowControl w:val="0"/>
        <w:numPr>
          <w:ilvl w:val="2"/>
          <w:numId w:val="2"/>
        </w:numPr>
        <w:tabs>
          <w:tab w:val="left" w:pos="993"/>
          <w:tab w:val="left" w:pos="1710"/>
        </w:tabs>
        <w:spacing w:before="0" w:beforeAutospacing="0" w:after="0" w:afterAutospacing="0" w:line="276" w:lineRule="auto"/>
        <w:ind w:left="0" w:firstLine="720"/>
        <w:jc w:val="both"/>
        <w:rPr>
          <w:sz w:val="28"/>
          <w:szCs w:val="28"/>
          <w:lang w:val="it-IT"/>
        </w:rPr>
      </w:pPr>
      <w:r w:rsidRPr="00B24B97">
        <w:rPr>
          <w:sz w:val="28"/>
          <w:szCs w:val="28"/>
          <w:lang w:val="it-IT"/>
        </w:rPr>
        <w:t xml:space="preserve">valoarea reziduală poate fi determinată în funcție de acea piață; și </w:t>
      </w:r>
    </w:p>
    <w:p w14:paraId="590A7A78" w14:textId="138363F0" w:rsidR="00B1491F" w:rsidRPr="00B24B97" w:rsidRDefault="00AD523A" w:rsidP="00B01836">
      <w:pPr>
        <w:pStyle w:val="NormalWeb"/>
        <w:widowControl w:val="0"/>
        <w:numPr>
          <w:ilvl w:val="2"/>
          <w:numId w:val="2"/>
        </w:numPr>
        <w:tabs>
          <w:tab w:val="left" w:pos="993"/>
          <w:tab w:val="left" w:pos="1710"/>
        </w:tabs>
        <w:spacing w:before="0" w:beforeAutospacing="0" w:after="0" w:afterAutospacing="0" w:line="276" w:lineRule="auto"/>
        <w:ind w:left="0" w:firstLine="720"/>
        <w:jc w:val="both"/>
        <w:rPr>
          <w:sz w:val="28"/>
          <w:szCs w:val="28"/>
          <w:lang w:val="it-IT"/>
        </w:rPr>
      </w:pPr>
      <w:r w:rsidRPr="00B24B97">
        <w:rPr>
          <w:sz w:val="28"/>
          <w:szCs w:val="28"/>
          <w:lang w:val="it-IT"/>
        </w:rPr>
        <w:t>este probabil ca o astfel de piață să existe la sfârșitul duratei de viață utilă a imobilizării.</w:t>
      </w:r>
    </w:p>
    <w:p w14:paraId="01387EDE" w14:textId="77777777" w:rsidR="00E6693D"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Conform </w:t>
      </w:r>
      <w:r w:rsidRPr="00B24B97">
        <w:rPr>
          <w:i/>
          <w:iCs/>
          <w:sz w:val="28"/>
          <w:szCs w:val="28"/>
          <w:lang w:val="it-IT"/>
        </w:rPr>
        <w:t>IAS 40 „Investiții imobiliare</w:t>
      </w:r>
      <w:r w:rsidRPr="00B24B97">
        <w:rPr>
          <w:sz w:val="28"/>
          <w:szCs w:val="28"/>
          <w:lang w:val="it-IT"/>
        </w:rPr>
        <w:t xml:space="preserve">” o investiție imobiliară este o proprietate imobiliară (un teren sau o clădire - sau o parte a unei clădiri - sau ambele) deținută (de proprietar sau de locatar ca activ aferent dreptului de utilizare) mai degrabă pentru a obține venituri din chirii sau pentru creșterea valorii capitalului, sau ambele, decât pentru: </w:t>
      </w:r>
    </w:p>
    <w:p w14:paraId="6A630E8C" w14:textId="77777777" w:rsidR="00E6693D" w:rsidRDefault="00AD523A" w:rsidP="00B01836">
      <w:pPr>
        <w:pStyle w:val="NormalWeb"/>
        <w:widowControl w:val="0"/>
        <w:numPr>
          <w:ilvl w:val="1"/>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a fi utilizată pentru producerea sau furnizarea de bunuri sau servicii ori în scopuri administrative; sau pentru </w:t>
      </w:r>
    </w:p>
    <w:p w14:paraId="2F9912DF" w14:textId="5500454C" w:rsidR="00B1491F" w:rsidRPr="00B24B97" w:rsidRDefault="00AD523A" w:rsidP="00B01836">
      <w:pPr>
        <w:pStyle w:val="NormalWeb"/>
        <w:widowControl w:val="0"/>
        <w:numPr>
          <w:ilvl w:val="1"/>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a fi vândută pe parcursul desfășurării normale a activității. </w:t>
      </w:r>
    </w:p>
    <w:p w14:paraId="038AC589" w14:textId="77777777" w:rsidR="00B1491F" w:rsidRPr="00B24B97"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O proprietate imobiliară utilizată de posesor este o proprietate imobiliară deținută (de proprietar sau de locatar ca activ aferent dreptului de utilizare) pentru a fi utilizată la producerea sau furnizarea de bunuri sau servicii ori în scopuri administrative.</w:t>
      </w:r>
    </w:p>
    <w:p w14:paraId="10D674BB" w14:textId="77777777" w:rsidR="00B1491F" w:rsidRPr="00B24B97"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O investiție imobiliară proprie trebuie evaluată inițial la cost. Costurile de tranzacționare trebuie incluse în evaluarea inițială. </w:t>
      </w:r>
    </w:p>
    <w:p w14:paraId="44516C1F" w14:textId="77777777" w:rsidR="00B1491F" w:rsidRPr="00B24B97"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IAS 40 impune tuturor entităților să evalueze valoarea justă a investițiilor imobiliare fie în scopul evaluării (dacă entitatea utilizează modelul bazat pe valoarea justă), fie în scopul prezentării informațiilor (dacă folosește modelul bazat pe cost). </w:t>
      </w:r>
    </w:p>
    <w:p w14:paraId="5AAD31AD" w14:textId="003A3CA1" w:rsidR="00AD523A" w:rsidRPr="00B24B97" w:rsidRDefault="00AD523A"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La evaluarea investiției imobiliare vor fi considerate prevederile SEV 233 „Proprietatea în curs de construire”.</w:t>
      </w:r>
    </w:p>
    <w:p w14:paraId="258BD2E7" w14:textId="77777777" w:rsidR="00B1491F" w:rsidRPr="00B24B97" w:rsidRDefault="00B1491F" w:rsidP="001423C2">
      <w:pPr>
        <w:pStyle w:val="NormalWeb"/>
        <w:widowControl w:val="0"/>
        <w:spacing w:before="0" w:beforeAutospacing="0" w:after="0" w:afterAutospacing="0" w:line="276" w:lineRule="auto"/>
        <w:ind w:firstLine="720"/>
        <w:jc w:val="both"/>
        <w:rPr>
          <w:sz w:val="28"/>
          <w:szCs w:val="28"/>
          <w:lang w:val="it-IT"/>
        </w:rPr>
      </w:pPr>
    </w:p>
    <w:p w14:paraId="6B38C0D1" w14:textId="61571AFC" w:rsidR="00B1491F" w:rsidRPr="00B24B97" w:rsidRDefault="00BA4299" w:rsidP="009B27AD">
      <w:pPr>
        <w:pStyle w:val="ListParagraph"/>
        <w:widowControl w:val="0"/>
        <w:spacing w:after="0" w:line="276" w:lineRule="auto"/>
        <w:ind w:left="0"/>
        <w:jc w:val="center"/>
        <w:outlineLvl w:val="0"/>
        <w:rPr>
          <w:rFonts w:ascii="Times New Roman" w:hAnsi="Times New Roman" w:cs="Times New Roman"/>
          <w:b/>
          <w:bCs/>
          <w:sz w:val="28"/>
          <w:szCs w:val="28"/>
        </w:rPr>
      </w:pPr>
      <w:bookmarkStart w:id="8" w:name="_Toc213487908"/>
      <w:r w:rsidRPr="00B24B97">
        <w:rPr>
          <w:rFonts w:ascii="Times New Roman" w:hAnsi="Times New Roman" w:cs="Times New Roman"/>
          <w:b/>
          <w:bCs/>
          <w:sz w:val="28"/>
          <w:szCs w:val="28"/>
        </w:rPr>
        <w:t xml:space="preserve">CAPITOLUL </w:t>
      </w:r>
      <w:r w:rsidR="00B1491F" w:rsidRPr="00B24B97">
        <w:rPr>
          <w:rFonts w:ascii="Times New Roman" w:hAnsi="Times New Roman" w:cs="Times New Roman"/>
          <w:b/>
          <w:bCs/>
          <w:sz w:val="28"/>
          <w:szCs w:val="28"/>
        </w:rPr>
        <w:t xml:space="preserve">V. CALCULAREA CHELTUIELILOR </w:t>
      </w:r>
      <w:r w:rsidR="009B27AD">
        <w:rPr>
          <w:rFonts w:ascii="Times New Roman" w:hAnsi="Times New Roman" w:cs="Times New Roman"/>
          <w:b/>
          <w:bCs/>
          <w:sz w:val="28"/>
          <w:szCs w:val="28"/>
        </w:rPr>
        <w:br/>
      </w:r>
      <w:r w:rsidR="00B1491F" w:rsidRPr="00B24B97">
        <w:rPr>
          <w:rFonts w:ascii="Times New Roman" w:hAnsi="Times New Roman" w:cs="Times New Roman"/>
          <w:b/>
          <w:bCs/>
          <w:sz w:val="28"/>
          <w:szCs w:val="28"/>
        </w:rPr>
        <w:t>CU AMORTIZAREA/ DEPRECIEREA</w:t>
      </w:r>
      <w:bookmarkEnd w:id="8"/>
    </w:p>
    <w:p w14:paraId="368FE787" w14:textId="1F456D92" w:rsidR="00FF3F77" w:rsidRPr="00B24B97" w:rsidRDefault="001A4CE9"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Conform IAS 16 „Imobilizări corporale”, entitatea are obligația de a recunoaște cheltuiala cu amortizarea aferentă mijloacelor fixe în cadrul situațiilor financiare. În contextul raportării financiare, amortizarea reprezintă alocarea sistematică a valorii amortizabile a unui activ pe întreaga durată de viață utilă a acestuia, reflectând astfel uzura fizică</w:t>
      </w:r>
      <w:r w:rsidR="00A02F4F" w:rsidRPr="00B24B97">
        <w:rPr>
          <w:rStyle w:val="FootnoteReference"/>
          <w:sz w:val="28"/>
          <w:szCs w:val="28"/>
          <w:lang w:val="it-IT"/>
        </w:rPr>
        <w:footnoteReference w:id="1"/>
      </w:r>
      <w:r w:rsidRPr="00B24B97">
        <w:rPr>
          <w:sz w:val="28"/>
          <w:szCs w:val="28"/>
          <w:lang w:val="it-IT"/>
        </w:rPr>
        <w:t xml:space="preserve">, morală </w:t>
      </w:r>
      <w:r w:rsidR="00A02F4F" w:rsidRPr="00B24B97">
        <w:rPr>
          <w:sz w:val="28"/>
          <w:szCs w:val="28"/>
          <w:lang w:val="it-IT"/>
        </w:rPr>
        <w:t>tehnică sau comercială</w:t>
      </w:r>
      <w:r w:rsidR="00A02F4F" w:rsidRPr="00B24B97">
        <w:rPr>
          <w:rStyle w:val="FootnoteReference"/>
          <w:sz w:val="28"/>
          <w:szCs w:val="28"/>
          <w:lang w:val="it-IT"/>
        </w:rPr>
        <w:footnoteReference w:id="2"/>
      </w:r>
      <w:r w:rsidRPr="00B24B97">
        <w:rPr>
          <w:sz w:val="28"/>
          <w:szCs w:val="28"/>
          <w:lang w:val="it-IT"/>
        </w:rPr>
        <w:t xml:space="preserve"> suferită de activ în cursul utilizării sale </w:t>
      </w:r>
      <w:r w:rsidRPr="00B24B97">
        <w:rPr>
          <w:sz w:val="28"/>
          <w:szCs w:val="28"/>
          <w:lang w:val="it-IT"/>
        </w:rPr>
        <w:lastRenderedPageBreak/>
        <w:t>de către entitate.</w:t>
      </w:r>
      <w:r w:rsidR="00390A3B" w:rsidRPr="00B24B97">
        <w:rPr>
          <w:sz w:val="28"/>
          <w:szCs w:val="28"/>
          <w:lang w:val="it-IT"/>
        </w:rPr>
        <w:t xml:space="preserve"> </w:t>
      </w:r>
      <w:r w:rsidRPr="00B24B97">
        <w:rPr>
          <w:sz w:val="28"/>
          <w:szCs w:val="28"/>
          <w:lang w:val="it-IT"/>
        </w:rPr>
        <w:t xml:space="preserve">Standardul </w:t>
      </w:r>
      <w:r w:rsidR="0043635D" w:rsidRPr="00B24B97">
        <w:rPr>
          <w:sz w:val="28"/>
          <w:szCs w:val="28"/>
          <w:lang w:val="it-IT"/>
        </w:rPr>
        <w:t>permite</w:t>
      </w:r>
      <w:r w:rsidRPr="00B24B97">
        <w:rPr>
          <w:sz w:val="28"/>
          <w:szCs w:val="28"/>
          <w:lang w:val="it-IT"/>
        </w:rPr>
        <w:t xml:space="preserve">, de asemenea, ca părțile componente semnificative ale unui activ </w:t>
      </w:r>
      <w:r w:rsidR="009B27AD">
        <w:rPr>
          <w:sz w:val="28"/>
          <w:szCs w:val="28"/>
          <w:lang w:val="it-IT"/>
        </w:rPr>
        <w:t>–</w:t>
      </w:r>
      <w:r w:rsidRPr="00B24B97">
        <w:rPr>
          <w:sz w:val="28"/>
          <w:szCs w:val="28"/>
          <w:lang w:val="it-IT"/>
        </w:rPr>
        <w:t xml:space="preserve"> acelea</w:t>
      </w:r>
      <w:r w:rsidR="009B27AD">
        <w:rPr>
          <w:sz w:val="28"/>
          <w:szCs w:val="28"/>
          <w:lang w:val="it-IT"/>
        </w:rPr>
        <w:t xml:space="preserve"> </w:t>
      </w:r>
      <w:r w:rsidRPr="00B24B97">
        <w:rPr>
          <w:sz w:val="28"/>
          <w:szCs w:val="28"/>
          <w:lang w:val="it-IT"/>
        </w:rPr>
        <w:t xml:space="preserve">care au un cost relevant în raport cu valoarea totală a activului </w:t>
      </w:r>
      <w:r w:rsidR="009B27AD">
        <w:rPr>
          <w:sz w:val="28"/>
          <w:szCs w:val="28"/>
          <w:lang w:val="it-IT"/>
        </w:rPr>
        <w:t>–</w:t>
      </w:r>
      <w:r w:rsidRPr="00B24B97">
        <w:rPr>
          <w:sz w:val="28"/>
          <w:szCs w:val="28"/>
          <w:lang w:val="it-IT"/>
        </w:rPr>
        <w:t xml:space="preserve"> să</w:t>
      </w:r>
      <w:r w:rsidR="009B27AD">
        <w:rPr>
          <w:sz w:val="28"/>
          <w:szCs w:val="28"/>
          <w:lang w:val="it-IT"/>
        </w:rPr>
        <w:t xml:space="preserve"> </w:t>
      </w:r>
      <w:r w:rsidRPr="00B24B97">
        <w:rPr>
          <w:sz w:val="28"/>
          <w:szCs w:val="28"/>
          <w:lang w:val="it-IT"/>
        </w:rPr>
        <w:t>fie amortizate separat, dacă au durate de viață utilă diferite sau dacă se consumă în moduri diferite. Componentele cu caracteristici similare pot fi, totodată, grupate și amortizate împreună, utilizând metode de amortizare omogene.</w:t>
      </w:r>
      <w:r w:rsidR="00390A3B" w:rsidRPr="00B24B97">
        <w:rPr>
          <w:sz w:val="28"/>
          <w:szCs w:val="28"/>
          <w:lang w:val="it-IT"/>
        </w:rPr>
        <w:t xml:space="preserve"> </w:t>
      </w:r>
      <w:r w:rsidRPr="00B24B97">
        <w:rPr>
          <w:sz w:val="28"/>
          <w:szCs w:val="28"/>
          <w:lang w:val="it-IT"/>
        </w:rPr>
        <w:t>În cazul proprietăților imobiliare, se aplică, de regulă, tratamentul contabil conform căruia terenul nu este amortizat, deoarece are o durată de viață nelimitată.</w:t>
      </w:r>
      <w:r w:rsidR="00390A3B" w:rsidRPr="00B24B97">
        <w:rPr>
          <w:sz w:val="28"/>
          <w:szCs w:val="28"/>
          <w:lang w:val="it-IT"/>
        </w:rPr>
        <w:t xml:space="preserve"> </w:t>
      </w:r>
      <w:r w:rsidRPr="00B24B97">
        <w:rPr>
          <w:sz w:val="28"/>
          <w:szCs w:val="28"/>
          <w:lang w:val="it-IT"/>
        </w:rPr>
        <w:t xml:space="preserve">În practică, evaluările sunt frecvent solicitate în scopul determinării valorii amortizabile a activelor </w:t>
      </w:r>
      <w:r w:rsidR="009B27AD">
        <w:rPr>
          <w:sz w:val="28"/>
          <w:szCs w:val="28"/>
          <w:lang w:val="it-IT"/>
        </w:rPr>
        <w:t>–</w:t>
      </w:r>
      <w:r w:rsidRPr="00B24B97">
        <w:rPr>
          <w:sz w:val="28"/>
          <w:szCs w:val="28"/>
          <w:lang w:val="it-IT"/>
        </w:rPr>
        <w:t xml:space="preserve"> respectiv</w:t>
      </w:r>
      <w:r w:rsidR="009B27AD">
        <w:rPr>
          <w:sz w:val="28"/>
          <w:szCs w:val="28"/>
          <w:lang w:val="it-IT"/>
        </w:rPr>
        <w:t xml:space="preserve"> </w:t>
      </w:r>
      <w:r w:rsidRPr="00B24B97">
        <w:rPr>
          <w:sz w:val="28"/>
          <w:szCs w:val="28"/>
          <w:lang w:val="it-IT"/>
        </w:rPr>
        <w:t>valoarea la care se aplică amortizarea, care poate fi influențată de costul actualizat, de reevaluări sau de identificarea componentelor semnificative ale activului.</w:t>
      </w:r>
    </w:p>
    <w:p w14:paraId="232EE340" w14:textId="02700BEA" w:rsidR="001A4CE9" w:rsidRPr="00B24B97" w:rsidRDefault="001A4CE9"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Termenul „depreciere” este utilizat cu sensuri distincte în domeniul evaluării și în raportarea financiară, fiind importantă delimitarea clară a contextului în care este aplicat.</w:t>
      </w:r>
      <w:r w:rsidR="00BA5BD5" w:rsidRPr="00B24B97">
        <w:rPr>
          <w:sz w:val="28"/>
          <w:szCs w:val="28"/>
          <w:lang w:val="it-IT"/>
        </w:rPr>
        <w:t xml:space="preserve"> </w:t>
      </w:r>
      <w:r w:rsidRPr="00B24B97">
        <w:rPr>
          <w:sz w:val="28"/>
          <w:szCs w:val="28"/>
          <w:lang w:val="it-IT"/>
        </w:rPr>
        <w:t xml:space="preserve">În contextul evaluării, „deprecierea” se referă, în general, la ajustările aplicate costului de înlocuire sau de reconstruire a unui activ în cadrul abordării prin cost, pentru a reflecta uzura fizică, funcțională sau </w:t>
      </w:r>
      <w:r w:rsidR="000350B5" w:rsidRPr="00B24B97">
        <w:rPr>
          <w:sz w:val="28"/>
          <w:szCs w:val="28"/>
          <w:lang w:val="it-IT"/>
        </w:rPr>
        <w:t>economică (</w:t>
      </w:r>
      <w:r w:rsidRPr="00B24B97">
        <w:rPr>
          <w:sz w:val="28"/>
          <w:szCs w:val="28"/>
          <w:lang w:val="it-IT"/>
        </w:rPr>
        <w:t>morală</w:t>
      </w:r>
      <w:r w:rsidR="000350B5" w:rsidRPr="00B24B97">
        <w:rPr>
          <w:sz w:val="28"/>
          <w:szCs w:val="28"/>
          <w:lang w:val="it-IT"/>
        </w:rPr>
        <w:t>)</w:t>
      </w:r>
      <w:r w:rsidRPr="00B24B97">
        <w:rPr>
          <w:sz w:val="28"/>
          <w:szCs w:val="28"/>
          <w:lang w:val="it-IT"/>
        </w:rPr>
        <w:t xml:space="preserve"> a activului. Aceste ajustări au drept scop determinarea valorii actuale a activului, mai ales în situațiile în care nu sunt disponibile date de piață directe privind tranzacții comparabile</w:t>
      </w:r>
      <w:r w:rsidR="00BA5BD5" w:rsidRPr="00B24B97">
        <w:rPr>
          <w:sz w:val="28"/>
          <w:szCs w:val="28"/>
          <w:lang w:val="it-IT"/>
        </w:rPr>
        <w:t xml:space="preserve">. </w:t>
      </w:r>
      <w:r w:rsidR="00A71439" w:rsidRPr="00B24B97">
        <w:rPr>
          <w:sz w:val="28"/>
          <w:szCs w:val="28"/>
          <w:lang w:val="it-IT"/>
        </w:rPr>
        <w:t>Î</w:t>
      </w:r>
      <w:r w:rsidRPr="00B24B97">
        <w:rPr>
          <w:sz w:val="28"/>
          <w:szCs w:val="28"/>
          <w:lang w:val="it-IT"/>
        </w:rPr>
        <w:t>n contextul raportării financiare, termenul este asociat în mod obișnuit cu amortizarea, adică alocarea sistematică a valorii amortizabile a unui activ pe parcursul duratei de viață utilă a acestuia. Această cheltuială este înregistrată în contul de profit și pierdere și reflectă consumarea economică a activului de către entitate în timpul utilizării sale.</w:t>
      </w:r>
      <w:r w:rsidR="00BA5BD5" w:rsidRPr="00B24B97">
        <w:rPr>
          <w:sz w:val="28"/>
          <w:szCs w:val="28"/>
          <w:lang w:val="it-IT"/>
        </w:rPr>
        <w:t xml:space="preserve"> </w:t>
      </w:r>
      <w:r w:rsidRPr="00B24B97">
        <w:rPr>
          <w:sz w:val="28"/>
          <w:szCs w:val="28"/>
          <w:lang w:val="it-IT"/>
        </w:rPr>
        <w:t>Astfel, deși termenul este comun ambelor domenii, sensul, scopul și aplicarea sa diferă semnificativ între evaluare și contabilitate, fiind esențială precizarea contextului pentru o interpretare corectă.</w:t>
      </w:r>
    </w:p>
    <w:p w14:paraId="54A921C6" w14:textId="77777777" w:rsidR="00602CB9" w:rsidRPr="00B24B97" w:rsidRDefault="001A4CE9"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Pentru a recunoaște în contabilitate cheltuiala cu amortizarea unui activ, este necesară în prealabil determinarea valorii amortizabile. Aceasta reprezintă, după caz, diferența dintre valoarea contabilă a activului și valoarea sa reziduală.</w:t>
      </w:r>
      <w:r w:rsidR="00FF3F77" w:rsidRPr="00B24B97">
        <w:rPr>
          <w:sz w:val="28"/>
          <w:szCs w:val="28"/>
          <w:lang w:val="it-IT"/>
        </w:rPr>
        <w:t xml:space="preserve"> </w:t>
      </w:r>
      <w:r w:rsidRPr="00B24B97">
        <w:rPr>
          <w:sz w:val="28"/>
          <w:szCs w:val="28"/>
          <w:lang w:val="it-IT"/>
        </w:rPr>
        <w:t>Determinarea valorii reziduale presupune estimarea valorii care ar putea fi recuperată la sfârșitul duratei de viață utilă a activului, ceea ce implică, în mod direct, stabilirea duratei de viață utilă.</w:t>
      </w:r>
      <w:r w:rsidR="00FF3F77" w:rsidRPr="00B24B97">
        <w:rPr>
          <w:sz w:val="28"/>
          <w:szCs w:val="28"/>
          <w:lang w:val="it-IT"/>
        </w:rPr>
        <w:t xml:space="preserve"> </w:t>
      </w:r>
    </w:p>
    <w:p w14:paraId="475575FB" w14:textId="45893D8D" w:rsidR="008F6E2F" w:rsidRPr="00B24B97" w:rsidRDefault="008F6E2F"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Este important de reținut că valoarea contabilă a unui activ poate fi determinată fie pe baza costului istoric, fie pe baza valorii juste, din care se deduc amortizarea cumulată și eventualele pierderi cumulate din depreciere, recunoscute până la data raportării.</w:t>
      </w:r>
      <w:r w:rsidR="00602CB9" w:rsidRPr="00B24B97">
        <w:rPr>
          <w:sz w:val="28"/>
          <w:szCs w:val="28"/>
          <w:lang w:val="it-IT"/>
        </w:rPr>
        <w:t xml:space="preserve"> </w:t>
      </w:r>
      <w:r w:rsidRPr="00B24B97">
        <w:rPr>
          <w:sz w:val="28"/>
          <w:szCs w:val="28"/>
          <w:lang w:val="it-IT"/>
        </w:rPr>
        <w:t xml:space="preserve">Conform </w:t>
      </w:r>
      <w:r w:rsidR="00602CB9" w:rsidRPr="00B24B97">
        <w:rPr>
          <w:sz w:val="28"/>
          <w:szCs w:val="28"/>
          <w:lang w:val="it-IT"/>
        </w:rPr>
        <w:t>pr</w:t>
      </w:r>
      <w:r w:rsidR="009B27AD">
        <w:rPr>
          <w:sz w:val="28"/>
          <w:szCs w:val="28"/>
          <w:lang w:val="it-IT"/>
        </w:rPr>
        <w:t>e</w:t>
      </w:r>
      <w:r w:rsidR="00602CB9" w:rsidRPr="00B24B97">
        <w:rPr>
          <w:sz w:val="28"/>
          <w:szCs w:val="28"/>
          <w:lang w:val="it-IT"/>
        </w:rPr>
        <w:t>vederilor</w:t>
      </w:r>
      <w:r w:rsidRPr="00B24B97">
        <w:rPr>
          <w:sz w:val="28"/>
          <w:szCs w:val="28"/>
          <w:lang w:val="it-IT"/>
        </w:rPr>
        <w:t xml:space="preserve"> IAS 16, atât valoarea reziduală, cât și durata de viață utilă a activului trebuie să fie revizuite cel puțin la sfârșitul fiecărui exercițiu financiar, pentru a reflecta condițiile economice actuale, gradul de uzură, modificările în utilizare sau alți factori relevanți.</w:t>
      </w:r>
    </w:p>
    <w:p w14:paraId="466C9AE6" w14:textId="729CE247" w:rsidR="00861742" w:rsidRPr="00B24B97" w:rsidRDefault="00861742" w:rsidP="00B01836">
      <w:pPr>
        <w:pStyle w:val="ListParagraph"/>
        <w:widowControl w:val="0"/>
        <w:numPr>
          <w:ilvl w:val="0"/>
          <w:numId w:val="4"/>
        </w:numPr>
        <w:spacing w:after="0" w:line="276" w:lineRule="auto"/>
        <w:jc w:val="both"/>
        <w:outlineLvl w:val="1"/>
        <w:rPr>
          <w:rFonts w:ascii="Times New Roman" w:hAnsi="Times New Roman" w:cs="Times New Roman"/>
          <w:b/>
          <w:bCs/>
          <w:sz w:val="28"/>
          <w:szCs w:val="28"/>
        </w:rPr>
      </w:pPr>
      <w:bookmarkStart w:id="10" w:name="_Toc213487909"/>
      <w:r w:rsidRPr="00B24B97">
        <w:rPr>
          <w:rFonts w:ascii="Times New Roman" w:hAnsi="Times New Roman" w:cs="Times New Roman"/>
          <w:b/>
          <w:bCs/>
          <w:sz w:val="28"/>
          <w:szCs w:val="28"/>
        </w:rPr>
        <w:lastRenderedPageBreak/>
        <w:t>Deprecierea: terenuri și construcții</w:t>
      </w:r>
      <w:bookmarkEnd w:id="10"/>
      <w:r w:rsidRPr="00B24B97">
        <w:rPr>
          <w:rFonts w:ascii="Times New Roman" w:hAnsi="Times New Roman" w:cs="Times New Roman"/>
          <w:b/>
          <w:bCs/>
          <w:sz w:val="28"/>
          <w:szCs w:val="28"/>
        </w:rPr>
        <w:t xml:space="preserve"> </w:t>
      </w:r>
    </w:p>
    <w:p w14:paraId="0A352CBC" w14:textId="09CF9EDF" w:rsidR="00861742" w:rsidRPr="00B24B97" w:rsidRDefault="008F6E2F"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ro-RO"/>
        </w:rPr>
        <w:t xml:space="preserve">IAS 16 prevede că, în mod obișnuit, terenurile au o durată de viață utilă nelimitată, ceea ce înseamnă că ele trebuie recunoscute contabil </w:t>
      </w:r>
      <w:r w:rsidR="00D264C4" w:rsidRPr="00B24B97">
        <w:rPr>
          <w:sz w:val="28"/>
          <w:szCs w:val="28"/>
          <w:lang w:val="ro-RO"/>
        </w:rPr>
        <w:t>separat</w:t>
      </w:r>
      <w:r w:rsidRPr="00B24B97">
        <w:rPr>
          <w:sz w:val="28"/>
          <w:szCs w:val="28"/>
          <w:lang w:val="ro-RO"/>
        </w:rPr>
        <w:t xml:space="preserve"> și nu sunt supuse amortizării.</w:t>
      </w:r>
      <w:r w:rsidR="00861742" w:rsidRPr="00B24B97">
        <w:rPr>
          <w:sz w:val="28"/>
          <w:szCs w:val="28"/>
          <w:lang w:val="ro-RO"/>
        </w:rPr>
        <w:t xml:space="preserve"> </w:t>
      </w:r>
      <w:r w:rsidRPr="00B24B97">
        <w:rPr>
          <w:sz w:val="28"/>
          <w:szCs w:val="28"/>
          <w:lang w:val="it-IT"/>
        </w:rPr>
        <w:t>În procesul de determinare a valorii amortizabile aferente unei proprietăți imobiliare sau unei componente a acesteia, primul pas constă în identificarea și estimarea valorii terenului inclus în ansamblul activului.</w:t>
      </w:r>
      <w:r w:rsidR="00D264C4" w:rsidRPr="00B24B97">
        <w:rPr>
          <w:sz w:val="28"/>
          <w:szCs w:val="28"/>
          <w:lang w:val="it-IT"/>
        </w:rPr>
        <w:t xml:space="preserve"> </w:t>
      </w:r>
      <w:r w:rsidRPr="00B24B97">
        <w:rPr>
          <w:sz w:val="28"/>
          <w:szCs w:val="28"/>
          <w:lang w:val="it-IT"/>
        </w:rPr>
        <w:t>De regulă, această estimare se realizează prin:</w:t>
      </w:r>
      <w:r w:rsidR="00861742" w:rsidRPr="00B24B97">
        <w:rPr>
          <w:sz w:val="28"/>
          <w:szCs w:val="28"/>
          <w:lang w:val="it-IT"/>
        </w:rPr>
        <w:t xml:space="preserve"> </w:t>
      </w:r>
    </w:p>
    <w:p w14:paraId="5F60345A" w14:textId="78152FC2" w:rsidR="00861742" w:rsidRPr="00B24B97" w:rsidRDefault="008F6E2F" w:rsidP="00B01836">
      <w:pPr>
        <w:pStyle w:val="NormalWeb"/>
        <w:widowControl w:val="0"/>
        <w:numPr>
          <w:ilvl w:val="1"/>
          <w:numId w:val="2"/>
        </w:numPr>
        <w:spacing w:before="0" w:beforeAutospacing="0" w:after="0" w:afterAutospacing="0" w:line="276" w:lineRule="auto"/>
        <w:ind w:left="0" w:firstLine="720"/>
        <w:jc w:val="both"/>
        <w:rPr>
          <w:sz w:val="28"/>
          <w:szCs w:val="28"/>
          <w:lang w:val="it-IT"/>
        </w:rPr>
      </w:pPr>
      <w:r w:rsidRPr="00B24B97">
        <w:rPr>
          <w:sz w:val="28"/>
          <w:szCs w:val="28"/>
          <w:lang w:val="it-IT"/>
        </w:rPr>
        <w:t>determinarea valorii de piață a terenului la data raportării financiare;</w:t>
      </w:r>
    </w:p>
    <w:p w14:paraId="42C2B02F" w14:textId="31B54FFC" w:rsidR="00861742" w:rsidRPr="00B24B97" w:rsidRDefault="008F6E2F" w:rsidP="00B01836">
      <w:pPr>
        <w:pStyle w:val="NormalWeb"/>
        <w:widowControl w:val="0"/>
        <w:numPr>
          <w:ilvl w:val="1"/>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deducerea acestei valori din valoarea contabilă totală a proprietății imobiliare (teren </w:t>
      </w:r>
      <w:r w:rsidR="00B01836">
        <w:rPr>
          <w:sz w:val="28"/>
          <w:szCs w:val="28"/>
          <w:lang w:val="it-IT"/>
        </w:rPr>
        <w:t>plus</w:t>
      </w:r>
      <w:r w:rsidRPr="00B24B97">
        <w:rPr>
          <w:sz w:val="28"/>
          <w:szCs w:val="28"/>
          <w:lang w:val="it-IT"/>
        </w:rPr>
        <w:t xml:space="preserve"> construcții), pentru a obține valoarea atribuibilă construcțiilor, respectiv componenta amortizabilă.</w:t>
      </w:r>
    </w:p>
    <w:p w14:paraId="22CDA824" w14:textId="56DBA12A" w:rsidR="008F6E2F" w:rsidRPr="00B24B97" w:rsidRDefault="008F6E2F" w:rsidP="001423C2">
      <w:pPr>
        <w:pStyle w:val="NormalWeb"/>
        <w:widowControl w:val="0"/>
        <w:spacing w:before="0" w:beforeAutospacing="0" w:after="0" w:afterAutospacing="0" w:line="276" w:lineRule="auto"/>
        <w:ind w:firstLine="720"/>
        <w:jc w:val="both"/>
        <w:rPr>
          <w:sz w:val="28"/>
          <w:szCs w:val="28"/>
          <w:lang w:val="it-IT"/>
        </w:rPr>
      </w:pPr>
      <w:r w:rsidRPr="00B24B97">
        <w:rPr>
          <w:sz w:val="28"/>
          <w:szCs w:val="28"/>
          <w:lang w:val="it-IT"/>
        </w:rPr>
        <w:t>Valoarea astfel determinată are un caracter teoretic, întrucât, în realitate, construcțiile nu pot fi înstrăinate separat de terenul pe care sunt amplasate. Totuși, această separare este necesară pentru aplicarea corectă a principiilor contabile privind amortizarea și recunoașterea cheltuielilor aferente imobilizărilor corporale.</w:t>
      </w:r>
      <w:r w:rsidR="00861742" w:rsidRPr="00B24B97">
        <w:rPr>
          <w:sz w:val="28"/>
          <w:szCs w:val="28"/>
          <w:lang w:val="it-IT"/>
        </w:rPr>
        <w:t xml:space="preserve"> </w:t>
      </w:r>
    </w:p>
    <w:p w14:paraId="29BFA4A9" w14:textId="77777777" w:rsidR="00BA5BD5" w:rsidRPr="00B24B97" w:rsidRDefault="008F6E2F"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it-IT"/>
        </w:rPr>
        <w:t xml:space="preserve">După determinarea valorii teoretice aferente componentei „construcție” dintr-o proprietate imobiliară, următorul pas constă în estimarea valorii reziduale a acestei componente. </w:t>
      </w:r>
      <w:r w:rsidR="00BA5BD5" w:rsidRPr="00B24B97">
        <w:rPr>
          <w:sz w:val="28"/>
          <w:szCs w:val="28"/>
          <w:lang w:val="it-IT"/>
        </w:rPr>
        <w:t>În acest scop</w:t>
      </w:r>
      <w:r w:rsidRPr="00B24B97">
        <w:rPr>
          <w:sz w:val="28"/>
          <w:szCs w:val="28"/>
          <w:lang w:val="it-IT"/>
        </w:rPr>
        <w:t>, este esențială stabilirea duratei de viață utilă a construcției.</w:t>
      </w:r>
      <w:r w:rsidR="00861742" w:rsidRPr="00B24B97">
        <w:rPr>
          <w:sz w:val="28"/>
          <w:szCs w:val="28"/>
          <w:lang w:val="it-IT"/>
        </w:rPr>
        <w:t xml:space="preserve"> Se va reține </w:t>
      </w:r>
      <w:r w:rsidRPr="00B24B97">
        <w:rPr>
          <w:sz w:val="28"/>
          <w:szCs w:val="28"/>
          <w:lang w:val="it-IT"/>
        </w:rPr>
        <w:t xml:space="preserve">că durata de viață utilă nu este neapărat echivalentă cu durata de viață economică rămasă, așa cum ar fi percepută de un participant obișnuit de pe piață. </w:t>
      </w:r>
    </w:p>
    <w:p w14:paraId="0034931C" w14:textId="72D1E692" w:rsidR="008F6E2F" w:rsidRPr="00B24B97" w:rsidRDefault="008F6E2F"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ro-RO"/>
        </w:rPr>
        <w:t>Conform IAS 16, durata de viață utilă este o estimare specifică entității, reflectând perioada în care aceasta preconizează să utilizeze activul în activitatea sa.</w:t>
      </w:r>
      <w:r w:rsidR="00861742" w:rsidRPr="00B24B97">
        <w:rPr>
          <w:sz w:val="28"/>
          <w:szCs w:val="28"/>
          <w:lang w:val="ro-RO"/>
        </w:rPr>
        <w:t xml:space="preserve"> </w:t>
      </w:r>
      <w:r w:rsidRPr="00B24B97">
        <w:rPr>
          <w:sz w:val="28"/>
          <w:szCs w:val="28"/>
          <w:lang w:val="ro-RO"/>
        </w:rPr>
        <w:t>Astfel, dacă:</w:t>
      </w:r>
      <w:r w:rsidR="00861742" w:rsidRPr="00B24B97">
        <w:rPr>
          <w:sz w:val="28"/>
          <w:szCs w:val="28"/>
          <w:lang w:val="ro-RO"/>
        </w:rPr>
        <w:t xml:space="preserve"> </w:t>
      </w:r>
      <w:r w:rsidRPr="00B24B97">
        <w:rPr>
          <w:sz w:val="28"/>
          <w:szCs w:val="28"/>
          <w:lang w:val="ro-RO"/>
        </w:rPr>
        <w:t>entitatea nu intenționează să utilizeze construcția pe întreaga durată de viață economică a acesteia; sau</w:t>
      </w:r>
      <w:r w:rsidR="00861742" w:rsidRPr="00B24B97">
        <w:rPr>
          <w:sz w:val="28"/>
          <w:szCs w:val="28"/>
          <w:lang w:val="ro-RO"/>
        </w:rPr>
        <w:t xml:space="preserve"> </w:t>
      </w:r>
      <w:r w:rsidRPr="00B24B97">
        <w:rPr>
          <w:sz w:val="28"/>
          <w:szCs w:val="28"/>
          <w:lang w:val="ro-RO"/>
        </w:rPr>
        <w:t>construcția urmează să devină în scurt timp supranumerică față de necesitățile entității (de exemplu, în contextul relocării sau reducerii activității),</w:t>
      </w:r>
      <w:r w:rsidR="00861742" w:rsidRPr="00B24B97">
        <w:rPr>
          <w:sz w:val="28"/>
          <w:szCs w:val="28"/>
          <w:lang w:val="ro-RO"/>
        </w:rPr>
        <w:t xml:space="preserve"> </w:t>
      </w:r>
      <w:r w:rsidRPr="00B24B97">
        <w:rPr>
          <w:sz w:val="28"/>
          <w:szCs w:val="28"/>
          <w:lang w:val="ro-RO"/>
        </w:rPr>
        <w:t>atunci aceste considerente definesc durata de viață utilă contabilă a activului, și nu potențialul său tehnic sau de piață.</w:t>
      </w:r>
      <w:r w:rsidR="00861742" w:rsidRPr="00B24B97">
        <w:rPr>
          <w:sz w:val="28"/>
          <w:szCs w:val="28"/>
          <w:lang w:val="ro-RO"/>
        </w:rPr>
        <w:t xml:space="preserve"> </w:t>
      </w:r>
    </w:p>
    <w:p w14:paraId="7E416D07" w14:textId="662E6699" w:rsidR="002661E8" w:rsidRPr="00B24B97" w:rsidRDefault="008F6E2F"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ro-RO"/>
        </w:rPr>
        <w:t>Valoarea reziduală reprezintă valoarea estimată a activului la data raportării financiare, determinată sub ipoteza că activul se află la finalul duratei sale de viață utilă, într-o stare corespunzătoare uzurii și utilizării aferente acestei perioade.</w:t>
      </w:r>
      <w:r w:rsidR="00683C9A" w:rsidRPr="00B24B97">
        <w:rPr>
          <w:sz w:val="28"/>
          <w:szCs w:val="28"/>
          <w:lang w:val="ro-RO"/>
        </w:rPr>
        <w:t xml:space="preserve"> </w:t>
      </w:r>
      <w:r w:rsidRPr="00B24B97">
        <w:rPr>
          <w:sz w:val="28"/>
          <w:szCs w:val="28"/>
          <w:lang w:val="ro-RO"/>
        </w:rPr>
        <w:t xml:space="preserve">În cazul construcțiilor, este posibil ca acestea să aibă o durată de viață economică mai îndelungată decât perioada în care vor fi utilizate efectiv de entitate sau necesare acesteia pentru desfășurarea activității. În astfel de situații, construcțiile pot avea o valoare reziduală semnificativă, reflectând posibilitatea valorificării activului la sfârșitul duratei de viață utilă stabilite de entitate, prin vânzare, reutilizare sau altă formă de </w:t>
      </w:r>
      <w:r w:rsidR="00B01836">
        <w:rPr>
          <w:sz w:val="28"/>
          <w:szCs w:val="28"/>
          <w:lang w:val="ro-RO"/>
        </w:rPr>
        <w:t>valorificare</w:t>
      </w:r>
      <w:r w:rsidRPr="00B24B97">
        <w:rPr>
          <w:sz w:val="28"/>
          <w:szCs w:val="28"/>
          <w:lang w:val="ro-RO"/>
        </w:rPr>
        <w:t>.</w:t>
      </w:r>
    </w:p>
    <w:p w14:paraId="044696D3" w14:textId="01663D05" w:rsidR="002661E8" w:rsidRPr="00B24B97" w:rsidRDefault="002661E8" w:rsidP="00B01836">
      <w:pPr>
        <w:pStyle w:val="ListParagraph"/>
        <w:widowControl w:val="0"/>
        <w:numPr>
          <w:ilvl w:val="0"/>
          <w:numId w:val="4"/>
        </w:numPr>
        <w:spacing w:after="0" w:line="276" w:lineRule="auto"/>
        <w:jc w:val="both"/>
        <w:outlineLvl w:val="1"/>
        <w:rPr>
          <w:rFonts w:ascii="Times New Roman" w:hAnsi="Times New Roman" w:cs="Times New Roman"/>
          <w:b/>
          <w:bCs/>
          <w:sz w:val="28"/>
          <w:szCs w:val="28"/>
        </w:rPr>
      </w:pPr>
      <w:bookmarkStart w:id="11" w:name="_Toc213487910"/>
      <w:r w:rsidRPr="00B24B97">
        <w:rPr>
          <w:rFonts w:ascii="Times New Roman" w:hAnsi="Times New Roman" w:cs="Times New Roman"/>
          <w:b/>
          <w:bCs/>
          <w:sz w:val="28"/>
          <w:szCs w:val="28"/>
        </w:rPr>
        <w:lastRenderedPageBreak/>
        <w:t>Deprecierea: mașini, echipamente și instalații</w:t>
      </w:r>
      <w:bookmarkEnd w:id="11"/>
      <w:r w:rsidRPr="00B24B97">
        <w:rPr>
          <w:rFonts w:ascii="Times New Roman" w:hAnsi="Times New Roman" w:cs="Times New Roman"/>
          <w:b/>
          <w:bCs/>
          <w:sz w:val="28"/>
          <w:szCs w:val="28"/>
        </w:rPr>
        <w:t xml:space="preserve"> </w:t>
      </w:r>
    </w:p>
    <w:p w14:paraId="7D8F01B1" w14:textId="03A0D8A5" w:rsidR="008F6E2F" w:rsidRPr="00B24B97" w:rsidRDefault="008F6E2F"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ro-RO"/>
        </w:rPr>
        <w:t>În cazul mașinilor, echipamentelor și instalațiilor, durata de viață utilă tinde, de regulă, să coincidă cu durata de viață economică, ceea ce determină, în mod obișnuit, rate de amortizare mai ridicate comparativ cu cele aplicate construcțiilor. Aceasta reflectă faptul că duratele de viață economică ale acestor active sunt mai scurte, datorită uzurii fizice accelerate, evoluției tehnologice rapide sau schimbărilor în cerințele de producție.</w:t>
      </w:r>
      <w:r w:rsidR="002661E8" w:rsidRPr="00B24B97">
        <w:rPr>
          <w:sz w:val="28"/>
          <w:szCs w:val="28"/>
          <w:lang w:val="ro-RO"/>
        </w:rPr>
        <w:t xml:space="preserve"> </w:t>
      </w:r>
      <w:r w:rsidRPr="00B24B97">
        <w:rPr>
          <w:sz w:val="28"/>
          <w:szCs w:val="28"/>
          <w:lang w:val="ro-RO"/>
        </w:rPr>
        <w:t>Cu toate acestea, este esențial să se facă distincția între durata de viață economică rămasă a activului și durata de viață utilă pentru entitate, întrucât:</w:t>
      </w:r>
      <w:r w:rsidR="002661E8" w:rsidRPr="00B24B97">
        <w:rPr>
          <w:sz w:val="28"/>
          <w:szCs w:val="28"/>
          <w:lang w:val="ro-RO"/>
        </w:rPr>
        <w:t xml:space="preserve"> </w:t>
      </w:r>
      <w:r w:rsidRPr="00B24B97">
        <w:rPr>
          <w:sz w:val="28"/>
          <w:szCs w:val="28"/>
          <w:lang w:val="ro-RO"/>
        </w:rPr>
        <w:t>durata de viață economică se referă la perioada totală în care activul poate genera beneficii economice, din perspectiva pieței;</w:t>
      </w:r>
      <w:r w:rsidR="002661E8" w:rsidRPr="00B24B97">
        <w:rPr>
          <w:sz w:val="28"/>
          <w:szCs w:val="28"/>
          <w:lang w:val="ro-RO"/>
        </w:rPr>
        <w:t xml:space="preserve"> </w:t>
      </w:r>
      <w:r w:rsidRPr="00B24B97">
        <w:rPr>
          <w:sz w:val="28"/>
          <w:szCs w:val="28"/>
          <w:lang w:val="ro-RO"/>
        </w:rPr>
        <w:t>durata de viață utilă reflectă perioada în care entitatea intenționează să utilizeze activul, ținând cont de politicile sale operaționale, strategia de înlocuire, cerințele tehnologice sau planurile de dezvoltare.</w:t>
      </w:r>
    </w:p>
    <w:p w14:paraId="359C039D" w14:textId="421C1D06" w:rsidR="007C63C5" w:rsidRPr="00B24B97" w:rsidRDefault="007C63C5" w:rsidP="00B01836">
      <w:pPr>
        <w:pStyle w:val="ListParagraph"/>
        <w:widowControl w:val="0"/>
        <w:numPr>
          <w:ilvl w:val="0"/>
          <w:numId w:val="4"/>
        </w:numPr>
        <w:spacing w:after="0" w:line="276" w:lineRule="auto"/>
        <w:jc w:val="both"/>
        <w:outlineLvl w:val="1"/>
        <w:rPr>
          <w:rFonts w:ascii="Times New Roman" w:hAnsi="Times New Roman" w:cs="Times New Roman"/>
          <w:b/>
          <w:bCs/>
          <w:sz w:val="28"/>
          <w:szCs w:val="28"/>
        </w:rPr>
      </w:pPr>
      <w:bookmarkStart w:id="12" w:name="_Toc213487911"/>
      <w:r w:rsidRPr="00B24B97">
        <w:rPr>
          <w:rFonts w:ascii="Times New Roman" w:hAnsi="Times New Roman" w:cs="Times New Roman"/>
          <w:b/>
          <w:bCs/>
          <w:sz w:val="28"/>
          <w:szCs w:val="28"/>
        </w:rPr>
        <w:t xml:space="preserve">Deprecierea: </w:t>
      </w:r>
      <w:r w:rsidR="00F604D2" w:rsidRPr="00B24B97">
        <w:rPr>
          <w:rFonts w:ascii="Times New Roman" w:hAnsi="Times New Roman" w:cs="Times New Roman"/>
          <w:b/>
          <w:bCs/>
          <w:sz w:val="28"/>
          <w:szCs w:val="28"/>
        </w:rPr>
        <w:t>alocarea pe componente</w:t>
      </w:r>
      <w:bookmarkEnd w:id="12"/>
    </w:p>
    <w:p w14:paraId="15DAAAE9" w14:textId="77777777" w:rsidR="00F604D2" w:rsidRPr="00B24B97" w:rsidRDefault="008F6E2F"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ro-RO"/>
        </w:rPr>
        <w:t>Atunci când valoarea contabilă a unui activ este determinată pe baza costului istoric, este necesar să fie identificat costul actual (curent) al componentelor care:</w:t>
      </w:r>
      <w:r w:rsidR="007C63C5" w:rsidRPr="00B24B97">
        <w:rPr>
          <w:sz w:val="28"/>
          <w:szCs w:val="28"/>
          <w:lang w:val="ro-RO"/>
        </w:rPr>
        <w:t xml:space="preserve"> </w:t>
      </w:r>
      <w:r w:rsidRPr="00B24B97">
        <w:rPr>
          <w:sz w:val="28"/>
          <w:szCs w:val="28"/>
          <w:lang w:val="ro-RO"/>
        </w:rPr>
        <w:t>au un cost semnificativ în raport cu valoarea totală a activului; și</w:t>
      </w:r>
      <w:r w:rsidR="007C63C5" w:rsidRPr="00B24B97">
        <w:rPr>
          <w:sz w:val="28"/>
          <w:szCs w:val="28"/>
          <w:lang w:val="ro-RO"/>
        </w:rPr>
        <w:t xml:space="preserve"> </w:t>
      </w:r>
      <w:r w:rsidRPr="00B24B97">
        <w:rPr>
          <w:sz w:val="28"/>
          <w:szCs w:val="28"/>
          <w:lang w:val="ro-RO"/>
        </w:rPr>
        <w:t>prezintă durate de viață utilă diferite față de restul componentelor.</w:t>
      </w:r>
    </w:p>
    <w:p w14:paraId="46FAC494" w14:textId="606F2067" w:rsidR="00D71E39" w:rsidRPr="00B24B97" w:rsidRDefault="008F6E2F"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ro-RO"/>
        </w:rPr>
        <w:t>Atunci când valoarea contabilă a unui activ este determinată pe baza valorii juste, devine necesară alocarea valorii juste pe componente, în măsura în care acestea au durate de viață utilă distincte și valoare semnificativă în raport cu activul în ansamblu.</w:t>
      </w:r>
      <w:r w:rsidR="007C63C5" w:rsidRPr="00B24B97">
        <w:rPr>
          <w:sz w:val="28"/>
          <w:szCs w:val="28"/>
          <w:lang w:val="ro-RO"/>
        </w:rPr>
        <w:t xml:space="preserve"> </w:t>
      </w:r>
      <w:r w:rsidRPr="00B24B97">
        <w:rPr>
          <w:sz w:val="28"/>
          <w:szCs w:val="28"/>
          <w:lang w:val="ro-RO"/>
        </w:rPr>
        <w:t xml:space="preserve">În unele cazuri </w:t>
      </w:r>
      <w:r w:rsidR="00B01836">
        <w:rPr>
          <w:sz w:val="28"/>
          <w:szCs w:val="28"/>
          <w:lang w:val="ro-RO"/>
        </w:rPr>
        <w:t>–</w:t>
      </w:r>
      <w:r w:rsidRPr="00B24B97">
        <w:rPr>
          <w:sz w:val="28"/>
          <w:szCs w:val="28"/>
          <w:lang w:val="ro-RO"/>
        </w:rPr>
        <w:t xml:space="preserve"> cum</w:t>
      </w:r>
      <w:r w:rsidR="00B01836">
        <w:rPr>
          <w:sz w:val="28"/>
          <w:szCs w:val="28"/>
          <w:lang w:val="ro-RO"/>
        </w:rPr>
        <w:t xml:space="preserve"> </w:t>
      </w:r>
      <w:r w:rsidRPr="00B24B97">
        <w:rPr>
          <w:sz w:val="28"/>
          <w:szCs w:val="28"/>
          <w:lang w:val="ro-RO"/>
        </w:rPr>
        <w:t xml:space="preserve">ar fi în cazul mașinilor, echipamentelor sau instalațiilor </w:t>
      </w:r>
      <w:r w:rsidR="00B01836">
        <w:rPr>
          <w:sz w:val="28"/>
          <w:szCs w:val="28"/>
          <w:lang w:val="ro-RO"/>
        </w:rPr>
        <w:t>–</w:t>
      </w:r>
      <w:r w:rsidRPr="00B24B97">
        <w:rPr>
          <w:sz w:val="28"/>
          <w:szCs w:val="28"/>
          <w:lang w:val="ro-RO"/>
        </w:rPr>
        <w:t xml:space="preserve"> poate</w:t>
      </w:r>
      <w:r w:rsidR="00B01836">
        <w:rPr>
          <w:sz w:val="28"/>
          <w:szCs w:val="28"/>
          <w:lang w:val="ro-RO"/>
        </w:rPr>
        <w:t xml:space="preserve"> </w:t>
      </w:r>
      <w:r w:rsidRPr="00B24B97">
        <w:rPr>
          <w:sz w:val="28"/>
          <w:szCs w:val="28"/>
          <w:lang w:val="ro-RO"/>
        </w:rPr>
        <w:t>fi posibilă determinarea valorii unei componente individuale, dacă pentru acea componentă există o piață activă și tranzacții observabile.</w:t>
      </w:r>
      <w:r w:rsidR="007C63C5" w:rsidRPr="00B24B97">
        <w:rPr>
          <w:sz w:val="28"/>
          <w:szCs w:val="28"/>
          <w:lang w:val="ro-RO"/>
        </w:rPr>
        <w:t xml:space="preserve"> </w:t>
      </w:r>
      <w:r w:rsidRPr="00B24B97">
        <w:rPr>
          <w:sz w:val="28"/>
          <w:szCs w:val="28"/>
          <w:lang w:val="it-IT"/>
        </w:rPr>
        <w:t>Totuși, în alte situații, în special în cazul construcțiilor, componentele nu sunt tranzacționate separat, ceea ce face imposibilă identificarea unei valori individuale fiabile. De exemplu, construcțiile sunt rareori vândute fără instalațiile tehnice (mecanice, electrice, de încălzire, iluminat, ventilație), iar aceste instalații, odată încorporate, nu pot fi valorificate separat de clădire.</w:t>
      </w:r>
      <w:r w:rsidR="00F604D2" w:rsidRPr="00B24B97">
        <w:rPr>
          <w:sz w:val="28"/>
          <w:szCs w:val="28"/>
          <w:lang w:val="it-IT"/>
        </w:rPr>
        <w:t xml:space="preserve"> </w:t>
      </w:r>
      <w:r w:rsidRPr="00B24B97">
        <w:rPr>
          <w:sz w:val="28"/>
          <w:szCs w:val="28"/>
          <w:lang w:val="it-IT"/>
        </w:rPr>
        <w:t>În astfel de cazuri, când valoarea individuală a componentelor nu poate fi determinată în mod credibil, se recurge la alocarea valorii juste totale între componentele identificate. O metodă adecvată de alocare poate fi reprezentată de raportul dintre costul estimat al componentei și costul total al activului, utilizat ca cheie proporțională de repartizare.</w:t>
      </w:r>
    </w:p>
    <w:p w14:paraId="0A06243F" w14:textId="77777777" w:rsidR="00D71E39" w:rsidRPr="00B24B97" w:rsidRDefault="00D71E39" w:rsidP="001423C2">
      <w:pPr>
        <w:pStyle w:val="NormalWeb"/>
        <w:widowControl w:val="0"/>
        <w:spacing w:before="0" w:beforeAutospacing="0" w:after="0" w:afterAutospacing="0" w:line="276" w:lineRule="auto"/>
        <w:ind w:firstLine="720"/>
        <w:jc w:val="both"/>
        <w:rPr>
          <w:sz w:val="28"/>
          <w:szCs w:val="28"/>
          <w:lang w:val="ro-RO"/>
        </w:rPr>
      </w:pPr>
    </w:p>
    <w:p w14:paraId="4B423881" w14:textId="1709B268" w:rsidR="00B1491F" w:rsidRPr="00B01836" w:rsidRDefault="00BA4299" w:rsidP="00B01836">
      <w:pPr>
        <w:widowControl w:val="0"/>
        <w:spacing w:after="0" w:line="276" w:lineRule="auto"/>
        <w:jc w:val="center"/>
        <w:outlineLvl w:val="0"/>
        <w:rPr>
          <w:rFonts w:ascii="Times New Roman" w:hAnsi="Times New Roman" w:cs="Times New Roman"/>
          <w:b/>
          <w:bCs/>
          <w:sz w:val="28"/>
          <w:szCs w:val="28"/>
        </w:rPr>
      </w:pPr>
      <w:bookmarkStart w:id="13" w:name="_Toc213487912"/>
      <w:r w:rsidRPr="00B01836">
        <w:rPr>
          <w:rFonts w:ascii="Times New Roman" w:hAnsi="Times New Roman" w:cs="Times New Roman"/>
          <w:b/>
          <w:bCs/>
          <w:sz w:val="28"/>
          <w:szCs w:val="28"/>
        </w:rPr>
        <w:t xml:space="preserve">CAPITOLUL </w:t>
      </w:r>
      <w:r w:rsidR="00B1491F" w:rsidRPr="00B01836">
        <w:rPr>
          <w:rFonts w:ascii="Times New Roman" w:hAnsi="Times New Roman" w:cs="Times New Roman"/>
          <w:b/>
          <w:bCs/>
          <w:sz w:val="28"/>
          <w:szCs w:val="28"/>
        </w:rPr>
        <w:t>VI. ALOCAREA PREȚULUI DE ACHIZIȚIE</w:t>
      </w:r>
      <w:bookmarkEnd w:id="13"/>
    </w:p>
    <w:p w14:paraId="467E8FD8" w14:textId="77777777" w:rsidR="00B1491F" w:rsidRPr="00B24B97" w:rsidRDefault="00B1491F"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ro-RO"/>
        </w:rPr>
        <w:t xml:space="preserve">În contextul unei combinări de întreprinderi, respectiv achiziția unei participații care conferă controlul asupra uneia sau mai multor entități, IFRS 3 „Combinări </w:t>
      </w:r>
      <w:r w:rsidRPr="00B24B97">
        <w:rPr>
          <w:sz w:val="28"/>
          <w:szCs w:val="28"/>
          <w:lang w:val="ro-RO"/>
        </w:rPr>
        <w:lastRenderedPageBreak/>
        <w:t xml:space="preserve">de întreprinderi” prevede că entitatea dobânditoare trebuie să contabilizeze tranzacția prin recunoașterea la valoarea justă a activelor identificabile achiziționate (separat de fondul comercial) și a datoriilor asumate.  </w:t>
      </w:r>
    </w:p>
    <w:p w14:paraId="0061294A" w14:textId="77777777" w:rsidR="00B1491F" w:rsidRPr="00B24B97" w:rsidRDefault="00B1491F"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ro-RO"/>
        </w:rPr>
        <w:t xml:space="preserve">Conform IFRS 3, un activ este identificabil dacă fie: </w:t>
      </w:r>
    </w:p>
    <w:p w14:paraId="2A79AADD" w14:textId="77777777" w:rsidR="00B1491F" w:rsidRPr="00B24B97" w:rsidRDefault="00B1491F" w:rsidP="00B01836">
      <w:pPr>
        <w:pStyle w:val="NormalWeb"/>
        <w:widowControl w:val="0"/>
        <w:numPr>
          <w:ilvl w:val="1"/>
          <w:numId w:val="2"/>
        </w:numPr>
        <w:tabs>
          <w:tab w:val="left" w:pos="993"/>
        </w:tabs>
        <w:spacing w:before="0" w:beforeAutospacing="0" w:after="0" w:afterAutospacing="0" w:line="276" w:lineRule="auto"/>
        <w:ind w:left="0" w:firstLine="720"/>
        <w:jc w:val="both"/>
        <w:rPr>
          <w:sz w:val="28"/>
          <w:szCs w:val="28"/>
          <w:lang w:val="ro-RO"/>
        </w:rPr>
      </w:pPr>
      <w:r w:rsidRPr="00B24B97">
        <w:rPr>
          <w:sz w:val="28"/>
          <w:szCs w:val="28"/>
          <w:lang w:val="ro-RO"/>
        </w:rPr>
        <w:t xml:space="preserve">este separabil, adică poate fi separat sau desprins din entitate şi vândut, transferat, cesionat printr-un contract de licență, închiriat sau schimbat, fie individual, fie împreună cu un alt contract, cu un activ identificabil sau cu o datorie identificabilă aferent(ă), indiferent dacă entitatea intenționează sau nu să facă acest lucru; fie </w:t>
      </w:r>
    </w:p>
    <w:p w14:paraId="189CB5DC" w14:textId="77777777" w:rsidR="00B1491F" w:rsidRPr="00B24B97" w:rsidRDefault="00B1491F" w:rsidP="00B01836">
      <w:pPr>
        <w:pStyle w:val="NormalWeb"/>
        <w:widowControl w:val="0"/>
        <w:numPr>
          <w:ilvl w:val="1"/>
          <w:numId w:val="2"/>
        </w:numPr>
        <w:tabs>
          <w:tab w:val="left" w:pos="993"/>
        </w:tabs>
        <w:spacing w:before="0" w:beforeAutospacing="0" w:after="0" w:afterAutospacing="0" w:line="276" w:lineRule="auto"/>
        <w:ind w:left="0" w:firstLine="720"/>
        <w:jc w:val="both"/>
        <w:rPr>
          <w:sz w:val="28"/>
          <w:szCs w:val="28"/>
          <w:lang w:val="ro-RO"/>
        </w:rPr>
      </w:pPr>
      <w:r w:rsidRPr="00B24B97">
        <w:rPr>
          <w:sz w:val="28"/>
          <w:szCs w:val="28"/>
          <w:lang w:val="ro-RO"/>
        </w:rPr>
        <w:t xml:space="preserve">decurge din drepturile contractuale sau de altă natură legală, indiferent dacă acele drepturi sunt transferabile sau separabile de entitate sau de alte drepturi şi obligații. </w:t>
      </w:r>
    </w:p>
    <w:p w14:paraId="4EF9650E" w14:textId="77777777" w:rsidR="00B1491F" w:rsidRPr="00B24B97" w:rsidRDefault="00B1491F"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ro-RO"/>
        </w:rPr>
        <w:t xml:space="preserve">Conform IFRS 3, </w:t>
      </w:r>
      <w:r w:rsidRPr="00B24B97">
        <w:rPr>
          <w:i/>
          <w:iCs/>
          <w:sz w:val="28"/>
          <w:szCs w:val="28"/>
          <w:lang w:val="ro-RO"/>
        </w:rPr>
        <w:t>fondul comercial</w:t>
      </w:r>
      <w:r w:rsidRPr="00B24B97">
        <w:rPr>
          <w:sz w:val="28"/>
          <w:szCs w:val="28"/>
          <w:lang w:val="ro-RO"/>
        </w:rPr>
        <w:t xml:space="preserve"> este un activ care reprezintă beneficiile economice viitoare ce rezultă din alte active dobândite într-o combinare de întreprinderi care nu sunt identificate individual şi recunoscute separat. </w:t>
      </w:r>
      <w:r w:rsidRPr="00B24B97">
        <w:rPr>
          <w:i/>
          <w:iCs/>
          <w:sz w:val="28"/>
          <w:szCs w:val="28"/>
          <w:lang w:val="ro-RO"/>
        </w:rPr>
        <w:t>Fondul comercial</w:t>
      </w:r>
      <w:r w:rsidRPr="00B24B97">
        <w:rPr>
          <w:sz w:val="28"/>
          <w:szCs w:val="28"/>
          <w:lang w:val="ro-RO"/>
        </w:rPr>
        <w:t xml:space="preserve"> este determinat ca diferență între prețul de achiziție plătit pentru transferul întreprinderii și valoarea justă a activelor nete identificabile preluate.</w:t>
      </w:r>
    </w:p>
    <w:p w14:paraId="50A6A366" w14:textId="77777777" w:rsidR="00B1491F" w:rsidRPr="00B24B97" w:rsidRDefault="00B1491F"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ro-RO"/>
        </w:rPr>
        <w:t>Activele corporale deținute de o întreprindere sunt, de regulă, ușor de identificat și pot fi evaluate în mod separat. În schimb, identificarea și evaluarea activelor necorporale identificabile poate ridica dificultăți suplimentare. În acest sens, paragraful 20 din SEV 210 „Active necorporale” oferă orientări relevante pentru recunoașterea și evaluarea acestor active în contextul raportării financiare.</w:t>
      </w:r>
    </w:p>
    <w:p w14:paraId="23D76DAD" w14:textId="77777777" w:rsidR="00B1491F" w:rsidRPr="00B24B97" w:rsidRDefault="00B1491F"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it-IT"/>
        </w:rPr>
        <w:t xml:space="preserve">IFRS 3 prevede anumite excepții specifice de la principiile generale privind recunoașterea și evaluarea activelor și datoriilor identificabile în cadrul unei combinări de întreprinderi. Aceste reguli speciale se aplică în cazul: </w:t>
      </w:r>
    </w:p>
    <w:p w14:paraId="161E3DF2" w14:textId="77777777" w:rsidR="003E64BC" w:rsidRDefault="00B1491F" w:rsidP="00B01836">
      <w:pPr>
        <w:pStyle w:val="NormalWeb"/>
        <w:widowControl w:val="0"/>
        <w:numPr>
          <w:ilvl w:val="1"/>
          <w:numId w:val="2"/>
        </w:numPr>
        <w:tabs>
          <w:tab w:val="left" w:pos="993"/>
        </w:tabs>
        <w:spacing w:before="0" w:beforeAutospacing="0" w:after="0" w:afterAutospacing="0" w:line="276" w:lineRule="auto"/>
        <w:ind w:left="0" w:firstLine="720"/>
        <w:jc w:val="both"/>
        <w:rPr>
          <w:sz w:val="28"/>
          <w:szCs w:val="28"/>
          <w:lang w:val="ro-RO"/>
        </w:rPr>
      </w:pPr>
      <w:r w:rsidRPr="00B24B97">
        <w:rPr>
          <w:i/>
          <w:iCs/>
          <w:sz w:val="28"/>
          <w:szCs w:val="28"/>
          <w:lang w:val="ro-RO"/>
        </w:rPr>
        <w:t>datoriilor contingente</w:t>
      </w:r>
      <w:r w:rsidRPr="00B24B97">
        <w:rPr>
          <w:sz w:val="28"/>
          <w:szCs w:val="28"/>
          <w:lang w:val="ro-RO"/>
        </w:rPr>
        <w:t>, care reprezintă</w:t>
      </w:r>
      <w:r w:rsidR="003E64BC">
        <w:rPr>
          <w:sz w:val="28"/>
          <w:szCs w:val="28"/>
          <w:lang w:val="ro-RO"/>
        </w:rPr>
        <w:t>:</w:t>
      </w:r>
    </w:p>
    <w:p w14:paraId="39C42EFC" w14:textId="77777777" w:rsidR="003E64BC" w:rsidRDefault="00B1491F" w:rsidP="003E64BC">
      <w:pPr>
        <w:pStyle w:val="NormalWeb"/>
        <w:widowControl w:val="0"/>
        <w:numPr>
          <w:ilvl w:val="2"/>
          <w:numId w:val="2"/>
        </w:numPr>
        <w:tabs>
          <w:tab w:val="left" w:pos="993"/>
          <w:tab w:val="left" w:pos="1800"/>
        </w:tabs>
        <w:spacing w:before="0" w:beforeAutospacing="0" w:after="0" w:afterAutospacing="0" w:line="276" w:lineRule="auto"/>
        <w:ind w:left="0" w:firstLine="720"/>
        <w:jc w:val="both"/>
        <w:rPr>
          <w:sz w:val="28"/>
          <w:szCs w:val="28"/>
          <w:lang w:val="ro-RO"/>
        </w:rPr>
      </w:pPr>
      <w:r w:rsidRPr="00B24B97">
        <w:rPr>
          <w:sz w:val="28"/>
          <w:szCs w:val="28"/>
          <w:lang w:val="ro-RO"/>
        </w:rPr>
        <w:t xml:space="preserve">o obligație posibilă apărută ca urmare a unor evenimente trecute și a cărei existență va fi confirmată doar de apariția sau de absența unuia sau mai multor evenimente viitoare nesigure, care nu sunt în totalitate controlate de entitate; sau </w:t>
      </w:r>
    </w:p>
    <w:p w14:paraId="1A9755B9" w14:textId="718C9886" w:rsidR="00B1491F" w:rsidRPr="00B24B97" w:rsidRDefault="00B1491F" w:rsidP="003E64BC">
      <w:pPr>
        <w:pStyle w:val="NormalWeb"/>
        <w:widowControl w:val="0"/>
        <w:numPr>
          <w:ilvl w:val="2"/>
          <w:numId w:val="2"/>
        </w:numPr>
        <w:tabs>
          <w:tab w:val="left" w:pos="993"/>
          <w:tab w:val="left" w:pos="1800"/>
        </w:tabs>
        <w:spacing w:before="0" w:beforeAutospacing="0" w:after="0" w:afterAutospacing="0" w:line="276" w:lineRule="auto"/>
        <w:ind w:left="0" w:firstLine="720"/>
        <w:jc w:val="both"/>
        <w:rPr>
          <w:sz w:val="28"/>
          <w:szCs w:val="28"/>
          <w:lang w:val="ro-RO"/>
        </w:rPr>
      </w:pPr>
      <w:r w:rsidRPr="00B24B97">
        <w:rPr>
          <w:sz w:val="28"/>
          <w:szCs w:val="28"/>
          <w:lang w:val="ro-RO"/>
        </w:rPr>
        <w:t xml:space="preserve">o obligație actuală apărută ca urmare a unor evenimente trecute, dar care nu este recunoscută deoarece: este improbabil ca pentru decontarea acestei obligații să fie necesare ieșiri de resurse încorporând beneficii economice; sau valoarea obligației nu poate fi evaluată suficient de fiabil. </w:t>
      </w:r>
    </w:p>
    <w:p w14:paraId="3AC065CF" w14:textId="77777777" w:rsidR="00B1491F" w:rsidRPr="00B24B97" w:rsidRDefault="00B1491F" w:rsidP="00B01836">
      <w:pPr>
        <w:pStyle w:val="NormalWeb"/>
        <w:widowControl w:val="0"/>
        <w:numPr>
          <w:ilvl w:val="1"/>
          <w:numId w:val="2"/>
        </w:numPr>
        <w:tabs>
          <w:tab w:val="left" w:pos="993"/>
        </w:tabs>
        <w:spacing w:before="0" w:beforeAutospacing="0" w:after="0" w:afterAutospacing="0" w:line="276" w:lineRule="auto"/>
        <w:ind w:left="0" w:firstLine="720"/>
        <w:jc w:val="both"/>
        <w:rPr>
          <w:sz w:val="28"/>
          <w:szCs w:val="28"/>
          <w:lang w:val="ro-RO"/>
        </w:rPr>
      </w:pPr>
      <w:r w:rsidRPr="00B24B97">
        <w:rPr>
          <w:i/>
          <w:iCs/>
          <w:sz w:val="28"/>
          <w:szCs w:val="28"/>
          <w:lang w:val="ro-RO"/>
        </w:rPr>
        <w:t>impozitelor pe venit</w:t>
      </w:r>
      <w:r w:rsidRPr="00B24B97">
        <w:rPr>
          <w:sz w:val="28"/>
          <w:szCs w:val="28"/>
          <w:lang w:val="ro-RO"/>
        </w:rPr>
        <w:t xml:space="preserve">, care se supune prevederilor IAS 12 „Impozitul pe profit”. </w:t>
      </w:r>
    </w:p>
    <w:p w14:paraId="020E9A9B" w14:textId="77777777" w:rsidR="00B1491F" w:rsidRPr="00B24B97" w:rsidRDefault="00B1491F" w:rsidP="00B01836">
      <w:pPr>
        <w:pStyle w:val="NormalWeb"/>
        <w:widowControl w:val="0"/>
        <w:numPr>
          <w:ilvl w:val="1"/>
          <w:numId w:val="2"/>
        </w:numPr>
        <w:tabs>
          <w:tab w:val="left" w:pos="993"/>
        </w:tabs>
        <w:spacing w:before="0" w:beforeAutospacing="0" w:after="0" w:afterAutospacing="0" w:line="276" w:lineRule="auto"/>
        <w:ind w:left="0" w:firstLine="720"/>
        <w:jc w:val="both"/>
        <w:rPr>
          <w:sz w:val="28"/>
          <w:szCs w:val="28"/>
          <w:lang w:val="ro-RO"/>
        </w:rPr>
      </w:pPr>
      <w:r w:rsidRPr="00B24B97">
        <w:rPr>
          <w:i/>
          <w:iCs/>
          <w:sz w:val="28"/>
          <w:szCs w:val="28"/>
          <w:lang w:val="ro-RO"/>
        </w:rPr>
        <w:t>beneficiilor acordate angajaților</w:t>
      </w:r>
      <w:r w:rsidRPr="00B24B97">
        <w:rPr>
          <w:sz w:val="28"/>
          <w:szCs w:val="28"/>
          <w:lang w:val="ro-RO"/>
        </w:rPr>
        <w:t>, care se supune prevederilor IAS 19 „Beneficiile angajaților”.</w:t>
      </w:r>
    </w:p>
    <w:p w14:paraId="054DEF13" w14:textId="77777777" w:rsidR="00B1491F" w:rsidRPr="00B24B97" w:rsidRDefault="00B1491F" w:rsidP="00B01836">
      <w:pPr>
        <w:pStyle w:val="NormalWeb"/>
        <w:widowControl w:val="0"/>
        <w:numPr>
          <w:ilvl w:val="1"/>
          <w:numId w:val="2"/>
        </w:numPr>
        <w:tabs>
          <w:tab w:val="left" w:pos="993"/>
        </w:tabs>
        <w:spacing w:before="0" w:beforeAutospacing="0" w:after="0" w:afterAutospacing="0" w:line="276" w:lineRule="auto"/>
        <w:ind w:left="0" w:firstLine="720"/>
        <w:jc w:val="both"/>
        <w:rPr>
          <w:sz w:val="28"/>
          <w:szCs w:val="28"/>
          <w:lang w:val="ro-RO"/>
        </w:rPr>
      </w:pPr>
      <w:r w:rsidRPr="00B24B97">
        <w:rPr>
          <w:i/>
          <w:iCs/>
          <w:sz w:val="28"/>
          <w:szCs w:val="28"/>
          <w:lang w:val="ro-RO"/>
        </w:rPr>
        <w:lastRenderedPageBreak/>
        <w:t>activelor de compensație</w:t>
      </w:r>
      <w:r w:rsidRPr="00B24B97">
        <w:rPr>
          <w:sz w:val="28"/>
          <w:szCs w:val="28"/>
          <w:lang w:val="ro-RO"/>
        </w:rPr>
        <w:t>. Entitatea dobânditoare trebuie să recunoască un activ de compensație în același timp în care recunoaște elementul compensat, evaluat pe aceeași bază ca elementul compensat, în funcție de necesitatea constituirii unei ajustări pentru depreciere pentru sumele care nu pot fi colectate.</w:t>
      </w:r>
    </w:p>
    <w:p w14:paraId="0496B9F3" w14:textId="77777777" w:rsidR="003E64BC" w:rsidRPr="003E64BC" w:rsidRDefault="00B1491F" w:rsidP="00B01836">
      <w:pPr>
        <w:pStyle w:val="NormalWeb"/>
        <w:widowControl w:val="0"/>
        <w:numPr>
          <w:ilvl w:val="1"/>
          <w:numId w:val="2"/>
        </w:numPr>
        <w:tabs>
          <w:tab w:val="left" w:pos="993"/>
        </w:tabs>
        <w:spacing w:before="0" w:beforeAutospacing="0" w:after="0" w:afterAutospacing="0" w:line="276" w:lineRule="auto"/>
        <w:ind w:left="0" w:firstLine="720"/>
        <w:jc w:val="both"/>
        <w:rPr>
          <w:sz w:val="28"/>
          <w:szCs w:val="28"/>
          <w:lang w:val="ro-RO"/>
        </w:rPr>
      </w:pPr>
      <w:r w:rsidRPr="00B24B97">
        <w:rPr>
          <w:i/>
          <w:iCs/>
          <w:sz w:val="28"/>
          <w:szCs w:val="28"/>
          <w:lang w:val="it-IT"/>
        </w:rPr>
        <w:t>contractelor de leasing în care entitatea dobânditoare este locatarul</w:t>
      </w:r>
      <w:r w:rsidRPr="00B24B97">
        <w:rPr>
          <w:sz w:val="28"/>
          <w:szCs w:val="28"/>
          <w:lang w:val="it-IT"/>
        </w:rPr>
        <w:t xml:space="preserve">. Entitatea dobânditoare trebuie să evalueze: </w:t>
      </w:r>
    </w:p>
    <w:p w14:paraId="1781862C" w14:textId="77777777" w:rsidR="003E64BC" w:rsidRPr="003E64BC" w:rsidRDefault="00B1491F" w:rsidP="003E64BC">
      <w:pPr>
        <w:pStyle w:val="NormalWeb"/>
        <w:widowControl w:val="0"/>
        <w:numPr>
          <w:ilvl w:val="2"/>
          <w:numId w:val="2"/>
        </w:numPr>
        <w:tabs>
          <w:tab w:val="left" w:pos="993"/>
          <w:tab w:val="left" w:pos="1710"/>
        </w:tabs>
        <w:spacing w:before="0" w:beforeAutospacing="0" w:after="0" w:afterAutospacing="0" w:line="276" w:lineRule="auto"/>
        <w:ind w:left="0" w:firstLine="720"/>
        <w:jc w:val="both"/>
        <w:rPr>
          <w:sz w:val="28"/>
          <w:szCs w:val="28"/>
          <w:lang w:val="ro-RO"/>
        </w:rPr>
      </w:pPr>
      <w:r w:rsidRPr="00B24B97">
        <w:rPr>
          <w:sz w:val="28"/>
          <w:szCs w:val="28"/>
          <w:lang w:val="it-IT"/>
        </w:rPr>
        <w:t xml:space="preserve">datoria care decurge din contractul de leasing la valoarea actualizată a plăților de leasing rămase ca și când contractele dobândite ar fi noi contracte de leasing la data achiziției; </w:t>
      </w:r>
    </w:p>
    <w:p w14:paraId="19D95950" w14:textId="0E013784" w:rsidR="00B1491F" w:rsidRPr="00B24B97" w:rsidRDefault="00B1491F" w:rsidP="003E64BC">
      <w:pPr>
        <w:pStyle w:val="NormalWeb"/>
        <w:widowControl w:val="0"/>
        <w:numPr>
          <w:ilvl w:val="2"/>
          <w:numId w:val="2"/>
        </w:numPr>
        <w:tabs>
          <w:tab w:val="left" w:pos="993"/>
          <w:tab w:val="left" w:pos="1710"/>
        </w:tabs>
        <w:spacing w:before="0" w:beforeAutospacing="0" w:after="0" w:afterAutospacing="0" w:line="276" w:lineRule="auto"/>
        <w:ind w:left="0" w:firstLine="720"/>
        <w:jc w:val="both"/>
        <w:rPr>
          <w:sz w:val="28"/>
          <w:szCs w:val="28"/>
          <w:lang w:val="ro-RO"/>
        </w:rPr>
      </w:pPr>
      <w:r w:rsidRPr="00B24B97">
        <w:rPr>
          <w:sz w:val="28"/>
          <w:szCs w:val="28"/>
          <w:lang w:val="it-IT"/>
        </w:rPr>
        <w:t>activul aferent dreptului de utilizare la aceeași valoare ca pentru datoria care decurge din contractul de leasing, ajustată pentru a reflecta condițiile favorabile sau nefavorabile ale contractului de leasing atunci când este comparată cu condițiile de piață.</w:t>
      </w:r>
    </w:p>
    <w:p w14:paraId="42441F61" w14:textId="77777777" w:rsidR="00B1491F" w:rsidRPr="00B24B97" w:rsidRDefault="00B1491F" w:rsidP="00B01836">
      <w:pPr>
        <w:pStyle w:val="NormalWeb"/>
        <w:widowControl w:val="0"/>
        <w:numPr>
          <w:ilvl w:val="1"/>
          <w:numId w:val="2"/>
        </w:numPr>
        <w:tabs>
          <w:tab w:val="left" w:pos="993"/>
        </w:tabs>
        <w:spacing w:before="0" w:beforeAutospacing="0" w:after="0" w:afterAutospacing="0" w:line="276" w:lineRule="auto"/>
        <w:ind w:left="0" w:firstLine="720"/>
        <w:jc w:val="both"/>
        <w:rPr>
          <w:sz w:val="28"/>
          <w:szCs w:val="28"/>
          <w:lang w:val="ro-RO"/>
        </w:rPr>
      </w:pPr>
      <w:r w:rsidRPr="00B24B97">
        <w:rPr>
          <w:i/>
          <w:iCs/>
          <w:sz w:val="28"/>
          <w:szCs w:val="28"/>
          <w:lang w:val="ro-RO"/>
        </w:rPr>
        <w:t>drepturilor redobândite</w:t>
      </w:r>
      <w:r w:rsidRPr="00B24B97">
        <w:rPr>
          <w:sz w:val="28"/>
          <w:szCs w:val="28"/>
          <w:lang w:val="ro-RO"/>
        </w:rPr>
        <w:t xml:space="preserve"> recunoscute drept imobilizări necorporale, care se evaluează pe baza duratei contractuale rămase din contractul aferent, indiferent dacă participanții de pe piață ar lua sau nu în considerare potențialele reînnoiri contractuale atunci când evaluează valoarea sa justă.</w:t>
      </w:r>
    </w:p>
    <w:p w14:paraId="4A74A836" w14:textId="77777777" w:rsidR="00B1491F" w:rsidRPr="00B24B97" w:rsidRDefault="00B1491F" w:rsidP="00B01836">
      <w:pPr>
        <w:pStyle w:val="NormalWeb"/>
        <w:widowControl w:val="0"/>
        <w:numPr>
          <w:ilvl w:val="1"/>
          <w:numId w:val="2"/>
        </w:numPr>
        <w:tabs>
          <w:tab w:val="left" w:pos="993"/>
        </w:tabs>
        <w:spacing w:before="0" w:beforeAutospacing="0" w:after="0" w:afterAutospacing="0" w:line="276" w:lineRule="auto"/>
        <w:ind w:left="0" w:firstLine="720"/>
        <w:jc w:val="both"/>
        <w:rPr>
          <w:sz w:val="28"/>
          <w:szCs w:val="28"/>
          <w:lang w:val="ro-RO"/>
        </w:rPr>
      </w:pPr>
      <w:r w:rsidRPr="00B24B97">
        <w:rPr>
          <w:i/>
          <w:iCs/>
          <w:sz w:val="28"/>
          <w:szCs w:val="28"/>
          <w:lang w:val="it-IT"/>
        </w:rPr>
        <w:t>tranzacțiilor cu plata pe bază de acțiuni</w:t>
      </w:r>
      <w:r w:rsidRPr="00B24B97">
        <w:rPr>
          <w:sz w:val="28"/>
          <w:szCs w:val="28"/>
          <w:lang w:val="ro-RO"/>
        </w:rPr>
        <w:t xml:space="preserve">, </w:t>
      </w:r>
      <w:r w:rsidRPr="00B24B97">
        <w:rPr>
          <w:sz w:val="28"/>
          <w:szCs w:val="28"/>
          <w:lang w:val="it-IT"/>
        </w:rPr>
        <w:t>care se supune prevederilor IFRS 2 „Plata pe bază de acțiuni”, și</w:t>
      </w:r>
    </w:p>
    <w:p w14:paraId="78660B36" w14:textId="77777777" w:rsidR="00B1491F" w:rsidRPr="00B24B97" w:rsidRDefault="00B1491F" w:rsidP="00B01836">
      <w:pPr>
        <w:pStyle w:val="NormalWeb"/>
        <w:widowControl w:val="0"/>
        <w:numPr>
          <w:ilvl w:val="1"/>
          <w:numId w:val="2"/>
        </w:numPr>
        <w:tabs>
          <w:tab w:val="left" w:pos="993"/>
        </w:tabs>
        <w:spacing w:before="0" w:beforeAutospacing="0" w:after="0" w:afterAutospacing="0" w:line="276" w:lineRule="auto"/>
        <w:ind w:left="0" w:firstLine="720"/>
        <w:jc w:val="both"/>
        <w:rPr>
          <w:sz w:val="28"/>
          <w:szCs w:val="28"/>
          <w:lang w:val="ro-RO"/>
        </w:rPr>
      </w:pPr>
      <w:r w:rsidRPr="00B24B97">
        <w:rPr>
          <w:i/>
          <w:iCs/>
          <w:sz w:val="28"/>
          <w:szCs w:val="28"/>
          <w:lang w:val="ro-RO"/>
        </w:rPr>
        <w:t>activelor deținute în vederea vânzării</w:t>
      </w:r>
      <w:r w:rsidRPr="00B24B97">
        <w:rPr>
          <w:sz w:val="28"/>
          <w:szCs w:val="28"/>
          <w:lang w:val="ro-RO"/>
        </w:rPr>
        <w:t xml:space="preserve">, clasificate conform IFRS 5 „Active imobilizate deținute în vederea vânzării și activități întrerupte”, care se evaluează la valoarea justă minus costurile generate de vânzare. </w:t>
      </w:r>
    </w:p>
    <w:p w14:paraId="586AD5CF" w14:textId="77777777" w:rsidR="00BA5BD5" w:rsidRPr="00B24B97" w:rsidRDefault="00BA5BD5" w:rsidP="001423C2">
      <w:pPr>
        <w:pStyle w:val="NormalWeb"/>
        <w:widowControl w:val="0"/>
        <w:spacing w:before="0" w:beforeAutospacing="0" w:after="0" w:afterAutospacing="0" w:line="276" w:lineRule="auto"/>
        <w:ind w:firstLine="720"/>
        <w:jc w:val="both"/>
        <w:rPr>
          <w:sz w:val="28"/>
          <w:szCs w:val="28"/>
          <w:lang w:val="ro-RO"/>
        </w:rPr>
      </w:pPr>
    </w:p>
    <w:p w14:paraId="21734D8C" w14:textId="5BFC404A" w:rsidR="00B1491F" w:rsidRPr="00B24B97" w:rsidRDefault="00BA4299" w:rsidP="003E64BC">
      <w:pPr>
        <w:widowControl w:val="0"/>
        <w:spacing w:after="0" w:line="276" w:lineRule="auto"/>
        <w:jc w:val="center"/>
        <w:outlineLvl w:val="0"/>
        <w:rPr>
          <w:rFonts w:ascii="Times New Roman" w:hAnsi="Times New Roman" w:cs="Times New Roman"/>
          <w:b/>
          <w:bCs/>
          <w:sz w:val="28"/>
          <w:szCs w:val="28"/>
        </w:rPr>
      </w:pPr>
      <w:bookmarkStart w:id="14" w:name="_Toc213487913"/>
      <w:r w:rsidRPr="00B24B97">
        <w:rPr>
          <w:rFonts w:ascii="Times New Roman" w:hAnsi="Times New Roman" w:cs="Times New Roman"/>
          <w:b/>
          <w:bCs/>
          <w:sz w:val="28"/>
          <w:szCs w:val="28"/>
        </w:rPr>
        <w:t xml:space="preserve">CAPITOLUL VII. </w:t>
      </w:r>
      <w:r w:rsidR="00B1491F" w:rsidRPr="00B24B97">
        <w:rPr>
          <w:rFonts w:ascii="Times New Roman" w:hAnsi="Times New Roman" w:cs="Times New Roman"/>
          <w:b/>
          <w:bCs/>
          <w:sz w:val="28"/>
          <w:szCs w:val="28"/>
        </w:rPr>
        <w:t>TESTAREA DEPRECIERII</w:t>
      </w:r>
      <w:bookmarkEnd w:id="14"/>
    </w:p>
    <w:p w14:paraId="5F72C767" w14:textId="77777777" w:rsidR="00B1491F" w:rsidRPr="00B24B97" w:rsidRDefault="00B1491F"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it-IT"/>
        </w:rPr>
        <w:t xml:space="preserve">Deprecierea intervine atunci când valoarea contabilă a unui activ depășește valoarea recuperabilă a acestuia, fie prin utilizarea continuă, fie prin vânzarea activului. Potrivit IAS 36 „Deprecierea activelor”, o entitate are obligația să estimeze, la sfârșitul fiecărei perioade de raportare financiară, dacă există indicii de depreciere pentru una sau mai multe categorii de active. </w:t>
      </w:r>
      <w:r w:rsidRPr="00B24B97">
        <w:rPr>
          <w:sz w:val="28"/>
          <w:szCs w:val="28"/>
          <w:lang w:val="ro-RO"/>
        </w:rPr>
        <w:t>Existența unor indicii privind deprecierea unui activ poate fi determinată atunci când sunt identificate una sau mai multe dintre următoarele situații:</w:t>
      </w:r>
    </w:p>
    <w:p w14:paraId="5158A890" w14:textId="77777777" w:rsidR="00B1491F" w:rsidRPr="00B24B97" w:rsidRDefault="00B1491F" w:rsidP="00B01836">
      <w:pPr>
        <w:pStyle w:val="NormalWeb"/>
        <w:widowControl w:val="0"/>
        <w:numPr>
          <w:ilvl w:val="1"/>
          <w:numId w:val="2"/>
        </w:numPr>
        <w:spacing w:before="0" w:beforeAutospacing="0" w:after="0" w:afterAutospacing="0" w:line="276" w:lineRule="auto"/>
        <w:ind w:left="0" w:firstLine="720"/>
        <w:jc w:val="both"/>
        <w:rPr>
          <w:sz w:val="28"/>
          <w:szCs w:val="28"/>
          <w:lang w:val="ro-RO"/>
        </w:rPr>
      </w:pPr>
      <w:r w:rsidRPr="00B24B97">
        <w:rPr>
          <w:sz w:val="28"/>
          <w:szCs w:val="28"/>
          <w:lang w:val="ro-RO"/>
        </w:rPr>
        <w:t>Sunt prezente indicii obiective privind faptul că valoarea de piață a activului a scăzut semnificativ în cursul perioadei, într-un grad mai mare decât cel anticipat în mod normal ca urmare a trecerii timpului sau utilizării sale în activitate;</w:t>
      </w:r>
    </w:p>
    <w:p w14:paraId="5147769A" w14:textId="77777777" w:rsidR="00B1491F" w:rsidRPr="00B24B97" w:rsidRDefault="00B1491F" w:rsidP="00B01836">
      <w:pPr>
        <w:pStyle w:val="NormalWeb"/>
        <w:widowControl w:val="0"/>
        <w:numPr>
          <w:ilvl w:val="1"/>
          <w:numId w:val="2"/>
        </w:numPr>
        <w:spacing w:before="0" w:beforeAutospacing="0" w:after="0" w:afterAutospacing="0" w:line="276" w:lineRule="auto"/>
        <w:ind w:left="0" w:firstLine="720"/>
        <w:jc w:val="both"/>
        <w:rPr>
          <w:sz w:val="28"/>
          <w:szCs w:val="28"/>
          <w:lang w:val="ro-RO"/>
        </w:rPr>
      </w:pPr>
      <w:r w:rsidRPr="00B24B97">
        <w:rPr>
          <w:sz w:val="28"/>
          <w:szCs w:val="28"/>
          <w:lang w:val="ro-RO"/>
        </w:rPr>
        <w:t xml:space="preserve">În perioada de raportare s-au produs sau se anticipează în viitorul apropiat modificări semnificative, cu impact negativ asupra entității, în mediul tehnologic, comercial, economic sau juridic, care influențează activitatea entității sau piața specifică </w:t>
      </w:r>
      <w:r w:rsidRPr="00B24B97">
        <w:rPr>
          <w:sz w:val="28"/>
          <w:szCs w:val="28"/>
          <w:lang w:val="ro-RO"/>
        </w:rPr>
        <w:lastRenderedPageBreak/>
        <w:t>pentru activul respectiv;</w:t>
      </w:r>
    </w:p>
    <w:p w14:paraId="3D9DC710" w14:textId="77777777" w:rsidR="00B1491F" w:rsidRPr="00B24B97" w:rsidRDefault="00B1491F" w:rsidP="00B01836">
      <w:pPr>
        <w:pStyle w:val="NormalWeb"/>
        <w:widowControl w:val="0"/>
        <w:numPr>
          <w:ilvl w:val="1"/>
          <w:numId w:val="2"/>
        </w:numPr>
        <w:spacing w:before="0" w:beforeAutospacing="0" w:after="0" w:afterAutospacing="0" w:line="276" w:lineRule="auto"/>
        <w:ind w:left="0" w:firstLine="720"/>
        <w:jc w:val="both"/>
        <w:rPr>
          <w:sz w:val="28"/>
          <w:szCs w:val="28"/>
          <w:lang w:val="ro-RO"/>
        </w:rPr>
      </w:pPr>
      <w:r w:rsidRPr="00B24B97">
        <w:rPr>
          <w:sz w:val="28"/>
          <w:szCs w:val="28"/>
          <w:lang w:val="ro-RO"/>
        </w:rPr>
        <w:t>Au avut loc creșteri ale ratelor dobânzilor de piață sau ale altor rate de randament ale investițiilor, ceea ce poate conduce la o majorare a ratei de actualizare aplicate și, implicit, la diminuarea valorii recuperabile a activului;</w:t>
      </w:r>
    </w:p>
    <w:p w14:paraId="68EA97D6" w14:textId="77777777" w:rsidR="00B1491F" w:rsidRPr="00B24B97" w:rsidRDefault="00B1491F" w:rsidP="00B01836">
      <w:pPr>
        <w:pStyle w:val="NormalWeb"/>
        <w:widowControl w:val="0"/>
        <w:numPr>
          <w:ilvl w:val="1"/>
          <w:numId w:val="2"/>
        </w:numPr>
        <w:spacing w:before="0" w:beforeAutospacing="0" w:after="0" w:afterAutospacing="0" w:line="276" w:lineRule="auto"/>
        <w:ind w:left="0" w:firstLine="720"/>
        <w:jc w:val="both"/>
        <w:rPr>
          <w:sz w:val="28"/>
          <w:szCs w:val="28"/>
          <w:lang w:val="ro-RO"/>
        </w:rPr>
      </w:pPr>
      <w:r w:rsidRPr="00B24B97">
        <w:rPr>
          <w:sz w:val="28"/>
          <w:szCs w:val="28"/>
          <w:lang w:val="ro-RO"/>
        </w:rPr>
        <w:t>Valoarea contabilă a activelor nete ale entității depășește valoarea de piață a capitalizării sale bursiere, acolo unde aceasta este relevantă;</w:t>
      </w:r>
    </w:p>
    <w:p w14:paraId="0ACFE395" w14:textId="77777777" w:rsidR="00B1491F" w:rsidRPr="00B24B97" w:rsidRDefault="00B1491F" w:rsidP="00B01836">
      <w:pPr>
        <w:pStyle w:val="NormalWeb"/>
        <w:widowControl w:val="0"/>
        <w:numPr>
          <w:ilvl w:val="1"/>
          <w:numId w:val="2"/>
        </w:numPr>
        <w:spacing w:before="0" w:beforeAutospacing="0" w:after="0" w:afterAutospacing="0" w:line="276" w:lineRule="auto"/>
        <w:ind w:left="0" w:firstLine="720"/>
        <w:jc w:val="both"/>
        <w:rPr>
          <w:sz w:val="28"/>
          <w:szCs w:val="28"/>
          <w:lang w:val="ro-RO"/>
        </w:rPr>
      </w:pPr>
      <w:r w:rsidRPr="00B24B97">
        <w:rPr>
          <w:sz w:val="28"/>
          <w:szCs w:val="28"/>
          <w:lang w:val="ro-RO"/>
        </w:rPr>
        <w:t>Există dovezi concrete de uzură fizică, deteriorare tehnică sau învechire morală a activului;</w:t>
      </w:r>
    </w:p>
    <w:p w14:paraId="645A81C0" w14:textId="77777777" w:rsidR="00B1491F" w:rsidRPr="00B24B97" w:rsidRDefault="00B1491F" w:rsidP="00B01836">
      <w:pPr>
        <w:pStyle w:val="NormalWeb"/>
        <w:widowControl w:val="0"/>
        <w:numPr>
          <w:ilvl w:val="1"/>
          <w:numId w:val="2"/>
        </w:numPr>
        <w:spacing w:before="0" w:beforeAutospacing="0" w:after="0" w:afterAutospacing="0" w:line="276" w:lineRule="auto"/>
        <w:ind w:left="0" w:firstLine="720"/>
        <w:jc w:val="both"/>
        <w:rPr>
          <w:sz w:val="28"/>
          <w:szCs w:val="28"/>
          <w:lang w:val="ro-RO"/>
        </w:rPr>
      </w:pPr>
      <w:r w:rsidRPr="00B24B97">
        <w:rPr>
          <w:sz w:val="28"/>
          <w:szCs w:val="28"/>
          <w:lang w:val="ro-RO"/>
        </w:rPr>
        <w:t>S-au produs sau se estimează că vor apărea modificări semnificative privind utilizarea activului, cum ar fi: trecerea acestuia în stare de neutilizare, planuri de restructurare sau întrerupere a activității căreia îi este destinat, intenția de a înstrăina activul mai devreme decât se preconiza, sau revizuirea duratei de viață utilă din „nedeterminată” în „determinată”;</w:t>
      </w:r>
    </w:p>
    <w:p w14:paraId="7F308C8C" w14:textId="77777777" w:rsidR="00B1491F" w:rsidRPr="00B24B97" w:rsidRDefault="00B1491F" w:rsidP="00B01836">
      <w:pPr>
        <w:pStyle w:val="NormalWeb"/>
        <w:widowControl w:val="0"/>
        <w:numPr>
          <w:ilvl w:val="1"/>
          <w:numId w:val="2"/>
        </w:numPr>
        <w:spacing w:before="0" w:beforeAutospacing="0" w:after="0" w:afterAutospacing="0" w:line="276" w:lineRule="auto"/>
        <w:ind w:left="0" w:firstLine="720"/>
        <w:jc w:val="both"/>
        <w:rPr>
          <w:sz w:val="28"/>
          <w:szCs w:val="28"/>
          <w:lang w:val="ro-RO"/>
        </w:rPr>
      </w:pPr>
      <w:r w:rsidRPr="00B24B97">
        <w:rPr>
          <w:sz w:val="28"/>
          <w:szCs w:val="28"/>
          <w:lang w:val="ro-RO"/>
        </w:rPr>
        <w:t>Informațiile din raportările interne ale entității oferă dovezi că performanța economică a activului este sau va fi inferioară celei estimate inițial.</w:t>
      </w:r>
    </w:p>
    <w:p w14:paraId="048CC2FC" w14:textId="77777777" w:rsidR="00B1491F" w:rsidRPr="00B24B97" w:rsidRDefault="00B1491F"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ro-RO"/>
        </w:rPr>
        <w:t>Anumite active trebuie testate pentru depreciere în mod obligatoriu, cel puțin anual, indiferent dacă există sau nu indicii de depreciere. Acestea includ:</w:t>
      </w:r>
    </w:p>
    <w:p w14:paraId="2720F538" w14:textId="77777777" w:rsidR="00B1491F" w:rsidRPr="00B24B97" w:rsidRDefault="00B1491F" w:rsidP="00B01836">
      <w:pPr>
        <w:widowControl w:val="0"/>
        <w:numPr>
          <w:ilvl w:val="1"/>
          <w:numId w:val="2"/>
        </w:numPr>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activele necorporale cu durată de viață utilă nedeterminată;</w:t>
      </w:r>
    </w:p>
    <w:p w14:paraId="366C3D9C" w14:textId="77777777" w:rsidR="00B1491F" w:rsidRPr="00B24B97" w:rsidRDefault="00B1491F" w:rsidP="00B01836">
      <w:pPr>
        <w:widowControl w:val="0"/>
        <w:numPr>
          <w:ilvl w:val="1"/>
          <w:numId w:val="2"/>
        </w:numPr>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activele necorporale care nu sunt încă disponibile pentru utilizare;</w:t>
      </w:r>
    </w:p>
    <w:p w14:paraId="71846276" w14:textId="77777777" w:rsidR="00B1491F" w:rsidRPr="00B24B97" w:rsidRDefault="00B1491F" w:rsidP="00B01836">
      <w:pPr>
        <w:widowControl w:val="0"/>
        <w:numPr>
          <w:ilvl w:val="1"/>
          <w:numId w:val="2"/>
        </w:numPr>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fondul comercial (goodwill) dobândit într-o combinare de întreprinderi.</w:t>
      </w:r>
    </w:p>
    <w:p w14:paraId="7EC22C12" w14:textId="77777777" w:rsidR="00B1491F" w:rsidRPr="00B24B97" w:rsidRDefault="00B1491F" w:rsidP="00B01836">
      <w:pPr>
        <w:pStyle w:val="ListParagraph"/>
        <w:widowControl w:val="0"/>
        <w:numPr>
          <w:ilvl w:val="0"/>
          <w:numId w:val="2"/>
        </w:numPr>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 xml:space="preserve">În cazul în care sunt identificate indicii ale deprecierii, valoarea contabilă a activului, obținută fie din costul istoric, fie dintr-o evaluare anterioară, trebuie diminuată până la nivelul </w:t>
      </w:r>
      <w:r w:rsidRPr="00B24B97">
        <w:rPr>
          <w:rFonts w:ascii="Times New Roman" w:hAnsi="Times New Roman" w:cs="Times New Roman"/>
          <w:i/>
          <w:iCs/>
          <w:sz w:val="28"/>
          <w:szCs w:val="28"/>
        </w:rPr>
        <w:t>valorii recuperabile</w:t>
      </w:r>
      <w:r w:rsidRPr="00B24B97">
        <w:rPr>
          <w:rFonts w:ascii="Times New Roman" w:hAnsi="Times New Roman" w:cs="Times New Roman"/>
          <w:sz w:val="28"/>
          <w:szCs w:val="28"/>
        </w:rPr>
        <w:t xml:space="preserve">, care este cea mai mare valoare dintre </w:t>
      </w:r>
    </w:p>
    <w:p w14:paraId="7A219B42" w14:textId="77777777" w:rsidR="00B1491F" w:rsidRPr="00B24B97" w:rsidRDefault="00B1491F" w:rsidP="00B01836">
      <w:pPr>
        <w:pStyle w:val="ListParagraph"/>
        <w:widowControl w:val="0"/>
        <w:numPr>
          <w:ilvl w:val="1"/>
          <w:numId w:val="2"/>
        </w:numPr>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 xml:space="preserve">valoarea justă a unui activ sau a unei unități generatoare de numerar minus costurile aferente vânzării și </w:t>
      </w:r>
    </w:p>
    <w:p w14:paraId="764E2264" w14:textId="77777777" w:rsidR="00B1491F" w:rsidRPr="00B24B97" w:rsidRDefault="00B1491F" w:rsidP="00B01836">
      <w:pPr>
        <w:pStyle w:val="ListParagraph"/>
        <w:widowControl w:val="0"/>
        <w:numPr>
          <w:ilvl w:val="1"/>
          <w:numId w:val="2"/>
        </w:numPr>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valoarea sa de utilizare, respectiv valoarea actualizată a fluxurilor de numerar viitoare estimate a fi generate de active.</w:t>
      </w:r>
    </w:p>
    <w:p w14:paraId="2E8A5A6E" w14:textId="77777777" w:rsidR="00B1491F" w:rsidRPr="00B24B97" w:rsidRDefault="00B1491F"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ro-RO"/>
        </w:rPr>
        <w:t>Nu este obligatoriu să se determine atât valoarea justă diminuată cu costurile aferente vânzării, cât și valoarea de utilizare a activului. În situația în care una dintre aceste valori este mai mare decât valoarea contabilă a activului, se consideră că nu există depreciere, iar determinarea celeilalte valori devine inutilă.</w:t>
      </w:r>
    </w:p>
    <w:p w14:paraId="0CBBEA6E" w14:textId="77777777" w:rsidR="00B1491F" w:rsidRPr="00B24B97" w:rsidRDefault="00B1491F"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ro-RO"/>
        </w:rPr>
        <w:t xml:space="preserve">La </w:t>
      </w:r>
      <w:r w:rsidRPr="00B24B97">
        <w:rPr>
          <w:i/>
          <w:iCs/>
          <w:sz w:val="28"/>
          <w:szCs w:val="28"/>
          <w:lang w:val="ro-RO"/>
        </w:rPr>
        <w:t>estimarea valorii juste</w:t>
      </w:r>
      <w:r w:rsidRPr="00B24B97">
        <w:rPr>
          <w:sz w:val="28"/>
          <w:szCs w:val="28"/>
          <w:lang w:val="ro-RO"/>
        </w:rPr>
        <w:t xml:space="preserve"> diminuate cu costurile aferente vânzării, se vor deduce costurile directe asociate vânzării activului, cu excepția celor deja recunoscute anterior ca datorii. Exemple relevante de astfel de costuri includ: cheltuieli legale, taxe de timbru și alte taxe similare aferente tranzacției, costuri legate de demontarea sau </w:t>
      </w:r>
      <w:r w:rsidRPr="00B24B97">
        <w:rPr>
          <w:sz w:val="28"/>
          <w:szCs w:val="28"/>
          <w:lang w:val="ro-RO"/>
        </w:rPr>
        <w:lastRenderedPageBreak/>
        <w:t>înlăturarea activului, precum și costuri marginale directe aferente scoaterii activului la vânzare. Totodată, beneficiile acordate pentru încetarea contractelor individuale de muncă (conform IAS 19) și cheltuielile legate de reducerea sau reorganizarea activității ca urmare a vânzării activului nu sunt considerate costuri marginale directe aferente vânzării și, prin urmare, nu se includ în ajustarea valorii.</w:t>
      </w:r>
    </w:p>
    <w:p w14:paraId="201D47D8" w14:textId="77777777" w:rsidR="00B1491F" w:rsidRPr="00B24B97" w:rsidRDefault="00B1491F"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ro-RO"/>
        </w:rPr>
        <w:t xml:space="preserve">Valoarea justă minus costurile asociate vânzării unui activ sau unei unități generatoare de numerar reprezintă suma care poate fi obținută din vânzarea sa, în cadrul unei tranzacții nepărtinitoare, între părți hotărâte și aflate în cunoștință de cauză, minus costurile asociate transferului. Cu excepția cazului în care entitatea deținătoare a activului este obligată să îl vândă la data evaluării, fără o durată adecvată de expunere pe piață, aceasta nu este o vânzare forțată. </w:t>
      </w:r>
    </w:p>
    <w:p w14:paraId="1E59E0B1" w14:textId="77777777" w:rsidR="00B1491F" w:rsidRPr="00B24B97" w:rsidRDefault="00B1491F"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Costurile asociate vânzării sunt costurile direct atribuibile tranzacției, de exemplu, taxele legale, costurile de marketing, costurile aferente îndepărtării activului, taxele nerecuperabile aferente tranzacției și orice cost direct pentru scoaterea la vânzare a activului sau a unității generatoare de numerar. Aceste costuri nu includ costurile colaterale, de exemplu, acele costuri implicate de reorganizarea întreprinderii după transferul activului.</w:t>
      </w:r>
    </w:p>
    <w:p w14:paraId="790DBB1E" w14:textId="77777777" w:rsidR="00B1491F" w:rsidRPr="00B24B97" w:rsidRDefault="00B1491F"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i/>
          <w:iCs/>
          <w:sz w:val="28"/>
          <w:szCs w:val="28"/>
          <w:lang w:val="it-IT"/>
        </w:rPr>
        <w:t>Valoarea de utilizare</w:t>
      </w:r>
      <w:r w:rsidRPr="00B24B97">
        <w:rPr>
          <w:sz w:val="28"/>
          <w:szCs w:val="28"/>
          <w:lang w:val="it-IT"/>
        </w:rPr>
        <w:t xml:space="preserve">, în sensul IAS 36, reprezintă valoarea actualizată a fluxurilor de numerar viitoare estimate a fi generate de un activ sau de o unitate generatoare de numerar. O </w:t>
      </w:r>
      <w:r w:rsidRPr="00B24B97">
        <w:rPr>
          <w:i/>
          <w:iCs/>
          <w:sz w:val="28"/>
          <w:szCs w:val="28"/>
          <w:lang w:val="it-IT"/>
        </w:rPr>
        <w:t>unitate generatoare de numerar</w:t>
      </w:r>
      <w:r w:rsidRPr="00B24B97">
        <w:rPr>
          <w:sz w:val="28"/>
          <w:szCs w:val="28"/>
          <w:lang w:val="it-IT"/>
        </w:rPr>
        <w:t xml:space="preserve"> este definită ca fiind cel mai mic grup identificabil de active care generează intrări de numerar în mod semnificativ independent de intrările de numerar provenite din alte active sau grupuri de active.</w:t>
      </w:r>
      <w:r w:rsidRPr="00B24B97">
        <w:rPr>
          <w:sz w:val="28"/>
          <w:szCs w:val="28"/>
          <w:lang w:val="ro-RO"/>
        </w:rPr>
        <w:t xml:space="preserve"> </w:t>
      </w:r>
    </w:p>
    <w:p w14:paraId="1ED05F6B" w14:textId="77777777" w:rsidR="00B1491F" w:rsidRPr="00B24B97" w:rsidRDefault="00B1491F"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it-IT"/>
        </w:rPr>
        <w:t>Valoarea de utilizare are un caracter specific entității, întrucât reflectă estimările proprii ale entității privind fluxurile de numerar pe care aceasta preconizează că le va obține: (a) din utilizarea continuă a activului pe parcursul duratei sale de viață utilă estimate, precum și (b) din cedarea activului la sfârșitul perioadei respective.</w:t>
      </w:r>
    </w:p>
    <w:p w14:paraId="3AE9468A" w14:textId="77777777" w:rsidR="00B1491F" w:rsidRPr="00B24B97" w:rsidRDefault="00B1491F"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ro-RO"/>
        </w:rPr>
        <w:t>La determinarea valorii de utilizare a unui activ, conform IAS 36, trebuie avute în vedere următoarele componente esențiale:</w:t>
      </w:r>
    </w:p>
    <w:p w14:paraId="2243FE97" w14:textId="77777777" w:rsidR="00B1491F" w:rsidRPr="00B24B97" w:rsidRDefault="00B1491F" w:rsidP="00B01836">
      <w:pPr>
        <w:pStyle w:val="NormalWeb"/>
        <w:widowControl w:val="0"/>
        <w:numPr>
          <w:ilvl w:val="1"/>
          <w:numId w:val="2"/>
        </w:numPr>
        <w:spacing w:before="0" w:beforeAutospacing="0" w:after="0" w:afterAutospacing="0" w:line="276" w:lineRule="auto"/>
        <w:ind w:left="0" w:firstLine="720"/>
        <w:jc w:val="both"/>
        <w:rPr>
          <w:sz w:val="28"/>
          <w:szCs w:val="28"/>
          <w:lang w:val="ro-RO"/>
        </w:rPr>
      </w:pPr>
      <w:r w:rsidRPr="00B24B97">
        <w:rPr>
          <w:sz w:val="28"/>
          <w:szCs w:val="28"/>
          <w:lang w:val="ro-RO"/>
        </w:rPr>
        <w:t>Estimarea fluxurilor viitoare de trezorerie, pe care entitatea se așteaptă să le obțină din utilizarea activului;</w:t>
      </w:r>
    </w:p>
    <w:p w14:paraId="258AB442" w14:textId="77777777" w:rsidR="00B1491F" w:rsidRPr="00B24B97" w:rsidRDefault="00B1491F" w:rsidP="00B01836">
      <w:pPr>
        <w:pStyle w:val="NormalWeb"/>
        <w:widowControl w:val="0"/>
        <w:numPr>
          <w:ilvl w:val="1"/>
          <w:numId w:val="2"/>
        </w:numPr>
        <w:spacing w:before="0" w:beforeAutospacing="0" w:after="0" w:afterAutospacing="0" w:line="276" w:lineRule="auto"/>
        <w:ind w:left="0" w:firstLine="720"/>
        <w:jc w:val="both"/>
        <w:rPr>
          <w:sz w:val="28"/>
          <w:szCs w:val="28"/>
          <w:lang w:val="ro-RO"/>
        </w:rPr>
      </w:pPr>
      <w:r w:rsidRPr="00B24B97">
        <w:rPr>
          <w:sz w:val="28"/>
          <w:szCs w:val="28"/>
          <w:lang w:val="ro-RO"/>
        </w:rPr>
        <w:t>Anticiparea posibilelor variații privind valoarea sau momentul generării acestor fluxuri de trezorerie;</w:t>
      </w:r>
    </w:p>
    <w:p w14:paraId="553213CE" w14:textId="77777777" w:rsidR="00B1491F" w:rsidRPr="00B24B97" w:rsidRDefault="00B1491F" w:rsidP="00B01836">
      <w:pPr>
        <w:pStyle w:val="NormalWeb"/>
        <w:widowControl w:val="0"/>
        <w:numPr>
          <w:ilvl w:val="1"/>
          <w:numId w:val="2"/>
        </w:numPr>
        <w:spacing w:before="0" w:beforeAutospacing="0" w:after="0" w:afterAutospacing="0" w:line="276" w:lineRule="auto"/>
        <w:ind w:left="0" w:firstLine="720"/>
        <w:jc w:val="both"/>
        <w:rPr>
          <w:sz w:val="28"/>
          <w:szCs w:val="28"/>
          <w:lang w:val="ro-RO"/>
        </w:rPr>
      </w:pPr>
      <w:r w:rsidRPr="00B24B97">
        <w:rPr>
          <w:sz w:val="28"/>
          <w:szCs w:val="28"/>
          <w:lang w:val="ro-RO"/>
        </w:rPr>
        <w:t>Valoarea în timp a banilor, reflectată prin utilizarea unei rate actuale a dobânzii aferente unor investiții fără risc disponibile pe piață;</w:t>
      </w:r>
    </w:p>
    <w:p w14:paraId="7D2E98C7" w14:textId="77777777" w:rsidR="00B1491F" w:rsidRPr="00B24B97" w:rsidRDefault="00B1491F" w:rsidP="00B01836">
      <w:pPr>
        <w:pStyle w:val="NormalWeb"/>
        <w:widowControl w:val="0"/>
        <w:numPr>
          <w:ilvl w:val="1"/>
          <w:numId w:val="2"/>
        </w:numPr>
        <w:spacing w:before="0" w:beforeAutospacing="0" w:after="0" w:afterAutospacing="0" w:line="276" w:lineRule="auto"/>
        <w:ind w:left="0" w:firstLine="720"/>
        <w:jc w:val="both"/>
        <w:rPr>
          <w:sz w:val="28"/>
          <w:szCs w:val="28"/>
          <w:lang w:val="ro-RO"/>
        </w:rPr>
      </w:pPr>
      <w:r w:rsidRPr="00B24B97">
        <w:rPr>
          <w:sz w:val="28"/>
          <w:szCs w:val="28"/>
          <w:lang w:val="ro-RO"/>
        </w:rPr>
        <w:t xml:space="preserve">Primele de risc aferente incertitudinii activului, respectiv costul suportării </w:t>
      </w:r>
      <w:r w:rsidRPr="00B24B97">
        <w:rPr>
          <w:sz w:val="28"/>
          <w:szCs w:val="28"/>
          <w:lang w:val="ro-RO"/>
        </w:rPr>
        <w:lastRenderedPageBreak/>
        <w:t>riscului asociat cu fluxurile estimate;</w:t>
      </w:r>
    </w:p>
    <w:p w14:paraId="7FA80D6A" w14:textId="77777777" w:rsidR="00B1491F" w:rsidRPr="00B24B97" w:rsidRDefault="00B1491F" w:rsidP="00B01836">
      <w:pPr>
        <w:pStyle w:val="NormalWeb"/>
        <w:widowControl w:val="0"/>
        <w:numPr>
          <w:ilvl w:val="1"/>
          <w:numId w:val="2"/>
        </w:numPr>
        <w:spacing w:before="0" w:beforeAutospacing="0" w:after="0" w:afterAutospacing="0" w:line="276" w:lineRule="auto"/>
        <w:ind w:left="0" w:firstLine="720"/>
        <w:jc w:val="both"/>
        <w:rPr>
          <w:sz w:val="28"/>
          <w:szCs w:val="28"/>
          <w:lang w:val="ro-RO"/>
        </w:rPr>
      </w:pPr>
      <w:r w:rsidRPr="00B24B97">
        <w:rPr>
          <w:sz w:val="28"/>
          <w:szCs w:val="28"/>
          <w:lang w:val="ro-RO"/>
        </w:rPr>
        <w:t>Alți factori relevanți, precum absența lichidității sau alte condiții pe care participanții de pe piață le-ar lua în considerare în procesul de estimare a valorii fluxurilor viitoare de numerar generate de activ.</w:t>
      </w:r>
    </w:p>
    <w:p w14:paraId="6D1796EA" w14:textId="77777777" w:rsidR="00B1491F" w:rsidRPr="00B24B97" w:rsidRDefault="00B1491F"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La estimarea valorii de utilizare, </w:t>
      </w:r>
      <w:r w:rsidRPr="00B24B97">
        <w:rPr>
          <w:i/>
          <w:iCs/>
          <w:sz w:val="28"/>
          <w:szCs w:val="28"/>
          <w:lang w:val="it-IT"/>
        </w:rPr>
        <w:t>fluxurile de numerar viitoare</w:t>
      </w:r>
      <w:r w:rsidRPr="00B24B97">
        <w:rPr>
          <w:sz w:val="28"/>
          <w:szCs w:val="28"/>
          <w:lang w:val="it-IT"/>
        </w:rPr>
        <w:t xml:space="preserve"> trebuie să respecte următoarele cerințe esențiale: </w:t>
      </w:r>
    </w:p>
    <w:p w14:paraId="3D056F24" w14:textId="77777777" w:rsidR="00B1491F" w:rsidRPr="00B24B97" w:rsidRDefault="00B1491F" w:rsidP="00B01836">
      <w:pPr>
        <w:pStyle w:val="NormalWeb"/>
        <w:widowControl w:val="0"/>
        <w:numPr>
          <w:ilvl w:val="1"/>
          <w:numId w:val="2"/>
        </w:numPr>
        <w:spacing w:before="0" w:beforeAutospacing="0" w:after="0" w:afterAutospacing="0" w:line="276" w:lineRule="auto"/>
        <w:ind w:left="0" w:firstLine="720"/>
        <w:jc w:val="both"/>
        <w:rPr>
          <w:sz w:val="28"/>
          <w:szCs w:val="28"/>
          <w:lang w:val="it-IT"/>
        </w:rPr>
      </w:pPr>
      <w:r w:rsidRPr="00B24B97">
        <w:rPr>
          <w:sz w:val="28"/>
          <w:szCs w:val="28"/>
          <w:lang w:val="it-IT"/>
        </w:rPr>
        <w:t>Fundamentare realistă și justificabilă: Estimările trebuie să se bazeze pe ipoteze raționale, care reflectă cele mai bune estimări privind condițiile economice previzibile pe întreaga durată de viață utilă a activului. Este important ca ipotezele să fie sprijinite, pe cât posibil, de informații externe verificate și independente.</w:t>
      </w:r>
    </w:p>
    <w:p w14:paraId="148593B8" w14:textId="77777777" w:rsidR="00B1491F" w:rsidRPr="00B24B97" w:rsidRDefault="00B1491F" w:rsidP="00B01836">
      <w:pPr>
        <w:pStyle w:val="NormalWeb"/>
        <w:widowControl w:val="0"/>
        <w:numPr>
          <w:ilvl w:val="1"/>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Bazate pe proiecții aprobate oficial: Fluxurile de numerar trebuie să se alinieze cu bugetele și prognozele financiare recente aprobate de conducerea entității. Acestea nu trebuie să includă: fluxuri generate de restructurări viitoare încă neangajate; modernizări sau îmbunătățiri ale performanței activului care nu au fost planificate ferm. În mod uzual, proiecțiile trebuie să acopere o perioadă de </w:t>
      </w:r>
      <w:r w:rsidRPr="00B24B97">
        <w:rPr>
          <w:i/>
          <w:iCs/>
          <w:sz w:val="28"/>
          <w:szCs w:val="28"/>
          <w:lang w:val="it-IT"/>
        </w:rPr>
        <w:t>maximum cinci ani</w:t>
      </w:r>
      <w:r w:rsidRPr="00B24B97">
        <w:rPr>
          <w:sz w:val="28"/>
          <w:szCs w:val="28"/>
          <w:lang w:val="it-IT"/>
        </w:rPr>
        <w:t>, cu excepția cazurilor în care se poate justifica documentat o perioadă mai lungă.</w:t>
      </w:r>
    </w:p>
    <w:p w14:paraId="6380B2F0" w14:textId="77777777" w:rsidR="00B1491F" w:rsidRPr="00B24B97" w:rsidRDefault="00B1491F" w:rsidP="00B01836">
      <w:pPr>
        <w:pStyle w:val="NormalWeb"/>
        <w:widowControl w:val="0"/>
        <w:numPr>
          <w:ilvl w:val="1"/>
          <w:numId w:val="2"/>
        </w:numPr>
        <w:spacing w:before="0" w:beforeAutospacing="0" w:after="0" w:afterAutospacing="0" w:line="276" w:lineRule="auto"/>
        <w:ind w:left="0" w:firstLine="720"/>
        <w:jc w:val="both"/>
        <w:rPr>
          <w:sz w:val="28"/>
          <w:szCs w:val="28"/>
          <w:lang w:val="it-IT"/>
        </w:rPr>
      </w:pPr>
      <w:r w:rsidRPr="00B24B97">
        <w:rPr>
          <w:sz w:val="28"/>
          <w:szCs w:val="28"/>
          <w:lang w:val="it-IT"/>
        </w:rPr>
        <w:t>Extrapolare prudentă după perioada prognozată: După perioada acoperită de bugetele/prognozele oficiale, fluxurile de numerar se estimează prin extrapolare, utilizând o rată de creștere stabilă sau descrescătoare, reflectând tendințele pe termen lung ale pieței, industriei sau economiei naționale. O rată de creștere superioară poate fi utilizată doar dacă există justificări solide care susțin această ipoteză.</w:t>
      </w:r>
    </w:p>
    <w:p w14:paraId="5B5D8AC3" w14:textId="77777777" w:rsidR="00B1491F" w:rsidRPr="00B24B97" w:rsidRDefault="00B1491F"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i/>
          <w:iCs/>
          <w:sz w:val="28"/>
          <w:szCs w:val="28"/>
          <w:lang w:val="it-IT"/>
        </w:rPr>
        <w:t>Rata de actualizare</w:t>
      </w:r>
      <w:r w:rsidRPr="00B24B97">
        <w:rPr>
          <w:sz w:val="28"/>
          <w:szCs w:val="28"/>
          <w:lang w:val="it-IT"/>
        </w:rPr>
        <w:t xml:space="preserve"> trebuie să fie o rată înainte de impozitare care reflectă evaluările curente ale pieței cu privire la valoarea banilor în timp și riscurile specifice activului. Aceasta este rata rentabilității pe care participanții de pe piață o cer pentru o investiţie care ar genera fluxuri de numerar egale ca mărime, plasare în timp și profil de risc cu cele pe care entitatea se așteaptă să le obțină din utilizarea activului. Această rată este estimată pornind de la rata utilizată în tranzacţiile curente de pe piaţă pentru active similare sau pe baza costului mediu ponderat al capitalului înregistrat de o entitate cotată la bursă care deţine un singur activ (sau un portofoliu de active) similar din punctul de vedere al potenţialului de servicii şi al riscurilor cu activul avut în vedere.</w:t>
      </w:r>
    </w:p>
    <w:p w14:paraId="2EA1320F" w14:textId="77777777" w:rsidR="00B1491F" w:rsidRPr="00B24B97" w:rsidRDefault="00B1491F"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IAS 36 cuprinde explicații detaliate pentru estimarea valorii de utilizare. </w:t>
      </w:r>
    </w:p>
    <w:p w14:paraId="790A2D68" w14:textId="77777777" w:rsidR="00B1491F" w:rsidRPr="00B24B97" w:rsidRDefault="00B1491F"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 xml:space="preserve">Deprecierea unei </w:t>
      </w:r>
      <w:r w:rsidRPr="00B24B97">
        <w:rPr>
          <w:i/>
          <w:iCs/>
          <w:sz w:val="28"/>
          <w:szCs w:val="28"/>
          <w:lang w:val="it-IT"/>
        </w:rPr>
        <w:t>unități generatoare de numerar</w:t>
      </w:r>
      <w:r w:rsidRPr="00B24B97">
        <w:rPr>
          <w:sz w:val="28"/>
          <w:szCs w:val="28"/>
          <w:lang w:val="it-IT"/>
        </w:rPr>
        <w:t xml:space="preserve"> UGN (adică cel mai mic grup identificabil de active care generează intrări de numerar independente) este recunoscută doar dacă valoarea recuperabilă a acesteia este mai mică decât valoarea sa contabilă. Pierderea din depreciere se alocă activelor din cadrul UGN în următoarea </w:t>
      </w:r>
      <w:r w:rsidRPr="00B24B97">
        <w:rPr>
          <w:sz w:val="28"/>
          <w:szCs w:val="28"/>
          <w:lang w:val="it-IT"/>
        </w:rPr>
        <w:lastRenderedPageBreak/>
        <w:t>ordine:</w:t>
      </w:r>
    </w:p>
    <w:p w14:paraId="167CE552" w14:textId="77777777" w:rsidR="00B1491F" w:rsidRPr="00B24B97" w:rsidRDefault="00B1491F" w:rsidP="00B01836">
      <w:pPr>
        <w:pStyle w:val="NormalWeb"/>
        <w:widowControl w:val="0"/>
        <w:numPr>
          <w:ilvl w:val="1"/>
          <w:numId w:val="2"/>
        </w:numPr>
        <w:tabs>
          <w:tab w:val="left" w:pos="993"/>
        </w:tabs>
        <w:spacing w:before="0" w:beforeAutospacing="0" w:after="0" w:afterAutospacing="0" w:line="276" w:lineRule="auto"/>
        <w:ind w:left="0" w:firstLine="720"/>
        <w:jc w:val="both"/>
        <w:rPr>
          <w:sz w:val="28"/>
          <w:szCs w:val="28"/>
          <w:lang w:val="it-IT"/>
        </w:rPr>
      </w:pPr>
      <w:r w:rsidRPr="00B24B97">
        <w:rPr>
          <w:sz w:val="28"/>
          <w:szCs w:val="28"/>
          <w:lang w:val="it-IT"/>
        </w:rPr>
        <w:t>se reduce valoarea contabilă a fondului comercial alocat acelei unități.</w:t>
      </w:r>
    </w:p>
    <w:p w14:paraId="50763C0D" w14:textId="77777777" w:rsidR="00B1491F" w:rsidRPr="00B24B97" w:rsidRDefault="00B1491F" w:rsidP="00B01836">
      <w:pPr>
        <w:pStyle w:val="NormalWeb"/>
        <w:widowControl w:val="0"/>
        <w:numPr>
          <w:ilvl w:val="1"/>
          <w:numId w:val="2"/>
        </w:numPr>
        <w:tabs>
          <w:tab w:val="left" w:pos="993"/>
        </w:tabs>
        <w:spacing w:before="0" w:beforeAutospacing="0" w:after="0" w:afterAutospacing="0" w:line="276" w:lineRule="auto"/>
        <w:ind w:left="0" w:firstLine="720"/>
        <w:jc w:val="both"/>
        <w:rPr>
          <w:sz w:val="28"/>
          <w:szCs w:val="28"/>
          <w:lang w:val="it-IT"/>
        </w:rPr>
      </w:pPr>
      <w:r w:rsidRPr="00B24B97">
        <w:rPr>
          <w:sz w:val="28"/>
          <w:szCs w:val="28"/>
          <w:lang w:val="it-IT"/>
        </w:rPr>
        <w:t>se distribuie proporțional între celelalte active ale unității, în funcție de valoarea contabilă a fiecărui activ.</w:t>
      </w:r>
    </w:p>
    <w:p w14:paraId="62EAA094" w14:textId="77777777" w:rsidR="00B1491F" w:rsidRPr="00B24B97" w:rsidRDefault="00B1491F" w:rsidP="00B01836">
      <w:pPr>
        <w:pStyle w:val="NormalWeb"/>
        <w:widowControl w:val="0"/>
        <w:numPr>
          <w:ilvl w:val="0"/>
          <w:numId w:val="2"/>
        </w:numPr>
        <w:spacing w:before="0" w:beforeAutospacing="0" w:after="0" w:afterAutospacing="0" w:line="276" w:lineRule="auto"/>
        <w:ind w:left="0" w:firstLine="720"/>
        <w:jc w:val="both"/>
        <w:rPr>
          <w:sz w:val="28"/>
          <w:szCs w:val="28"/>
          <w:lang w:val="it-IT"/>
        </w:rPr>
      </w:pPr>
      <w:r w:rsidRPr="00B24B97">
        <w:rPr>
          <w:sz w:val="28"/>
          <w:szCs w:val="28"/>
          <w:lang w:val="it-IT"/>
        </w:rPr>
        <w:t>Dacă nu se poate estima valoarea recuperabilă a fiecărui activ individual al unei unităţi generatoare de numerar, IAS 36 recomandă alocarea arbitrară a pierderii din depreciere între activele acelei unităţi, altele decât fondul comercial, deoarece activele unei unităţi generatoare de numerar formează un ansamblu.</w:t>
      </w:r>
    </w:p>
    <w:p w14:paraId="621D848F" w14:textId="77777777" w:rsidR="00B1491F" w:rsidRPr="00B24B97" w:rsidRDefault="00B1491F" w:rsidP="001423C2">
      <w:pPr>
        <w:pStyle w:val="NormalWeb"/>
        <w:widowControl w:val="0"/>
        <w:spacing w:before="0" w:beforeAutospacing="0" w:after="0" w:afterAutospacing="0" w:line="276" w:lineRule="auto"/>
        <w:ind w:firstLine="720"/>
        <w:jc w:val="both"/>
        <w:rPr>
          <w:sz w:val="28"/>
          <w:szCs w:val="28"/>
          <w:lang w:val="it-IT"/>
        </w:rPr>
      </w:pPr>
    </w:p>
    <w:p w14:paraId="0F7C10F1" w14:textId="5682B328" w:rsidR="00BA5BD5" w:rsidRPr="00B24B97" w:rsidRDefault="00675BC7" w:rsidP="002150CC">
      <w:pPr>
        <w:pStyle w:val="ListParagraph"/>
        <w:widowControl w:val="0"/>
        <w:spacing w:after="0" w:line="276" w:lineRule="auto"/>
        <w:ind w:left="0"/>
        <w:jc w:val="center"/>
        <w:outlineLvl w:val="0"/>
        <w:rPr>
          <w:rFonts w:ascii="Times New Roman" w:hAnsi="Times New Roman" w:cs="Times New Roman"/>
          <w:b/>
          <w:bCs/>
          <w:sz w:val="28"/>
          <w:szCs w:val="28"/>
        </w:rPr>
      </w:pPr>
      <w:bookmarkStart w:id="15" w:name="_Toc213487914"/>
      <w:r w:rsidRPr="00B24B97">
        <w:rPr>
          <w:rFonts w:ascii="Times New Roman" w:hAnsi="Times New Roman" w:cs="Times New Roman"/>
          <w:b/>
          <w:bCs/>
          <w:sz w:val="28"/>
          <w:szCs w:val="28"/>
        </w:rPr>
        <w:t xml:space="preserve">CAPITOLUL </w:t>
      </w:r>
      <w:r w:rsidR="00BA5BD5" w:rsidRPr="00B24B97">
        <w:rPr>
          <w:rFonts w:ascii="Times New Roman" w:hAnsi="Times New Roman" w:cs="Times New Roman"/>
          <w:b/>
          <w:bCs/>
          <w:sz w:val="28"/>
          <w:szCs w:val="28"/>
        </w:rPr>
        <w:t>V</w:t>
      </w:r>
      <w:r w:rsidR="00B1491F" w:rsidRPr="00B24B97">
        <w:rPr>
          <w:rFonts w:ascii="Times New Roman" w:hAnsi="Times New Roman" w:cs="Times New Roman"/>
          <w:b/>
          <w:bCs/>
          <w:sz w:val="28"/>
          <w:szCs w:val="28"/>
        </w:rPr>
        <w:t>III</w:t>
      </w:r>
      <w:r w:rsidR="00BA5BD5" w:rsidRPr="00B24B97">
        <w:rPr>
          <w:rFonts w:ascii="Times New Roman" w:hAnsi="Times New Roman" w:cs="Times New Roman"/>
          <w:b/>
          <w:bCs/>
          <w:sz w:val="28"/>
          <w:szCs w:val="28"/>
        </w:rPr>
        <w:t xml:space="preserve">. </w:t>
      </w:r>
      <w:r w:rsidR="00D71E39" w:rsidRPr="00B24B97">
        <w:rPr>
          <w:rFonts w:ascii="Times New Roman" w:hAnsi="Times New Roman" w:cs="Times New Roman"/>
          <w:b/>
          <w:bCs/>
          <w:sz w:val="28"/>
          <w:szCs w:val="28"/>
        </w:rPr>
        <w:t xml:space="preserve">CLASIFICAREA ȘI EVALUAREA </w:t>
      </w:r>
      <w:r w:rsidR="002150CC">
        <w:rPr>
          <w:rFonts w:ascii="Times New Roman" w:hAnsi="Times New Roman" w:cs="Times New Roman"/>
          <w:b/>
          <w:bCs/>
          <w:sz w:val="28"/>
          <w:szCs w:val="28"/>
        </w:rPr>
        <w:br/>
      </w:r>
      <w:r w:rsidR="00D71E39" w:rsidRPr="00B24B97">
        <w:rPr>
          <w:rFonts w:ascii="Times New Roman" w:hAnsi="Times New Roman" w:cs="Times New Roman"/>
          <w:b/>
          <w:bCs/>
          <w:sz w:val="28"/>
          <w:szCs w:val="28"/>
        </w:rPr>
        <w:t>CONTRACTELOR DE LEASING</w:t>
      </w:r>
      <w:bookmarkEnd w:id="15"/>
    </w:p>
    <w:p w14:paraId="7D4E97F8" w14:textId="310B3F4B" w:rsidR="007E1AAA" w:rsidRPr="00B24B97" w:rsidRDefault="007E1AAA"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it-IT"/>
        </w:rPr>
        <w:t xml:space="preserve">Conform IFRS 16 „Contracte de leasing”, contractele de leasing sunt clasificate, din perspectiva </w:t>
      </w:r>
      <w:r w:rsidRPr="002150CC">
        <w:rPr>
          <w:b/>
          <w:bCs/>
          <w:sz w:val="28"/>
          <w:szCs w:val="28"/>
          <w:lang w:val="it-IT"/>
        </w:rPr>
        <w:t>locatorului</w:t>
      </w:r>
      <w:r w:rsidRPr="00B24B97">
        <w:rPr>
          <w:sz w:val="28"/>
          <w:szCs w:val="28"/>
          <w:lang w:val="it-IT"/>
        </w:rPr>
        <w:t xml:space="preserve">, fie ca </w:t>
      </w:r>
      <w:r w:rsidRPr="00B24B97">
        <w:rPr>
          <w:i/>
          <w:iCs/>
          <w:sz w:val="28"/>
          <w:szCs w:val="28"/>
          <w:lang w:val="it-IT"/>
        </w:rPr>
        <w:t>leasinguri operaționale</w:t>
      </w:r>
      <w:r w:rsidRPr="00B24B97">
        <w:rPr>
          <w:sz w:val="28"/>
          <w:szCs w:val="28"/>
          <w:lang w:val="it-IT"/>
        </w:rPr>
        <w:t xml:space="preserve">, fie ca </w:t>
      </w:r>
      <w:r w:rsidRPr="00B24B97">
        <w:rPr>
          <w:i/>
          <w:iCs/>
          <w:sz w:val="28"/>
          <w:szCs w:val="28"/>
          <w:lang w:val="it-IT"/>
        </w:rPr>
        <w:t>leasinguri financiare</w:t>
      </w:r>
      <w:r w:rsidRPr="00B24B97">
        <w:rPr>
          <w:sz w:val="28"/>
          <w:szCs w:val="28"/>
          <w:lang w:val="it-IT"/>
        </w:rPr>
        <w:t>, în funcție de transferul riscurilor și beneficiilor aferente dreptului de proprietate asupra activului suport. Standardul definește cele două categorii astfel:</w:t>
      </w:r>
    </w:p>
    <w:p w14:paraId="4B28F5B6" w14:textId="77777777" w:rsidR="007E1AAA" w:rsidRPr="00B24B97" w:rsidRDefault="007E1AAA" w:rsidP="00B01836">
      <w:pPr>
        <w:pStyle w:val="ListParagraph"/>
        <w:widowControl w:val="0"/>
        <w:numPr>
          <w:ilvl w:val="1"/>
          <w:numId w:val="2"/>
        </w:numPr>
        <w:tabs>
          <w:tab w:val="left" w:pos="851"/>
          <w:tab w:val="left" w:pos="1134"/>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i/>
          <w:iCs/>
          <w:sz w:val="28"/>
          <w:szCs w:val="28"/>
        </w:rPr>
        <w:t>Leasingul financiar</w:t>
      </w:r>
      <w:r w:rsidRPr="00B24B97">
        <w:rPr>
          <w:rFonts w:ascii="Times New Roman" w:hAnsi="Times New Roman" w:cs="Times New Roman"/>
          <w:sz w:val="28"/>
          <w:szCs w:val="28"/>
        </w:rPr>
        <w:t xml:space="preserve"> este acel contract de leasing care </w:t>
      </w:r>
      <w:r w:rsidRPr="002150CC">
        <w:rPr>
          <w:rFonts w:ascii="Times New Roman" w:hAnsi="Times New Roman" w:cs="Times New Roman"/>
          <w:b/>
          <w:bCs/>
          <w:sz w:val="28"/>
          <w:szCs w:val="28"/>
        </w:rPr>
        <w:t>transferă</w:t>
      </w:r>
      <w:r w:rsidRPr="00B24B97">
        <w:rPr>
          <w:rFonts w:ascii="Times New Roman" w:hAnsi="Times New Roman" w:cs="Times New Roman"/>
          <w:sz w:val="28"/>
          <w:szCs w:val="28"/>
        </w:rPr>
        <w:t>, în esență, toate riscurile și recompensele aferente dreptului de proprietate asupra activului-suport;</w:t>
      </w:r>
    </w:p>
    <w:p w14:paraId="7D672141" w14:textId="1DC73746" w:rsidR="007E1AAA" w:rsidRPr="00B24B97" w:rsidRDefault="007E1AAA" w:rsidP="00B01836">
      <w:pPr>
        <w:pStyle w:val="ListParagraph"/>
        <w:widowControl w:val="0"/>
        <w:numPr>
          <w:ilvl w:val="1"/>
          <w:numId w:val="2"/>
        </w:numPr>
        <w:tabs>
          <w:tab w:val="left" w:pos="851"/>
          <w:tab w:val="left" w:pos="1134"/>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i/>
          <w:iCs/>
          <w:sz w:val="28"/>
          <w:szCs w:val="28"/>
        </w:rPr>
        <w:t>Leasingul operațional</w:t>
      </w:r>
      <w:r w:rsidRPr="00B24B97">
        <w:rPr>
          <w:rFonts w:ascii="Times New Roman" w:hAnsi="Times New Roman" w:cs="Times New Roman"/>
          <w:sz w:val="28"/>
          <w:szCs w:val="28"/>
        </w:rPr>
        <w:t xml:space="preserve"> este acel contract de leasing care </w:t>
      </w:r>
      <w:r w:rsidRPr="002150CC">
        <w:rPr>
          <w:rFonts w:ascii="Times New Roman" w:hAnsi="Times New Roman" w:cs="Times New Roman"/>
          <w:b/>
          <w:bCs/>
          <w:sz w:val="28"/>
          <w:szCs w:val="28"/>
        </w:rPr>
        <w:t>nu transferă</w:t>
      </w:r>
      <w:r w:rsidRPr="00B24B97">
        <w:rPr>
          <w:rFonts w:ascii="Times New Roman" w:hAnsi="Times New Roman" w:cs="Times New Roman"/>
          <w:sz w:val="28"/>
          <w:szCs w:val="28"/>
        </w:rPr>
        <w:t xml:space="preserve">, în esență, toate riscurile și recompensele aferente dreptului de proprietate </w:t>
      </w:r>
      <w:r w:rsidR="007D3713" w:rsidRPr="00B24B97">
        <w:rPr>
          <w:rFonts w:ascii="Times New Roman" w:hAnsi="Times New Roman" w:cs="Times New Roman"/>
          <w:sz w:val="28"/>
          <w:szCs w:val="28"/>
        </w:rPr>
        <w:t>asupra</w:t>
      </w:r>
      <w:r w:rsidRPr="00B24B97">
        <w:rPr>
          <w:rFonts w:ascii="Times New Roman" w:hAnsi="Times New Roman" w:cs="Times New Roman"/>
          <w:sz w:val="28"/>
          <w:szCs w:val="28"/>
        </w:rPr>
        <w:t xml:space="preserve"> unui activ-suport.</w:t>
      </w:r>
    </w:p>
    <w:p w14:paraId="62342FC7" w14:textId="77777777" w:rsidR="007D3713" w:rsidRPr="00B24B97" w:rsidRDefault="007E1AAA" w:rsidP="00B01836">
      <w:pPr>
        <w:pStyle w:val="ListParagraph"/>
        <w:widowControl w:val="0"/>
        <w:numPr>
          <w:ilvl w:val="0"/>
          <w:numId w:val="2"/>
        </w:numPr>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 xml:space="preserve">În ceea ce privește </w:t>
      </w:r>
      <w:r w:rsidRPr="002150CC">
        <w:rPr>
          <w:rFonts w:ascii="Times New Roman" w:hAnsi="Times New Roman" w:cs="Times New Roman"/>
          <w:b/>
          <w:bCs/>
          <w:sz w:val="28"/>
          <w:szCs w:val="28"/>
        </w:rPr>
        <w:t>locatarul</w:t>
      </w:r>
      <w:r w:rsidRPr="00B24B97">
        <w:rPr>
          <w:rFonts w:ascii="Times New Roman" w:hAnsi="Times New Roman" w:cs="Times New Roman"/>
          <w:sz w:val="28"/>
          <w:szCs w:val="28"/>
        </w:rPr>
        <w:t xml:space="preserve">, IFRS 16 impune recunoașterea, în situațiile financiare, a: </w:t>
      </w:r>
    </w:p>
    <w:p w14:paraId="3E8601A8" w14:textId="77777777" w:rsidR="007D3713" w:rsidRPr="00B24B97" w:rsidRDefault="007E1AAA" w:rsidP="00B01836">
      <w:pPr>
        <w:pStyle w:val="ListParagraph"/>
        <w:widowControl w:val="0"/>
        <w:numPr>
          <w:ilvl w:val="1"/>
          <w:numId w:val="2"/>
        </w:numPr>
        <w:tabs>
          <w:tab w:val="left" w:pos="1134"/>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 xml:space="preserve">unui </w:t>
      </w:r>
      <w:r w:rsidRPr="00B24B97">
        <w:rPr>
          <w:rFonts w:ascii="Times New Roman" w:hAnsi="Times New Roman" w:cs="Times New Roman"/>
          <w:i/>
          <w:iCs/>
          <w:sz w:val="28"/>
          <w:szCs w:val="28"/>
        </w:rPr>
        <w:t xml:space="preserve">activ aferent dreptului de utilizare </w:t>
      </w:r>
      <w:r w:rsidRPr="00B24B97">
        <w:rPr>
          <w:rFonts w:ascii="Times New Roman" w:hAnsi="Times New Roman" w:cs="Times New Roman"/>
          <w:sz w:val="28"/>
          <w:szCs w:val="28"/>
        </w:rPr>
        <w:t xml:space="preserve">(right-of-use asset) privind activul închiriat; și </w:t>
      </w:r>
    </w:p>
    <w:p w14:paraId="5F2EA8B3" w14:textId="490777A6" w:rsidR="007E1AAA" w:rsidRPr="00B24B97" w:rsidRDefault="007E1AAA" w:rsidP="00B01836">
      <w:pPr>
        <w:pStyle w:val="ListParagraph"/>
        <w:widowControl w:val="0"/>
        <w:numPr>
          <w:ilvl w:val="1"/>
          <w:numId w:val="2"/>
        </w:numPr>
        <w:tabs>
          <w:tab w:val="left" w:pos="1134"/>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 xml:space="preserve">unei </w:t>
      </w:r>
      <w:r w:rsidRPr="00B24B97">
        <w:rPr>
          <w:rFonts w:ascii="Times New Roman" w:hAnsi="Times New Roman" w:cs="Times New Roman"/>
          <w:i/>
          <w:iCs/>
          <w:sz w:val="28"/>
          <w:szCs w:val="28"/>
        </w:rPr>
        <w:t xml:space="preserve">datorii aferente obligațiilor de plată </w:t>
      </w:r>
      <w:r w:rsidRPr="00B24B97">
        <w:rPr>
          <w:rFonts w:ascii="Times New Roman" w:hAnsi="Times New Roman" w:cs="Times New Roman"/>
          <w:sz w:val="28"/>
          <w:szCs w:val="28"/>
        </w:rPr>
        <w:t>rezultate din contractul de leasing.</w:t>
      </w:r>
    </w:p>
    <w:p w14:paraId="24077BE7" w14:textId="3D7DBD92" w:rsidR="00D53783" w:rsidRPr="00B24B97" w:rsidRDefault="00D53783"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ro-RO"/>
        </w:rPr>
        <w:t xml:space="preserve">Evaluările </w:t>
      </w:r>
      <w:r w:rsidR="007D3713" w:rsidRPr="00B24B97">
        <w:rPr>
          <w:sz w:val="28"/>
          <w:szCs w:val="28"/>
          <w:lang w:val="ro-RO"/>
        </w:rPr>
        <w:t xml:space="preserve">în contextul leasingurilor </w:t>
      </w:r>
      <w:r w:rsidRPr="00B24B97">
        <w:rPr>
          <w:sz w:val="28"/>
          <w:szCs w:val="28"/>
          <w:lang w:val="ro-RO"/>
        </w:rPr>
        <w:t xml:space="preserve">pot fi solicitate în diverse situații, cum ar fi: </w:t>
      </w:r>
    </w:p>
    <w:p w14:paraId="34940EB3" w14:textId="6834487C" w:rsidR="00D53783" w:rsidRPr="00B24B97" w:rsidRDefault="00D53783" w:rsidP="00B01836">
      <w:pPr>
        <w:pStyle w:val="NormalWeb"/>
        <w:widowControl w:val="0"/>
        <w:numPr>
          <w:ilvl w:val="1"/>
          <w:numId w:val="2"/>
        </w:numPr>
        <w:tabs>
          <w:tab w:val="left" w:pos="993"/>
        </w:tabs>
        <w:spacing w:before="0" w:beforeAutospacing="0" w:after="0" w:afterAutospacing="0" w:line="276" w:lineRule="auto"/>
        <w:ind w:left="0" w:firstLine="720"/>
        <w:jc w:val="both"/>
        <w:rPr>
          <w:sz w:val="28"/>
          <w:szCs w:val="28"/>
          <w:lang w:val="ro-RO"/>
        </w:rPr>
      </w:pPr>
      <w:r w:rsidRPr="00B24B97">
        <w:rPr>
          <w:sz w:val="28"/>
          <w:szCs w:val="28"/>
          <w:lang w:val="ro-RO"/>
        </w:rPr>
        <w:t xml:space="preserve">pentru </w:t>
      </w:r>
      <w:r w:rsidRPr="00B24B97">
        <w:rPr>
          <w:i/>
          <w:iCs/>
          <w:sz w:val="28"/>
          <w:szCs w:val="28"/>
          <w:lang w:val="ro-RO"/>
        </w:rPr>
        <w:t>determinarea clasificării unui contract de leasing</w:t>
      </w:r>
      <w:r w:rsidRPr="00B24B97">
        <w:rPr>
          <w:sz w:val="28"/>
          <w:szCs w:val="28"/>
          <w:lang w:val="ro-RO"/>
        </w:rPr>
        <w:t xml:space="preserve"> din perspectiva locatorului; </w:t>
      </w:r>
    </w:p>
    <w:p w14:paraId="0207992B" w14:textId="75AE0C38" w:rsidR="00D53783" w:rsidRPr="00B24B97" w:rsidRDefault="00D53783" w:rsidP="00B01836">
      <w:pPr>
        <w:pStyle w:val="NormalWeb"/>
        <w:widowControl w:val="0"/>
        <w:numPr>
          <w:ilvl w:val="1"/>
          <w:numId w:val="2"/>
        </w:numPr>
        <w:tabs>
          <w:tab w:val="left" w:pos="993"/>
        </w:tabs>
        <w:spacing w:before="0" w:beforeAutospacing="0" w:after="0" w:afterAutospacing="0" w:line="276" w:lineRule="auto"/>
        <w:ind w:left="0" w:firstLine="720"/>
        <w:jc w:val="both"/>
        <w:rPr>
          <w:sz w:val="28"/>
          <w:szCs w:val="28"/>
          <w:lang w:val="ro-RO"/>
        </w:rPr>
      </w:pPr>
      <w:r w:rsidRPr="00B24B97">
        <w:rPr>
          <w:sz w:val="28"/>
          <w:szCs w:val="28"/>
          <w:lang w:val="ro-RO"/>
        </w:rPr>
        <w:t>pentru</w:t>
      </w:r>
      <w:r w:rsidR="00DE7482" w:rsidRPr="00B24B97">
        <w:rPr>
          <w:sz w:val="28"/>
          <w:szCs w:val="28"/>
          <w:lang w:val="ro-RO"/>
        </w:rPr>
        <w:t xml:space="preserve"> </w:t>
      </w:r>
      <w:r w:rsidRPr="00B24B97">
        <w:rPr>
          <w:i/>
          <w:iCs/>
          <w:sz w:val="28"/>
          <w:szCs w:val="28"/>
          <w:lang w:val="ro-RO"/>
        </w:rPr>
        <w:t xml:space="preserve">recunoașterea activelor de tip „drept de </w:t>
      </w:r>
      <w:r w:rsidR="00DE7482" w:rsidRPr="00B24B97">
        <w:rPr>
          <w:i/>
          <w:iCs/>
          <w:sz w:val="28"/>
          <w:szCs w:val="28"/>
          <w:lang w:val="ro-RO"/>
        </w:rPr>
        <w:t>folosință</w:t>
      </w:r>
      <w:r w:rsidRPr="00B24B97">
        <w:rPr>
          <w:i/>
          <w:iCs/>
          <w:sz w:val="28"/>
          <w:szCs w:val="28"/>
          <w:lang w:val="ro-RO"/>
        </w:rPr>
        <w:t>” la valoarea justă</w:t>
      </w:r>
      <w:r w:rsidRPr="00B24B97">
        <w:rPr>
          <w:sz w:val="28"/>
          <w:szCs w:val="28"/>
          <w:lang w:val="ro-RO"/>
        </w:rPr>
        <w:t>, în cazul locatarului – în special în cadrul tranzacțiilor de combinare de întreprinderi, reorganizări sau reevaluări.</w:t>
      </w:r>
    </w:p>
    <w:p w14:paraId="61677657" w14:textId="77777777" w:rsidR="00D53783" w:rsidRPr="00B24B97" w:rsidRDefault="00D53783"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ro-RO"/>
        </w:rPr>
        <w:t xml:space="preserve">Atunci când </w:t>
      </w:r>
      <w:r w:rsidRPr="00B24B97">
        <w:rPr>
          <w:i/>
          <w:iCs/>
          <w:sz w:val="28"/>
          <w:szCs w:val="28"/>
          <w:lang w:val="ro-RO"/>
        </w:rPr>
        <w:t>termenii contractuali diferă de condițiile curente de piață</w:t>
      </w:r>
      <w:r w:rsidRPr="00B24B97">
        <w:rPr>
          <w:sz w:val="28"/>
          <w:szCs w:val="28"/>
          <w:lang w:val="ro-RO"/>
        </w:rPr>
        <w:t xml:space="preserve"> la data evaluării, este posibil ca valoarea activului (dreptul de utilizare) să difere de valoarea datoriei aferente leasingului, deoarece: </w:t>
      </w:r>
    </w:p>
    <w:p w14:paraId="34D85E53" w14:textId="77777777" w:rsidR="00D53783" w:rsidRPr="00B24B97" w:rsidRDefault="00D53783" w:rsidP="00B01836">
      <w:pPr>
        <w:pStyle w:val="NormalWeb"/>
        <w:widowControl w:val="0"/>
        <w:numPr>
          <w:ilvl w:val="1"/>
          <w:numId w:val="2"/>
        </w:numPr>
        <w:tabs>
          <w:tab w:val="left" w:pos="993"/>
        </w:tabs>
        <w:spacing w:before="0" w:beforeAutospacing="0" w:after="0" w:afterAutospacing="0" w:line="276" w:lineRule="auto"/>
        <w:ind w:left="0" w:firstLine="720"/>
        <w:jc w:val="both"/>
        <w:rPr>
          <w:sz w:val="28"/>
          <w:szCs w:val="28"/>
          <w:lang w:val="ro-RO"/>
        </w:rPr>
      </w:pPr>
      <w:r w:rsidRPr="00B24B97">
        <w:rPr>
          <w:sz w:val="28"/>
          <w:szCs w:val="28"/>
          <w:lang w:val="ro-RO"/>
        </w:rPr>
        <w:lastRenderedPageBreak/>
        <w:t xml:space="preserve">activul trebuie să reflecte valoarea prezentă a beneficiilor economice viitoare pe care entitatea le așteaptă de la utilizarea activului, de exemplu, valoarea actualizată a chiriei de piață pentru perioada contractuală rămasă; </w:t>
      </w:r>
    </w:p>
    <w:p w14:paraId="725D9701" w14:textId="77777777" w:rsidR="00D53783" w:rsidRPr="00B24B97" w:rsidRDefault="00D53783" w:rsidP="00B01836">
      <w:pPr>
        <w:pStyle w:val="NormalWeb"/>
        <w:widowControl w:val="0"/>
        <w:numPr>
          <w:ilvl w:val="1"/>
          <w:numId w:val="2"/>
        </w:numPr>
        <w:tabs>
          <w:tab w:val="left" w:pos="993"/>
        </w:tabs>
        <w:spacing w:before="0" w:beforeAutospacing="0" w:after="0" w:afterAutospacing="0" w:line="276" w:lineRule="auto"/>
        <w:ind w:left="0" w:firstLine="720"/>
        <w:jc w:val="both"/>
        <w:rPr>
          <w:sz w:val="28"/>
          <w:szCs w:val="28"/>
          <w:lang w:val="ro-RO"/>
        </w:rPr>
      </w:pPr>
      <w:r w:rsidRPr="00B24B97">
        <w:rPr>
          <w:sz w:val="28"/>
          <w:szCs w:val="28"/>
          <w:lang w:val="ro-RO"/>
        </w:rPr>
        <w:t>datoria este determinată ca valoarea prezentă a obligațiilor viitoare de plată stipulate în contract, fără ajustări pentru condiții de piață.</w:t>
      </w:r>
    </w:p>
    <w:p w14:paraId="7C88A2F8" w14:textId="395AFB0B" w:rsidR="00D53783" w:rsidRPr="00B24B97" w:rsidRDefault="00D53783" w:rsidP="001423C2">
      <w:pPr>
        <w:pStyle w:val="NormalWeb"/>
        <w:widowControl w:val="0"/>
        <w:spacing w:before="0" w:beforeAutospacing="0" w:after="0" w:afterAutospacing="0" w:line="276" w:lineRule="auto"/>
        <w:ind w:firstLine="720"/>
        <w:jc w:val="both"/>
        <w:rPr>
          <w:sz w:val="28"/>
          <w:szCs w:val="28"/>
          <w:lang w:val="ro-RO"/>
        </w:rPr>
      </w:pPr>
      <w:r w:rsidRPr="00B24B97">
        <w:rPr>
          <w:sz w:val="28"/>
          <w:szCs w:val="28"/>
          <w:lang w:val="it-IT"/>
        </w:rPr>
        <w:t>Dacă valoarea activului aferent dreptului de utilizare depășește valoarea datoriei de leasing, atunci diferența reprezintă un contract avantajos (benefic) pentru locatar.</w:t>
      </w:r>
    </w:p>
    <w:p w14:paraId="3B61940F" w14:textId="2066462A" w:rsidR="00D53783" w:rsidRPr="00B24B97" w:rsidRDefault="00D53783" w:rsidP="00B01836">
      <w:pPr>
        <w:pStyle w:val="ListParagraph"/>
        <w:widowControl w:val="0"/>
        <w:numPr>
          <w:ilvl w:val="0"/>
          <w:numId w:val="2"/>
        </w:numPr>
        <w:spacing w:after="0" w:line="276" w:lineRule="auto"/>
        <w:ind w:left="0" w:firstLine="720"/>
        <w:jc w:val="both"/>
        <w:rPr>
          <w:rFonts w:ascii="Times New Roman" w:hAnsi="Times New Roman" w:cs="Times New Roman"/>
          <w:sz w:val="28"/>
          <w:szCs w:val="28"/>
          <w:lang w:val="it-IT"/>
        </w:rPr>
      </w:pPr>
      <w:r w:rsidRPr="00B24B97">
        <w:rPr>
          <w:rFonts w:ascii="Times New Roman" w:hAnsi="Times New Roman" w:cs="Times New Roman"/>
          <w:sz w:val="28"/>
          <w:szCs w:val="28"/>
          <w:lang w:val="it-IT"/>
        </w:rPr>
        <w:t>Evoluția valorilor pe parcursul contractului.</w:t>
      </w:r>
      <w:r w:rsidRPr="00B24B97">
        <w:rPr>
          <w:rFonts w:ascii="Times New Roman" w:hAnsi="Times New Roman" w:cs="Times New Roman"/>
          <w:b/>
          <w:bCs/>
          <w:sz w:val="28"/>
          <w:szCs w:val="28"/>
          <w:lang w:val="it-IT"/>
        </w:rPr>
        <w:t xml:space="preserve"> </w:t>
      </w:r>
      <w:r w:rsidRPr="00B24B97">
        <w:rPr>
          <w:rFonts w:ascii="Times New Roman" w:hAnsi="Times New Roman" w:cs="Times New Roman"/>
          <w:sz w:val="28"/>
          <w:szCs w:val="28"/>
          <w:lang w:val="it-IT"/>
        </w:rPr>
        <w:t>Deși la momentul recunoașterii inițiale, activul și datoria sunt de regulă egale, modelele diferite de amortizare aplicabile activului și datoriei vor conduce, în timp, la diferențe între valorile contabile ale acestora. În cazul unei reevaluări ulterioare, de exemplu în contextul alocării unui preț de achiziție într-o combinare de întreprinderi, atât activul (dreptul de utilizare), cât și datoria de leasing trebuie să fie reestimate pe baza condițiilor curente de piață și a duratei contractuale rămase.</w:t>
      </w:r>
    </w:p>
    <w:p w14:paraId="7A17DFD0" w14:textId="4EF44E76" w:rsidR="002E21BF" w:rsidRPr="00B24B97" w:rsidRDefault="002E21BF" w:rsidP="00B01836">
      <w:pPr>
        <w:pStyle w:val="ListParagraph"/>
        <w:widowControl w:val="0"/>
        <w:numPr>
          <w:ilvl w:val="0"/>
          <w:numId w:val="2"/>
        </w:numPr>
        <w:spacing w:after="0" w:line="276" w:lineRule="auto"/>
        <w:ind w:left="0" w:firstLine="720"/>
        <w:jc w:val="both"/>
        <w:rPr>
          <w:rFonts w:ascii="Times New Roman" w:hAnsi="Times New Roman" w:cs="Times New Roman"/>
          <w:b/>
          <w:sz w:val="28"/>
          <w:szCs w:val="28"/>
        </w:rPr>
      </w:pPr>
      <w:r w:rsidRPr="00B24B97">
        <w:rPr>
          <w:rFonts w:ascii="Times New Roman" w:hAnsi="Times New Roman" w:cs="Times New Roman"/>
          <w:sz w:val="28"/>
          <w:szCs w:val="28"/>
          <w:lang w:val="it-IT"/>
        </w:rPr>
        <w:t xml:space="preserve">Pentru contractele de leasing care au ca obiect proprietăți imobiliare, se aplică reguli specifice, diferite de cele aplicabile altor categorii de active, concretizările sunt prezentate în compartimentul </w:t>
      </w:r>
      <w:r w:rsidR="007D3713" w:rsidRPr="00B24B97">
        <w:rPr>
          <w:rFonts w:ascii="Times New Roman" w:hAnsi="Times New Roman" w:cs="Times New Roman"/>
          <w:sz w:val="28"/>
          <w:szCs w:val="28"/>
          <w:lang w:val="it-IT"/>
        </w:rPr>
        <w:t>„</w:t>
      </w:r>
      <w:r w:rsidRPr="00B24B97">
        <w:rPr>
          <w:rFonts w:ascii="Times New Roman" w:hAnsi="Times New Roman" w:cs="Times New Roman"/>
          <w:sz w:val="28"/>
          <w:szCs w:val="28"/>
        </w:rPr>
        <w:t>Investiția imobiliară în leasing</w:t>
      </w:r>
      <w:r w:rsidR="007D3713" w:rsidRPr="002150CC">
        <w:rPr>
          <w:rFonts w:ascii="Times New Roman" w:hAnsi="Times New Roman" w:cs="Times New Roman"/>
          <w:sz w:val="28"/>
          <w:szCs w:val="28"/>
        </w:rPr>
        <w:t>”</w:t>
      </w:r>
      <w:r w:rsidRPr="002150CC">
        <w:rPr>
          <w:rFonts w:ascii="Times New Roman" w:hAnsi="Times New Roman" w:cs="Times New Roman"/>
          <w:sz w:val="28"/>
          <w:szCs w:val="28"/>
        </w:rPr>
        <w:t xml:space="preserve">. </w:t>
      </w:r>
      <w:r w:rsidRPr="00B24B97">
        <w:rPr>
          <w:rFonts w:ascii="Times New Roman" w:hAnsi="Times New Roman" w:cs="Times New Roman"/>
          <w:sz w:val="28"/>
          <w:szCs w:val="28"/>
        </w:rPr>
        <w:t xml:space="preserve">IFRS 16 nu se aplică pentru activele biologice, acestea se supun prevederilor IAS 41 </w:t>
      </w:r>
      <w:r w:rsidRPr="00B24B97">
        <w:rPr>
          <w:rFonts w:ascii="Times New Roman" w:hAnsi="Times New Roman" w:cs="Times New Roman"/>
          <w:bCs/>
          <w:i/>
          <w:sz w:val="28"/>
          <w:szCs w:val="28"/>
        </w:rPr>
        <w:t>Agricultura</w:t>
      </w:r>
      <w:r w:rsidRPr="00B24B97">
        <w:rPr>
          <w:rFonts w:ascii="Times New Roman" w:hAnsi="Times New Roman" w:cs="Times New Roman"/>
          <w:b/>
          <w:i/>
          <w:sz w:val="28"/>
          <w:szCs w:val="28"/>
        </w:rPr>
        <w:t xml:space="preserve">. </w:t>
      </w:r>
    </w:p>
    <w:p w14:paraId="604316FD" w14:textId="77777777" w:rsidR="002E21BF" w:rsidRPr="00B24B97" w:rsidRDefault="002E21BF" w:rsidP="001423C2">
      <w:pPr>
        <w:pStyle w:val="ListParagraph"/>
        <w:widowControl w:val="0"/>
        <w:spacing w:after="0" w:line="276" w:lineRule="auto"/>
        <w:ind w:left="0" w:firstLine="720"/>
        <w:jc w:val="both"/>
        <w:rPr>
          <w:rFonts w:ascii="Times New Roman" w:hAnsi="Times New Roman" w:cs="Times New Roman"/>
          <w:b/>
          <w:bCs/>
          <w:sz w:val="28"/>
          <w:szCs w:val="28"/>
        </w:rPr>
      </w:pPr>
    </w:p>
    <w:p w14:paraId="39ED95C3" w14:textId="383D5351" w:rsidR="002E21BF" w:rsidRPr="00B24B97" w:rsidRDefault="002E21BF" w:rsidP="00CC4EC5">
      <w:pPr>
        <w:pStyle w:val="ListParagraph"/>
        <w:widowControl w:val="0"/>
        <w:numPr>
          <w:ilvl w:val="0"/>
          <w:numId w:val="5"/>
        </w:numPr>
        <w:spacing w:after="0" w:line="276" w:lineRule="auto"/>
        <w:jc w:val="both"/>
        <w:outlineLvl w:val="1"/>
        <w:rPr>
          <w:rFonts w:ascii="Times New Roman" w:hAnsi="Times New Roman" w:cs="Times New Roman"/>
          <w:b/>
          <w:bCs/>
          <w:sz w:val="28"/>
          <w:szCs w:val="28"/>
        </w:rPr>
      </w:pPr>
      <w:bookmarkStart w:id="16" w:name="_Toc213487915"/>
      <w:r w:rsidRPr="00B24B97">
        <w:rPr>
          <w:rFonts w:ascii="Times New Roman" w:hAnsi="Times New Roman" w:cs="Times New Roman"/>
          <w:b/>
          <w:bCs/>
          <w:sz w:val="28"/>
          <w:szCs w:val="28"/>
        </w:rPr>
        <w:t>Clasificarea contractelor de leasing din perspectiva locatorului</w:t>
      </w:r>
      <w:bookmarkEnd w:id="16"/>
      <w:r w:rsidRPr="00B24B97">
        <w:rPr>
          <w:rFonts w:ascii="Times New Roman" w:hAnsi="Times New Roman" w:cs="Times New Roman"/>
          <w:b/>
          <w:bCs/>
          <w:sz w:val="28"/>
          <w:szCs w:val="28"/>
        </w:rPr>
        <w:t xml:space="preserve"> </w:t>
      </w:r>
    </w:p>
    <w:p w14:paraId="61BD0071" w14:textId="72D176DA" w:rsidR="00B5504C" w:rsidRPr="00B24B97" w:rsidRDefault="00B5504C" w:rsidP="00B01836">
      <w:pPr>
        <w:pStyle w:val="ListParagraph"/>
        <w:widowControl w:val="0"/>
        <w:numPr>
          <w:ilvl w:val="0"/>
          <w:numId w:val="2"/>
        </w:numPr>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lang w:val="it-IT"/>
        </w:rPr>
        <w:t xml:space="preserve">Clasificarea unui contract ca leasing nu depinde de denumirea sa formală, ci de substanța economică a dispozițiilor contractuale. Astfel, </w:t>
      </w:r>
      <w:r w:rsidRPr="00B24B97">
        <w:rPr>
          <w:rFonts w:ascii="Times New Roman" w:hAnsi="Times New Roman" w:cs="Times New Roman"/>
          <w:i/>
          <w:iCs/>
          <w:sz w:val="28"/>
          <w:szCs w:val="28"/>
          <w:lang w:val="it-IT"/>
        </w:rPr>
        <w:t>testul de clasificare</w:t>
      </w:r>
      <w:r w:rsidRPr="00B24B97">
        <w:rPr>
          <w:rFonts w:ascii="Times New Roman" w:hAnsi="Times New Roman" w:cs="Times New Roman"/>
          <w:sz w:val="28"/>
          <w:szCs w:val="28"/>
          <w:lang w:val="it-IT"/>
        </w:rPr>
        <w:t xml:space="preserve"> </w:t>
      </w:r>
      <w:r w:rsidR="00212F09">
        <w:rPr>
          <w:rFonts w:ascii="Times New Roman" w:hAnsi="Times New Roman" w:cs="Times New Roman"/>
          <w:sz w:val="28"/>
          <w:szCs w:val="28"/>
          <w:lang w:val="it-IT"/>
        </w:rPr>
        <w:t>din A</w:t>
      </w:r>
      <w:r w:rsidRPr="00B24B97">
        <w:rPr>
          <w:rFonts w:ascii="Times New Roman" w:hAnsi="Times New Roman" w:cs="Times New Roman"/>
          <w:sz w:val="28"/>
          <w:szCs w:val="28"/>
          <w:lang w:val="it-IT"/>
        </w:rPr>
        <w:t xml:space="preserve">nexa </w:t>
      </w:r>
      <w:r w:rsidR="00CC4EC5">
        <w:rPr>
          <w:rFonts w:ascii="Times New Roman" w:hAnsi="Times New Roman" w:cs="Times New Roman"/>
          <w:sz w:val="28"/>
          <w:szCs w:val="28"/>
          <w:lang w:val="it-IT"/>
        </w:rPr>
        <w:t>nr.</w:t>
      </w:r>
      <w:r w:rsidR="00DE7482" w:rsidRPr="00B24B97">
        <w:rPr>
          <w:rFonts w:ascii="Times New Roman" w:hAnsi="Times New Roman" w:cs="Times New Roman"/>
          <w:sz w:val="28"/>
          <w:szCs w:val="28"/>
          <w:lang w:val="it-IT"/>
        </w:rPr>
        <w:t>2</w:t>
      </w:r>
      <w:r w:rsidR="00212F09">
        <w:rPr>
          <w:rFonts w:ascii="Times New Roman" w:hAnsi="Times New Roman" w:cs="Times New Roman"/>
          <w:sz w:val="28"/>
          <w:szCs w:val="28"/>
          <w:lang w:val="it-IT"/>
        </w:rPr>
        <w:t>,</w:t>
      </w:r>
      <w:r w:rsidRPr="00B24B97">
        <w:rPr>
          <w:rFonts w:ascii="Times New Roman" w:hAnsi="Times New Roman" w:cs="Times New Roman"/>
          <w:sz w:val="28"/>
          <w:szCs w:val="28"/>
          <w:lang w:val="it-IT"/>
        </w:rPr>
        <w:t xml:space="preserve"> se bazează pe conținutul real al contractului, și nu pe forma sau denumirea acestuia. De exemplu, un contract încheiat între două părți pentru utilizarea unui activ în schimbul unei plăți poate să nu fie denumit în mod expres „contract de leasing”. Cu toate acestea, dacă sunt îndeplinite condițiile prevăzute de IFRS 16 (cum ar fi identificarea unui activ determinat și transferul dreptului de control asupra utilizării acestuia), contractul va trebui tratat </w:t>
      </w:r>
      <w:r w:rsidRPr="00B24B97">
        <w:rPr>
          <w:rFonts w:ascii="Times New Roman" w:hAnsi="Times New Roman" w:cs="Times New Roman"/>
          <w:sz w:val="28"/>
          <w:szCs w:val="28"/>
        </w:rPr>
        <w:t>contabil ca un contract de leasing.</w:t>
      </w:r>
    </w:p>
    <w:p w14:paraId="73AC2131" w14:textId="44BC5A30" w:rsidR="00D53783" w:rsidRPr="00B24B97" w:rsidRDefault="0006144D" w:rsidP="00B01836">
      <w:pPr>
        <w:pStyle w:val="ListParagraph"/>
        <w:widowControl w:val="0"/>
        <w:numPr>
          <w:ilvl w:val="0"/>
          <w:numId w:val="2"/>
        </w:numPr>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IFRS 16 concretizează că clasificarea contractelor în leasing financiar sau leasing operațional depinde de esența tranzacției și nu de forma contractului.</w:t>
      </w:r>
      <w:r w:rsidR="00BF3719" w:rsidRPr="00B24B97">
        <w:rPr>
          <w:rFonts w:ascii="Times New Roman" w:hAnsi="Times New Roman" w:cs="Times New Roman"/>
          <w:sz w:val="28"/>
          <w:szCs w:val="28"/>
        </w:rPr>
        <w:t xml:space="preserve"> În următoarele situații, examinate individual sau în combinație, contractul de leasing este clasificat drept leasing financiar (exemple):   </w:t>
      </w:r>
    </w:p>
    <w:p w14:paraId="5646C59C" w14:textId="3916F88F" w:rsidR="00BF3719" w:rsidRPr="00B24B97" w:rsidRDefault="00BF3719" w:rsidP="00B01836">
      <w:pPr>
        <w:pStyle w:val="ListParagraph"/>
        <w:widowControl w:val="0"/>
        <w:numPr>
          <w:ilvl w:val="1"/>
          <w:numId w:val="2"/>
        </w:numPr>
        <w:tabs>
          <w:tab w:val="left" w:pos="993"/>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contractul de leasing transferă locatarului titlul de proprietate asupra activului-suport până la sfârșitul duratei contractului de leasing;</w:t>
      </w:r>
    </w:p>
    <w:p w14:paraId="7417DCBE" w14:textId="61A150E6" w:rsidR="00BF3719" w:rsidRPr="00B24B97" w:rsidRDefault="00BF3719" w:rsidP="00B01836">
      <w:pPr>
        <w:pStyle w:val="ListParagraph"/>
        <w:widowControl w:val="0"/>
        <w:numPr>
          <w:ilvl w:val="1"/>
          <w:numId w:val="2"/>
        </w:numPr>
        <w:tabs>
          <w:tab w:val="left" w:pos="993"/>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 xml:space="preserve">locatarul are opțiunea de a cumpăra activul-suport la un preț preconizat a fi </w:t>
      </w:r>
      <w:r w:rsidRPr="00B24B97">
        <w:rPr>
          <w:rFonts w:ascii="Times New Roman" w:hAnsi="Times New Roman" w:cs="Times New Roman"/>
          <w:sz w:val="28"/>
          <w:szCs w:val="28"/>
        </w:rPr>
        <w:lastRenderedPageBreak/>
        <w:t>suficient de scăzut față de valoarea justă la data la care opțiunea devine exercitabilă încât, la data inițierii contractului de leasing, există certitudinea rezonabilă că opțiunea va fi exercitată;</w:t>
      </w:r>
    </w:p>
    <w:p w14:paraId="527C5484" w14:textId="09248AF5" w:rsidR="00BF3719" w:rsidRPr="00B24B97" w:rsidRDefault="00BF3719" w:rsidP="00B01836">
      <w:pPr>
        <w:pStyle w:val="ListParagraph"/>
        <w:widowControl w:val="0"/>
        <w:numPr>
          <w:ilvl w:val="1"/>
          <w:numId w:val="2"/>
        </w:numPr>
        <w:tabs>
          <w:tab w:val="left" w:pos="993"/>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 xml:space="preserve">durata contractului de leasing acoperă, în cea mai mare parte, durata de </w:t>
      </w:r>
      <w:r w:rsidR="007D3713" w:rsidRPr="00B24B97">
        <w:rPr>
          <w:rFonts w:ascii="Times New Roman" w:hAnsi="Times New Roman" w:cs="Times New Roman"/>
          <w:sz w:val="28"/>
          <w:szCs w:val="28"/>
        </w:rPr>
        <w:t>viață</w:t>
      </w:r>
      <w:r w:rsidRPr="00B24B97">
        <w:rPr>
          <w:rFonts w:ascii="Times New Roman" w:hAnsi="Times New Roman" w:cs="Times New Roman"/>
          <w:sz w:val="28"/>
          <w:szCs w:val="28"/>
        </w:rPr>
        <w:t xml:space="preserve"> economică a activului-suport, chiar dacă titlul de proprietate nu este transferat;</w:t>
      </w:r>
    </w:p>
    <w:p w14:paraId="06C33096" w14:textId="6F525530" w:rsidR="00BF3719" w:rsidRPr="00B24B97" w:rsidRDefault="00BF3719" w:rsidP="00B01836">
      <w:pPr>
        <w:pStyle w:val="ListParagraph"/>
        <w:widowControl w:val="0"/>
        <w:numPr>
          <w:ilvl w:val="1"/>
          <w:numId w:val="2"/>
        </w:numPr>
        <w:tabs>
          <w:tab w:val="left" w:pos="993"/>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la data inițierii contractului de leasing, valoarea actualizată a plăților de leasing este cel puțin egală cu întreaga valoare justă a activului-suport; și</w:t>
      </w:r>
    </w:p>
    <w:p w14:paraId="092B9BCC" w14:textId="37152CA0" w:rsidR="00BF3719" w:rsidRPr="00B24B97" w:rsidRDefault="00BF3719" w:rsidP="00B01836">
      <w:pPr>
        <w:pStyle w:val="ListParagraph"/>
        <w:widowControl w:val="0"/>
        <w:numPr>
          <w:ilvl w:val="1"/>
          <w:numId w:val="2"/>
        </w:numPr>
        <w:tabs>
          <w:tab w:val="left" w:pos="993"/>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activul-suport are un caracter atât de specializat încât numai locatarul îl poate utiliza fără modificări majore.</w:t>
      </w:r>
    </w:p>
    <w:p w14:paraId="72C1ADC3" w14:textId="425DCFE4" w:rsidR="00BF3719" w:rsidRPr="00B24B97" w:rsidRDefault="00BF3719" w:rsidP="00B01836">
      <w:pPr>
        <w:pStyle w:val="ListParagraph"/>
        <w:widowControl w:val="0"/>
        <w:numPr>
          <w:ilvl w:val="1"/>
          <w:numId w:val="2"/>
        </w:numPr>
        <w:tabs>
          <w:tab w:val="left" w:pos="993"/>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dacă locatarul poate rezilia contractul de leasing, pierderile locatorului generate de rezilierea contractului sunt suportate de locatar;</w:t>
      </w:r>
    </w:p>
    <w:p w14:paraId="0B33FB91" w14:textId="027823DF" w:rsidR="00BF3719" w:rsidRPr="00B24B97" w:rsidRDefault="00BF3719" w:rsidP="00B01836">
      <w:pPr>
        <w:pStyle w:val="ListParagraph"/>
        <w:widowControl w:val="0"/>
        <w:numPr>
          <w:ilvl w:val="1"/>
          <w:numId w:val="2"/>
        </w:numPr>
        <w:tabs>
          <w:tab w:val="left" w:pos="993"/>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câștigurile sau pierderile rezultate din variația valorii juste reziduale cad în sarcina locatarului (de exemplu, sub forma unei reduceri a chiriei echivalente cu cea mai mare parte a încasărilor din vânzare la sfârșitul contractului de leasing); și</w:t>
      </w:r>
    </w:p>
    <w:p w14:paraId="172260CC" w14:textId="016E0D0A" w:rsidR="00BF3719" w:rsidRPr="00B24B97" w:rsidRDefault="00BF3719" w:rsidP="00B01836">
      <w:pPr>
        <w:pStyle w:val="ListParagraph"/>
        <w:widowControl w:val="0"/>
        <w:numPr>
          <w:ilvl w:val="1"/>
          <w:numId w:val="2"/>
        </w:numPr>
        <w:tabs>
          <w:tab w:val="left" w:pos="993"/>
        </w:tabs>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locatarul are capacitatea de a continua leasingul pentru o a doua perioadă, la o chirie substanțial mai redusă decât chiria pieței.</w:t>
      </w:r>
    </w:p>
    <w:p w14:paraId="1C3C7CA5" w14:textId="77777777" w:rsidR="00BF3719" w:rsidRPr="00B24B97" w:rsidRDefault="00BF3719" w:rsidP="00B01836">
      <w:pPr>
        <w:pStyle w:val="ListParagraph"/>
        <w:widowControl w:val="0"/>
        <w:numPr>
          <w:ilvl w:val="0"/>
          <w:numId w:val="2"/>
        </w:numPr>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IFRS 16 precizează că criteriile utilizate pentru clasificarea unui leasing sunt orientative și nu exhaustive. Acestea reprezintă indicii de evaluare, dar nu sunt întotdeauna decisive în stabilirea naturii contractului. Dacă, în urma unei analize a tuturor caracteristicilor contractuale, reiese că riscurile și beneficiile semnificative aferente dreptului de proprietate nu sunt transferate, atunci contractul va fi clasificat drept leasing operațional, chiar dacă unele criterii standard ar putea sugera altceva. Un exemplu relevant este situația în care proprietatea asupra activului se transferă la sfârșitul contractului de leasing, însă în schimbul unei plăți variabile, egale cu valoarea justă de piață a activului la acel moment. De asemenea, o astfel de clasificare poate fi justificată în cazul contractelor care prevăd ajustarea periodică a chiriei la nivelul pieței sau prin indexare cu un indice de prețuri, indicând astfel absența unui transfer substanțial al riscurilor și beneficiilor economice.</w:t>
      </w:r>
    </w:p>
    <w:p w14:paraId="6910F7ED" w14:textId="5C751894" w:rsidR="00D92342" w:rsidRPr="00B24B97" w:rsidRDefault="00D92342"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it-IT"/>
        </w:rPr>
        <w:t>Clasificarea unui contract de leasing se realizează la momentul inițial al încheierii contractului, pe baza unei aprecieri a gradului în care beneficiile economice și riscurile aferente dreptului de proprietate sunt transferate între părți.</w:t>
      </w:r>
      <w:r w:rsidR="00240D01" w:rsidRPr="00B24B97">
        <w:rPr>
          <w:sz w:val="28"/>
          <w:szCs w:val="28"/>
          <w:lang w:val="it-IT"/>
        </w:rPr>
        <w:t xml:space="preserve"> </w:t>
      </w:r>
      <w:r w:rsidRPr="00B24B97">
        <w:rPr>
          <w:sz w:val="28"/>
          <w:szCs w:val="28"/>
          <w:lang w:val="it-IT"/>
        </w:rPr>
        <w:t>De regulă, o analiză calitativă a clauzelor contractuale este suficientă pentru a determina natura contractului — leasing financiar sau operațional — fără a fi necesară o evaluare detaliată a fiecărui drept sau obligație stipulată în contract.</w:t>
      </w:r>
      <w:r w:rsidR="00240D01" w:rsidRPr="00B24B97">
        <w:rPr>
          <w:sz w:val="28"/>
          <w:szCs w:val="28"/>
          <w:lang w:val="it-IT"/>
        </w:rPr>
        <w:t xml:space="preserve"> </w:t>
      </w:r>
      <w:r w:rsidRPr="00B24B97">
        <w:rPr>
          <w:sz w:val="28"/>
          <w:szCs w:val="28"/>
          <w:lang w:val="it-IT"/>
        </w:rPr>
        <w:t xml:space="preserve">Totuși, în cazuri mai complexe, pot fi necesare evaluări specifice pentru a susține procesul de clasificare. De exemplu, estimarea valorii reziduale </w:t>
      </w:r>
      <w:r w:rsidRPr="00B24B97">
        <w:rPr>
          <w:sz w:val="28"/>
          <w:szCs w:val="28"/>
          <w:lang w:val="it-IT"/>
        </w:rPr>
        <w:lastRenderedPageBreak/>
        <w:t>a activului la sfârșitul contractului poate fi esențială pentru a stabili dacă leasingul acoperă o parte semnificativă din durata de viață economică a activului, ceea ce ar indica natura sa de leasing financiar.</w:t>
      </w:r>
      <w:r w:rsidR="00240D01" w:rsidRPr="00B24B97">
        <w:rPr>
          <w:sz w:val="28"/>
          <w:szCs w:val="28"/>
          <w:lang w:val="it-IT"/>
        </w:rPr>
        <w:t xml:space="preserve"> </w:t>
      </w:r>
      <w:r w:rsidRPr="00B24B97">
        <w:rPr>
          <w:sz w:val="28"/>
          <w:szCs w:val="28"/>
          <w:lang w:val="it-IT"/>
        </w:rPr>
        <w:t>Această analiză este deosebit de importantă în cazul contractelor de leasing imobiliar, unde complexitatea termenilor poate influența semnificativ clasificarea contabilă și tratamentul corespunzător în situațiile financiare.</w:t>
      </w:r>
    </w:p>
    <w:p w14:paraId="0EDCD81C" w14:textId="42FE5624" w:rsidR="00240D01" w:rsidRPr="00B24B97" w:rsidRDefault="00240D01" w:rsidP="00CC4EC5">
      <w:pPr>
        <w:pStyle w:val="ListParagraph"/>
        <w:widowControl w:val="0"/>
        <w:numPr>
          <w:ilvl w:val="0"/>
          <w:numId w:val="5"/>
        </w:numPr>
        <w:spacing w:after="0" w:line="276" w:lineRule="auto"/>
        <w:jc w:val="both"/>
        <w:outlineLvl w:val="1"/>
        <w:rPr>
          <w:rFonts w:ascii="Times New Roman" w:hAnsi="Times New Roman" w:cs="Times New Roman"/>
          <w:b/>
          <w:bCs/>
          <w:sz w:val="28"/>
          <w:szCs w:val="28"/>
        </w:rPr>
      </w:pPr>
      <w:bookmarkStart w:id="17" w:name="_Toc213487916"/>
      <w:r w:rsidRPr="00B24B97">
        <w:rPr>
          <w:rFonts w:ascii="Times New Roman" w:hAnsi="Times New Roman" w:cs="Times New Roman"/>
          <w:b/>
          <w:bCs/>
          <w:sz w:val="28"/>
          <w:szCs w:val="28"/>
        </w:rPr>
        <w:t>Clasificarea contractelor de leasing imobiliar</w:t>
      </w:r>
      <w:bookmarkEnd w:id="17"/>
      <w:r w:rsidRPr="00B24B97">
        <w:rPr>
          <w:rFonts w:ascii="Times New Roman" w:hAnsi="Times New Roman" w:cs="Times New Roman"/>
          <w:b/>
          <w:bCs/>
          <w:sz w:val="28"/>
          <w:szCs w:val="28"/>
        </w:rPr>
        <w:t xml:space="preserve"> </w:t>
      </w:r>
    </w:p>
    <w:p w14:paraId="23FA12F8" w14:textId="7C181404" w:rsidR="00D92342" w:rsidRPr="00B24B97" w:rsidRDefault="00D92342"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ro-RO"/>
        </w:rPr>
        <w:t xml:space="preserve">În situația în care un contract de leasing are ca obiect un drept de </w:t>
      </w:r>
      <w:r w:rsidR="00240D01" w:rsidRPr="00B24B97">
        <w:rPr>
          <w:sz w:val="28"/>
          <w:szCs w:val="28"/>
          <w:lang w:val="ro-RO"/>
        </w:rPr>
        <w:t xml:space="preserve">folosință </w:t>
      </w:r>
      <w:r w:rsidRPr="00B24B97">
        <w:rPr>
          <w:sz w:val="28"/>
          <w:szCs w:val="28"/>
          <w:lang w:val="ro-RO"/>
        </w:rPr>
        <w:t>asupra unui teren și/sau asupra uneia sau mai multor construcții, IFRS 16 permite tratarea separată a componentelor în vederea clasificării acestora de către locatar, doar dacă activele</w:t>
      </w:r>
      <w:r w:rsidR="00240D01" w:rsidRPr="00B24B97">
        <w:rPr>
          <w:sz w:val="28"/>
          <w:szCs w:val="28"/>
          <w:lang w:val="ro-RO"/>
        </w:rPr>
        <w:t>-</w:t>
      </w:r>
      <w:r w:rsidRPr="00B24B97">
        <w:rPr>
          <w:sz w:val="28"/>
          <w:szCs w:val="28"/>
          <w:lang w:val="ro-RO"/>
        </w:rPr>
        <w:t>suport nu sunt dependente unele de altele și nu sunt interconectate funcțional.</w:t>
      </w:r>
      <w:r w:rsidR="00240D01" w:rsidRPr="00B24B97">
        <w:rPr>
          <w:sz w:val="28"/>
          <w:szCs w:val="28"/>
          <w:lang w:val="ro-RO"/>
        </w:rPr>
        <w:t xml:space="preserve"> </w:t>
      </w:r>
      <w:r w:rsidRPr="00B24B97">
        <w:rPr>
          <w:sz w:val="28"/>
          <w:szCs w:val="28"/>
          <w:lang w:val="it-IT"/>
        </w:rPr>
        <w:t>În astfel de cazuri, locatarul poate fi nevoit să aloce chiria inițială între componentele identificate, în funcție de valorile juste relative ale terenului și ale fiecărei construcții, determinabile la data începerii contractului de leasing.</w:t>
      </w:r>
    </w:p>
    <w:p w14:paraId="27131CC5" w14:textId="464177F6" w:rsidR="00D92342" w:rsidRPr="00B24B97" w:rsidRDefault="00D92342"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it-IT"/>
        </w:rPr>
        <w:t>În majoritatea contractelor de leasing imobiliar, terenul și construcțiile revin în proprietatea locatorului la finalul perioadei contractuale. De asemenea, aceste contracte includ frecvent:</w:t>
      </w:r>
      <w:r w:rsidR="00240D01" w:rsidRPr="00B24B97">
        <w:rPr>
          <w:sz w:val="28"/>
          <w:szCs w:val="28"/>
          <w:lang w:val="it-IT"/>
        </w:rPr>
        <w:t xml:space="preserve"> </w:t>
      </w:r>
      <w:r w:rsidRPr="00B24B97">
        <w:rPr>
          <w:i/>
          <w:iCs/>
          <w:sz w:val="28"/>
          <w:szCs w:val="28"/>
          <w:lang w:val="it-IT"/>
        </w:rPr>
        <w:t>clauze de reajustare periodică a chiriei</w:t>
      </w:r>
      <w:r w:rsidRPr="00B24B97">
        <w:rPr>
          <w:sz w:val="28"/>
          <w:szCs w:val="28"/>
          <w:lang w:val="it-IT"/>
        </w:rPr>
        <w:t>, menite să reflecte modificările valorii de piață a proprietății; și</w:t>
      </w:r>
      <w:r w:rsidR="00240D01" w:rsidRPr="00B24B97">
        <w:rPr>
          <w:sz w:val="28"/>
          <w:szCs w:val="28"/>
          <w:lang w:val="it-IT"/>
        </w:rPr>
        <w:t xml:space="preserve"> </w:t>
      </w:r>
      <w:r w:rsidRPr="00B24B97">
        <w:rPr>
          <w:i/>
          <w:iCs/>
          <w:sz w:val="28"/>
          <w:szCs w:val="28"/>
          <w:lang w:val="it-IT"/>
        </w:rPr>
        <w:t>obligația locatarului de a returna construcțiile într-o stare bună</w:t>
      </w:r>
      <w:r w:rsidRPr="00B24B97">
        <w:rPr>
          <w:sz w:val="28"/>
          <w:szCs w:val="28"/>
          <w:lang w:val="it-IT"/>
        </w:rPr>
        <w:t>, conform prevederilor contractuale.</w:t>
      </w:r>
      <w:r w:rsidR="00240D01" w:rsidRPr="00B24B97">
        <w:rPr>
          <w:sz w:val="28"/>
          <w:szCs w:val="28"/>
          <w:lang w:val="it-IT"/>
        </w:rPr>
        <w:t xml:space="preserve"> </w:t>
      </w:r>
      <w:r w:rsidRPr="00B24B97">
        <w:rPr>
          <w:sz w:val="28"/>
          <w:szCs w:val="28"/>
          <w:lang w:val="it-IT"/>
        </w:rPr>
        <w:t xml:space="preserve">Astfel de dispoziții constituie, în mod obișnuit, indicii că locatorul nu transferă în mod substanțial riscurile și beneficiile aferente dreptului de proprietate asupra activului </w:t>
      </w:r>
      <w:r w:rsidR="00240D01" w:rsidRPr="00B24B97">
        <w:rPr>
          <w:sz w:val="28"/>
          <w:szCs w:val="28"/>
          <w:lang w:val="it-IT"/>
        </w:rPr>
        <w:t xml:space="preserve">– </w:t>
      </w:r>
      <w:r w:rsidRPr="00B24B97">
        <w:rPr>
          <w:sz w:val="28"/>
          <w:szCs w:val="28"/>
          <w:lang w:val="it-IT"/>
        </w:rPr>
        <w:t>fie</w:t>
      </w:r>
      <w:r w:rsidR="00240D01" w:rsidRPr="00B24B97">
        <w:rPr>
          <w:sz w:val="28"/>
          <w:szCs w:val="28"/>
          <w:lang w:val="it-IT"/>
        </w:rPr>
        <w:t xml:space="preserve"> </w:t>
      </w:r>
      <w:r w:rsidRPr="00B24B97">
        <w:rPr>
          <w:sz w:val="28"/>
          <w:szCs w:val="28"/>
          <w:lang w:val="it-IT"/>
        </w:rPr>
        <w:t>că este vorba despre teren, construcții sau ambele</w:t>
      </w:r>
      <w:r w:rsidR="00240D01" w:rsidRPr="00B24B97">
        <w:rPr>
          <w:sz w:val="28"/>
          <w:szCs w:val="28"/>
          <w:lang w:val="it-IT"/>
        </w:rPr>
        <w:t xml:space="preserve"> – </w:t>
      </w:r>
      <w:r w:rsidRPr="00B24B97">
        <w:rPr>
          <w:sz w:val="28"/>
          <w:szCs w:val="28"/>
          <w:lang w:val="it-IT"/>
        </w:rPr>
        <w:t>la</w:t>
      </w:r>
      <w:r w:rsidR="00240D01" w:rsidRPr="00B24B97">
        <w:rPr>
          <w:sz w:val="28"/>
          <w:szCs w:val="28"/>
          <w:lang w:val="it-IT"/>
        </w:rPr>
        <w:t xml:space="preserve"> </w:t>
      </w:r>
      <w:r w:rsidRPr="00B24B97">
        <w:rPr>
          <w:sz w:val="28"/>
          <w:szCs w:val="28"/>
          <w:lang w:val="it-IT"/>
        </w:rPr>
        <w:t xml:space="preserve"> momentul încheierii contractului de leasing.</w:t>
      </w:r>
      <w:r w:rsidR="00240D01" w:rsidRPr="00B24B97">
        <w:rPr>
          <w:sz w:val="28"/>
          <w:szCs w:val="28"/>
          <w:lang w:val="it-IT"/>
        </w:rPr>
        <w:t xml:space="preserve"> </w:t>
      </w:r>
      <w:r w:rsidRPr="00B24B97">
        <w:rPr>
          <w:sz w:val="28"/>
          <w:szCs w:val="28"/>
          <w:lang w:val="it-IT"/>
        </w:rPr>
        <w:t xml:space="preserve">În consecință, numeroase contracte de leasing având ca obiect terenuri și clădiri sunt clasificate, din perspectiva locatorului, ca </w:t>
      </w:r>
      <w:r w:rsidRPr="00B24B97">
        <w:rPr>
          <w:i/>
          <w:iCs/>
          <w:sz w:val="28"/>
          <w:szCs w:val="28"/>
          <w:lang w:val="it-IT"/>
        </w:rPr>
        <w:t>leasinguri operaționale</w:t>
      </w:r>
      <w:r w:rsidRPr="00B24B97">
        <w:rPr>
          <w:sz w:val="28"/>
          <w:szCs w:val="28"/>
          <w:lang w:val="it-IT"/>
        </w:rPr>
        <w:t>, deoarece nu îndeplinesc criteriile necesare pentru a fi recunoscute ca leasinguri financiare conform IFRS 16.</w:t>
      </w:r>
    </w:p>
    <w:p w14:paraId="7DC84845" w14:textId="1FEA8833" w:rsidR="00D92342" w:rsidRPr="00B24B97" w:rsidRDefault="00D92342"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ro-RO"/>
        </w:rPr>
        <w:t>Contractele de leasing financiar având ca obiect terenuri și construcții sunt, de regulă, utilizate ca mijloc de finanțare a unei posibile achiziții a proprietății de către locatar. Acest lucru este frecvent întâlnit în situațiile în care contractul include o opțiune de cumpărare a dreptului de proprietate de la locator, la un preț simbolic sau preferențial, care devine exercitabil după achitarea integrală a chiriei prevăzute în contract.</w:t>
      </w:r>
      <w:r w:rsidR="00577FCD" w:rsidRPr="00B24B97">
        <w:rPr>
          <w:sz w:val="28"/>
          <w:szCs w:val="28"/>
          <w:lang w:val="ro-RO"/>
        </w:rPr>
        <w:t xml:space="preserve"> </w:t>
      </w:r>
      <w:r w:rsidRPr="00B24B97">
        <w:rPr>
          <w:sz w:val="28"/>
          <w:szCs w:val="28"/>
          <w:lang w:val="ro-RO"/>
        </w:rPr>
        <w:t>Există, totodată, contracte de leasing care nu sunt structurate în mod explicit ca instrumente de finanțare, dar care pot îndeplini anumite criterii caracteristice unui leasing financiar. De exemplu, acest lucru poate apărea atunci când valoarea totală a chiriei nu reflectă valoarea justă a proprietății, ceea ce poate indica un transfer economic de riscuri și beneficii către locatar.</w:t>
      </w:r>
      <w:r w:rsidR="00577FCD" w:rsidRPr="00B24B97">
        <w:rPr>
          <w:sz w:val="28"/>
          <w:szCs w:val="28"/>
          <w:lang w:val="ro-RO"/>
        </w:rPr>
        <w:t xml:space="preserve"> </w:t>
      </w:r>
      <w:r w:rsidRPr="00B24B97">
        <w:rPr>
          <w:sz w:val="28"/>
          <w:szCs w:val="28"/>
          <w:lang w:val="ro-RO"/>
        </w:rPr>
        <w:t xml:space="preserve">În astfel de situații, este necesară o analiză detaliată a structurii contractului și a gradului în care riscurile și beneficiile aferente dreptului de proprietate sunt transferate de </w:t>
      </w:r>
      <w:r w:rsidRPr="00B24B97">
        <w:rPr>
          <w:sz w:val="28"/>
          <w:szCs w:val="28"/>
          <w:lang w:val="ro-RO"/>
        </w:rPr>
        <w:lastRenderedPageBreak/>
        <w:t>la locator către locatar, pentru a asigura clasificarea corectă a leasingului, din perspectiva locatorului, în conformitate cu cerințele IFRS 16.</w:t>
      </w:r>
    </w:p>
    <w:p w14:paraId="6726D741" w14:textId="307C5A2C" w:rsidR="007D3713" w:rsidRPr="00B24B97" w:rsidRDefault="00D92342"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it-IT"/>
        </w:rPr>
        <w:t>În practică, contractele de leasing care vizează o porțiune dintr-o clădire multifuncțională sau cu mai multe spații de închiriat sunt, în general, clasificate ca leasinguri operaționale. În astfel de cazuri, întreaga proprietate este recunoscută de către locator drept investiție imobiliară, iar alocarea între componentele clădire și teren nu este necesară.</w:t>
      </w:r>
      <w:r w:rsidR="00A30BC6" w:rsidRPr="00B24B97">
        <w:rPr>
          <w:sz w:val="28"/>
          <w:szCs w:val="28"/>
          <w:lang w:val="it-IT"/>
        </w:rPr>
        <w:t xml:space="preserve"> </w:t>
      </w:r>
      <w:r w:rsidRPr="00B24B97">
        <w:rPr>
          <w:sz w:val="28"/>
          <w:szCs w:val="28"/>
          <w:lang w:val="it-IT"/>
        </w:rPr>
        <w:t xml:space="preserve">În schimb, atunci când este evident că componenta „clădire” face obiectul unui leasing financiar, componenta aferentă terenului poate fi, în cele mai multe cazuri, identificată separat. Este rar întâlnit scenariul în care o clădire este clasificată ca leasing operațional, iar terenul aferent să nu poată fi </w:t>
      </w:r>
      <w:r w:rsidR="00A30BC6" w:rsidRPr="00B24B97">
        <w:rPr>
          <w:sz w:val="28"/>
          <w:szCs w:val="28"/>
          <w:lang w:val="it-IT"/>
        </w:rPr>
        <w:t>clar identificat</w:t>
      </w:r>
      <w:r w:rsidRPr="00B24B97">
        <w:rPr>
          <w:sz w:val="28"/>
          <w:szCs w:val="28"/>
          <w:lang w:val="it-IT"/>
        </w:rPr>
        <w:t>.</w:t>
      </w:r>
      <w:r w:rsidR="00A30BC6" w:rsidRPr="00B24B97">
        <w:rPr>
          <w:sz w:val="28"/>
          <w:szCs w:val="28"/>
          <w:lang w:val="it-IT"/>
        </w:rPr>
        <w:t xml:space="preserve"> </w:t>
      </w:r>
      <w:r w:rsidRPr="00B24B97">
        <w:rPr>
          <w:sz w:val="28"/>
          <w:szCs w:val="28"/>
          <w:lang w:val="it-IT"/>
        </w:rPr>
        <w:t>Totuși, în situațiile excepționale în care terenul și clădirea nu pot fi alocate în mod credibil pe baza unor criterii obiective, nu se recomandă efectuarea unei alocări artificiale sau forțate. În astfel de cazuri, întreaga proprietate imobiliară supusă leasingului ar trebui tratată, în mod prudent, ca un contract de leasing financiar, pentru a reflecta în mod adecvat substanța economică a tranzacției.</w:t>
      </w:r>
    </w:p>
    <w:p w14:paraId="5F46356A" w14:textId="00C8586A" w:rsidR="007D3713" w:rsidRPr="00B24B97" w:rsidRDefault="00A30BC6" w:rsidP="00CC4EC5">
      <w:pPr>
        <w:pStyle w:val="ListParagraph"/>
        <w:widowControl w:val="0"/>
        <w:numPr>
          <w:ilvl w:val="0"/>
          <w:numId w:val="5"/>
        </w:numPr>
        <w:spacing w:after="0" w:line="276" w:lineRule="auto"/>
        <w:jc w:val="both"/>
        <w:outlineLvl w:val="1"/>
        <w:rPr>
          <w:rFonts w:ascii="Times New Roman" w:hAnsi="Times New Roman" w:cs="Times New Roman"/>
          <w:b/>
          <w:bCs/>
          <w:sz w:val="28"/>
          <w:szCs w:val="28"/>
        </w:rPr>
      </w:pPr>
      <w:bookmarkStart w:id="18" w:name="_Toc213487917"/>
      <w:r w:rsidRPr="00B24B97">
        <w:rPr>
          <w:rFonts w:ascii="Times New Roman" w:hAnsi="Times New Roman" w:cs="Times New Roman"/>
          <w:b/>
          <w:bCs/>
          <w:sz w:val="28"/>
          <w:szCs w:val="28"/>
        </w:rPr>
        <w:t>Investiția imobiliară în leasing</w:t>
      </w:r>
      <w:bookmarkEnd w:id="18"/>
      <w:r w:rsidRPr="00B24B97">
        <w:rPr>
          <w:rFonts w:ascii="Times New Roman" w:hAnsi="Times New Roman" w:cs="Times New Roman"/>
          <w:b/>
          <w:bCs/>
          <w:sz w:val="28"/>
          <w:szCs w:val="28"/>
        </w:rPr>
        <w:t xml:space="preserve"> </w:t>
      </w:r>
    </w:p>
    <w:p w14:paraId="4F39BE60" w14:textId="77777777" w:rsidR="0044224B" w:rsidRPr="00B24B97" w:rsidRDefault="0044224B" w:rsidP="00B01836">
      <w:pPr>
        <w:pStyle w:val="ListParagraph"/>
        <w:widowControl w:val="0"/>
        <w:numPr>
          <w:ilvl w:val="0"/>
          <w:numId w:val="2"/>
        </w:numPr>
        <w:spacing w:after="0" w:line="276" w:lineRule="auto"/>
        <w:ind w:left="0" w:firstLine="720"/>
        <w:jc w:val="both"/>
        <w:rPr>
          <w:rFonts w:ascii="Times New Roman" w:hAnsi="Times New Roman" w:cs="Times New Roman"/>
          <w:sz w:val="28"/>
          <w:szCs w:val="28"/>
        </w:rPr>
      </w:pPr>
      <w:r w:rsidRPr="00B24B97">
        <w:rPr>
          <w:rFonts w:ascii="Times New Roman" w:hAnsi="Times New Roman" w:cs="Times New Roman"/>
          <w:sz w:val="28"/>
          <w:szCs w:val="28"/>
        </w:rPr>
        <w:t>Potrivit IFRS 16, în cazul investițiilor imobiliare deținute de locatar în baza unui contract de leasing, nu este, de regulă, necesară alocarea distinctă între componentele de teren și construcții, indiferent dacă activul este contabilizat utilizând modelul bazat pe cost sau modelul valorii juste. Această abordare este justificată de faptul că locatarul recunoaște în evidența contabilă un singur activ – și anume dreptul de utilizare asupra activului suport – fără a separa componentele acestuia (cum ar fi dreptul de folosință asupra terenului și dreptul de folosință asupra construcției), atunci când aceste componente sunt dependente una de cealaltă sau interconectate funcțional. În contextul evaluării unui activ sau a unei datorii care rezultă dintr-un contract de leasing, accentul se pune pe reflectarea drepturilor și obligațiilor contractuale ca un ansamblu, fără a impune dezagregarea artificială a elementelor componente ale activului suport, cu excepția cazului în care acestea pot fi identificate și utilizate independent.</w:t>
      </w:r>
    </w:p>
    <w:p w14:paraId="3E8274E5" w14:textId="467FF39B" w:rsidR="00A30BC6" w:rsidRPr="00B24B97" w:rsidRDefault="003C3F42" w:rsidP="00CC4EC5">
      <w:pPr>
        <w:pStyle w:val="NormalWeb"/>
        <w:widowControl w:val="0"/>
        <w:numPr>
          <w:ilvl w:val="0"/>
          <w:numId w:val="5"/>
        </w:numPr>
        <w:spacing w:before="0" w:beforeAutospacing="0" w:after="0" w:afterAutospacing="0" w:line="276" w:lineRule="auto"/>
        <w:jc w:val="both"/>
        <w:outlineLvl w:val="1"/>
        <w:rPr>
          <w:sz w:val="28"/>
          <w:szCs w:val="28"/>
          <w:lang w:val="ro-RO"/>
        </w:rPr>
      </w:pPr>
      <w:bookmarkStart w:id="19" w:name="_Toc213487918"/>
      <w:r w:rsidRPr="00B24B97">
        <w:rPr>
          <w:b/>
          <w:bCs/>
          <w:sz w:val="28"/>
          <w:szCs w:val="28"/>
          <w:lang w:val="ro-RO"/>
        </w:rPr>
        <w:t>Evaluarea activului sau datoriei dintr-un contract de leasing</w:t>
      </w:r>
      <w:bookmarkEnd w:id="19"/>
    </w:p>
    <w:p w14:paraId="349F0CD7" w14:textId="77777777" w:rsidR="001B0063" w:rsidRPr="00B24B97" w:rsidRDefault="001B0063"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ro-RO"/>
        </w:rPr>
        <w:t>În cazul în care locatarul aplică modelul valorii juste pentru contabilizarea investițiilor imobiliare, conform IAS 40 „Investiții imobiliare”, acesta are obligația de a aplica același model bazat pe valoarea justă și pentru activele aferente dreptului de utilizare care îndeplinesc criteriile unei investiții imobiliare, conform definiției din IAS 40.</w:t>
      </w:r>
    </w:p>
    <w:p w14:paraId="54BC56DE" w14:textId="77777777" w:rsidR="001B0063" w:rsidRPr="00B24B97" w:rsidRDefault="001B0063"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it-IT"/>
        </w:rPr>
        <w:t xml:space="preserve">În situația în care activele aferente dreptului de utilizare sunt asociate unei </w:t>
      </w:r>
      <w:r w:rsidRPr="00B24B97">
        <w:rPr>
          <w:sz w:val="28"/>
          <w:szCs w:val="28"/>
          <w:lang w:val="it-IT"/>
        </w:rPr>
        <w:lastRenderedPageBreak/>
        <w:t>clase de imobilizări corporale pentru care locatarul aplică modelul de reevaluare prevăzut de IAS 16 „Imobilizări corporale”, locatarul are opțiunea de a aplica același model de reevaluare tuturor activelor de drept de utilizare care fac parte din aceeași clasă de active corporale.</w:t>
      </w:r>
    </w:p>
    <w:p w14:paraId="285AE891" w14:textId="3265F2E0" w:rsidR="0081543F" w:rsidRPr="00B24B97" w:rsidRDefault="0081543F"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ro-RO"/>
        </w:rPr>
        <w:t>Conform IFRS 16, la data de început a contractului de leasing, locatarul are obligația de a recunoaște în situațiile sale financiare:</w:t>
      </w:r>
      <w:r w:rsidR="003C3F42" w:rsidRPr="00B24B97">
        <w:rPr>
          <w:sz w:val="28"/>
          <w:szCs w:val="28"/>
          <w:lang w:val="ro-RO"/>
        </w:rPr>
        <w:t xml:space="preserve"> </w:t>
      </w:r>
      <w:r w:rsidRPr="00B24B97">
        <w:rPr>
          <w:sz w:val="28"/>
          <w:szCs w:val="28"/>
          <w:lang w:val="ro-RO"/>
        </w:rPr>
        <w:t>un activ aferent dreptului de utilizare asupra activului-suport; și</w:t>
      </w:r>
      <w:r w:rsidR="003C3F42" w:rsidRPr="00B24B97">
        <w:rPr>
          <w:sz w:val="28"/>
          <w:szCs w:val="28"/>
          <w:lang w:val="ro-RO"/>
        </w:rPr>
        <w:t xml:space="preserve"> </w:t>
      </w:r>
      <w:r w:rsidRPr="00B24B97">
        <w:rPr>
          <w:sz w:val="28"/>
          <w:szCs w:val="28"/>
          <w:lang w:val="ro-RO"/>
        </w:rPr>
        <w:t>o datorie de leasing, reprezentând obligația de plată a ratelor contractuale viitoare,</w:t>
      </w:r>
      <w:r w:rsidR="003C3F42" w:rsidRPr="00B24B97">
        <w:rPr>
          <w:sz w:val="28"/>
          <w:szCs w:val="28"/>
          <w:lang w:val="ro-RO"/>
        </w:rPr>
        <w:t xml:space="preserve"> </w:t>
      </w:r>
      <w:r w:rsidRPr="00B24B97">
        <w:rPr>
          <w:sz w:val="28"/>
          <w:szCs w:val="28"/>
          <w:lang w:val="ro-RO"/>
        </w:rPr>
        <w:t>cu excepția cazurilor expres prevăzute de standard, cum ar fi leasingurile pe termen scurt sau cele care privesc active de valoare redusă.</w:t>
      </w:r>
      <w:r w:rsidR="001B0063" w:rsidRPr="00B24B97">
        <w:rPr>
          <w:sz w:val="28"/>
          <w:szCs w:val="28"/>
          <w:lang w:val="ro-RO"/>
        </w:rPr>
        <w:t xml:space="preserve"> </w:t>
      </w:r>
    </w:p>
    <w:p w14:paraId="73511DBF" w14:textId="77777777" w:rsidR="003C3F42" w:rsidRPr="00B24B97" w:rsidRDefault="0081543F"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it-IT"/>
        </w:rPr>
        <w:t>La data de început a contractului de leasing, locatarul are obligația de a evalua datoria de leasing la valoarea actualizată a plăților de leasing restante la acea dată.</w:t>
      </w:r>
      <w:r w:rsidR="003C3F42" w:rsidRPr="00B24B97">
        <w:rPr>
          <w:sz w:val="28"/>
          <w:szCs w:val="28"/>
          <w:lang w:val="it-IT"/>
        </w:rPr>
        <w:t xml:space="preserve"> </w:t>
      </w:r>
      <w:r w:rsidRPr="00B24B97">
        <w:rPr>
          <w:sz w:val="28"/>
          <w:szCs w:val="28"/>
          <w:lang w:val="it-IT"/>
        </w:rPr>
        <w:t>Actualizarea plăților de leasing se efectuează utilizând:</w:t>
      </w:r>
      <w:r w:rsidR="003C3F42" w:rsidRPr="00B24B97">
        <w:rPr>
          <w:sz w:val="28"/>
          <w:szCs w:val="28"/>
          <w:lang w:val="it-IT"/>
        </w:rPr>
        <w:t xml:space="preserve"> </w:t>
      </w:r>
    </w:p>
    <w:p w14:paraId="37AFD21F" w14:textId="77777777" w:rsidR="003C3F42" w:rsidRPr="00B24B97" w:rsidRDefault="0081543F" w:rsidP="00B01836">
      <w:pPr>
        <w:pStyle w:val="NormalWeb"/>
        <w:widowControl w:val="0"/>
        <w:numPr>
          <w:ilvl w:val="1"/>
          <w:numId w:val="2"/>
        </w:numPr>
        <w:tabs>
          <w:tab w:val="left" w:pos="993"/>
        </w:tabs>
        <w:spacing w:before="0" w:beforeAutospacing="0" w:after="0" w:afterAutospacing="0" w:line="276" w:lineRule="auto"/>
        <w:ind w:left="0" w:firstLine="720"/>
        <w:jc w:val="both"/>
        <w:rPr>
          <w:sz w:val="28"/>
          <w:szCs w:val="28"/>
          <w:lang w:val="ro-RO"/>
        </w:rPr>
      </w:pPr>
      <w:r w:rsidRPr="00B24B97">
        <w:rPr>
          <w:i/>
          <w:iCs/>
          <w:sz w:val="28"/>
          <w:szCs w:val="28"/>
          <w:lang w:val="ro-RO"/>
        </w:rPr>
        <w:t>rata dobânzii implicită în contract</w:t>
      </w:r>
      <w:r w:rsidRPr="00B24B97">
        <w:rPr>
          <w:sz w:val="28"/>
          <w:szCs w:val="28"/>
          <w:lang w:val="ro-RO"/>
        </w:rPr>
        <w:t>, dacă aceasta poate fi determinată în mod imediat;</w:t>
      </w:r>
      <w:r w:rsidR="003C3F42" w:rsidRPr="00B24B97">
        <w:rPr>
          <w:sz w:val="28"/>
          <w:szCs w:val="28"/>
          <w:lang w:val="ro-RO"/>
        </w:rPr>
        <w:t xml:space="preserve"> </w:t>
      </w:r>
    </w:p>
    <w:p w14:paraId="094E94CB" w14:textId="09EF2D77" w:rsidR="0081543F" w:rsidRPr="00B24B97" w:rsidRDefault="0081543F" w:rsidP="00B01836">
      <w:pPr>
        <w:pStyle w:val="NormalWeb"/>
        <w:widowControl w:val="0"/>
        <w:numPr>
          <w:ilvl w:val="1"/>
          <w:numId w:val="2"/>
        </w:numPr>
        <w:tabs>
          <w:tab w:val="left" w:pos="993"/>
        </w:tabs>
        <w:spacing w:before="0" w:beforeAutospacing="0" w:after="0" w:afterAutospacing="0" w:line="276" w:lineRule="auto"/>
        <w:ind w:left="0" w:firstLine="720"/>
        <w:jc w:val="both"/>
        <w:rPr>
          <w:sz w:val="28"/>
          <w:szCs w:val="28"/>
          <w:lang w:val="ro-RO"/>
        </w:rPr>
      </w:pPr>
      <w:r w:rsidRPr="00B24B97">
        <w:rPr>
          <w:sz w:val="28"/>
          <w:szCs w:val="28"/>
          <w:lang w:val="ro-RO"/>
        </w:rPr>
        <w:t xml:space="preserve">în caz contrar, se utilizează </w:t>
      </w:r>
      <w:r w:rsidRPr="00B24B97">
        <w:rPr>
          <w:i/>
          <w:iCs/>
          <w:sz w:val="28"/>
          <w:szCs w:val="28"/>
          <w:lang w:val="ro-RO"/>
        </w:rPr>
        <w:t>rata marginală de împrumut a locatarului</w:t>
      </w:r>
      <w:r w:rsidRPr="00B24B97">
        <w:rPr>
          <w:sz w:val="28"/>
          <w:szCs w:val="28"/>
          <w:lang w:val="ro-RO"/>
        </w:rPr>
        <w:t>, respectiv rata pe care locatarul ar aplica-o pentru a împrumuta, pe o perioadă similară și în condiții similare, fondurile necesare pentru achiziționarea activului suport.</w:t>
      </w:r>
    </w:p>
    <w:p w14:paraId="58D3E4E2" w14:textId="3F00172F" w:rsidR="00EB5FA3" w:rsidRPr="00B24B97" w:rsidRDefault="00293791" w:rsidP="00B01836">
      <w:pPr>
        <w:pStyle w:val="NormalWeb"/>
        <w:widowControl w:val="0"/>
        <w:numPr>
          <w:ilvl w:val="0"/>
          <w:numId w:val="2"/>
        </w:numPr>
        <w:spacing w:before="0" w:beforeAutospacing="0" w:after="0" w:afterAutospacing="0" w:line="276" w:lineRule="auto"/>
        <w:ind w:left="0" w:firstLine="720"/>
        <w:jc w:val="both"/>
        <w:rPr>
          <w:sz w:val="28"/>
          <w:szCs w:val="28"/>
          <w:lang w:val="ro-RO"/>
        </w:rPr>
      </w:pPr>
      <w:r w:rsidRPr="00B24B97">
        <w:rPr>
          <w:sz w:val="28"/>
          <w:szCs w:val="28"/>
          <w:lang w:val="ro-RO"/>
        </w:rPr>
        <w:t xml:space="preserve">Cerințele privind amortizarea din IAS 16 se aplică și activelor în sistem de leasing, </w:t>
      </w:r>
      <w:r w:rsidR="00432C04" w:rsidRPr="00B24B97">
        <w:rPr>
          <w:sz w:val="28"/>
          <w:szCs w:val="28"/>
          <w:lang w:val="ro-RO"/>
        </w:rPr>
        <w:t>respectiv</w:t>
      </w:r>
      <w:r w:rsidRPr="00B24B97">
        <w:rPr>
          <w:sz w:val="28"/>
          <w:szCs w:val="28"/>
          <w:lang w:val="ro-RO"/>
        </w:rPr>
        <w:t xml:space="preserve"> pot fi relevante </w:t>
      </w:r>
      <w:r w:rsidR="00432C04" w:rsidRPr="00B24B97">
        <w:rPr>
          <w:sz w:val="28"/>
          <w:szCs w:val="28"/>
          <w:lang w:val="ro-RO"/>
        </w:rPr>
        <w:t xml:space="preserve">prevederile compartimentului </w:t>
      </w:r>
      <w:r w:rsidR="00432C04" w:rsidRPr="00B24B97">
        <w:rPr>
          <w:i/>
          <w:iCs/>
          <w:sz w:val="28"/>
          <w:szCs w:val="28"/>
          <w:lang w:val="ro-RO"/>
        </w:rPr>
        <w:t>Deprecierea,</w:t>
      </w:r>
      <w:r w:rsidR="00432C04" w:rsidRPr="00B24B97">
        <w:rPr>
          <w:sz w:val="28"/>
          <w:szCs w:val="28"/>
          <w:lang w:val="ro-RO"/>
        </w:rPr>
        <w:t xml:space="preserve"> </w:t>
      </w:r>
      <w:r w:rsidRPr="00B24B97">
        <w:rPr>
          <w:sz w:val="28"/>
          <w:szCs w:val="28"/>
          <w:lang w:val="ro-RO"/>
        </w:rPr>
        <w:t xml:space="preserve">paragrafele </w:t>
      </w:r>
      <w:r w:rsidR="003C3F42" w:rsidRPr="00B24B97">
        <w:rPr>
          <w:sz w:val="28"/>
          <w:szCs w:val="28"/>
          <w:lang w:val="ro-RO"/>
        </w:rPr>
        <w:t>2</w:t>
      </w:r>
      <w:r w:rsidR="00282AB2" w:rsidRPr="00B24B97">
        <w:rPr>
          <w:sz w:val="28"/>
          <w:szCs w:val="28"/>
          <w:lang w:val="ro-RO"/>
        </w:rPr>
        <w:t>7</w:t>
      </w:r>
      <w:r w:rsidR="003C3F42" w:rsidRPr="00B24B97">
        <w:rPr>
          <w:sz w:val="28"/>
          <w:szCs w:val="28"/>
          <w:lang w:val="ro-RO"/>
        </w:rPr>
        <w:t>-3</w:t>
      </w:r>
      <w:r w:rsidR="00282AB2" w:rsidRPr="00B24B97">
        <w:rPr>
          <w:sz w:val="28"/>
          <w:szCs w:val="28"/>
          <w:lang w:val="ro-RO"/>
        </w:rPr>
        <w:t>7</w:t>
      </w:r>
      <w:r w:rsidR="00432C04" w:rsidRPr="00B24B97">
        <w:rPr>
          <w:sz w:val="28"/>
          <w:szCs w:val="28"/>
          <w:lang w:val="ro-RO"/>
        </w:rPr>
        <w:t xml:space="preserve">. </w:t>
      </w:r>
    </w:p>
    <w:p w14:paraId="0D00A3FA" w14:textId="77777777" w:rsidR="0081543F" w:rsidRPr="00B24B97" w:rsidRDefault="0081543F" w:rsidP="00B24B97">
      <w:pPr>
        <w:widowControl w:val="0"/>
        <w:spacing w:after="0" w:line="276" w:lineRule="auto"/>
        <w:jc w:val="both"/>
        <w:rPr>
          <w:rFonts w:ascii="Times New Roman" w:hAnsi="Times New Roman" w:cs="Times New Roman"/>
          <w:sz w:val="28"/>
          <w:szCs w:val="28"/>
        </w:rPr>
      </w:pPr>
    </w:p>
    <w:p w14:paraId="31B987D4" w14:textId="77777777" w:rsidR="00282AB2" w:rsidRPr="00B24B97" w:rsidRDefault="00282AB2" w:rsidP="00B24B97">
      <w:pPr>
        <w:widowControl w:val="0"/>
        <w:spacing w:after="0" w:line="276" w:lineRule="auto"/>
        <w:rPr>
          <w:rFonts w:ascii="Times New Roman" w:eastAsiaTheme="majorEastAsia" w:hAnsi="Times New Roman" w:cs="Times New Roman"/>
          <w:b/>
          <w:bCs/>
          <w:sz w:val="28"/>
          <w:szCs w:val="28"/>
        </w:rPr>
      </w:pPr>
      <w:r w:rsidRPr="00B24B97">
        <w:rPr>
          <w:rFonts w:ascii="Times New Roman" w:hAnsi="Times New Roman" w:cs="Times New Roman"/>
          <w:b/>
          <w:bCs/>
          <w:sz w:val="28"/>
          <w:szCs w:val="28"/>
        </w:rPr>
        <w:br w:type="page"/>
      </w:r>
    </w:p>
    <w:p w14:paraId="45A55A2A" w14:textId="77777777" w:rsidR="00675BC7" w:rsidRPr="009C06C0" w:rsidRDefault="00675BC7" w:rsidP="00B24B97">
      <w:pPr>
        <w:widowControl w:val="0"/>
        <w:spacing w:after="0" w:line="276" w:lineRule="auto"/>
        <w:jc w:val="right"/>
        <w:rPr>
          <w:rFonts w:ascii="Times New Roman" w:hAnsi="Times New Roman" w:cs="Times New Roman"/>
          <w:lang w:val="ro-MD"/>
        </w:rPr>
      </w:pPr>
      <w:bookmarkStart w:id="20" w:name="_Toc213487920"/>
      <w:r w:rsidRPr="009C06C0">
        <w:rPr>
          <w:rFonts w:ascii="Times New Roman" w:hAnsi="Times New Roman" w:cs="Times New Roman"/>
          <w:lang w:val="ro-MD"/>
        </w:rPr>
        <w:lastRenderedPageBreak/>
        <w:t>Anexa nr.1</w:t>
      </w:r>
    </w:p>
    <w:p w14:paraId="7380E4BB" w14:textId="650F3337" w:rsidR="00675BC7" w:rsidRPr="009C06C0" w:rsidRDefault="00675BC7" w:rsidP="00B24B97">
      <w:pPr>
        <w:widowControl w:val="0"/>
        <w:spacing w:after="0" w:line="276" w:lineRule="auto"/>
        <w:jc w:val="right"/>
        <w:rPr>
          <w:rFonts w:ascii="Times New Roman" w:hAnsi="Times New Roman" w:cs="Times New Roman"/>
          <w:lang w:val="ro-MD"/>
        </w:rPr>
      </w:pPr>
      <w:r w:rsidRPr="009C06C0">
        <w:rPr>
          <w:rFonts w:ascii="Times New Roman" w:hAnsi="Times New Roman" w:cs="Times New Roman"/>
          <w:lang w:val="ro-MD"/>
        </w:rPr>
        <w:t xml:space="preserve">la Ghidul în evaluare: Evaluarea </w:t>
      </w:r>
      <w:r w:rsidRPr="009C06C0">
        <w:rPr>
          <w:rFonts w:ascii="Times New Roman" w:hAnsi="Times New Roman" w:cs="Times New Roman"/>
          <w:lang w:val="ro-MD"/>
        </w:rPr>
        <w:br/>
        <w:t>pentru raportare financiară</w:t>
      </w:r>
    </w:p>
    <w:p w14:paraId="7C0E04E5" w14:textId="77777777" w:rsidR="009C06C0" w:rsidRDefault="009C06C0" w:rsidP="00B24B97">
      <w:pPr>
        <w:pStyle w:val="Heading1"/>
        <w:keepNext w:val="0"/>
        <w:keepLines w:val="0"/>
        <w:widowControl w:val="0"/>
        <w:spacing w:before="0" w:after="0" w:line="276" w:lineRule="auto"/>
        <w:jc w:val="center"/>
        <w:rPr>
          <w:rFonts w:ascii="Times New Roman" w:hAnsi="Times New Roman" w:cs="Times New Roman"/>
          <w:b/>
          <w:bCs/>
          <w:color w:val="auto"/>
          <w:sz w:val="28"/>
          <w:szCs w:val="28"/>
        </w:rPr>
      </w:pPr>
    </w:p>
    <w:p w14:paraId="76B1FD6A" w14:textId="6AFEF06D" w:rsidR="00B5504C" w:rsidRPr="00B24B97" w:rsidRDefault="009C06C0" w:rsidP="002D3312">
      <w:pPr>
        <w:pStyle w:val="Heading1"/>
        <w:keepNext w:val="0"/>
        <w:keepLines w:val="0"/>
        <w:widowControl w:val="0"/>
        <w:spacing w:before="0" w:after="0" w:line="276" w:lineRule="auto"/>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Tabelul nr.1 </w:t>
      </w:r>
      <w:r w:rsidR="00394F4E" w:rsidRPr="00B24B97">
        <w:rPr>
          <w:rFonts w:ascii="Times New Roman" w:hAnsi="Times New Roman" w:cs="Times New Roman"/>
          <w:b/>
          <w:bCs/>
          <w:color w:val="auto"/>
          <w:sz w:val="28"/>
          <w:szCs w:val="28"/>
        </w:rPr>
        <w:t>Co</w:t>
      </w:r>
      <w:r w:rsidR="006935E0" w:rsidRPr="00B24B97">
        <w:rPr>
          <w:rFonts w:ascii="Times New Roman" w:hAnsi="Times New Roman" w:cs="Times New Roman"/>
          <w:b/>
          <w:bCs/>
          <w:color w:val="auto"/>
          <w:sz w:val="28"/>
          <w:szCs w:val="28"/>
        </w:rPr>
        <w:t>relări</w:t>
      </w:r>
      <w:r w:rsidR="006935E0" w:rsidRPr="00B24B97">
        <w:rPr>
          <w:rFonts w:ascii="Times New Roman" w:hAnsi="Times New Roman" w:cs="Times New Roman"/>
          <w:b/>
          <w:bCs/>
          <w:color w:val="auto"/>
          <w:sz w:val="28"/>
          <w:szCs w:val="28"/>
          <w:lang w:val="ro-MD"/>
        </w:rPr>
        <w:t xml:space="preserve"> </w:t>
      </w:r>
      <w:r w:rsidR="006935E0" w:rsidRPr="00B24B97">
        <w:rPr>
          <w:rFonts w:ascii="Times New Roman" w:hAnsi="Times New Roman" w:cs="Times New Roman"/>
          <w:b/>
          <w:bCs/>
          <w:color w:val="auto"/>
          <w:sz w:val="28"/>
          <w:szCs w:val="28"/>
        </w:rPr>
        <w:t>terminologic-metodologice</w:t>
      </w:r>
      <w:bookmarkEnd w:id="20"/>
    </w:p>
    <w:tbl>
      <w:tblPr>
        <w:tblStyle w:val="TableGrid"/>
        <w:tblW w:w="9985" w:type="dxa"/>
        <w:tblLook w:val="04A0" w:firstRow="1" w:lastRow="0" w:firstColumn="1" w:lastColumn="0" w:noHBand="0" w:noVBand="1"/>
      </w:tblPr>
      <w:tblGrid>
        <w:gridCol w:w="1555"/>
        <w:gridCol w:w="4020"/>
        <w:gridCol w:w="4410"/>
      </w:tblGrid>
      <w:tr w:rsidR="00675BC7" w:rsidRPr="009C06C0" w14:paraId="41834C0B" w14:textId="77777777" w:rsidTr="0099761D">
        <w:tc>
          <w:tcPr>
            <w:tcW w:w="1555" w:type="dxa"/>
            <w:vAlign w:val="center"/>
          </w:tcPr>
          <w:p w14:paraId="598F236E" w14:textId="53338B7C" w:rsidR="00E10C5A" w:rsidRPr="009C06C0" w:rsidRDefault="00DE7482" w:rsidP="00B24B97">
            <w:pPr>
              <w:widowControl w:val="0"/>
              <w:spacing w:line="276" w:lineRule="auto"/>
              <w:jc w:val="center"/>
              <w:rPr>
                <w:rFonts w:ascii="Times New Roman" w:hAnsi="Times New Roman" w:cs="Times New Roman"/>
                <w:b/>
                <w:bCs/>
                <w:sz w:val="24"/>
                <w:szCs w:val="24"/>
              </w:rPr>
            </w:pPr>
            <w:r w:rsidRPr="009C06C0">
              <w:rPr>
                <w:rFonts w:ascii="Times New Roman" w:hAnsi="Times New Roman" w:cs="Times New Roman"/>
                <w:b/>
                <w:bCs/>
                <w:sz w:val="24"/>
                <w:szCs w:val="24"/>
              </w:rPr>
              <w:t>Elemente de comparație</w:t>
            </w:r>
          </w:p>
        </w:tc>
        <w:tc>
          <w:tcPr>
            <w:tcW w:w="4020" w:type="dxa"/>
            <w:vAlign w:val="center"/>
          </w:tcPr>
          <w:p w14:paraId="423243C2" w14:textId="40BD4663" w:rsidR="00E10C5A" w:rsidRPr="009C06C0" w:rsidRDefault="00E10C5A" w:rsidP="00B24B97">
            <w:pPr>
              <w:widowControl w:val="0"/>
              <w:spacing w:line="276" w:lineRule="auto"/>
              <w:jc w:val="center"/>
              <w:rPr>
                <w:rFonts w:ascii="Times New Roman" w:hAnsi="Times New Roman" w:cs="Times New Roman"/>
                <w:b/>
                <w:bCs/>
                <w:sz w:val="24"/>
                <w:szCs w:val="24"/>
              </w:rPr>
            </w:pPr>
            <w:r w:rsidRPr="009C06C0">
              <w:rPr>
                <w:rFonts w:ascii="Times New Roman" w:hAnsi="Times New Roman" w:cs="Times New Roman"/>
                <w:b/>
                <w:bCs/>
                <w:sz w:val="24"/>
                <w:szCs w:val="24"/>
              </w:rPr>
              <w:t>În evaluare</w:t>
            </w:r>
            <w:r w:rsidR="00675BC7" w:rsidRPr="009C06C0">
              <w:rPr>
                <w:rFonts w:ascii="Times New Roman" w:hAnsi="Times New Roman" w:cs="Times New Roman"/>
                <w:b/>
                <w:bCs/>
                <w:sz w:val="24"/>
                <w:szCs w:val="24"/>
              </w:rPr>
              <w:t>a bunurilor</w:t>
            </w:r>
          </w:p>
        </w:tc>
        <w:tc>
          <w:tcPr>
            <w:tcW w:w="4410" w:type="dxa"/>
            <w:vAlign w:val="center"/>
          </w:tcPr>
          <w:p w14:paraId="1D5E30D0" w14:textId="6B56B455" w:rsidR="00E10C5A" w:rsidRPr="009C06C0" w:rsidRDefault="00E10C5A" w:rsidP="00B24B97">
            <w:pPr>
              <w:widowControl w:val="0"/>
              <w:spacing w:line="276" w:lineRule="auto"/>
              <w:jc w:val="center"/>
              <w:rPr>
                <w:rFonts w:ascii="Times New Roman" w:hAnsi="Times New Roman" w:cs="Times New Roman"/>
                <w:b/>
                <w:bCs/>
                <w:sz w:val="24"/>
                <w:szCs w:val="24"/>
              </w:rPr>
            </w:pPr>
            <w:r w:rsidRPr="009C06C0">
              <w:rPr>
                <w:rFonts w:ascii="Times New Roman" w:hAnsi="Times New Roman" w:cs="Times New Roman"/>
                <w:b/>
                <w:bCs/>
                <w:sz w:val="24"/>
                <w:szCs w:val="24"/>
              </w:rPr>
              <w:t>În contabilitate</w:t>
            </w:r>
          </w:p>
        </w:tc>
      </w:tr>
      <w:tr w:rsidR="00675BC7" w:rsidRPr="009C06C0" w14:paraId="4CCF0EAF" w14:textId="77777777" w:rsidTr="0099761D">
        <w:tc>
          <w:tcPr>
            <w:tcW w:w="1555" w:type="dxa"/>
            <w:vAlign w:val="center"/>
          </w:tcPr>
          <w:p w14:paraId="6C31D48E" w14:textId="08EEE98D" w:rsidR="00E10C5A" w:rsidRPr="009C06C0" w:rsidRDefault="00E10C5A" w:rsidP="00B24B97">
            <w:pPr>
              <w:widowControl w:val="0"/>
              <w:spacing w:line="276" w:lineRule="auto"/>
              <w:jc w:val="both"/>
              <w:rPr>
                <w:rFonts w:ascii="Times New Roman" w:hAnsi="Times New Roman" w:cs="Times New Roman"/>
                <w:sz w:val="24"/>
                <w:szCs w:val="24"/>
              </w:rPr>
            </w:pPr>
            <w:r w:rsidRPr="009C06C0">
              <w:rPr>
                <w:rFonts w:ascii="Times New Roman" w:hAnsi="Times New Roman" w:cs="Times New Roman"/>
                <w:sz w:val="24"/>
                <w:szCs w:val="24"/>
              </w:rPr>
              <w:t>Obiectul evaluării</w:t>
            </w:r>
          </w:p>
        </w:tc>
        <w:tc>
          <w:tcPr>
            <w:tcW w:w="4020" w:type="dxa"/>
            <w:vAlign w:val="center"/>
          </w:tcPr>
          <w:p w14:paraId="6509097A" w14:textId="5069EF21" w:rsidR="00E10C5A" w:rsidRPr="009C06C0" w:rsidRDefault="000039E4" w:rsidP="00B24B97">
            <w:pPr>
              <w:widowControl w:val="0"/>
              <w:spacing w:line="276" w:lineRule="auto"/>
              <w:jc w:val="both"/>
              <w:rPr>
                <w:rFonts w:ascii="Times New Roman" w:hAnsi="Times New Roman" w:cs="Times New Roman"/>
                <w:sz w:val="24"/>
                <w:szCs w:val="24"/>
              </w:rPr>
            </w:pPr>
            <w:r w:rsidRPr="000039E4">
              <w:rPr>
                <w:rFonts w:ascii="Times New Roman" w:hAnsi="Times New Roman" w:cs="Times New Roman"/>
                <w:sz w:val="24"/>
                <w:szCs w:val="24"/>
              </w:rPr>
              <w:t>Activul este analizat ca obiect al evaluării, în funcție de scopul evaluării și de perspectiva participanților de piață.</w:t>
            </w:r>
          </w:p>
        </w:tc>
        <w:tc>
          <w:tcPr>
            <w:tcW w:w="4410" w:type="dxa"/>
            <w:vAlign w:val="center"/>
          </w:tcPr>
          <w:p w14:paraId="0FE1F3DD" w14:textId="270D1C0C" w:rsidR="00A40387" w:rsidRDefault="005C1354" w:rsidP="00A40387">
            <w:pPr>
              <w:widowControl w:val="0"/>
              <w:spacing w:line="276" w:lineRule="auto"/>
              <w:jc w:val="both"/>
              <w:rPr>
                <w:rFonts w:ascii="Times New Roman" w:hAnsi="Times New Roman" w:cs="Times New Roman"/>
                <w:sz w:val="24"/>
                <w:szCs w:val="24"/>
              </w:rPr>
            </w:pPr>
            <w:r w:rsidRPr="009C06C0">
              <w:rPr>
                <w:rFonts w:ascii="Times New Roman" w:hAnsi="Times New Roman" w:cs="Times New Roman"/>
                <w:sz w:val="24"/>
                <w:szCs w:val="24"/>
              </w:rPr>
              <w:t>Activ</w:t>
            </w:r>
            <w:r w:rsidR="00A40387">
              <w:rPr>
                <w:rFonts w:ascii="Times New Roman" w:hAnsi="Times New Roman" w:cs="Times New Roman"/>
                <w:sz w:val="24"/>
                <w:szCs w:val="24"/>
              </w:rPr>
              <w:t xml:space="preserve"> – </w:t>
            </w:r>
            <w:r w:rsidR="00A40387" w:rsidRPr="00A40387">
              <w:rPr>
                <w:rFonts w:ascii="Times New Roman" w:hAnsi="Times New Roman" w:cs="Times New Roman"/>
                <w:sz w:val="24"/>
                <w:szCs w:val="24"/>
              </w:rPr>
              <w:t>recunoscut</w:t>
            </w:r>
            <w:r w:rsidR="00A40387">
              <w:rPr>
                <w:rFonts w:ascii="Times New Roman" w:hAnsi="Times New Roman" w:cs="Times New Roman"/>
                <w:sz w:val="24"/>
                <w:szCs w:val="24"/>
              </w:rPr>
              <w:t xml:space="preserve"> </w:t>
            </w:r>
            <w:r w:rsidR="00A40387" w:rsidRPr="00A40387">
              <w:rPr>
                <w:rFonts w:ascii="Times New Roman" w:hAnsi="Times New Roman" w:cs="Times New Roman"/>
                <w:sz w:val="24"/>
                <w:szCs w:val="24"/>
              </w:rPr>
              <w:t>ca element patrimonial al entității, în conformitate cu reglementările contabile aplicabile.</w:t>
            </w:r>
          </w:p>
          <w:p w14:paraId="26BD721A" w14:textId="1B1C3819" w:rsidR="005C1354" w:rsidRPr="009C06C0" w:rsidRDefault="005C1354" w:rsidP="00A40387">
            <w:pPr>
              <w:widowControl w:val="0"/>
              <w:spacing w:line="276" w:lineRule="auto"/>
              <w:jc w:val="both"/>
              <w:rPr>
                <w:rFonts w:ascii="Times New Roman" w:hAnsi="Times New Roman" w:cs="Times New Roman"/>
                <w:sz w:val="24"/>
                <w:szCs w:val="24"/>
              </w:rPr>
            </w:pPr>
            <w:r w:rsidRPr="009C06C0">
              <w:rPr>
                <w:rFonts w:ascii="Times New Roman" w:hAnsi="Times New Roman" w:cs="Times New Roman"/>
                <w:sz w:val="24"/>
                <w:szCs w:val="24"/>
              </w:rPr>
              <w:t xml:space="preserve">Unitate de cont </w:t>
            </w:r>
            <w:r w:rsidR="00A40387">
              <w:rPr>
                <w:rFonts w:ascii="Times New Roman" w:hAnsi="Times New Roman" w:cs="Times New Roman"/>
                <w:sz w:val="24"/>
                <w:szCs w:val="24"/>
              </w:rPr>
              <w:t>–</w:t>
            </w:r>
            <w:r w:rsidR="00A40387" w:rsidRPr="00A40387">
              <w:rPr>
                <w:rFonts w:ascii="Times New Roman" w:hAnsi="Times New Roman" w:cs="Times New Roman"/>
                <w:sz w:val="24"/>
                <w:szCs w:val="24"/>
              </w:rPr>
              <w:t xml:space="preserve"> determinată de clasificarea contabilă a activului și de modul de recunoaștere în evidența contabilă.</w:t>
            </w:r>
          </w:p>
        </w:tc>
      </w:tr>
      <w:tr w:rsidR="00675BC7" w:rsidRPr="009C06C0" w14:paraId="7B84DFA7" w14:textId="77777777" w:rsidTr="0099761D">
        <w:tc>
          <w:tcPr>
            <w:tcW w:w="1555" w:type="dxa"/>
            <w:vMerge w:val="restart"/>
            <w:vAlign w:val="center"/>
          </w:tcPr>
          <w:p w14:paraId="14C6B05F" w14:textId="2D482285" w:rsidR="005C1354" w:rsidRPr="009C06C0" w:rsidRDefault="005C1354" w:rsidP="00B24B97">
            <w:pPr>
              <w:widowControl w:val="0"/>
              <w:spacing w:line="276" w:lineRule="auto"/>
              <w:jc w:val="both"/>
              <w:rPr>
                <w:rFonts w:ascii="Times New Roman" w:hAnsi="Times New Roman" w:cs="Times New Roman"/>
                <w:sz w:val="24"/>
                <w:szCs w:val="24"/>
              </w:rPr>
            </w:pPr>
            <w:r w:rsidRPr="009C06C0">
              <w:rPr>
                <w:rFonts w:ascii="Times New Roman" w:hAnsi="Times New Roman" w:cs="Times New Roman"/>
                <w:sz w:val="24"/>
                <w:szCs w:val="24"/>
              </w:rPr>
              <w:t xml:space="preserve">Ipoteze </w:t>
            </w:r>
          </w:p>
        </w:tc>
        <w:tc>
          <w:tcPr>
            <w:tcW w:w="4020" w:type="dxa"/>
            <w:vAlign w:val="center"/>
          </w:tcPr>
          <w:p w14:paraId="2568F891" w14:textId="22B8828C" w:rsidR="005C1354" w:rsidRPr="009C06C0" w:rsidRDefault="0099761D" w:rsidP="00B24B97">
            <w:pPr>
              <w:widowControl w:val="0"/>
              <w:spacing w:line="276" w:lineRule="auto"/>
              <w:jc w:val="both"/>
              <w:rPr>
                <w:rFonts w:ascii="Times New Roman" w:hAnsi="Times New Roman" w:cs="Times New Roman"/>
                <w:sz w:val="24"/>
                <w:szCs w:val="24"/>
              </w:rPr>
            </w:pPr>
            <w:r w:rsidRPr="0099761D">
              <w:rPr>
                <w:rFonts w:ascii="Times New Roman" w:hAnsi="Times New Roman" w:cs="Times New Roman"/>
                <w:b/>
                <w:bCs/>
                <w:sz w:val="24"/>
                <w:szCs w:val="24"/>
              </w:rPr>
              <w:t>Ipoteze generale</w:t>
            </w:r>
            <w:r w:rsidRPr="0099761D">
              <w:rPr>
                <w:rFonts w:ascii="Times New Roman" w:hAnsi="Times New Roman" w:cs="Times New Roman"/>
                <w:sz w:val="24"/>
                <w:szCs w:val="24"/>
              </w:rPr>
              <w:t xml:space="preserve"> </w:t>
            </w:r>
            <w:r>
              <w:rPr>
                <w:rFonts w:ascii="Times New Roman" w:hAnsi="Times New Roman" w:cs="Times New Roman"/>
                <w:sz w:val="24"/>
                <w:szCs w:val="24"/>
              </w:rPr>
              <w:t>s</w:t>
            </w:r>
            <w:r w:rsidRPr="0099761D">
              <w:rPr>
                <w:rFonts w:ascii="Times New Roman" w:hAnsi="Times New Roman" w:cs="Times New Roman"/>
                <w:sz w:val="24"/>
                <w:szCs w:val="24"/>
              </w:rPr>
              <w:t>e aplică, inclusiv, de regulă, ipoteza utilizării continue, în măsura în care aceasta este relevantă pentru piață.</w:t>
            </w:r>
          </w:p>
        </w:tc>
        <w:tc>
          <w:tcPr>
            <w:tcW w:w="4410" w:type="dxa"/>
            <w:vAlign w:val="center"/>
          </w:tcPr>
          <w:p w14:paraId="4714942A" w14:textId="1759EF7E" w:rsidR="005C1354" w:rsidRPr="009C06C0" w:rsidRDefault="0099761D" w:rsidP="00B24B97">
            <w:pPr>
              <w:widowControl w:val="0"/>
              <w:spacing w:line="276" w:lineRule="auto"/>
              <w:jc w:val="both"/>
              <w:rPr>
                <w:rFonts w:ascii="Times New Roman" w:hAnsi="Times New Roman" w:cs="Times New Roman"/>
                <w:sz w:val="24"/>
                <w:szCs w:val="24"/>
              </w:rPr>
            </w:pPr>
            <w:r w:rsidRPr="0099761D">
              <w:rPr>
                <w:rFonts w:ascii="Times New Roman" w:hAnsi="Times New Roman" w:cs="Times New Roman"/>
                <w:sz w:val="24"/>
                <w:szCs w:val="24"/>
              </w:rPr>
              <w:t>Se aplică ipoteze relevante pentru utilizarea activului de către entitate, în conformitate cu politicile contabile aprobate.</w:t>
            </w:r>
          </w:p>
        </w:tc>
      </w:tr>
      <w:tr w:rsidR="00675BC7" w:rsidRPr="009C06C0" w14:paraId="09D01558" w14:textId="77777777" w:rsidTr="0099761D">
        <w:tc>
          <w:tcPr>
            <w:tcW w:w="1555" w:type="dxa"/>
            <w:vMerge/>
            <w:vAlign w:val="center"/>
          </w:tcPr>
          <w:p w14:paraId="37522446" w14:textId="77777777" w:rsidR="005C1354" w:rsidRPr="009C06C0" w:rsidRDefault="005C1354" w:rsidP="00B24B97">
            <w:pPr>
              <w:widowControl w:val="0"/>
              <w:spacing w:line="276" w:lineRule="auto"/>
              <w:jc w:val="both"/>
              <w:rPr>
                <w:rFonts w:ascii="Times New Roman" w:hAnsi="Times New Roman" w:cs="Times New Roman"/>
                <w:sz w:val="24"/>
                <w:szCs w:val="24"/>
              </w:rPr>
            </w:pPr>
          </w:p>
        </w:tc>
        <w:tc>
          <w:tcPr>
            <w:tcW w:w="4020" w:type="dxa"/>
            <w:vAlign w:val="center"/>
          </w:tcPr>
          <w:p w14:paraId="6546601A" w14:textId="72C2CF1F" w:rsidR="005C1354" w:rsidRPr="009C06C0" w:rsidRDefault="005C1354" w:rsidP="00B24B97">
            <w:pPr>
              <w:widowControl w:val="0"/>
              <w:spacing w:line="276" w:lineRule="auto"/>
              <w:jc w:val="both"/>
              <w:rPr>
                <w:rFonts w:ascii="Times New Roman" w:hAnsi="Times New Roman" w:cs="Times New Roman"/>
                <w:sz w:val="24"/>
                <w:szCs w:val="24"/>
              </w:rPr>
            </w:pPr>
            <w:r w:rsidRPr="0099761D">
              <w:rPr>
                <w:rFonts w:ascii="Times New Roman" w:hAnsi="Times New Roman" w:cs="Times New Roman"/>
                <w:b/>
                <w:bCs/>
                <w:sz w:val="24"/>
                <w:szCs w:val="24"/>
              </w:rPr>
              <w:t>Ipoteze speciale</w:t>
            </w:r>
            <w:r w:rsidR="0099761D">
              <w:rPr>
                <w:rFonts w:ascii="Times New Roman" w:hAnsi="Times New Roman" w:cs="Times New Roman"/>
                <w:sz w:val="24"/>
                <w:szCs w:val="24"/>
              </w:rPr>
              <w:t xml:space="preserve"> </w:t>
            </w:r>
            <w:r w:rsidR="0099761D" w:rsidRPr="0099761D">
              <w:rPr>
                <w:rFonts w:ascii="Times New Roman" w:hAnsi="Times New Roman" w:cs="Times New Roman"/>
                <w:sz w:val="24"/>
                <w:szCs w:val="24"/>
              </w:rPr>
              <w:t>pot fi utilizate doar în mod excepțional și trebuie justificate explicit; utilizarea lor nejustificată este considerată inadecvată.</w:t>
            </w:r>
          </w:p>
        </w:tc>
        <w:tc>
          <w:tcPr>
            <w:tcW w:w="4410" w:type="dxa"/>
            <w:vAlign w:val="center"/>
          </w:tcPr>
          <w:p w14:paraId="57E1BB02" w14:textId="29B13001" w:rsidR="005C1354" w:rsidRPr="009C06C0" w:rsidRDefault="0099761D" w:rsidP="00B24B97">
            <w:pPr>
              <w:widowControl w:val="0"/>
              <w:spacing w:line="276" w:lineRule="auto"/>
              <w:jc w:val="both"/>
              <w:rPr>
                <w:rFonts w:ascii="Times New Roman" w:hAnsi="Times New Roman" w:cs="Times New Roman"/>
                <w:sz w:val="24"/>
                <w:szCs w:val="24"/>
              </w:rPr>
            </w:pPr>
            <w:r w:rsidRPr="0099761D">
              <w:rPr>
                <w:rFonts w:ascii="Times New Roman" w:hAnsi="Times New Roman" w:cs="Times New Roman"/>
                <w:sz w:val="24"/>
                <w:szCs w:val="24"/>
              </w:rPr>
              <w:t xml:space="preserve">Ipotezele speciale </w:t>
            </w:r>
            <w:r w:rsidRPr="0099761D">
              <w:rPr>
                <w:rFonts w:ascii="Times New Roman" w:hAnsi="Times New Roman" w:cs="Times New Roman"/>
                <w:b/>
                <w:bCs/>
                <w:sz w:val="24"/>
                <w:szCs w:val="24"/>
              </w:rPr>
              <w:t>nu se aplică</w:t>
            </w:r>
            <w:r w:rsidRPr="0099761D">
              <w:rPr>
                <w:rFonts w:ascii="Times New Roman" w:hAnsi="Times New Roman" w:cs="Times New Roman"/>
                <w:sz w:val="24"/>
                <w:szCs w:val="24"/>
              </w:rPr>
              <w:t>; evaluarea contabilă se bazează pe utilizarea normală și clasificarea contabilă a activului.</w:t>
            </w:r>
          </w:p>
        </w:tc>
      </w:tr>
      <w:tr w:rsidR="00675BC7" w:rsidRPr="009C06C0" w14:paraId="55846D2A" w14:textId="77777777" w:rsidTr="0099761D">
        <w:tc>
          <w:tcPr>
            <w:tcW w:w="1555" w:type="dxa"/>
            <w:vAlign w:val="center"/>
          </w:tcPr>
          <w:p w14:paraId="278737DC" w14:textId="5BCB6CA2" w:rsidR="005C1354" w:rsidRPr="009C06C0" w:rsidRDefault="005C1354" w:rsidP="00B24B97">
            <w:pPr>
              <w:widowControl w:val="0"/>
              <w:spacing w:line="276" w:lineRule="auto"/>
              <w:rPr>
                <w:rFonts w:ascii="Times New Roman" w:hAnsi="Times New Roman" w:cs="Times New Roman"/>
                <w:sz w:val="24"/>
                <w:szCs w:val="24"/>
              </w:rPr>
            </w:pPr>
            <w:r w:rsidRPr="009C06C0">
              <w:rPr>
                <w:rFonts w:ascii="Times New Roman" w:hAnsi="Times New Roman" w:cs="Times New Roman"/>
                <w:sz w:val="24"/>
                <w:szCs w:val="24"/>
              </w:rPr>
              <w:t>Date de intrare</w:t>
            </w:r>
          </w:p>
        </w:tc>
        <w:tc>
          <w:tcPr>
            <w:tcW w:w="4020" w:type="dxa"/>
            <w:vAlign w:val="center"/>
          </w:tcPr>
          <w:p w14:paraId="0976AA5F" w14:textId="1F3F3FC8" w:rsidR="005C1354" w:rsidRPr="009C06C0" w:rsidRDefault="0099761D" w:rsidP="00B24B97">
            <w:pPr>
              <w:widowControl w:val="0"/>
              <w:spacing w:line="276" w:lineRule="auto"/>
              <w:jc w:val="both"/>
              <w:rPr>
                <w:rFonts w:ascii="Times New Roman" w:hAnsi="Times New Roman" w:cs="Times New Roman"/>
                <w:sz w:val="24"/>
                <w:szCs w:val="24"/>
              </w:rPr>
            </w:pPr>
            <w:r w:rsidRPr="0099761D">
              <w:rPr>
                <w:rFonts w:ascii="Times New Roman" w:hAnsi="Times New Roman" w:cs="Times New Roman"/>
                <w:sz w:val="24"/>
                <w:szCs w:val="24"/>
              </w:rPr>
              <w:t xml:space="preserve">Datele de intrare sunt selectate și ajustate pentru a reflecta </w:t>
            </w:r>
            <w:r w:rsidRPr="0099761D">
              <w:rPr>
                <w:rFonts w:ascii="Times New Roman" w:hAnsi="Times New Roman" w:cs="Times New Roman"/>
                <w:b/>
                <w:bCs/>
                <w:sz w:val="24"/>
                <w:szCs w:val="24"/>
              </w:rPr>
              <w:t>condițiile pieței și comportamentul participanților de piață.</w:t>
            </w:r>
          </w:p>
        </w:tc>
        <w:tc>
          <w:tcPr>
            <w:tcW w:w="4410" w:type="dxa"/>
            <w:vAlign w:val="center"/>
          </w:tcPr>
          <w:p w14:paraId="2872C1E0" w14:textId="445F3DD6" w:rsidR="005C1354" w:rsidRPr="009C06C0" w:rsidRDefault="006A3805" w:rsidP="00B24B9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lang w:val="it-IT"/>
              </w:rPr>
              <w:t>E</w:t>
            </w:r>
            <w:r w:rsidR="005C1354" w:rsidRPr="009C06C0">
              <w:rPr>
                <w:rFonts w:ascii="Times New Roman" w:hAnsi="Times New Roman" w:cs="Times New Roman"/>
                <w:sz w:val="24"/>
                <w:szCs w:val="24"/>
                <w:lang w:val="it-IT"/>
              </w:rPr>
              <w:t xml:space="preserve">ntitatea trebuie să </w:t>
            </w:r>
            <w:r w:rsidR="005C1354" w:rsidRPr="009C06C0">
              <w:rPr>
                <w:rStyle w:val="Strong"/>
                <w:rFonts w:ascii="Times New Roman" w:eastAsiaTheme="majorEastAsia" w:hAnsi="Times New Roman" w:cs="Times New Roman"/>
                <w:sz w:val="24"/>
                <w:szCs w:val="24"/>
                <w:lang w:val="it-IT"/>
              </w:rPr>
              <w:t>indice nivelul corespunzător din ierarhia valorii juste</w:t>
            </w:r>
            <w:r w:rsidR="005C1354" w:rsidRPr="009C06C0">
              <w:rPr>
                <w:rFonts w:ascii="Times New Roman" w:hAnsi="Times New Roman" w:cs="Times New Roman"/>
                <w:sz w:val="24"/>
                <w:szCs w:val="24"/>
                <w:lang w:val="it-IT"/>
              </w:rPr>
              <w:t xml:space="preserve"> pentru fiecare activ sau datorie evaluată la valoarea justă</w:t>
            </w:r>
            <w:r w:rsidR="0099761D" w:rsidRPr="0099761D">
              <w:rPr>
                <w:rFonts w:ascii="Times New Roman" w:hAnsi="Times New Roman" w:cs="Times New Roman"/>
                <w:sz w:val="24"/>
                <w:szCs w:val="24"/>
                <w:lang w:val="it-IT"/>
              </w:rPr>
              <w:t>, conform reglementărilor contabile.</w:t>
            </w:r>
          </w:p>
        </w:tc>
      </w:tr>
      <w:tr w:rsidR="00675BC7" w:rsidRPr="009C06C0" w14:paraId="43C11084" w14:textId="77777777" w:rsidTr="0099761D">
        <w:tc>
          <w:tcPr>
            <w:tcW w:w="1555" w:type="dxa"/>
            <w:vAlign w:val="center"/>
          </w:tcPr>
          <w:p w14:paraId="658B8962" w14:textId="1E83B9C1" w:rsidR="00E10C5A" w:rsidRPr="009C06C0" w:rsidRDefault="00E10C5A" w:rsidP="00B24B97">
            <w:pPr>
              <w:widowControl w:val="0"/>
              <w:spacing w:line="276" w:lineRule="auto"/>
              <w:jc w:val="both"/>
              <w:rPr>
                <w:rFonts w:ascii="Times New Roman" w:hAnsi="Times New Roman" w:cs="Times New Roman"/>
                <w:sz w:val="24"/>
                <w:szCs w:val="24"/>
              </w:rPr>
            </w:pPr>
            <w:r w:rsidRPr="009C06C0">
              <w:rPr>
                <w:rFonts w:ascii="Times New Roman" w:hAnsi="Times New Roman" w:cs="Times New Roman"/>
                <w:sz w:val="24"/>
                <w:szCs w:val="24"/>
              </w:rPr>
              <w:t>Depreciere</w:t>
            </w:r>
            <w:r w:rsidR="005C1354" w:rsidRPr="009C06C0">
              <w:rPr>
                <w:rFonts w:ascii="Times New Roman" w:hAnsi="Times New Roman" w:cs="Times New Roman"/>
                <w:sz w:val="24"/>
                <w:szCs w:val="24"/>
              </w:rPr>
              <w:t>a</w:t>
            </w:r>
          </w:p>
        </w:tc>
        <w:tc>
          <w:tcPr>
            <w:tcW w:w="4020" w:type="dxa"/>
            <w:vAlign w:val="center"/>
          </w:tcPr>
          <w:p w14:paraId="3522672B" w14:textId="5213A5B7" w:rsidR="00E10C5A" w:rsidRPr="009C06C0" w:rsidRDefault="007711E2" w:rsidP="00B24B97">
            <w:pPr>
              <w:widowControl w:val="0"/>
              <w:spacing w:line="276" w:lineRule="auto"/>
              <w:jc w:val="both"/>
              <w:rPr>
                <w:rFonts w:ascii="Times New Roman" w:hAnsi="Times New Roman" w:cs="Times New Roman"/>
                <w:sz w:val="24"/>
                <w:szCs w:val="24"/>
              </w:rPr>
            </w:pPr>
            <w:r w:rsidRPr="007711E2">
              <w:rPr>
                <w:rFonts w:ascii="Times New Roman" w:hAnsi="Times New Roman" w:cs="Times New Roman"/>
                <w:sz w:val="24"/>
                <w:szCs w:val="24"/>
              </w:rPr>
              <w:t xml:space="preserve">Deprecierea reprezintă </w:t>
            </w:r>
            <w:r w:rsidRPr="007711E2">
              <w:rPr>
                <w:rFonts w:ascii="Times New Roman" w:hAnsi="Times New Roman" w:cs="Times New Roman"/>
                <w:b/>
                <w:bCs/>
                <w:sz w:val="24"/>
                <w:szCs w:val="24"/>
              </w:rPr>
              <w:t>ajustarea valorii</w:t>
            </w:r>
            <w:r w:rsidRPr="007711E2">
              <w:rPr>
                <w:rFonts w:ascii="Times New Roman" w:hAnsi="Times New Roman" w:cs="Times New Roman"/>
                <w:sz w:val="24"/>
                <w:szCs w:val="24"/>
              </w:rPr>
              <w:t xml:space="preserve"> în cadrul evaluării (de regulă, în abordarea prin cost), pentru a reflecta uzura fizică, funcțională sau economică (morală).</w:t>
            </w:r>
          </w:p>
        </w:tc>
        <w:tc>
          <w:tcPr>
            <w:tcW w:w="4410" w:type="dxa"/>
            <w:vAlign w:val="center"/>
          </w:tcPr>
          <w:p w14:paraId="03DCAC0D" w14:textId="5F890707" w:rsidR="00E10C5A" w:rsidRPr="009C06C0" w:rsidRDefault="000350B5" w:rsidP="00B24B97">
            <w:pPr>
              <w:widowControl w:val="0"/>
              <w:spacing w:line="276" w:lineRule="auto"/>
              <w:jc w:val="both"/>
              <w:rPr>
                <w:rFonts w:ascii="Times New Roman" w:hAnsi="Times New Roman" w:cs="Times New Roman"/>
                <w:sz w:val="24"/>
                <w:szCs w:val="24"/>
              </w:rPr>
            </w:pPr>
            <w:r w:rsidRPr="009C06C0">
              <w:rPr>
                <w:rFonts w:ascii="Times New Roman" w:hAnsi="Times New Roman" w:cs="Times New Roman"/>
                <w:sz w:val="24"/>
                <w:szCs w:val="24"/>
              </w:rPr>
              <w:t>Amortizarea</w:t>
            </w:r>
            <w:r w:rsidR="007711E2">
              <w:rPr>
                <w:rFonts w:ascii="Times New Roman" w:hAnsi="Times New Roman" w:cs="Times New Roman"/>
                <w:sz w:val="24"/>
                <w:szCs w:val="24"/>
              </w:rPr>
              <w:t xml:space="preserve"> reprezintă </w:t>
            </w:r>
            <w:r w:rsidRPr="007711E2">
              <w:rPr>
                <w:rFonts w:ascii="Times New Roman" w:hAnsi="Times New Roman" w:cs="Times New Roman"/>
                <w:b/>
                <w:bCs/>
                <w:sz w:val="24"/>
                <w:szCs w:val="24"/>
              </w:rPr>
              <w:t>alocarea sistematică</w:t>
            </w:r>
            <w:r w:rsidRPr="009C06C0">
              <w:rPr>
                <w:rFonts w:ascii="Times New Roman" w:hAnsi="Times New Roman" w:cs="Times New Roman"/>
                <w:sz w:val="24"/>
                <w:szCs w:val="24"/>
              </w:rPr>
              <w:t xml:space="preserve"> a valorii amortizabile a unui activ pe întreaga durată de viață utilă a acestuia, reflectând astfel uzura fizică, morală tehnică sau comercială suferită de activ în cursul utilizării sale de către entitate</w:t>
            </w:r>
          </w:p>
        </w:tc>
      </w:tr>
      <w:tr w:rsidR="00675BC7" w:rsidRPr="009C06C0" w14:paraId="0ED1DA0C" w14:textId="77777777" w:rsidTr="0099761D">
        <w:tc>
          <w:tcPr>
            <w:tcW w:w="1555" w:type="dxa"/>
            <w:vAlign w:val="center"/>
          </w:tcPr>
          <w:p w14:paraId="723A3F41" w14:textId="7F836C04" w:rsidR="00E10C5A" w:rsidRPr="009C06C0" w:rsidRDefault="00E10C5A" w:rsidP="00B24B97">
            <w:pPr>
              <w:widowControl w:val="0"/>
              <w:spacing w:line="276" w:lineRule="auto"/>
              <w:rPr>
                <w:rFonts w:ascii="Times New Roman" w:hAnsi="Times New Roman" w:cs="Times New Roman"/>
                <w:sz w:val="24"/>
                <w:szCs w:val="24"/>
              </w:rPr>
            </w:pPr>
            <w:r w:rsidRPr="009C06C0">
              <w:rPr>
                <w:rFonts w:ascii="Times New Roman" w:hAnsi="Times New Roman" w:cs="Times New Roman"/>
                <w:sz w:val="24"/>
                <w:szCs w:val="24"/>
              </w:rPr>
              <w:t>Durata de viață utilă</w:t>
            </w:r>
          </w:p>
        </w:tc>
        <w:tc>
          <w:tcPr>
            <w:tcW w:w="4020" w:type="dxa"/>
            <w:vAlign w:val="center"/>
          </w:tcPr>
          <w:p w14:paraId="3E7FBFB2" w14:textId="77777777" w:rsidR="000039E4" w:rsidRDefault="000039E4" w:rsidP="00B24B97">
            <w:pPr>
              <w:widowControl w:val="0"/>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Se disting:</w:t>
            </w:r>
          </w:p>
          <w:p w14:paraId="5BE0C7E3" w14:textId="510436B9" w:rsidR="0075179A" w:rsidRPr="009C06C0" w:rsidRDefault="006A3805" w:rsidP="00B24B97">
            <w:pPr>
              <w:widowControl w:val="0"/>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1. </w:t>
            </w:r>
            <w:r w:rsidR="000039E4">
              <w:rPr>
                <w:rFonts w:ascii="Times New Roman" w:hAnsi="Times New Roman" w:cs="Times New Roman"/>
                <w:b/>
                <w:bCs/>
                <w:sz w:val="24"/>
                <w:szCs w:val="24"/>
              </w:rPr>
              <w:t>d</w:t>
            </w:r>
            <w:r w:rsidR="0075179A" w:rsidRPr="009C06C0">
              <w:rPr>
                <w:rFonts w:ascii="Times New Roman" w:hAnsi="Times New Roman" w:cs="Times New Roman"/>
                <w:b/>
                <w:bCs/>
                <w:sz w:val="24"/>
                <w:szCs w:val="24"/>
              </w:rPr>
              <w:t>urata de viață fizică</w:t>
            </w:r>
            <w:r w:rsidR="0075179A" w:rsidRPr="009C06C0">
              <w:rPr>
                <w:rFonts w:ascii="Times New Roman" w:hAnsi="Times New Roman" w:cs="Times New Roman"/>
                <w:sz w:val="24"/>
                <w:szCs w:val="24"/>
              </w:rPr>
              <w:t xml:space="preserve"> </w:t>
            </w:r>
            <w:r w:rsidR="000039E4">
              <w:rPr>
                <w:rFonts w:ascii="Times New Roman" w:hAnsi="Times New Roman" w:cs="Times New Roman"/>
                <w:sz w:val="24"/>
                <w:szCs w:val="24"/>
              </w:rPr>
              <w:t xml:space="preserve">– </w:t>
            </w:r>
            <w:r w:rsidR="0075179A" w:rsidRPr="009C06C0">
              <w:rPr>
                <w:rFonts w:ascii="Times New Roman" w:hAnsi="Times New Roman" w:cs="Times New Roman"/>
                <w:sz w:val="24"/>
                <w:szCs w:val="24"/>
              </w:rPr>
              <w:t>perioada</w:t>
            </w:r>
            <w:r w:rsidR="000039E4">
              <w:rPr>
                <w:rFonts w:ascii="Times New Roman" w:hAnsi="Times New Roman" w:cs="Times New Roman"/>
                <w:sz w:val="24"/>
                <w:szCs w:val="24"/>
              </w:rPr>
              <w:t xml:space="preserve"> </w:t>
            </w:r>
            <w:r w:rsidR="0075179A" w:rsidRPr="009C06C0">
              <w:rPr>
                <w:rFonts w:ascii="Times New Roman" w:hAnsi="Times New Roman" w:cs="Times New Roman"/>
                <w:sz w:val="24"/>
                <w:szCs w:val="24"/>
              </w:rPr>
              <w:t>de timp în care activul ar putea fi</w:t>
            </w:r>
            <w:r>
              <w:rPr>
                <w:rFonts w:ascii="Times New Roman" w:hAnsi="Times New Roman" w:cs="Times New Roman"/>
                <w:sz w:val="24"/>
                <w:szCs w:val="24"/>
              </w:rPr>
              <w:t xml:space="preserve"> </w:t>
            </w:r>
            <w:r w:rsidR="0075179A" w:rsidRPr="009C06C0">
              <w:rPr>
                <w:rFonts w:ascii="Times New Roman" w:hAnsi="Times New Roman" w:cs="Times New Roman"/>
                <w:sz w:val="24"/>
                <w:szCs w:val="24"/>
              </w:rPr>
              <w:t>folosit înainte să fie scos din uz sau după repararea sa eficientă din punct</w:t>
            </w:r>
            <w:r>
              <w:rPr>
                <w:rFonts w:ascii="Times New Roman" w:hAnsi="Times New Roman" w:cs="Times New Roman"/>
                <w:sz w:val="24"/>
                <w:szCs w:val="24"/>
              </w:rPr>
              <w:t xml:space="preserve"> </w:t>
            </w:r>
            <w:r w:rsidR="0075179A" w:rsidRPr="009C06C0">
              <w:rPr>
                <w:rFonts w:ascii="Times New Roman" w:hAnsi="Times New Roman" w:cs="Times New Roman"/>
                <w:sz w:val="24"/>
                <w:szCs w:val="24"/>
              </w:rPr>
              <w:t xml:space="preserve">de vedere economic, luând în considerare lucrările de mentenanță periodice, însă nu și lucrările de renovare sau </w:t>
            </w:r>
            <w:r w:rsidR="0075179A" w:rsidRPr="009C06C0">
              <w:rPr>
                <w:rFonts w:ascii="Times New Roman" w:hAnsi="Times New Roman" w:cs="Times New Roman"/>
                <w:sz w:val="24"/>
                <w:szCs w:val="24"/>
              </w:rPr>
              <w:lastRenderedPageBreak/>
              <w:t>reconstruire;</w:t>
            </w:r>
          </w:p>
          <w:p w14:paraId="3E73351A" w14:textId="6B7CFFAA" w:rsidR="00E10C5A" w:rsidRPr="009C06C0" w:rsidRDefault="006A3805" w:rsidP="006A3805">
            <w:pPr>
              <w:widowControl w:val="0"/>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2. </w:t>
            </w:r>
            <w:r w:rsidR="000039E4">
              <w:rPr>
                <w:rFonts w:ascii="Times New Roman" w:hAnsi="Times New Roman" w:cs="Times New Roman"/>
                <w:b/>
                <w:bCs/>
                <w:sz w:val="24"/>
                <w:szCs w:val="24"/>
              </w:rPr>
              <w:t>d</w:t>
            </w:r>
            <w:r w:rsidR="0075179A" w:rsidRPr="009C06C0">
              <w:rPr>
                <w:rFonts w:ascii="Times New Roman" w:hAnsi="Times New Roman" w:cs="Times New Roman"/>
                <w:b/>
                <w:bCs/>
                <w:sz w:val="24"/>
                <w:szCs w:val="24"/>
              </w:rPr>
              <w:t>urata de viață economică</w:t>
            </w:r>
            <w:r w:rsidR="000039E4">
              <w:rPr>
                <w:rFonts w:ascii="Times New Roman" w:hAnsi="Times New Roman" w:cs="Times New Roman"/>
                <w:b/>
                <w:bCs/>
                <w:sz w:val="24"/>
                <w:szCs w:val="24"/>
              </w:rPr>
              <w:t xml:space="preserve"> – </w:t>
            </w:r>
            <w:r w:rsidR="0075179A" w:rsidRPr="009C06C0">
              <w:rPr>
                <w:rFonts w:ascii="Times New Roman" w:hAnsi="Times New Roman" w:cs="Times New Roman"/>
                <w:sz w:val="24"/>
                <w:szCs w:val="24"/>
              </w:rPr>
              <w:t>timpul</w:t>
            </w:r>
            <w:r w:rsidR="000039E4">
              <w:rPr>
                <w:rFonts w:ascii="Times New Roman" w:hAnsi="Times New Roman" w:cs="Times New Roman"/>
                <w:sz w:val="24"/>
                <w:szCs w:val="24"/>
              </w:rPr>
              <w:t xml:space="preserve"> </w:t>
            </w:r>
            <w:r w:rsidR="0075179A" w:rsidRPr="009C06C0">
              <w:rPr>
                <w:rFonts w:ascii="Times New Roman" w:hAnsi="Times New Roman" w:cs="Times New Roman"/>
                <w:sz w:val="24"/>
                <w:szCs w:val="24"/>
              </w:rPr>
              <w:t>estimat în care, prin utilizarea</w:t>
            </w:r>
            <w:r>
              <w:rPr>
                <w:rFonts w:ascii="Times New Roman" w:hAnsi="Times New Roman" w:cs="Times New Roman"/>
                <w:sz w:val="24"/>
                <w:szCs w:val="24"/>
              </w:rPr>
              <w:t xml:space="preserve"> </w:t>
            </w:r>
            <w:r w:rsidR="0075179A" w:rsidRPr="009C06C0">
              <w:rPr>
                <w:rFonts w:ascii="Times New Roman" w:hAnsi="Times New Roman" w:cs="Times New Roman"/>
                <w:sz w:val="24"/>
                <w:szCs w:val="24"/>
              </w:rPr>
              <w:t>sa curentă, activul ar putea genera venituri financiare sau ar putea furniza</w:t>
            </w:r>
            <w:r>
              <w:rPr>
                <w:rFonts w:ascii="Times New Roman" w:hAnsi="Times New Roman" w:cs="Times New Roman"/>
                <w:sz w:val="24"/>
                <w:szCs w:val="24"/>
              </w:rPr>
              <w:t xml:space="preserve"> </w:t>
            </w:r>
            <w:r w:rsidR="0075179A" w:rsidRPr="009C06C0">
              <w:rPr>
                <w:rFonts w:ascii="Times New Roman" w:hAnsi="Times New Roman" w:cs="Times New Roman"/>
                <w:sz w:val="24"/>
                <w:szCs w:val="24"/>
              </w:rPr>
              <w:t>beneficii nefinanciare. Durata de viață economică va fi influențată de gradul</w:t>
            </w:r>
            <w:r>
              <w:rPr>
                <w:rFonts w:ascii="Times New Roman" w:hAnsi="Times New Roman" w:cs="Times New Roman"/>
                <w:sz w:val="24"/>
                <w:szCs w:val="24"/>
              </w:rPr>
              <w:t xml:space="preserve"> </w:t>
            </w:r>
            <w:r w:rsidR="0075179A" w:rsidRPr="009C06C0">
              <w:rPr>
                <w:rFonts w:ascii="Times New Roman" w:hAnsi="Times New Roman" w:cs="Times New Roman"/>
                <w:sz w:val="24"/>
                <w:szCs w:val="24"/>
              </w:rPr>
              <w:t>de depreciere funcțională sau economică la care este expus activul.</w:t>
            </w:r>
          </w:p>
        </w:tc>
        <w:tc>
          <w:tcPr>
            <w:tcW w:w="4410" w:type="dxa"/>
            <w:vAlign w:val="center"/>
          </w:tcPr>
          <w:p w14:paraId="03F67A73" w14:textId="216E7B67" w:rsidR="0075179A" w:rsidRPr="009C06C0" w:rsidRDefault="0075179A" w:rsidP="00B24B97">
            <w:pPr>
              <w:widowControl w:val="0"/>
              <w:spacing w:line="276" w:lineRule="auto"/>
              <w:jc w:val="both"/>
              <w:rPr>
                <w:rFonts w:ascii="Times New Roman" w:hAnsi="Times New Roman" w:cs="Times New Roman"/>
                <w:sz w:val="24"/>
                <w:szCs w:val="24"/>
              </w:rPr>
            </w:pPr>
            <w:r w:rsidRPr="009C06C0">
              <w:rPr>
                <w:rFonts w:ascii="Times New Roman" w:hAnsi="Times New Roman" w:cs="Times New Roman"/>
                <w:b/>
                <w:bCs/>
                <w:i/>
                <w:iCs/>
                <w:sz w:val="24"/>
                <w:szCs w:val="24"/>
              </w:rPr>
              <w:lastRenderedPageBreak/>
              <w:t>Durata de viață utilă</w:t>
            </w:r>
            <w:r w:rsidRPr="009C06C0">
              <w:rPr>
                <w:rFonts w:ascii="Times New Roman" w:hAnsi="Times New Roman" w:cs="Times New Roman"/>
                <w:sz w:val="24"/>
                <w:szCs w:val="24"/>
              </w:rPr>
              <w:t xml:space="preserve"> </w:t>
            </w:r>
            <w:r w:rsidR="000039E4">
              <w:rPr>
                <w:rFonts w:ascii="Times New Roman" w:hAnsi="Times New Roman" w:cs="Times New Roman"/>
                <w:sz w:val="24"/>
                <w:szCs w:val="24"/>
              </w:rPr>
              <w:t>reprezintă</w:t>
            </w:r>
            <w:r w:rsidRPr="009C06C0">
              <w:rPr>
                <w:rFonts w:ascii="Times New Roman" w:hAnsi="Times New Roman" w:cs="Times New Roman"/>
                <w:sz w:val="24"/>
                <w:szCs w:val="24"/>
              </w:rPr>
              <w:t xml:space="preserve"> fie:</w:t>
            </w:r>
          </w:p>
          <w:p w14:paraId="4E006E20" w14:textId="0DD7363C" w:rsidR="000350B5" w:rsidRPr="009C06C0" w:rsidRDefault="006A3805" w:rsidP="00B24B9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0350B5" w:rsidRPr="009C06C0">
              <w:rPr>
                <w:rFonts w:ascii="Times New Roman" w:hAnsi="Times New Roman" w:cs="Times New Roman"/>
                <w:sz w:val="24"/>
                <w:szCs w:val="24"/>
              </w:rPr>
              <w:t>perioada în care se preconizează că un activ va fi disponibil pentru a fi utilizat de către o entitate; fie</w:t>
            </w:r>
          </w:p>
          <w:p w14:paraId="64C90501" w14:textId="05CC9CD1" w:rsidR="00E10C5A" w:rsidRPr="009C06C0" w:rsidRDefault="006A3805" w:rsidP="00B24B9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350B5" w:rsidRPr="009C06C0">
              <w:rPr>
                <w:rFonts w:ascii="Times New Roman" w:hAnsi="Times New Roman" w:cs="Times New Roman"/>
                <w:sz w:val="24"/>
                <w:szCs w:val="24"/>
              </w:rPr>
              <w:t xml:space="preserve">numărul de unități de producție sau de unități similare pe care entitatea preconizează să le obțină de la activ. </w:t>
            </w:r>
          </w:p>
        </w:tc>
      </w:tr>
      <w:tr w:rsidR="00675BC7" w:rsidRPr="009C06C0" w14:paraId="73E2286B" w14:textId="77777777" w:rsidTr="0099761D">
        <w:tc>
          <w:tcPr>
            <w:tcW w:w="1555" w:type="dxa"/>
            <w:vAlign w:val="center"/>
          </w:tcPr>
          <w:p w14:paraId="06D43249" w14:textId="6D554DBF" w:rsidR="00E10C5A" w:rsidRPr="009C06C0" w:rsidRDefault="005C1354" w:rsidP="00B24B97">
            <w:pPr>
              <w:widowControl w:val="0"/>
              <w:spacing w:line="276" w:lineRule="auto"/>
              <w:jc w:val="both"/>
              <w:rPr>
                <w:rFonts w:ascii="Times New Roman" w:hAnsi="Times New Roman" w:cs="Times New Roman"/>
                <w:sz w:val="24"/>
                <w:szCs w:val="24"/>
              </w:rPr>
            </w:pPr>
            <w:r w:rsidRPr="009C06C0">
              <w:rPr>
                <w:rFonts w:ascii="Times New Roman" w:hAnsi="Times New Roman" w:cs="Times New Roman"/>
                <w:sz w:val="24"/>
                <w:szCs w:val="24"/>
              </w:rPr>
              <w:t>Durata de viață rămasă</w:t>
            </w:r>
          </w:p>
        </w:tc>
        <w:tc>
          <w:tcPr>
            <w:tcW w:w="4020" w:type="dxa"/>
            <w:vAlign w:val="center"/>
          </w:tcPr>
          <w:p w14:paraId="536F4BB1" w14:textId="6AC0455B" w:rsidR="00E10C5A" w:rsidRPr="009C06C0" w:rsidRDefault="007711E2" w:rsidP="00B24B9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Reprezintă </w:t>
            </w:r>
            <w:r w:rsidRPr="000F3A8E">
              <w:rPr>
                <w:rFonts w:ascii="Times New Roman" w:hAnsi="Times New Roman" w:cs="Times New Roman"/>
                <w:b/>
                <w:bCs/>
                <w:sz w:val="24"/>
                <w:szCs w:val="24"/>
              </w:rPr>
              <w:t>d</w:t>
            </w:r>
            <w:r w:rsidR="00300D5E" w:rsidRPr="000F3A8E">
              <w:rPr>
                <w:rFonts w:ascii="Times New Roman" w:hAnsi="Times New Roman" w:cs="Times New Roman"/>
                <w:b/>
                <w:bCs/>
                <w:sz w:val="24"/>
                <w:szCs w:val="24"/>
              </w:rPr>
              <w:t xml:space="preserve">urata de viață economică rămasă </w:t>
            </w:r>
            <w:r w:rsidR="00300D5E" w:rsidRPr="009C06C0">
              <w:rPr>
                <w:rFonts w:ascii="Times New Roman" w:hAnsi="Times New Roman" w:cs="Times New Roman"/>
                <w:sz w:val="24"/>
                <w:szCs w:val="24"/>
              </w:rPr>
              <w:t>percepută de un participant obișnuit de pe piață</w:t>
            </w:r>
          </w:p>
        </w:tc>
        <w:tc>
          <w:tcPr>
            <w:tcW w:w="4410" w:type="dxa"/>
            <w:vAlign w:val="center"/>
          </w:tcPr>
          <w:p w14:paraId="6FB7A92D" w14:textId="42971B67" w:rsidR="00E10C5A" w:rsidRPr="009C06C0" w:rsidRDefault="000F3A8E" w:rsidP="00B24B9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Reprezintă</w:t>
            </w:r>
            <w:r w:rsidR="00300D5E" w:rsidRPr="009C06C0">
              <w:rPr>
                <w:rFonts w:ascii="Times New Roman" w:hAnsi="Times New Roman" w:cs="Times New Roman"/>
                <w:sz w:val="24"/>
                <w:szCs w:val="24"/>
              </w:rPr>
              <w:t xml:space="preserve"> </w:t>
            </w:r>
            <w:r w:rsidRPr="000F3A8E">
              <w:rPr>
                <w:rFonts w:ascii="Times New Roman" w:hAnsi="Times New Roman" w:cs="Times New Roman"/>
                <w:b/>
                <w:bCs/>
                <w:sz w:val="24"/>
                <w:szCs w:val="24"/>
              </w:rPr>
              <w:t>perioada rămasă de utilizare estimată de entitate</w:t>
            </w:r>
            <w:r w:rsidRPr="000F3A8E">
              <w:rPr>
                <w:rFonts w:ascii="Times New Roman" w:hAnsi="Times New Roman" w:cs="Times New Roman"/>
                <w:sz w:val="24"/>
                <w:szCs w:val="24"/>
              </w:rPr>
              <w:t>, în scopuri contabile</w:t>
            </w:r>
            <w:r w:rsidR="006A3805">
              <w:rPr>
                <w:rFonts w:ascii="Times New Roman" w:hAnsi="Times New Roman" w:cs="Times New Roman"/>
                <w:sz w:val="24"/>
                <w:szCs w:val="24"/>
              </w:rPr>
              <w:t>.</w:t>
            </w:r>
          </w:p>
        </w:tc>
      </w:tr>
    </w:tbl>
    <w:p w14:paraId="5E0788DB" w14:textId="77777777" w:rsidR="00675BC7" w:rsidRPr="00B24B97" w:rsidRDefault="00675BC7" w:rsidP="00B24B97">
      <w:pPr>
        <w:widowControl w:val="0"/>
        <w:spacing w:after="0" w:line="276" w:lineRule="auto"/>
        <w:rPr>
          <w:rFonts w:ascii="Times New Roman" w:hAnsi="Times New Roman" w:cs="Times New Roman"/>
          <w:sz w:val="28"/>
          <w:szCs w:val="28"/>
          <w:lang w:val="ro-MD"/>
        </w:rPr>
      </w:pPr>
      <w:bookmarkStart w:id="21" w:name="_Toc213487921"/>
      <w:r w:rsidRPr="00B24B97">
        <w:rPr>
          <w:rFonts w:ascii="Times New Roman" w:hAnsi="Times New Roman" w:cs="Times New Roman"/>
          <w:sz w:val="28"/>
          <w:szCs w:val="28"/>
          <w:lang w:val="ro-MD"/>
        </w:rPr>
        <w:br w:type="page"/>
      </w:r>
    </w:p>
    <w:p w14:paraId="7FEA312E" w14:textId="1F9A6862" w:rsidR="00675BC7" w:rsidRPr="009C06C0" w:rsidRDefault="00675BC7" w:rsidP="00B24B97">
      <w:pPr>
        <w:widowControl w:val="0"/>
        <w:spacing w:after="0" w:line="276" w:lineRule="auto"/>
        <w:jc w:val="right"/>
        <w:rPr>
          <w:rFonts w:ascii="Times New Roman" w:hAnsi="Times New Roman" w:cs="Times New Roman"/>
          <w:lang w:val="ro-MD"/>
        </w:rPr>
      </w:pPr>
      <w:r w:rsidRPr="009C06C0">
        <w:rPr>
          <w:rFonts w:ascii="Times New Roman" w:hAnsi="Times New Roman" w:cs="Times New Roman"/>
          <w:lang w:val="ro-MD"/>
        </w:rPr>
        <w:lastRenderedPageBreak/>
        <w:t>Anexa nr.2</w:t>
      </w:r>
    </w:p>
    <w:p w14:paraId="566DC192" w14:textId="00E14604" w:rsidR="00675BC7" w:rsidRPr="009C06C0" w:rsidRDefault="00675BC7" w:rsidP="00B24B97">
      <w:pPr>
        <w:widowControl w:val="0"/>
        <w:spacing w:after="0" w:line="276" w:lineRule="auto"/>
        <w:jc w:val="right"/>
        <w:rPr>
          <w:rFonts w:ascii="Times New Roman" w:hAnsi="Times New Roman" w:cs="Times New Roman"/>
          <w:lang w:val="ro-MD"/>
        </w:rPr>
      </w:pPr>
      <w:r w:rsidRPr="009C06C0">
        <w:rPr>
          <w:rFonts w:ascii="Times New Roman" w:hAnsi="Times New Roman" w:cs="Times New Roman"/>
          <w:lang w:val="ro-MD"/>
        </w:rPr>
        <w:t xml:space="preserve">la Ghidul în evaluare: Evaluarea </w:t>
      </w:r>
      <w:r w:rsidRPr="009C06C0">
        <w:rPr>
          <w:rFonts w:ascii="Times New Roman" w:hAnsi="Times New Roman" w:cs="Times New Roman"/>
          <w:lang w:val="ro-MD"/>
        </w:rPr>
        <w:br/>
      </w:r>
      <w:r w:rsidR="00357024">
        <w:rPr>
          <w:rFonts w:ascii="Times New Roman" w:hAnsi="Times New Roman" w:cs="Times New Roman"/>
          <w:lang w:val="ro-MD"/>
        </w:rPr>
        <w:t>pentru raportare financiară</w:t>
      </w:r>
    </w:p>
    <w:p w14:paraId="209868AE" w14:textId="77777777" w:rsidR="009C06C0" w:rsidRDefault="009C06C0" w:rsidP="00B24B97">
      <w:pPr>
        <w:pStyle w:val="Heading1"/>
        <w:keepNext w:val="0"/>
        <w:keepLines w:val="0"/>
        <w:widowControl w:val="0"/>
        <w:spacing w:before="0" w:after="0" w:line="276" w:lineRule="auto"/>
        <w:jc w:val="center"/>
        <w:rPr>
          <w:rFonts w:ascii="Times New Roman" w:hAnsi="Times New Roman" w:cs="Times New Roman"/>
          <w:b/>
          <w:bCs/>
          <w:color w:val="auto"/>
          <w:sz w:val="28"/>
          <w:szCs w:val="28"/>
        </w:rPr>
      </w:pPr>
    </w:p>
    <w:p w14:paraId="78D33D6F" w14:textId="5F4000FB" w:rsidR="00B5504C" w:rsidRDefault="00DE7482" w:rsidP="00B24B97">
      <w:pPr>
        <w:pStyle w:val="Heading1"/>
        <w:keepNext w:val="0"/>
        <w:keepLines w:val="0"/>
        <w:widowControl w:val="0"/>
        <w:spacing w:before="0" w:after="0" w:line="276" w:lineRule="auto"/>
        <w:jc w:val="center"/>
        <w:rPr>
          <w:rFonts w:ascii="Times New Roman" w:hAnsi="Times New Roman" w:cs="Times New Roman"/>
          <w:b/>
          <w:bCs/>
          <w:color w:val="auto"/>
          <w:sz w:val="28"/>
          <w:szCs w:val="28"/>
        </w:rPr>
      </w:pPr>
      <w:r w:rsidRPr="00B24B97">
        <w:rPr>
          <w:rFonts w:ascii="Times New Roman" w:hAnsi="Times New Roman" w:cs="Times New Roman"/>
          <w:b/>
          <w:bCs/>
          <w:color w:val="auto"/>
          <w:sz w:val="28"/>
          <w:szCs w:val="28"/>
        </w:rPr>
        <w:t xml:space="preserve">Testul de clasificare a contractelor de leasing din perspectiva locatorului </w:t>
      </w:r>
      <w:r w:rsidR="000178F7">
        <w:rPr>
          <w:rFonts w:ascii="Times New Roman" w:hAnsi="Times New Roman" w:cs="Times New Roman"/>
          <w:b/>
          <w:bCs/>
          <w:color w:val="auto"/>
          <w:sz w:val="28"/>
          <w:szCs w:val="28"/>
        </w:rPr>
        <w:br/>
      </w:r>
      <w:r w:rsidRPr="00B24B97">
        <w:rPr>
          <w:rFonts w:ascii="Times New Roman" w:hAnsi="Times New Roman" w:cs="Times New Roman"/>
          <w:b/>
          <w:bCs/>
          <w:color w:val="auto"/>
          <w:sz w:val="28"/>
          <w:szCs w:val="28"/>
        </w:rPr>
        <w:t>(IFRS 16, B31)</w:t>
      </w:r>
      <w:bookmarkEnd w:id="21"/>
    </w:p>
    <w:p w14:paraId="6FA255A1" w14:textId="77777777" w:rsidR="009C06C0" w:rsidRPr="009C06C0" w:rsidRDefault="009C06C0" w:rsidP="009C06C0"/>
    <w:p w14:paraId="3A912D10" w14:textId="50A01C68" w:rsidR="00675BC7" w:rsidRPr="00B24B97" w:rsidRDefault="00B5504C" w:rsidP="00B24B97">
      <w:pPr>
        <w:widowControl w:val="0"/>
        <w:spacing w:after="0" w:line="276" w:lineRule="auto"/>
        <w:jc w:val="both"/>
        <w:rPr>
          <w:rFonts w:ascii="Times New Roman" w:hAnsi="Times New Roman" w:cs="Times New Roman"/>
          <w:sz w:val="28"/>
          <w:szCs w:val="28"/>
        </w:rPr>
      </w:pPr>
      <w:r w:rsidRPr="00B24B97">
        <w:rPr>
          <w:rFonts w:ascii="Times New Roman" w:hAnsi="Times New Roman" w:cs="Times New Roman"/>
          <w:noProof/>
          <w:sz w:val="28"/>
          <w:szCs w:val="28"/>
        </w:rPr>
        <w:drawing>
          <wp:inline distT="0" distB="0" distL="0" distR="0" wp14:anchorId="023FEAF3" wp14:editId="75C77540">
            <wp:extent cx="5943600" cy="5735955"/>
            <wp:effectExtent l="0" t="0" r="0" b="0"/>
            <wp:docPr id="2077290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90764" name=""/>
                    <pic:cNvPicPr/>
                  </pic:nvPicPr>
                  <pic:blipFill>
                    <a:blip r:embed="rId8"/>
                    <a:stretch>
                      <a:fillRect/>
                    </a:stretch>
                  </pic:blipFill>
                  <pic:spPr>
                    <a:xfrm>
                      <a:off x="0" y="0"/>
                      <a:ext cx="5943600" cy="5735955"/>
                    </a:xfrm>
                    <a:prstGeom prst="rect">
                      <a:avLst/>
                    </a:prstGeom>
                  </pic:spPr>
                </pic:pic>
              </a:graphicData>
            </a:graphic>
          </wp:inline>
        </w:drawing>
      </w:r>
    </w:p>
    <w:sectPr w:rsidR="00675BC7" w:rsidRPr="00B24B97" w:rsidSect="009C06C0">
      <w:footerReference w:type="default" r:id="rId9"/>
      <w:pgSz w:w="12240" w:h="15840"/>
      <w:pgMar w:top="1440" w:right="81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7337F" w14:textId="77777777" w:rsidR="00985D59" w:rsidRDefault="00985D59" w:rsidP="00DE35F8">
      <w:pPr>
        <w:spacing w:after="0" w:line="240" w:lineRule="auto"/>
      </w:pPr>
      <w:r>
        <w:separator/>
      </w:r>
    </w:p>
  </w:endnote>
  <w:endnote w:type="continuationSeparator" w:id="0">
    <w:p w14:paraId="1D39423F" w14:textId="77777777" w:rsidR="00985D59" w:rsidRDefault="00985D59" w:rsidP="00DE3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977794"/>
      <w:docPartObj>
        <w:docPartGallery w:val="Page Numbers (Bottom of Page)"/>
        <w:docPartUnique/>
      </w:docPartObj>
    </w:sdtPr>
    <w:sdtEndPr>
      <w:rPr>
        <w:noProof/>
      </w:rPr>
    </w:sdtEndPr>
    <w:sdtContent>
      <w:p w14:paraId="092DE0FF" w14:textId="15938BF2" w:rsidR="00546935" w:rsidRDefault="005469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11713A" w14:textId="3572FF99" w:rsidR="00DE35F8" w:rsidRPr="00DE35F8" w:rsidRDefault="00DE35F8" w:rsidP="00DE35F8">
    <w:pPr>
      <w:spacing w:line="240" w:lineRule="auto"/>
      <w:rPr>
        <w:rFonts w:ascii="Times New Roman" w:hAnsi="Times New Roman" w:cs="Times New Roman"/>
        <w:sz w:val="18"/>
        <w:szCs w:val="18"/>
        <w:lang w:val="ro-M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47A16" w14:textId="77777777" w:rsidR="00985D59" w:rsidRDefault="00985D59" w:rsidP="00DE35F8">
      <w:pPr>
        <w:spacing w:after="0" w:line="240" w:lineRule="auto"/>
      </w:pPr>
      <w:r>
        <w:separator/>
      </w:r>
    </w:p>
  </w:footnote>
  <w:footnote w:type="continuationSeparator" w:id="0">
    <w:p w14:paraId="058CA847" w14:textId="77777777" w:rsidR="00985D59" w:rsidRDefault="00985D59" w:rsidP="00DE35F8">
      <w:pPr>
        <w:spacing w:after="0" w:line="240" w:lineRule="auto"/>
      </w:pPr>
      <w:r>
        <w:continuationSeparator/>
      </w:r>
    </w:p>
  </w:footnote>
  <w:footnote w:id="1">
    <w:p w14:paraId="13820C29" w14:textId="73E632DC" w:rsidR="00A02F4F" w:rsidRPr="00FF3F77" w:rsidRDefault="00A02F4F" w:rsidP="00FF3F77">
      <w:pPr>
        <w:pStyle w:val="FootnoteText"/>
        <w:jc w:val="both"/>
        <w:rPr>
          <w:rFonts w:ascii="Times New Roman" w:hAnsi="Times New Roman" w:cs="Times New Roman"/>
          <w:lang w:val="ro-MD"/>
        </w:rPr>
      </w:pPr>
      <w:r w:rsidRPr="00FF3F77">
        <w:rPr>
          <w:rStyle w:val="FootnoteReference"/>
          <w:rFonts w:ascii="Times New Roman" w:hAnsi="Times New Roman" w:cs="Times New Roman"/>
        </w:rPr>
        <w:footnoteRef/>
      </w:r>
      <w:r w:rsidRPr="00FF3F77">
        <w:rPr>
          <w:rFonts w:ascii="Times New Roman" w:hAnsi="Times New Roman" w:cs="Times New Roman"/>
        </w:rPr>
        <w:t xml:space="preserve"> uzura fizică depinde de factori operaţionali cum ar fi numărul de ture pentru care va fi utilizat activul şi programul de reparaţii şi întreţinere, precum şi repararea şi întreţinerea activului atunci când nu este utilizat.</w:t>
      </w:r>
    </w:p>
  </w:footnote>
  <w:footnote w:id="2">
    <w:p w14:paraId="7B323E9D" w14:textId="727E7A2E" w:rsidR="00A02F4F" w:rsidRPr="00A02F4F" w:rsidRDefault="00A02F4F" w:rsidP="00FF3F77">
      <w:pPr>
        <w:pStyle w:val="FootnoteText"/>
        <w:jc w:val="both"/>
        <w:rPr>
          <w:lang w:val="ro-MD"/>
        </w:rPr>
      </w:pPr>
      <w:r w:rsidRPr="00FF3F77">
        <w:rPr>
          <w:rStyle w:val="FootnoteReference"/>
          <w:rFonts w:ascii="Times New Roman" w:hAnsi="Times New Roman" w:cs="Times New Roman"/>
        </w:rPr>
        <w:footnoteRef/>
      </w:r>
      <w:r w:rsidRPr="00FF3F77">
        <w:rPr>
          <w:rFonts w:ascii="Times New Roman" w:hAnsi="Times New Roman" w:cs="Times New Roman"/>
        </w:rPr>
        <w:t xml:space="preserve"> </w:t>
      </w:r>
      <w:bookmarkStart w:id="9" w:name="SL32099721"/>
      <w:r w:rsidR="00FF3F77" w:rsidRPr="00FF3F77">
        <w:rPr>
          <w:rFonts w:ascii="Times New Roman" w:hAnsi="Times New Roman" w:cs="Times New Roman"/>
        </w:rPr>
        <w:t>uzura morală tehnică sau comercială rezultă din modificările sau îmbunătăţirile producţiei ori dintr-o modificare a cererii de pe piaţă pentru produsul sau serviciul furnizat de activ. Reducerile viitoare preconizate ale prețului de vânzare al unui element care a fost produs utilizând un activ ar putea indica o așteptare referitoare la uzura morală tehnică sau comercială a activului, care, la rândul său, ar putea reflecta o reducere a beneficiilor economice viitoare încorporate în activ.</w:t>
      </w:r>
      <w:bookmarkEnd w:id="9"/>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6041"/>
    <w:multiLevelType w:val="hybridMultilevel"/>
    <w:tmpl w:val="E55CBB96"/>
    <w:lvl w:ilvl="0" w:tplc="89B6B6AE">
      <w:start w:val="1"/>
      <w:numFmt w:val="upperLetter"/>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1" w15:restartNumberingAfterBreak="0">
    <w:nsid w:val="1DDD5CFA"/>
    <w:multiLevelType w:val="multilevel"/>
    <w:tmpl w:val="F9E2E740"/>
    <w:lvl w:ilvl="0">
      <w:start w:val="1"/>
      <w:numFmt w:val="decimal"/>
      <w:lvlText w:val="%1."/>
      <w:lvlJc w:val="left"/>
      <w:pPr>
        <w:ind w:left="45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B10149"/>
    <w:multiLevelType w:val="hybridMultilevel"/>
    <w:tmpl w:val="40208D1E"/>
    <w:lvl w:ilvl="0" w:tplc="25F2FE26">
      <w:start w:val="1"/>
      <w:numFmt w:val="upperLetter"/>
      <w:lvlText w:val="%1."/>
      <w:lvlJc w:val="left"/>
      <w:pPr>
        <w:ind w:left="1080" w:hanging="360"/>
      </w:pPr>
      <w:rPr>
        <w:rFonts w:hint="default"/>
        <w:b/>
        <w:bCs/>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3" w15:restartNumberingAfterBreak="0">
    <w:nsid w:val="23B75978"/>
    <w:multiLevelType w:val="hybridMultilevel"/>
    <w:tmpl w:val="D17AF164"/>
    <w:lvl w:ilvl="0" w:tplc="0409000F">
      <w:start w:val="1"/>
      <w:numFmt w:val="decimal"/>
      <w:lvlText w:val="%1."/>
      <w:lvlJc w:val="left"/>
      <w:pPr>
        <w:ind w:left="720" w:hanging="360"/>
      </w:pPr>
      <w:rPr>
        <w:rFonts w:hint="default"/>
      </w:rPr>
    </w:lvl>
    <w:lvl w:ilvl="1" w:tplc="91143552">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265ED"/>
    <w:multiLevelType w:val="hybridMultilevel"/>
    <w:tmpl w:val="8CD44B48"/>
    <w:lvl w:ilvl="0" w:tplc="B60468B6">
      <w:start w:val="1"/>
      <w:numFmt w:val="upperLetter"/>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0"/>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91"/>
    <w:rsid w:val="000039E4"/>
    <w:rsid w:val="000178F7"/>
    <w:rsid w:val="0002412F"/>
    <w:rsid w:val="00030101"/>
    <w:rsid w:val="00030452"/>
    <w:rsid w:val="000350B5"/>
    <w:rsid w:val="0006144D"/>
    <w:rsid w:val="000A4E8A"/>
    <w:rsid w:val="000E709C"/>
    <w:rsid w:val="000F03D4"/>
    <w:rsid w:val="000F3A8E"/>
    <w:rsid w:val="001423C2"/>
    <w:rsid w:val="00167BB9"/>
    <w:rsid w:val="001742D5"/>
    <w:rsid w:val="00183C9D"/>
    <w:rsid w:val="001A4CE9"/>
    <w:rsid w:val="001A5A5C"/>
    <w:rsid w:val="001B0063"/>
    <w:rsid w:val="001F58E7"/>
    <w:rsid w:val="0020532F"/>
    <w:rsid w:val="00212F09"/>
    <w:rsid w:val="002150CC"/>
    <w:rsid w:val="00232037"/>
    <w:rsid w:val="002362AB"/>
    <w:rsid w:val="00240D01"/>
    <w:rsid w:val="00257CAE"/>
    <w:rsid w:val="002661E8"/>
    <w:rsid w:val="00276E42"/>
    <w:rsid w:val="00282AB2"/>
    <w:rsid w:val="00293791"/>
    <w:rsid w:val="002A4922"/>
    <w:rsid w:val="002D3312"/>
    <w:rsid w:val="002E1904"/>
    <w:rsid w:val="002E21BF"/>
    <w:rsid w:val="002F7FD3"/>
    <w:rsid w:val="00300D5E"/>
    <w:rsid w:val="00301D1F"/>
    <w:rsid w:val="00302A3B"/>
    <w:rsid w:val="00320630"/>
    <w:rsid w:val="00326B63"/>
    <w:rsid w:val="00357024"/>
    <w:rsid w:val="00357FC7"/>
    <w:rsid w:val="00361235"/>
    <w:rsid w:val="00390A3B"/>
    <w:rsid w:val="00394F4E"/>
    <w:rsid w:val="003A4853"/>
    <w:rsid w:val="003A6A1A"/>
    <w:rsid w:val="003C1F01"/>
    <w:rsid w:val="003C3F42"/>
    <w:rsid w:val="003E291F"/>
    <w:rsid w:val="003E64BC"/>
    <w:rsid w:val="003E7E01"/>
    <w:rsid w:val="003F10BE"/>
    <w:rsid w:val="00416397"/>
    <w:rsid w:val="00432C04"/>
    <w:rsid w:val="0043635D"/>
    <w:rsid w:val="0044224B"/>
    <w:rsid w:val="00442783"/>
    <w:rsid w:val="00461923"/>
    <w:rsid w:val="00496E88"/>
    <w:rsid w:val="004A2473"/>
    <w:rsid w:val="004C1A4E"/>
    <w:rsid w:val="00521EB0"/>
    <w:rsid w:val="00546935"/>
    <w:rsid w:val="00550AA0"/>
    <w:rsid w:val="005667E2"/>
    <w:rsid w:val="005721AB"/>
    <w:rsid w:val="00574688"/>
    <w:rsid w:val="00577FCD"/>
    <w:rsid w:val="0058175E"/>
    <w:rsid w:val="00586448"/>
    <w:rsid w:val="00595311"/>
    <w:rsid w:val="005A35C1"/>
    <w:rsid w:val="005C1354"/>
    <w:rsid w:val="005E5CD6"/>
    <w:rsid w:val="005F75E3"/>
    <w:rsid w:val="00602CB9"/>
    <w:rsid w:val="0061128D"/>
    <w:rsid w:val="006618AE"/>
    <w:rsid w:val="00670B6E"/>
    <w:rsid w:val="006718DF"/>
    <w:rsid w:val="00675BC7"/>
    <w:rsid w:val="00681A0F"/>
    <w:rsid w:val="00683C9A"/>
    <w:rsid w:val="006935E0"/>
    <w:rsid w:val="006A3805"/>
    <w:rsid w:val="006A465B"/>
    <w:rsid w:val="006C683C"/>
    <w:rsid w:val="00700241"/>
    <w:rsid w:val="00702367"/>
    <w:rsid w:val="007214ED"/>
    <w:rsid w:val="0075179A"/>
    <w:rsid w:val="00762DF3"/>
    <w:rsid w:val="007711E2"/>
    <w:rsid w:val="007713F0"/>
    <w:rsid w:val="00774F63"/>
    <w:rsid w:val="00775025"/>
    <w:rsid w:val="00781A35"/>
    <w:rsid w:val="007B7BA8"/>
    <w:rsid w:val="007C63C5"/>
    <w:rsid w:val="007D174C"/>
    <w:rsid w:val="007D323A"/>
    <w:rsid w:val="007D3713"/>
    <w:rsid w:val="007E1AAA"/>
    <w:rsid w:val="0080060F"/>
    <w:rsid w:val="008035E6"/>
    <w:rsid w:val="0081463E"/>
    <w:rsid w:val="0081543F"/>
    <w:rsid w:val="00824C41"/>
    <w:rsid w:val="00841714"/>
    <w:rsid w:val="00851AD1"/>
    <w:rsid w:val="00852FDB"/>
    <w:rsid w:val="00861742"/>
    <w:rsid w:val="008617F5"/>
    <w:rsid w:val="00880FC0"/>
    <w:rsid w:val="00891921"/>
    <w:rsid w:val="008B432E"/>
    <w:rsid w:val="008D13E7"/>
    <w:rsid w:val="008D38E1"/>
    <w:rsid w:val="008F6E2F"/>
    <w:rsid w:val="00925595"/>
    <w:rsid w:val="00930A84"/>
    <w:rsid w:val="00941E66"/>
    <w:rsid w:val="00946906"/>
    <w:rsid w:val="00956B72"/>
    <w:rsid w:val="00963CD5"/>
    <w:rsid w:val="00964488"/>
    <w:rsid w:val="0097308C"/>
    <w:rsid w:val="00975BFA"/>
    <w:rsid w:val="00985D59"/>
    <w:rsid w:val="0099761D"/>
    <w:rsid w:val="009B27AD"/>
    <w:rsid w:val="009B39B4"/>
    <w:rsid w:val="009C06C0"/>
    <w:rsid w:val="009E2F7E"/>
    <w:rsid w:val="00A02F4F"/>
    <w:rsid w:val="00A30BC6"/>
    <w:rsid w:val="00A40387"/>
    <w:rsid w:val="00A51572"/>
    <w:rsid w:val="00A52CB0"/>
    <w:rsid w:val="00A554DD"/>
    <w:rsid w:val="00A64B87"/>
    <w:rsid w:val="00A670C9"/>
    <w:rsid w:val="00A71439"/>
    <w:rsid w:val="00A875AC"/>
    <w:rsid w:val="00A92A81"/>
    <w:rsid w:val="00AC4987"/>
    <w:rsid w:val="00AC57FB"/>
    <w:rsid w:val="00AD523A"/>
    <w:rsid w:val="00B01836"/>
    <w:rsid w:val="00B11713"/>
    <w:rsid w:val="00B1491F"/>
    <w:rsid w:val="00B24B97"/>
    <w:rsid w:val="00B44660"/>
    <w:rsid w:val="00B5504C"/>
    <w:rsid w:val="00B8313D"/>
    <w:rsid w:val="00BA05C3"/>
    <w:rsid w:val="00BA4299"/>
    <w:rsid w:val="00BA5BD5"/>
    <w:rsid w:val="00BB77D3"/>
    <w:rsid w:val="00BC68EF"/>
    <w:rsid w:val="00BD503D"/>
    <w:rsid w:val="00BF3719"/>
    <w:rsid w:val="00C14833"/>
    <w:rsid w:val="00C26A65"/>
    <w:rsid w:val="00C31C91"/>
    <w:rsid w:val="00C64486"/>
    <w:rsid w:val="00CA1F67"/>
    <w:rsid w:val="00CB09D0"/>
    <w:rsid w:val="00CB171F"/>
    <w:rsid w:val="00CB7DA0"/>
    <w:rsid w:val="00CC1BB3"/>
    <w:rsid w:val="00CC4EC5"/>
    <w:rsid w:val="00D02C06"/>
    <w:rsid w:val="00D22CB6"/>
    <w:rsid w:val="00D264C4"/>
    <w:rsid w:val="00D4560E"/>
    <w:rsid w:val="00D5340A"/>
    <w:rsid w:val="00D53783"/>
    <w:rsid w:val="00D71E39"/>
    <w:rsid w:val="00D758B5"/>
    <w:rsid w:val="00D80E55"/>
    <w:rsid w:val="00D92342"/>
    <w:rsid w:val="00DB2E9C"/>
    <w:rsid w:val="00DB34C0"/>
    <w:rsid w:val="00DE35F8"/>
    <w:rsid w:val="00DE7482"/>
    <w:rsid w:val="00E10C5A"/>
    <w:rsid w:val="00E1503A"/>
    <w:rsid w:val="00E41EAB"/>
    <w:rsid w:val="00E61A39"/>
    <w:rsid w:val="00E654F3"/>
    <w:rsid w:val="00E6693D"/>
    <w:rsid w:val="00E855A4"/>
    <w:rsid w:val="00EA1C90"/>
    <w:rsid w:val="00EB5FA3"/>
    <w:rsid w:val="00EC15EC"/>
    <w:rsid w:val="00ED5A13"/>
    <w:rsid w:val="00EE3AD2"/>
    <w:rsid w:val="00EE530D"/>
    <w:rsid w:val="00F12FD8"/>
    <w:rsid w:val="00F45A97"/>
    <w:rsid w:val="00F604D2"/>
    <w:rsid w:val="00F75957"/>
    <w:rsid w:val="00F96D51"/>
    <w:rsid w:val="00FA25F4"/>
    <w:rsid w:val="00FA5F2B"/>
    <w:rsid w:val="00FC4022"/>
    <w:rsid w:val="00FE37C5"/>
    <w:rsid w:val="00FF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9A93"/>
  <w15:chartTrackingRefBased/>
  <w15:docId w15:val="{792819BD-9FFE-438F-8279-C5B12CDA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2937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937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37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37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37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3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791"/>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rsid w:val="00293791"/>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293791"/>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293791"/>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293791"/>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29379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29379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29379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29379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293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79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293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79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293791"/>
    <w:pPr>
      <w:spacing w:before="160"/>
      <w:jc w:val="center"/>
    </w:pPr>
    <w:rPr>
      <w:i/>
      <w:iCs/>
      <w:color w:val="404040" w:themeColor="text1" w:themeTint="BF"/>
    </w:rPr>
  </w:style>
  <w:style w:type="character" w:customStyle="1" w:styleId="QuoteChar">
    <w:name w:val="Quote Char"/>
    <w:basedOn w:val="DefaultParagraphFont"/>
    <w:link w:val="Quote"/>
    <w:uiPriority w:val="29"/>
    <w:rsid w:val="00293791"/>
    <w:rPr>
      <w:i/>
      <w:iCs/>
      <w:color w:val="404040" w:themeColor="text1" w:themeTint="BF"/>
      <w:lang w:val="ro-RO"/>
    </w:rPr>
  </w:style>
  <w:style w:type="paragraph" w:styleId="ListParagraph">
    <w:name w:val="List Paragraph"/>
    <w:basedOn w:val="Normal"/>
    <w:uiPriority w:val="34"/>
    <w:qFormat/>
    <w:rsid w:val="00293791"/>
    <w:pPr>
      <w:ind w:left="720"/>
      <w:contextualSpacing/>
    </w:pPr>
  </w:style>
  <w:style w:type="character" w:styleId="IntenseEmphasis">
    <w:name w:val="Intense Emphasis"/>
    <w:basedOn w:val="DefaultParagraphFont"/>
    <w:uiPriority w:val="21"/>
    <w:qFormat/>
    <w:rsid w:val="00293791"/>
    <w:rPr>
      <w:i/>
      <w:iCs/>
      <w:color w:val="2F5496" w:themeColor="accent1" w:themeShade="BF"/>
    </w:rPr>
  </w:style>
  <w:style w:type="paragraph" w:styleId="IntenseQuote">
    <w:name w:val="Intense Quote"/>
    <w:basedOn w:val="Normal"/>
    <w:next w:val="Normal"/>
    <w:link w:val="IntenseQuoteChar"/>
    <w:uiPriority w:val="30"/>
    <w:qFormat/>
    <w:rsid w:val="002937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3791"/>
    <w:rPr>
      <w:i/>
      <w:iCs/>
      <w:color w:val="2F5496" w:themeColor="accent1" w:themeShade="BF"/>
      <w:lang w:val="ro-RO"/>
    </w:rPr>
  </w:style>
  <w:style w:type="character" w:styleId="IntenseReference">
    <w:name w:val="Intense Reference"/>
    <w:basedOn w:val="DefaultParagraphFont"/>
    <w:uiPriority w:val="32"/>
    <w:qFormat/>
    <w:rsid w:val="00293791"/>
    <w:rPr>
      <w:b/>
      <w:bCs/>
      <w:smallCaps/>
      <w:color w:val="2F5496" w:themeColor="accent1" w:themeShade="BF"/>
      <w:spacing w:val="5"/>
    </w:rPr>
  </w:style>
  <w:style w:type="paragraph" w:styleId="Header">
    <w:name w:val="header"/>
    <w:basedOn w:val="Normal"/>
    <w:link w:val="HeaderChar"/>
    <w:uiPriority w:val="99"/>
    <w:unhideWhenUsed/>
    <w:rsid w:val="00DE3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5F8"/>
    <w:rPr>
      <w:lang w:val="ro-RO"/>
    </w:rPr>
  </w:style>
  <w:style w:type="paragraph" w:styleId="Footer">
    <w:name w:val="footer"/>
    <w:basedOn w:val="Normal"/>
    <w:link w:val="FooterChar"/>
    <w:uiPriority w:val="99"/>
    <w:unhideWhenUsed/>
    <w:rsid w:val="00DE3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5F8"/>
    <w:rPr>
      <w:lang w:val="ro-RO"/>
    </w:rPr>
  </w:style>
  <w:style w:type="character" w:styleId="Hyperlink">
    <w:name w:val="Hyperlink"/>
    <w:basedOn w:val="DefaultParagraphFont"/>
    <w:uiPriority w:val="99"/>
    <w:unhideWhenUsed/>
    <w:rsid w:val="00F96D51"/>
    <w:rPr>
      <w:color w:val="0563C1" w:themeColor="hyperlink"/>
      <w:u w:val="single"/>
    </w:rPr>
  </w:style>
  <w:style w:type="character" w:styleId="UnresolvedMention">
    <w:name w:val="Unresolved Mention"/>
    <w:basedOn w:val="DefaultParagraphFont"/>
    <w:uiPriority w:val="99"/>
    <w:semiHidden/>
    <w:unhideWhenUsed/>
    <w:rsid w:val="00F96D51"/>
    <w:rPr>
      <w:color w:val="605E5C"/>
      <w:shd w:val="clear" w:color="auto" w:fill="E1DFDD"/>
    </w:rPr>
  </w:style>
  <w:style w:type="paragraph" w:styleId="Revision">
    <w:name w:val="Revision"/>
    <w:hidden/>
    <w:uiPriority w:val="99"/>
    <w:semiHidden/>
    <w:rsid w:val="005E5CD6"/>
    <w:pPr>
      <w:spacing w:after="0" w:line="240" w:lineRule="auto"/>
    </w:pPr>
    <w:rPr>
      <w:lang w:val="ro-RO"/>
    </w:rPr>
  </w:style>
  <w:style w:type="character" w:styleId="CommentReference">
    <w:name w:val="annotation reference"/>
    <w:basedOn w:val="DefaultParagraphFont"/>
    <w:uiPriority w:val="99"/>
    <w:semiHidden/>
    <w:unhideWhenUsed/>
    <w:rsid w:val="005E5CD6"/>
    <w:rPr>
      <w:sz w:val="16"/>
      <w:szCs w:val="16"/>
    </w:rPr>
  </w:style>
  <w:style w:type="paragraph" w:styleId="CommentText">
    <w:name w:val="annotation text"/>
    <w:basedOn w:val="Normal"/>
    <w:link w:val="CommentTextChar"/>
    <w:uiPriority w:val="99"/>
    <w:semiHidden/>
    <w:unhideWhenUsed/>
    <w:rsid w:val="005E5CD6"/>
    <w:pPr>
      <w:spacing w:line="240" w:lineRule="auto"/>
    </w:pPr>
    <w:rPr>
      <w:sz w:val="20"/>
      <w:szCs w:val="20"/>
    </w:rPr>
  </w:style>
  <w:style w:type="character" w:customStyle="1" w:styleId="CommentTextChar">
    <w:name w:val="Comment Text Char"/>
    <w:basedOn w:val="DefaultParagraphFont"/>
    <w:link w:val="CommentText"/>
    <w:uiPriority w:val="99"/>
    <w:semiHidden/>
    <w:rsid w:val="005E5CD6"/>
    <w:rPr>
      <w:sz w:val="20"/>
      <w:szCs w:val="20"/>
      <w:lang w:val="ro-RO"/>
    </w:rPr>
  </w:style>
  <w:style w:type="paragraph" w:styleId="CommentSubject">
    <w:name w:val="annotation subject"/>
    <w:basedOn w:val="CommentText"/>
    <w:next w:val="CommentText"/>
    <w:link w:val="CommentSubjectChar"/>
    <w:uiPriority w:val="99"/>
    <w:semiHidden/>
    <w:unhideWhenUsed/>
    <w:rsid w:val="005E5CD6"/>
    <w:rPr>
      <w:b/>
      <w:bCs/>
    </w:rPr>
  </w:style>
  <w:style w:type="character" w:customStyle="1" w:styleId="CommentSubjectChar">
    <w:name w:val="Comment Subject Char"/>
    <w:basedOn w:val="CommentTextChar"/>
    <w:link w:val="CommentSubject"/>
    <w:uiPriority w:val="99"/>
    <w:semiHidden/>
    <w:rsid w:val="005E5CD6"/>
    <w:rPr>
      <w:b/>
      <w:bCs/>
      <w:sz w:val="20"/>
      <w:szCs w:val="20"/>
      <w:lang w:val="ro-RO"/>
    </w:rPr>
  </w:style>
  <w:style w:type="paragraph" w:styleId="NormalWeb">
    <w:name w:val="Normal (Web)"/>
    <w:basedOn w:val="Normal"/>
    <w:uiPriority w:val="99"/>
    <w:unhideWhenUsed/>
    <w:rsid w:val="00852FD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852FDB"/>
    <w:rPr>
      <w:b/>
      <w:bCs/>
    </w:rPr>
  </w:style>
  <w:style w:type="paragraph" w:styleId="FootnoteText">
    <w:name w:val="footnote text"/>
    <w:basedOn w:val="Normal"/>
    <w:link w:val="FootnoteTextChar"/>
    <w:uiPriority w:val="99"/>
    <w:semiHidden/>
    <w:unhideWhenUsed/>
    <w:rsid w:val="00A02F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2F4F"/>
    <w:rPr>
      <w:sz w:val="20"/>
      <w:szCs w:val="20"/>
      <w:lang w:val="ro-RO"/>
    </w:rPr>
  </w:style>
  <w:style w:type="character" w:styleId="FootnoteReference">
    <w:name w:val="footnote reference"/>
    <w:basedOn w:val="DefaultParagraphFont"/>
    <w:uiPriority w:val="99"/>
    <w:semiHidden/>
    <w:unhideWhenUsed/>
    <w:rsid w:val="00A02F4F"/>
    <w:rPr>
      <w:vertAlign w:val="superscript"/>
    </w:rPr>
  </w:style>
  <w:style w:type="table" w:styleId="TableGrid">
    <w:name w:val="Table Grid"/>
    <w:basedOn w:val="TableNormal"/>
    <w:uiPriority w:val="39"/>
    <w:rsid w:val="00E1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SBNormalnpara">
    <w:name w:val="IASB Normal npara"/>
    <w:basedOn w:val="Normal"/>
    <w:rsid w:val="00A670C9"/>
    <w:pPr>
      <w:spacing w:before="100" w:after="0" w:line="240" w:lineRule="auto"/>
      <w:ind w:left="782" w:hanging="782"/>
      <w:jc w:val="both"/>
    </w:pPr>
    <w:rPr>
      <w:rFonts w:ascii="Times New Roman" w:eastAsia="Times New Roman" w:hAnsi="Times New Roman" w:cs="Times New Roman"/>
      <w:kern w:val="0"/>
      <w:sz w:val="19"/>
      <w:szCs w:val="20"/>
      <w:lang w:eastAsia="ro-RO"/>
      <w14:ligatures w14:val="none"/>
    </w:rPr>
  </w:style>
  <w:style w:type="paragraph" w:styleId="TOCHeading">
    <w:name w:val="TOC Heading"/>
    <w:basedOn w:val="Heading1"/>
    <w:next w:val="Normal"/>
    <w:uiPriority w:val="39"/>
    <w:unhideWhenUsed/>
    <w:qFormat/>
    <w:rsid w:val="00775025"/>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775025"/>
    <w:pPr>
      <w:spacing w:after="100"/>
    </w:pPr>
  </w:style>
  <w:style w:type="paragraph" w:styleId="TOC2">
    <w:name w:val="toc 2"/>
    <w:basedOn w:val="Normal"/>
    <w:next w:val="Normal"/>
    <w:autoRedefine/>
    <w:uiPriority w:val="39"/>
    <w:unhideWhenUsed/>
    <w:rsid w:val="00282AB2"/>
    <w:pPr>
      <w:spacing w:after="100"/>
      <w:ind w:left="220"/>
    </w:pPr>
  </w:style>
  <w:style w:type="character" w:styleId="FollowedHyperlink">
    <w:name w:val="FollowedHyperlink"/>
    <w:basedOn w:val="DefaultParagraphFont"/>
    <w:uiPriority w:val="99"/>
    <w:semiHidden/>
    <w:unhideWhenUsed/>
    <w:rsid w:val="009C06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95033">
      <w:bodyDiv w:val="1"/>
      <w:marLeft w:val="0"/>
      <w:marRight w:val="0"/>
      <w:marTop w:val="0"/>
      <w:marBottom w:val="0"/>
      <w:divBdr>
        <w:top w:val="none" w:sz="0" w:space="0" w:color="auto"/>
        <w:left w:val="none" w:sz="0" w:space="0" w:color="auto"/>
        <w:bottom w:val="none" w:sz="0" w:space="0" w:color="auto"/>
        <w:right w:val="none" w:sz="0" w:space="0" w:color="auto"/>
      </w:divBdr>
    </w:div>
    <w:div w:id="1039890686">
      <w:bodyDiv w:val="1"/>
      <w:marLeft w:val="0"/>
      <w:marRight w:val="0"/>
      <w:marTop w:val="0"/>
      <w:marBottom w:val="0"/>
      <w:divBdr>
        <w:top w:val="none" w:sz="0" w:space="0" w:color="auto"/>
        <w:left w:val="none" w:sz="0" w:space="0" w:color="auto"/>
        <w:bottom w:val="none" w:sz="0" w:space="0" w:color="auto"/>
        <w:right w:val="none" w:sz="0" w:space="0" w:color="auto"/>
      </w:divBdr>
    </w:div>
    <w:div w:id="153761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6517B-D4E4-4033-B4AC-B471A9FE3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31</Pages>
  <Words>11201</Words>
  <Characters>63849</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A</dc:creator>
  <cp:keywords/>
  <dc:description/>
  <cp:lastModifiedBy>Josanu Nadejda</cp:lastModifiedBy>
  <cp:revision>76</cp:revision>
  <cp:lastPrinted>2025-11-08T08:07:00Z</cp:lastPrinted>
  <dcterms:created xsi:type="dcterms:W3CDTF">2025-10-30T15:39:00Z</dcterms:created>
  <dcterms:modified xsi:type="dcterms:W3CDTF">2025-12-26T12:22:00Z</dcterms:modified>
</cp:coreProperties>
</file>