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E71F" w14:textId="73D427A4" w:rsidR="008B4BE6" w:rsidRPr="009C08B9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NOTA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DE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FUNDAMENTARE</w:t>
      </w:r>
    </w:p>
    <w:p w14:paraId="5D906689" w14:textId="013CE2EC" w:rsidR="001A0FD2" w:rsidRDefault="006933C3" w:rsidP="00E655BA">
      <w:pPr>
        <w:ind w:left="990" w:firstLine="450"/>
        <w:jc w:val="center"/>
        <w:rPr>
          <w:b/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la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proiectul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="00DC0D28" w:rsidRPr="009C08B9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9C08B9">
        <w:rPr>
          <w:b/>
          <w:sz w:val="28"/>
          <w:szCs w:val="28"/>
          <w:lang w:val="ro-MD"/>
        </w:rPr>
        <w:t xml:space="preserve">criteriilor de acordare a etichetei ecologice pentru </w:t>
      </w:r>
      <w:r w:rsidR="00251A65" w:rsidRPr="00251A65">
        <w:rPr>
          <w:b/>
          <w:sz w:val="28"/>
          <w:szCs w:val="28"/>
          <w:lang w:val="ro-MD"/>
        </w:rPr>
        <w:t>hârtia grafică, hârtia absorbantă și produsele din hârtie absorbantă</w:t>
      </w:r>
    </w:p>
    <w:p w14:paraId="22EF08E7" w14:textId="77777777" w:rsidR="00A634C9" w:rsidRPr="009C08B9" w:rsidRDefault="00A634C9" w:rsidP="00E655BA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9C08B9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C08B9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7FF6C812" w:rsidR="006F7E3E" w:rsidRPr="009C08B9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251A65" w:rsidRPr="00251A65">
              <w:rPr>
                <w:rFonts w:ascii="Times New Roman" w:hAnsi="Times New Roman"/>
                <w:sz w:val="28"/>
                <w:szCs w:val="28"/>
                <w:lang w:val="ro-MD"/>
              </w:rPr>
              <w:t>pentru hârtia grafică, hârtia absorbantă și produsele din hârtie absorbantă</w:t>
            </w:r>
            <w:r w:rsidR="00251A65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9C08B9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49A4A010" w:rsidR="005733BF" w:rsidRPr="009C08B9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251A65" w:rsidRPr="00251A65">
              <w:rPr>
                <w:rFonts w:ascii="Times New Roman" w:hAnsi="Times New Roman"/>
                <w:sz w:val="28"/>
                <w:szCs w:val="28"/>
                <w:lang w:val="ro-MD"/>
              </w:rPr>
              <w:t>pentru hârtia grafică, hârtia absorbantă și produsele din hârtie absorbantă</w:t>
            </w:r>
            <w:r w:rsidR="00251A65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97982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9C08B9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şi sunt aprobate prin ordinul ministrului mediului.</w:t>
            </w:r>
          </w:p>
          <w:bookmarkEnd w:id="0"/>
          <w:p w14:paraId="463F83E5" w14:textId="438E2651" w:rsidR="00C453B3" w:rsidRPr="009C08B9" w:rsidRDefault="00FF6EB4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labor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area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</w:t>
            </w:r>
            <w:r w:rsidR="009B3B4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ordinului ministrului mediului cu privire la aprobarea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251A65" w:rsidRPr="00251A65">
              <w:rPr>
                <w:rFonts w:ascii="Times New Roman" w:hAnsi="Times New Roman"/>
                <w:sz w:val="28"/>
                <w:szCs w:val="28"/>
                <w:lang w:val="ro-MD"/>
              </w:rPr>
              <w:t>pentru hârtia grafică, hârtia absorbantă și produsele din hârtie absorbantă</w:t>
            </w:r>
            <w:r w:rsidR="00251A65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planificare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</w:p>
          <w:p w14:paraId="6C2D3024" w14:textId="77777777" w:rsidR="00DA0D9C" w:rsidRPr="00DD785C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Programul național de aderare a Republicii Moldova la Uniunea Europeană pentru anii 2025-2029 (HG nr. 306/2025), Clusterul 4, Anexa A; </w:t>
            </w:r>
          </w:p>
          <w:p w14:paraId="796F87FD" w14:textId="1C9CC553" w:rsidR="001A0FD2" w:rsidRPr="009C08B9" w:rsidRDefault="00DA0D9C" w:rsidP="00DA0D9C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D785C">
              <w:rPr>
                <w:rFonts w:ascii="Times New Roman" w:hAnsi="Times New Roman"/>
                <w:sz w:val="28"/>
                <w:szCs w:val="28"/>
                <w:lang w:val="ro-MD"/>
              </w:rPr>
              <w:t>2) Planul de acțiuni al Ministerului Mediului pentru anul 2025, acțiunea 1.10, 1.11, aprobat prin ordinul ministrului mediului nr. 20 din 30.01.2025.</w:t>
            </w:r>
          </w:p>
        </w:tc>
      </w:tr>
      <w:tr w:rsidR="004D15B6" w:rsidRPr="009C08B9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9C08B9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9C08B9" w14:paraId="30963134" w14:textId="77777777" w:rsidTr="004D5158">
        <w:trPr>
          <w:trHeight w:val="2811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2BC0FDBD" w:rsidR="00BA169C" w:rsidRPr="009C08B9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ichetarea ecologic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este o </w:t>
            </w:r>
            <w:r w:rsidR="00AD7641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procedură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conceput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</w:t>
            </w:r>
            <w:r w:rsidR="00FC49BA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1BE2E30D" w14:textId="7C3A960E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Într-o epocă în care impactul asupra mediului al bunurilor de larg consum este supus unui control din ce în ce mai mare, industria </w:t>
            </w:r>
            <w:r w:rsidR="00251A65" w:rsidRPr="00251A65">
              <w:rPr>
                <w:rFonts w:ascii="Times New Roman" w:hAnsi="Times New Roman"/>
                <w:sz w:val="28"/>
                <w:szCs w:val="28"/>
                <w:lang w:val="ro-MD"/>
              </w:rPr>
              <w:t>pentru hârtia grafică, hârtia absorbantă și produsele din hârtie absorbantă</w:t>
            </w:r>
            <w:r w:rsidR="00251A65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BA016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face pași către a deveni mai responsabilă din punct de vedere ecologic.</w:t>
            </w:r>
          </w:p>
          <w:p w14:paraId="61DEBDD2" w14:textId="33C5DBA2" w:rsidR="00D93C7F" w:rsidRDefault="00251A65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H</w:t>
            </w:r>
            <w:r w:rsidRPr="00251A65">
              <w:rPr>
                <w:rFonts w:ascii="Times New Roman" w:hAnsi="Times New Roman"/>
                <w:sz w:val="28"/>
                <w:szCs w:val="28"/>
                <w:lang w:val="ro-MD"/>
              </w:rPr>
              <w:t>ârtia grafică, hârtia absorbantă și produsele din hârtie absorbantă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ecologică este realizată cu accent pe minimizarea amprentei ecologice. Aceasta </w:t>
            </w:r>
            <w:r w:rsidR="008B634D"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implică utilizarea materialelor care sunt regenerabile, reciclate sau biodegradabile, reducând astfel deșeurile și epuizarea resurselor.</w:t>
            </w:r>
          </w:p>
          <w:p w14:paraId="6A2D2837" w14:textId="5C2DBDFF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Procesul de producție, de asemenea, este conceput pentru a fi prietenos cu mediul, cu accent pe conservarea energiei și a apei, reducerea emisiilor și eliminarea substanțelor chimice toxice.</w:t>
            </w:r>
          </w:p>
          <w:p w14:paraId="616CA331" w14:textId="48879577" w:rsidR="008B634D" w:rsidRPr="00C239F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Producătorii care adoptă o abordare ecologică contribuie la o mișcare mai largă care pledează pentru sănătatea planetei și bunăstarea locuitorilor săi.</w:t>
            </w:r>
          </w:p>
          <w:p w14:paraId="1FBD6725" w14:textId="19EC7D2D" w:rsidR="008B634D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 măsură ce consumatorii devin mai conștienți de mediu, cererea pentru produse durabile va continua să crească.</w:t>
            </w:r>
          </w:p>
          <w:p w14:paraId="402AAFD6" w14:textId="27F3AD49" w:rsidR="008B634D" w:rsidRPr="009C08B9" w:rsidRDefault="008B634D" w:rsidP="008B634D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Alegând să </w:t>
            </w:r>
            <w:r w:rsidR="00882989" w:rsidRPr="0088298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utilizăm</w:t>
            </w:r>
            <w:r w:rsidRPr="0088298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34209"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produse </w:t>
            </w:r>
            <w:r w:rsidRPr="0088298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ecologic</w:t>
            </w:r>
            <w:r w:rsidR="00D34209" w:rsidRPr="0088298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Pr="00C239F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 facem un pas înainte în călătoria către un viitor mai durabil pentru lumea noastră.</w:t>
            </w:r>
          </w:p>
          <w:p w14:paraId="41E9B22D" w14:textId="77DFA1AE" w:rsidR="006259DD" w:rsidRPr="009C08B9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(HG nr. 204/2023) a c</w:t>
            </w:r>
            <w:r w:rsidR="006259DD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reat cadrul instituțional pentru acordarea etichetei ecologice la nivel național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prin stabilirea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acordă la solicitarea operatorului, de către organismul de certificare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în domeniul etichetării ecologice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Legea nr. 235/2011 privind activitățile de acreditare şi de evaluare a conformității în baza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208AE803" w:rsidR="00DE02F4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65524BD" w:rsidR="004D5158" w:rsidRDefault="004D5158" w:rsidP="004D5158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 Dac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produsul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</w:t>
            </w:r>
            <w:r w:rsidR="00E71E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ecologică.</w:t>
            </w:r>
          </w:p>
          <w:p w14:paraId="2866D21D" w14:textId="4DAD6288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toate grupele de produse/servicii, aspectele ecologice relevante </w:t>
            </w:r>
            <w:r w:rsidR="00D3420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criteriile corespunz</w:t>
            </w:r>
            <w:r w:rsidR="009C08B9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2EB3B12B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propuse de Comitetul Uniunii Europene pentru Eticheta Ecologic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 UE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29F5355A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 xml:space="preserve">Criteriile ecologice pentru un grup de produse sunt valabile pe o perioada cuprinsa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ntre 3 </w:t>
            </w:r>
            <w:r w:rsidR="00A03C0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5 ani. Revizuirea criteriilor se realizeaz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="00D04C8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func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3879CDD7" w:rsidR="004D5158" w:rsidRPr="009C08B9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a UE </w:t>
            </w:r>
            <w:r w:rsidR="00F91147" w:rsidRPr="00F91147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F91147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EA1FCE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F91147" w:rsidRPr="00F911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2019/70 a Comisiei din 11 ianuarie 2019 de stabilire a criteriilor de acordare a etichetei ecologice a UE pentru hârtia grafică și a criteriilor de acordare a etichetei ecologice a UE pentru hârtia absorbantă și produsele din hârtie absorbantă, adoptată în temeiul Regulamentului (CE) nr. 66/2010 al Parlamentului European și al Consiliului din 25 noiembrie 2009 privind eticheta UE ecologică, CELEX:02019D0070-20241220, publicată în Jurnalul Oficial al Uniunii Europene L 015 din 17 ianuarie 2019, astfel cum a fost modificată ultima dată prin Decizia (UE) 2024/3179 a Comisiei din 19 decembrie 2024</w:t>
            </w:r>
            <w:r w:rsidR="00614019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9C08B9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9C08B9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06CA24B5" w:rsidR="007D71E1" w:rsidRPr="009C08B9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În scopul punerii în aplicare a 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</w:t>
            </w:r>
            <w:r w:rsidR="0047345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HG nr. 204/2023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)</w:t>
            </w:r>
            <w:r w:rsidR="0047345E">
              <w:rPr>
                <w:rFonts w:ascii="Times New Roman" w:hAnsi="Times New Roman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pentru hârtia grafică, hârtia absorbantă și produsele din hârtie absorbantă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precum și </w:t>
            </w:r>
            <w:r w:rsidR="0024227D" w:rsidRPr="00EA1FCE">
              <w:rPr>
                <w:rFonts w:ascii="Times New Roman" w:hAnsi="Times New Roman"/>
                <w:sz w:val="28"/>
                <w:szCs w:val="28"/>
                <w:lang w:val="ro-MD"/>
              </w:rPr>
              <w:t>consumatorilor</w:t>
            </w:r>
            <w:r w:rsidR="00AF2C62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3C3A3951" w14:textId="243CF0EE" w:rsidR="00593EB6" w:rsidRDefault="00593EB6" w:rsidP="00593EB6">
            <w:pPr>
              <w:shd w:val="clear" w:color="auto" w:fill="FFFFFF"/>
              <w:spacing w:line="276" w:lineRule="auto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88298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Datorită unor criterii stricte, care se axează pe principalele efecte asupra mediului ale serviciilor</w:t>
            </w:r>
            <w:r w:rsidR="00882989" w:rsidRPr="00882989">
              <w:t xml:space="preserve"> </w:t>
            </w:r>
            <w:r w:rsidR="00882989" w:rsidRPr="0088298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hârtia grafică, hârtia absorbantă și produsele din hârtie absorbantă</w:t>
            </w:r>
            <w:r w:rsidR="00882989" w:rsidRPr="0088298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88298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care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au primit eticheta ecologică sunt printre cele mai bune de pe piață din punctul de vedere al performanței de</w:t>
            </w: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mediu. </w:t>
            </w:r>
          </w:p>
          <w:p w14:paraId="3E6BD8D1" w14:textId="1B952805" w:rsidR="00593EB6" w:rsidRPr="00593EB6" w:rsidRDefault="00593EB6" w:rsidP="00593EB6">
            <w:pPr>
              <w:shd w:val="clear" w:color="auto" w:fill="FFFFFF"/>
              <w:spacing w:line="276" w:lineRule="auto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 special, eticheta ecologică garantează:</w:t>
            </w:r>
          </w:p>
          <w:p w14:paraId="2FF24439" w14:textId="21F22D8C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tabs>
                <w:tab w:val="left" w:pos="375"/>
              </w:tabs>
              <w:spacing w:line="276" w:lineRule="auto"/>
              <w:ind w:left="0" w:hanging="7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08C5C7EA" w14:textId="05260E2F" w:rsidR="00593EB6" w:rsidRPr="007F1510" w:rsidRDefault="00C8257E" w:rsidP="007F1510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clienților și consumatorilor că produsul pe care îl oferiți îndeplinește criterii ecologice stricte, fapt care le poate facilita alegerea</w:t>
            </w:r>
            <w:r w:rsid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verificată de o parte terță și acreditată conform legii</w:t>
            </w:r>
            <w:r w:rsidR="00593EB6"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E077C20" w14:textId="7CB790E0" w:rsidR="00C8257E" w:rsidRPr="00593EB6" w:rsidRDefault="00C8257E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7F15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sporește reputația, dovedind că firma producătoare este</w:t>
            </w:r>
            <w:r w:rsidRPr="00C8257E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responsabilă în ceea ce privește mediul.</w:t>
            </w:r>
          </w:p>
          <w:p w14:paraId="26932152" w14:textId="77777777" w:rsid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7FB40614" w14:textId="77777777" w:rsidR="00496A34" w:rsidRPr="00006ED1" w:rsidRDefault="00496A34" w:rsidP="00496A34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006ED1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energie;</w:t>
            </w:r>
          </w:p>
          <w:p w14:paraId="30B4B336" w14:textId="72887339" w:rsidR="00593EB6" w:rsidRPr="00593EB6" w:rsidRDefault="00593EB6" w:rsidP="00593EB6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31858204" w14:textId="4492B7D5" w:rsidR="00593EB6" w:rsidRPr="001168FC" w:rsidRDefault="00593EB6" w:rsidP="001168FC">
            <w:pPr>
              <w:pStyle w:val="Listparagraf"/>
              <w:numPr>
                <w:ilvl w:val="0"/>
                <w:numId w:val="10"/>
              </w:numPr>
              <w:shd w:val="clear" w:color="auto" w:fill="FFFFFF"/>
              <w:spacing w:line="276" w:lineRule="auto"/>
              <w:ind w:left="375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593E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generării de deșeuri și optimizarea gestionării deșeurilor</w:t>
            </w:r>
            <w:r w:rsidR="001168FC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3149E19F" w14:textId="62EF43B4" w:rsidR="005B7AFB" w:rsidRDefault="002B7310" w:rsidP="00844C32">
            <w:pPr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a primi eticheta ecologică în temeiul Hotărârii Guvernului nr. 204/2023, un produs trebuie să se încadreze în grupul de produse </w:t>
            </w:r>
            <w:r w:rsidR="00D64EA5" w:rsidRPr="00D64EA5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„hârtie grafică” </w:t>
            </w:r>
            <w:r w:rsidR="00D64EA5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și </w:t>
            </w:r>
            <w:r w:rsidR="00D64EA5" w:rsidRPr="00D64EA5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„hârtie absorbantă și produse din hârtie absorbantă” </w:t>
            </w:r>
            <w:r w:rsidR="00D64EA5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definit la 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punctul 1</w:t>
            </w:r>
            <w:r w:rsidR="00D64EA5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și 3</w:t>
            </w:r>
            <w:r w:rsidRPr="002B731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din prezentul ordin și să respecte criteriile ecologice, precum și cerințele de evaluare și verificare aferente stabilite în anexe la prezentul ordin.</w:t>
            </w:r>
          </w:p>
          <w:p w14:paraId="41E68E95" w14:textId="3FBB1DC7" w:rsidR="001018B9" w:rsidRPr="00EF48F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Criteriile de acordare a etichetei ecologice </w:t>
            </w:r>
            <w:r w:rsidRPr="007F1510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pentru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hârtia grafică, hârtia </w:t>
            </w:r>
            <w:r w:rsidR="00882989" w:rsidRP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absorbantă și produsele din hârtie absorbantă</w:t>
            </w:r>
            <w:r w:rsidR="00882989" w:rsidRP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="00226250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structurat</w:t>
            </w:r>
            <w:r w:rsidR="00226250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</w:t>
            </w:r>
            <w:r w:rsidR="00EF48F9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8 și respectiv </w:t>
            </w:r>
            <w:r w:rsidR="007761DE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EF48F9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7</w:t>
            </w:r>
            <w:r w:rsidR="007761DE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criterii</w:t>
            </w:r>
            <w:r w:rsidR="00835644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4F025898" w14:textId="0E04911A" w:rsidR="00EF48F9" w:rsidRPr="00EF48F9" w:rsidRDefault="00EF48F9" w:rsidP="00EF48F9">
            <w:pPr>
              <w:ind w:firstLine="589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Criteriile de acordare a etichetei ecologice pentru „hârtie grafică”:</w:t>
            </w:r>
          </w:p>
          <w:p w14:paraId="280D9A69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1. Emisiile în apă și în aer;</w:t>
            </w:r>
          </w:p>
          <w:p w14:paraId="2CE963CB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2. Consumul de energie</w:t>
            </w:r>
          </w:p>
          <w:p w14:paraId="10A63EB0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3. Fibre: conservarea resurselor, gestionarea durabilă a pădurilor</w:t>
            </w:r>
          </w:p>
          <w:p w14:paraId="54BF948B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4. Substanțele și amestecurile periculoase restricționate</w:t>
            </w:r>
          </w:p>
          <w:p w14:paraId="54B27196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5. Gestionarea deșeurilor</w:t>
            </w:r>
          </w:p>
          <w:p w14:paraId="5CBC6035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6. Adecvarea pentru utilizare</w:t>
            </w:r>
          </w:p>
          <w:p w14:paraId="41C3AD7E" w14:textId="77777777" w:rsidR="00EF48F9" w:rsidRPr="00EF48F9" w:rsidRDefault="00EF48F9" w:rsidP="00EF48F9">
            <w:pPr>
              <w:ind w:firstLine="589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7. Informațiile care figurează pe ambalaj</w:t>
            </w:r>
          </w:p>
          <w:p w14:paraId="0AFC5990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MD"/>
              </w:rPr>
              <w:t>8. Informațiile care figurează pe eticheta ecologică.</w:t>
            </w:r>
          </w:p>
          <w:p w14:paraId="79024287" w14:textId="77777777" w:rsidR="00EF48F9" w:rsidRDefault="00EF48F9" w:rsidP="00EF48F9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</w:p>
          <w:p w14:paraId="1AB32D4D" w14:textId="3D0FEAB9" w:rsidR="00EF48F9" w:rsidRPr="00EF48F9" w:rsidRDefault="00EF48F9" w:rsidP="00EF48F9">
            <w:pPr>
              <w:ind w:firstLine="54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Criteriile de acordare a etichetei ecologice pentru „hârtie absorbantă și produse din hârtie absorbantă”:</w:t>
            </w:r>
          </w:p>
          <w:p w14:paraId="66DDB5EB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1. Emisiile în apă și în aer</w:t>
            </w:r>
          </w:p>
          <w:p w14:paraId="6298D521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2. Consumul de energie</w:t>
            </w:r>
          </w:p>
          <w:p w14:paraId="1C354E3F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3. Fibre: conservarea resurselor, gestionarea durabilă a pădurilor</w:t>
            </w:r>
          </w:p>
          <w:p w14:paraId="44079902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4. Substanțele și amestecurile periculoase restricționate</w:t>
            </w:r>
          </w:p>
          <w:p w14:paraId="7285BE8F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5. Gestionarea deșeurilor</w:t>
            </w:r>
          </w:p>
          <w:p w14:paraId="0FEC762E" w14:textId="77777777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6. Cerințele privind produsul final</w:t>
            </w:r>
          </w:p>
          <w:p w14:paraId="2156008D" w14:textId="7D7E6A7F" w:rsidR="00EF48F9" w:rsidRPr="00EF48F9" w:rsidRDefault="00EF48F9" w:rsidP="00EF48F9">
            <w:pPr>
              <w:ind w:firstLine="540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EF48F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7. Informațiile care figurează pe eticheta ecologică.</w:t>
            </w:r>
          </w:p>
          <w:p w14:paraId="0EC9E962" w14:textId="603F573A" w:rsidR="007761DE" w:rsidRPr="009C08B9" w:rsidRDefault="007761DE" w:rsidP="00EF48F9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menționat, că </w:t>
            </w:r>
            <w:r w:rsidR="00A2150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Astfel, pentru ca eticheta ecologică să fie acordată unui anumit </w:t>
            </w:r>
            <w:r w:rsidR="00572DA8">
              <w:rPr>
                <w:rFonts w:ascii="Times New Roman" w:hAnsi="Times New Roman"/>
                <w:sz w:val="28"/>
                <w:szCs w:val="28"/>
                <w:lang w:val="ro-MD"/>
              </w:rPr>
              <w:t>serviciu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solicitanții trebuie să respecte fiecare cerință.</w:t>
            </w:r>
          </w:p>
          <w:p w14:paraId="112FAD2A" w14:textId="3FEF4629" w:rsidR="008C737A" w:rsidRDefault="005344F6" w:rsidP="00EF48F9">
            <w:pPr>
              <w:ind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882989" w:rsidRP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P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, se referă la </w:t>
            </w:r>
            <w:r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</w:t>
            </w:r>
            <w:r w:rsidR="00EF48F9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9</w:t>
            </w:r>
            <w:r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021AD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EF48F9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Produse din hârtie</w:t>
            </w:r>
            <w:r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 care include grupul de produse și servicii</w:t>
            </w:r>
            <w:r w:rsidRPr="00EF48F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EF48F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>–</w:t>
            </w:r>
            <w:r w:rsidRPr="00EF48F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B7AFB" w:rsidRPr="00EF48F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„</w:t>
            </w:r>
            <w:r w:rsidR="00EF48F9" w:rsidRP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Hârtia absorbantă și produsele din hârtie absorbantă</w:t>
            </w:r>
            <w:r w:rsid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, </w:t>
            </w:r>
            <w:r w:rsidR="00EF48F9" w:rsidRPr="00EF48F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Hârtia grafică</w:t>
            </w:r>
            <w:r w:rsidR="005B7AF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”</w:t>
            </w:r>
            <w:r w:rsidR="006B45F4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din  </w:t>
            </w:r>
            <w:r w:rsidRPr="00D8682A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nexa nr. 1 la Regulamentul privind etichetarea ecologică.</w:t>
            </w:r>
          </w:p>
          <w:p w14:paraId="226EAB7B" w14:textId="0049257C" w:rsidR="005344F6" w:rsidRPr="009C08B9" w:rsidRDefault="005344F6" w:rsidP="005B7AFB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572DA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0380964C" w14:textId="77777777" w:rsidR="00A634C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</w:p>
          <w:p w14:paraId="0AB54CB4" w14:textId="77129EE6" w:rsidR="005344F6" w:rsidRPr="009C08B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9C08B9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9C08B9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9C08B9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aparținând categoriei îmbrăcăminți rezistente</w:t>
                  </w:r>
                </w:p>
                <w:p w14:paraId="6C533C6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9C08B9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9C08B9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6021AD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021AD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Substraturi de cultură, amelioratori de sol și mulci</w:t>
                  </w:r>
                </w:p>
              </w:tc>
            </w:tr>
            <w:tr w:rsidR="004D15B6" w:rsidRPr="009C08B9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lastRenderedPageBreak/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9C08B9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9C08B9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Mobilier</w:t>
                  </w:r>
                </w:p>
                <w:p w14:paraId="05E37D7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Saltele de pat</w:t>
                  </w:r>
                </w:p>
              </w:tc>
            </w:tr>
            <w:tr w:rsidR="004D15B6" w:rsidRPr="009C08B9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9C08B9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p w14:paraId="4CAFC4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</w:t>
                  </w:r>
                </w:p>
                <w:p w14:paraId="607C254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9C08B9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88298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882989">
                    <w:rPr>
                      <w:rFonts w:ascii="Times New Roman" w:hAnsi="Times New Roman"/>
                      <w:b/>
                      <w:bCs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88298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882989">
                    <w:rPr>
                      <w:rFonts w:ascii="Times New Roman" w:hAnsi="Times New Roman"/>
                      <w:b/>
                      <w:bCs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88298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882989">
                    <w:rPr>
                      <w:rFonts w:ascii="Times New Roman" w:hAnsi="Times New Roman"/>
                      <w:b/>
                      <w:bCs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9C08B9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88298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882989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882989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882989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88298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882989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9C08B9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6B45F4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6B45F4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9C08B9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8B53DB9" w14:textId="4EACF502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</w:t>
            </w:r>
            <w:r w:rsidR="00AA2D01">
              <w:rPr>
                <w:rFonts w:ascii="Times New Roman" w:hAnsi="Times New Roman"/>
                <w:sz w:val="28"/>
                <w:szCs w:val="28"/>
                <w:lang w:val="ro-MD"/>
              </w:rPr>
              <w:t>ului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textul acestora a fost ajustat la prevederile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actele normative în vigoare,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special acolo unde se fac referințe la Directivele UE în textul </w:t>
            </w:r>
            <w:r w:rsidR="00F91147" w:rsidRPr="00F911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2019/70 a Comisiei din 11 ianuarie 2019 de stabilire a criteriilor de acordare a etichetei ecologice a UE pentru hârtia grafică și a criteriilor de acordare a etichetei ecologice a UE pentru hârtia absorbantă și produsele din hârtie absorbantă</w:t>
            </w:r>
            <w:r w:rsidRPr="00F911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AA2D01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14:paraId="434EC7AC" w14:textId="5F3EFF9D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unde sunt indicate standardele europene, acestea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  <w:r w:rsidR="003A70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9C08B9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9C08B9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163C5C09" w:rsidR="00823B2D" w:rsidRPr="009C08B9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activitățile de acreditare şi de evaluare a conformității, în baza standardului SM EN ISO/CEI 17065:2013 „Evaluarea conformității. Cerințe pentru organisme care certifică produse, procese şi servicii”, </w:t>
            </w:r>
            <w:r w:rsidR="0097285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cererea de eliberare a certificatului de conformitate depusă de către operator. </w:t>
            </w:r>
          </w:p>
          <w:p w14:paraId="6862D268" w14:textId="647CE200" w:rsidR="00443C72" w:rsidRPr="009C08B9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putea fi pus în aplicare 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</w:t>
            </w:r>
            <w:r w:rsidR="006216DA"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domeniul etichetării ecologice, </w:t>
            </w:r>
            <w:r w:rsidRPr="00882989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22490E" w:rsidRPr="0088298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privința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hârti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ei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grafic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e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, hârti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ei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absorbant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e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și produsele din hârtie absorbantă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882989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882989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882989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882989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88298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certificare în procesul de verificare a conformității serviciil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9C08B9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4.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9C08B9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16476404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</w:t>
            </w:r>
            <w:r w:rsidR="00066F4C" w:rsidRPr="00066F4C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pentru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hârtia grafică, hârtia absorbantă și produsele din hârtie absorbantă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nu solicită întreprinderea a careva acțiuni de reformă structurală sau instituțională. </w:t>
            </w:r>
            <w:r w:rsidR="00CA26A3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9C08B9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9C08B9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9C08B9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710486F4" w:rsidR="00B70D80" w:rsidRPr="009C08B9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de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testarea sau verificarea produselor sau serviciului în procesul de analiză a performanțelor acestora, în conformitate cu criteriile de acordare a etichetei ecologice. </w:t>
            </w:r>
          </w:p>
          <w:p w14:paraId="10CD465B" w14:textId="55BA231E" w:rsidR="00BC425E" w:rsidRPr="009C08B9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verificarea conformității produselor și serviciilor și pentru întreprinderea acțiunilor de monitorizare se stabilește </w:t>
            </w:r>
            <w:r w:rsidR="00CF1DE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baza Metodologiei de calculare a costurilor elaborate de către organismul de certificare în domeniul etichetării ecologice, </w:t>
            </w:r>
            <w:r w:rsidR="006F22E8">
              <w:rPr>
                <w:rFonts w:ascii="Times New Roman" w:hAnsi="Times New Roman"/>
                <w:sz w:val="28"/>
                <w:szCs w:val="28"/>
                <w:lang w:val="ro-MD"/>
              </w:rPr>
              <w:t>c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 se publică pe pagina web oficială a acestuia.</w:t>
            </w:r>
          </w:p>
        </w:tc>
      </w:tr>
      <w:tr w:rsidR="004D15B6" w:rsidRPr="009C08B9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9C08B9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4.4. Impactul social </w:t>
            </w:r>
          </w:p>
        </w:tc>
      </w:tr>
      <w:tr w:rsidR="004D15B6" w:rsidRPr="009C08B9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050A3550" w:rsidR="00126F46" w:rsidRPr="009C08B9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: </w:t>
            </w:r>
          </w:p>
          <w:p w14:paraId="673D6006" w14:textId="18C702B2" w:rsidR="00126F46" w:rsidRPr="00D103D9" w:rsidRDefault="00D103D9" w:rsidP="002D792F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management de mediu optimizat;</w:t>
            </w:r>
          </w:p>
          <w:p w14:paraId="2AD90ED6" w14:textId="16A29009" w:rsidR="00126F46" w:rsidRPr="00D103D9" w:rsidRDefault="00D103D9" w:rsidP="007C04A8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energie și a emisiilor de CO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vertAlign w:val="subscript"/>
                <w:lang w:val="ro-MD" w:eastAsia="ro-RO"/>
              </w:rPr>
              <w:t>2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3D5BAA1F" w14:textId="2236AECA" w:rsidR="00D103D9" w:rsidRPr="00D103D9" w:rsidRDefault="00D103D9" w:rsidP="00283A9C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consumului de apă;</w:t>
            </w:r>
          </w:p>
          <w:p w14:paraId="6A27D6B2" w14:textId="56792013" w:rsidR="00D103D9" w:rsidRPr="00D103D9" w:rsidRDefault="00D103D9" w:rsidP="001573ED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Reducerea utilizării substanțelor chimice și pesticidelor;</w:t>
            </w:r>
          </w:p>
          <w:p w14:paraId="15F2B929" w14:textId="066B7671" w:rsidR="00D103D9" w:rsidRPr="00E848FF" w:rsidRDefault="00D103D9" w:rsidP="00E848FF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>Reducerea generării de deșeuri și optimizarea gestionării deșeurilor</w:t>
            </w:r>
            <w:r w:rsidRPr="00E848FF">
              <w:rPr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641AE09C" w14:textId="17E756AF" w:rsidR="00126F46" w:rsidRPr="009C08B9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aplicarea celor mai bune practici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î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 scopul protec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precum </w:t>
            </w:r>
            <w:r w:rsidR="00E848FF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D103D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reciclarea produselor</w:t>
            </w:r>
            <w:r w:rsidRPr="00D103D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35B43979" w:rsidR="004405BF" w:rsidRPr="009C08B9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semnificativ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consumului irațional de resurse naturale.</w:t>
            </w:r>
          </w:p>
          <w:p w14:paraId="58014B75" w14:textId="5CF586B5" w:rsidR="007346F9" w:rsidRPr="009C08B9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54204A3B" w14:textId="77777777" w:rsidR="00D103D9" w:rsidRPr="00D103D9" w:rsidRDefault="00D103D9" w:rsidP="00D103D9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stabilirea și punerea în aplicare a unui sistem de management de mediu;</w:t>
            </w:r>
          </w:p>
          <w:p w14:paraId="47AA4E87" w14:textId="4FEFF67D" w:rsidR="00D103D9" w:rsidRPr="00D103D9" w:rsidRDefault="00D103D9" w:rsidP="00426221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implicarea personalului și a clienților prin formare și furnizarea de informații privind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practicile de mediu;</w:t>
            </w:r>
          </w:p>
          <w:p w14:paraId="1224AA04" w14:textId="071B5E25" w:rsidR="00D103D9" w:rsidRPr="00D103D9" w:rsidRDefault="00D103D9" w:rsidP="00B7264C">
            <w:pPr>
              <w:pStyle w:val="Listparagraf"/>
              <w:numPr>
                <w:ilvl w:val="0"/>
                <w:numId w:val="1"/>
              </w:numPr>
              <w:spacing w:line="20" w:lineRule="atLeast"/>
              <w:ind w:right="61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monitorizarea datelor privind consumul de energie, apă, precum și a numărului de produse de curățenie utilizate;</w:t>
            </w:r>
          </w:p>
          <w:p w14:paraId="1901F5F3" w14:textId="7D8EEF2C" w:rsidR="00D103D9" w:rsidRPr="00D103D9" w:rsidRDefault="00D103D9" w:rsidP="00AA5085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înregistrarea EMAS și/sau </w:t>
            </w:r>
            <w:hyperlink r:id="rId11" w:tgtFrame="_blank" w:history="1">
              <w:r w:rsidR="00AA5085" w:rsidRPr="00AA508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SM EN ISO 14002-2:2023</w:t>
              </w:r>
            </w:hyperlink>
            <w:r w:rsidR="00AA5085" w:rsidRPr="00AA5085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(opțional).</w:t>
            </w:r>
          </w:p>
          <w:p w14:paraId="4E529115" w14:textId="24C79DEB" w:rsidR="007346F9" w:rsidRPr="009C08B9" w:rsidRDefault="00D103D9" w:rsidP="00D103D9">
            <w:pPr>
              <w:numPr>
                <w:ilvl w:val="0"/>
                <w:numId w:val="1"/>
              </w:numPr>
              <w:spacing w:line="20" w:lineRule="atLeas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D103D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7346F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9C08B9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9C08B9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4.5. Impactul asupra mediului</w:t>
            </w:r>
          </w:p>
        </w:tc>
      </w:tr>
      <w:tr w:rsidR="004D15B6" w:rsidRPr="009C08B9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16A9D4FA" w:rsidR="00066A9B" w:rsidRPr="009C08B9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Criteriile de acordare a etichetei ecologice reduc la minimum impactul de mediu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partea ce ține de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Aceste criterii vizează protejarea naturii, promovarea unei economii curate și circulare cu o țintă ambițioasă de reducere la zero a poluării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precum și acordarea consumatorilor/</w:t>
            </w:r>
            <w:r w:rsidR="00CA3050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produse sigure pentru sănătatea lor.</w:t>
            </w:r>
          </w:p>
          <w:p w14:paraId="2D4551EC" w14:textId="17019BA4" w:rsidR="00AD3B24" w:rsidRPr="00C37FB6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Un produs/serviciu individual trebuie s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respecte toate criteriile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n vederea </w:t>
            </w:r>
            <w:r w:rsidR="00D95B2F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9C08B9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prevenirea fenomenului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105957CF" w:rsidR="00891821" w:rsidRPr="009C08B9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În special, eticheta ecologică garantează: </w:t>
            </w:r>
          </w:p>
          <w:p w14:paraId="6CE6EC84" w14:textId="69E28A0C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64CFA904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a biodiversității și a solului; </w:t>
            </w:r>
          </w:p>
          <w:p w14:paraId="3D2C34DF" w14:textId="5CE97D12" w:rsidR="00891821" w:rsidRPr="00C37FB6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36869D64" w:rsidR="00407180" w:rsidRPr="00C37FB6" w:rsidRDefault="004704A9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erformanțe bune.</w:t>
            </w:r>
          </w:p>
        </w:tc>
      </w:tr>
      <w:tr w:rsidR="004D15B6" w:rsidRPr="009C08B9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4.6. Alte impacturi și informații relevante</w:t>
            </w:r>
          </w:p>
        </w:tc>
      </w:tr>
      <w:tr w:rsidR="004D15B6" w:rsidRPr="009C08B9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9C08B9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9C08B9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5.1. Măsuri normative necesare pentru transpunerea actelor juridice ale UE în legislația națională</w:t>
            </w:r>
          </w:p>
        </w:tc>
      </w:tr>
      <w:tr w:rsidR="004D15B6" w:rsidRPr="009C08B9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5DD4F5CC" w:rsidR="005B20FF" w:rsidRPr="009C08B9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or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acordare a etichetei ecologice </w:t>
            </w:r>
            <w:r w:rsidR="004738F4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hârtia grafică, hârtia absorbantă și produsele din hârtie absorbantă</w:t>
            </w:r>
            <w:r w:rsid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de a asigura punerea în aplicare a prevederilor </w:t>
            </w:r>
            <w:r w:rsidR="005B20F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art. 1-4; art. 6 (1)-(4), (6); art. 9 (1)-(6), (8)-(13); art. 10; Anexa II, Anexa III pct. 1 şi 3 şi Anexa V din  Regulamentul (CE) nr. 66/2010 al Parlamentului European și al 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2B83D2E6" w14:textId="0EE319CA" w:rsidR="00611337" w:rsidRDefault="00523128" w:rsidP="00844C32">
            <w:pPr>
              <w:ind w:firstLine="584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F91147" w:rsidRPr="00F91147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 și a criteriilor de acordare a etichetei ecologice pentru hârtia absorbantă și produsele din hârtie absorbantă</w:t>
            </w:r>
            <w:r w:rsidR="0019303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au la bază </w:t>
            </w:r>
            <w:r w:rsidR="00F91147" w:rsidRPr="00F911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2019/70 a Comisiei din 11 ianuarie 2019 de stabilire a criteriilor de acordare a etichetei ecologice a UE pentru hârtia grafică și a criteriilor de acordare a etichetei ecologice a UE pentru hârtia absorbantă și produsele din hârtie absorbantă</w:t>
            </w:r>
            <w:r w:rsidR="00193037" w:rsidRPr="0061401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0681944C" w14:textId="7120C56B" w:rsidR="005621AA" w:rsidRDefault="00523128" w:rsidP="00844C32">
            <w:pPr>
              <w:ind w:firstLine="584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882989" w:rsidRPr="0088298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 aplicarea acestora în forma</w:t>
            </w:r>
            <w:r w:rsidR="00AD3D88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țările membre UE, cât și pentru Republica Moldova. </w:t>
            </w:r>
            <w:r w:rsidR="00611337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</w:p>
          <w:p w14:paraId="45B8B823" w14:textId="77777777" w:rsidR="000241D8" w:rsidRPr="00350851" w:rsidRDefault="000241D8" w:rsidP="000241D8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F9114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Transpunerea Deciziei este importantă în contextul realizării obligațiilor stabilite de art. 86 din Capitolul 16 Mediul înconjurător din Titlul IV din Acordul de Asociere RM-UE.</w:t>
            </w:r>
          </w:p>
          <w:p w14:paraId="6B6AA4C0" w14:textId="3F2B1D0F" w:rsidR="007346F9" w:rsidRPr="009C08B9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Totodată, având în vedere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 normative,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3A35DB" w:rsidRPr="003A35D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3A35D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 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1133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4D15B6" w:rsidRPr="009C08B9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0EDA9169" w:rsidR="00443C72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Proiectul </w:t>
            </w:r>
            <w:r w:rsidR="00FE4EE6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</w:t>
            </w:r>
            <w:r w:rsidR="003A35DB" w:rsidRPr="003A35DB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pentru hârtia grafică, hârtia absorbantă și produsele din hârtie absorbantă</w:t>
            </w:r>
            <w:r w:rsidR="002B6DC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9C08B9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transpunerea </w:t>
            </w:r>
            <w:r w:rsidR="00F91147" w:rsidRPr="00F9114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2019/70 a Comisiei din 11 ianuarie 2019 de stabilire a criteriilor de acordare a etichetei ecologice a UE pentru hârtia grafică și a criteriilor de acordare a etichetei ecologice a UE pentru hârtia absorbantă și produsele din hârtie absorbantă</w:t>
            </w:r>
            <w:r w:rsidR="002B6DCF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</w:tc>
      </w:tr>
      <w:tr w:rsidR="004D15B6" w:rsidRPr="009C08B9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6. Avizarea și consultarea publică a proiectului actului normativ</w:t>
            </w:r>
          </w:p>
        </w:tc>
      </w:tr>
      <w:tr w:rsidR="004D15B6" w:rsidRPr="009C08B9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289AC3B6" w:rsidR="00B93F3F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0752B8">
              <w:rPr>
                <w:rFonts w:ascii="Times New Roman" w:hAnsi="Times New Roman"/>
                <w:sz w:val="28"/>
                <w:szCs w:val="28"/>
                <w:lang w:val="ro-MD"/>
              </w:rPr>
              <w:t>03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.2024</w:t>
            </w:r>
            <w:r w:rsidR="00952439" w:rsidRPr="009C08B9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4DBF35C8" w14:textId="60FFAB10" w:rsidR="00197AC2" w:rsidRPr="00F91147" w:rsidRDefault="00197AC2" w:rsidP="00197AC2">
            <w:pPr>
              <w:spacing w:line="20" w:lineRule="atLeast"/>
              <w:ind w:firstLine="589"/>
              <w:rPr>
                <w:rStyle w:val="Hyperlink"/>
                <w:sz w:val="28"/>
                <w:szCs w:val="28"/>
                <w:lang w:val="ro-MD"/>
              </w:rPr>
            </w:pPr>
            <w:r w:rsidRPr="00197AC2">
              <w:rPr>
                <w:sz w:val="28"/>
                <w:szCs w:val="28"/>
              </w:rPr>
              <w:t> </w:t>
            </w:r>
            <w:r w:rsidR="009D0DFE" w:rsidRPr="00F91147">
              <w:rPr>
                <w:sz w:val="28"/>
                <w:szCs w:val="28"/>
              </w:rPr>
              <w:fldChar w:fldCharType="begin"/>
            </w:r>
            <w:r w:rsidR="009D0DFE" w:rsidRPr="00F91147">
              <w:rPr>
                <w:sz w:val="28"/>
                <w:szCs w:val="28"/>
              </w:rPr>
              <w:instrText>HYPERLINK "https://particip.gov.md/ro/document/stages/*/12292" \t "_blank"</w:instrText>
            </w:r>
            <w:r w:rsidR="009D0DFE" w:rsidRPr="00F91147">
              <w:rPr>
                <w:sz w:val="28"/>
                <w:szCs w:val="28"/>
              </w:rPr>
            </w:r>
            <w:r w:rsidR="009D0DFE" w:rsidRPr="00F91147">
              <w:rPr>
                <w:sz w:val="28"/>
                <w:szCs w:val="28"/>
              </w:rPr>
              <w:fldChar w:fldCharType="separate"/>
            </w:r>
            <w:r w:rsidRPr="00F91147">
              <w:rPr>
                <w:rStyle w:val="Hyperlink"/>
                <w:sz w:val="28"/>
                <w:szCs w:val="28"/>
              </w:rPr>
              <w:t>https://particip.gov.md/ro/document/stages/*/13729</w:t>
            </w:r>
            <w:r w:rsidRPr="00F91147">
              <w:rPr>
                <w:rStyle w:val="Hyperlink"/>
                <w:sz w:val="28"/>
                <w:szCs w:val="28"/>
                <w:lang w:val="ro-MD"/>
              </w:rPr>
              <w:t xml:space="preserve"> </w:t>
            </w:r>
          </w:p>
          <w:p w14:paraId="3147A814" w14:textId="77777777" w:rsidR="00443C72" w:rsidRPr="00F91147" w:rsidRDefault="009D0DFE" w:rsidP="00197AC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91147">
              <w:rPr>
                <w:sz w:val="28"/>
                <w:szCs w:val="28"/>
              </w:rPr>
              <w:fldChar w:fldCharType="end"/>
            </w:r>
            <w:r w:rsidR="007346F9" w:rsidRPr="00F91147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Pr="00F91147">
              <w:rPr>
                <w:rFonts w:ascii="Times New Roman" w:hAnsi="Times New Roman"/>
                <w:sz w:val="28"/>
                <w:szCs w:val="28"/>
                <w:lang w:val="ro-MD"/>
              </w:rPr>
              <w:t>29</w:t>
            </w:r>
            <w:r w:rsidR="00952439" w:rsidRPr="00F91147">
              <w:rPr>
                <w:rFonts w:ascii="Times New Roman" w:hAnsi="Times New Roman"/>
                <w:sz w:val="28"/>
                <w:szCs w:val="28"/>
                <w:lang w:val="ro-MD"/>
              </w:rPr>
              <w:t>.0</w:t>
            </w:r>
            <w:r w:rsidRPr="00F91147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952439" w:rsidRPr="00F91147">
              <w:rPr>
                <w:rFonts w:ascii="Times New Roman" w:hAnsi="Times New Roman"/>
                <w:sz w:val="28"/>
                <w:szCs w:val="28"/>
                <w:lang w:val="ro-MD"/>
              </w:rPr>
              <w:t>.202</w:t>
            </w:r>
            <w:r w:rsidRPr="00F91147">
              <w:rPr>
                <w:rFonts w:ascii="Times New Roman" w:hAnsi="Times New Roman"/>
                <w:sz w:val="28"/>
                <w:szCs w:val="28"/>
                <w:lang w:val="ro-MD"/>
              </w:rPr>
              <w:t>4</w:t>
            </w:r>
            <w:r w:rsidR="007346F9" w:rsidRP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</w:t>
            </w:r>
          </w:p>
          <w:p w14:paraId="7E6045F3" w14:textId="2E9B312D" w:rsidR="003171B5" w:rsidRPr="009C08B9" w:rsidRDefault="003171B5" w:rsidP="00F91147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La data de 2</w:t>
            </w:r>
            <w:r w:rsidR="00F91147" w:rsidRP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4</w:t>
            </w:r>
            <w:r w:rsidRP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.1</w:t>
            </w:r>
            <w:r w:rsidR="00F91147" w:rsidRP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2</w:t>
            </w:r>
            <w:r w:rsidRP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.2025 </w:t>
            </w:r>
            <w:r w:rsidR="00F91147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proiectul a fost plasat pentru consultări publice pe pagina oficială a Ministerului Mediului și portalul guvernamental particip.gov.md.</w:t>
            </w:r>
          </w:p>
        </w:tc>
      </w:tr>
      <w:tr w:rsidR="004D15B6" w:rsidRPr="009C08B9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4D15B6" w:rsidRPr="009C08B9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514A678A" w:rsidR="007346F9" w:rsidRPr="009C08B9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Proiectul </w:t>
            </w:r>
            <w:r w:rsidR="006B235B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nu necesită a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fi supus expertizei juridice și anticorupție.</w:t>
            </w:r>
          </w:p>
        </w:tc>
      </w:tr>
      <w:tr w:rsidR="004D15B6" w:rsidRPr="009C08B9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9C08B9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9C08B9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9C08B9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4D15B6" w:rsidRPr="009C08B9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28E34484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inclusive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A35DB" w:rsidRPr="003A35DB">
              <w:rPr>
                <w:rFonts w:ascii="Times New Roman" w:hAnsi="Times New Roman"/>
                <w:sz w:val="28"/>
                <w:szCs w:val="28"/>
                <w:lang w:val="ro-MD"/>
              </w:rPr>
              <w:t>pentru hârtia grafică, hârtia absorbantă și produsele din hârtie absorbantă</w:t>
            </w:r>
            <w:r w:rsidR="003A35DB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etichetării ecologice, precum și operatorul furnizează informații necesare pentru actualizarea registrului.</w:t>
            </w:r>
          </w:p>
          <w:p w14:paraId="35423DE1" w14:textId="0EAB6D92" w:rsidR="007346F9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9C08B9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9C08B9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3A6EB108" w:rsidR="00EC23D3" w:rsidRPr="009C08B9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         </w:t>
      </w:r>
      <w:r w:rsidR="00EC23D3" w:rsidRPr="009C08B9">
        <w:rPr>
          <w:b/>
          <w:bCs/>
          <w:sz w:val="28"/>
          <w:szCs w:val="28"/>
          <w:lang w:val="ro-MD"/>
        </w:rPr>
        <w:t xml:space="preserve">Ministru                                                                            </w:t>
      </w:r>
      <w:r w:rsidR="003A35DB">
        <w:rPr>
          <w:b/>
          <w:bCs/>
          <w:sz w:val="28"/>
          <w:szCs w:val="28"/>
          <w:lang w:val="ro-MD"/>
        </w:rPr>
        <w:t>Gheorghe HAJDER</w:t>
      </w:r>
      <w:r w:rsidR="00EC23D3" w:rsidRPr="009C08B9">
        <w:rPr>
          <w:b/>
          <w:bCs/>
          <w:sz w:val="28"/>
          <w:szCs w:val="28"/>
          <w:lang w:val="ro-MD"/>
        </w:rPr>
        <w:t xml:space="preserve"> </w:t>
      </w:r>
    </w:p>
    <w:sectPr w:rsidR="00EC23D3" w:rsidRPr="009C08B9" w:rsidSect="00E856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43E4" w14:textId="77777777" w:rsidR="002D0EAE" w:rsidRDefault="002D0EAE">
      <w:r>
        <w:separator/>
      </w:r>
    </w:p>
  </w:endnote>
  <w:endnote w:type="continuationSeparator" w:id="0">
    <w:p w14:paraId="6921217E" w14:textId="77777777" w:rsidR="002D0EAE" w:rsidRDefault="002D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C31EE" w14:textId="77777777" w:rsidR="002D0EAE" w:rsidRDefault="002D0EAE">
      <w:r>
        <w:separator/>
      </w:r>
    </w:p>
  </w:footnote>
  <w:footnote w:type="continuationSeparator" w:id="0">
    <w:p w14:paraId="20C303CA" w14:textId="77777777" w:rsidR="002D0EAE" w:rsidRDefault="002D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450C2E"/>
    <w:multiLevelType w:val="hybridMultilevel"/>
    <w:tmpl w:val="F7BED592"/>
    <w:lvl w:ilvl="0" w:tplc="C5F6EC40">
      <w:start w:val="1"/>
      <w:numFmt w:val="bullet"/>
      <w:lvlText w:val="-"/>
      <w:lvlJc w:val="left"/>
      <w:pPr>
        <w:ind w:left="1309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4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6"/>
  </w:num>
  <w:num w:numId="3" w16cid:durableId="1587229801">
    <w:abstractNumId w:val="7"/>
  </w:num>
  <w:num w:numId="4" w16cid:durableId="1375812622">
    <w:abstractNumId w:val="2"/>
  </w:num>
  <w:num w:numId="5" w16cid:durableId="1923443620">
    <w:abstractNumId w:val="4"/>
  </w:num>
  <w:num w:numId="6" w16cid:durableId="222184471">
    <w:abstractNumId w:val="8"/>
  </w:num>
  <w:num w:numId="7" w16cid:durableId="532768975">
    <w:abstractNumId w:val="5"/>
  </w:num>
  <w:num w:numId="8" w16cid:durableId="1312826417">
    <w:abstractNumId w:val="0"/>
  </w:num>
  <w:num w:numId="9" w16cid:durableId="1608581744">
    <w:abstractNumId w:val="9"/>
  </w:num>
  <w:num w:numId="10" w16cid:durableId="638074191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0016F"/>
    <w:rsid w:val="00006008"/>
    <w:rsid w:val="00006ED1"/>
    <w:rsid w:val="00010131"/>
    <w:rsid w:val="00013460"/>
    <w:rsid w:val="00013804"/>
    <w:rsid w:val="00013AC9"/>
    <w:rsid w:val="00014A3F"/>
    <w:rsid w:val="0001747F"/>
    <w:rsid w:val="000241D8"/>
    <w:rsid w:val="0002435C"/>
    <w:rsid w:val="00032B46"/>
    <w:rsid w:val="0004036D"/>
    <w:rsid w:val="0004289C"/>
    <w:rsid w:val="00043AC7"/>
    <w:rsid w:val="00043B49"/>
    <w:rsid w:val="00044D19"/>
    <w:rsid w:val="0004638A"/>
    <w:rsid w:val="00046914"/>
    <w:rsid w:val="00052045"/>
    <w:rsid w:val="00054810"/>
    <w:rsid w:val="00055448"/>
    <w:rsid w:val="00057DE8"/>
    <w:rsid w:val="00062EC5"/>
    <w:rsid w:val="00066A9B"/>
    <w:rsid w:val="00066F4C"/>
    <w:rsid w:val="000713DA"/>
    <w:rsid w:val="00071722"/>
    <w:rsid w:val="00071EAA"/>
    <w:rsid w:val="0007236F"/>
    <w:rsid w:val="000752B8"/>
    <w:rsid w:val="00075A5F"/>
    <w:rsid w:val="00080EF1"/>
    <w:rsid w:val="00081267"/>
    <w:rsid w:val="0008187B"/>
    <w:rsid w:val="00085029"/>
    <w:rsid w:val="0009151E"/>
    <w:rsid w:val="0009420B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32BB"/>
    <w:rsid w:val="000D5C74"/>
    <w:rsid w:val="000E09CD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68FC"/>
    <w:rsid w:val="0011711F"/>
    <w:rsid w:val="001211EA"/>
    <w:rsid w:val="00126F46"/>
    <w:rsid w:val="00131A21"/>
    <w:rsid w:val="00133181"/>
    <w:rsid w:val="001339CA"/>
    <w:rsid w:val="00136E19"/>
    <w:rsid w:val="00141095"/>
    <w:rsid w:val="00143389"/>
    <w:rsid w:val="00143CC4"/>
    <w:rsid w:val="0015114E"/>
    <w:rsid w:val="0015146D"/>
    <w:rsid w:val="00152E2C"/>
    <w:rsid w:val="00157C0A"/>
    <w:rsid w:val="00157D40"/>
    <w:rsid w:val="00161E2F"/>
    <w:rsid w:val="00162BE7"/>
    <w:rsid w:val="00163A0A"/>
    <w:rsid w:val="001674AF"/>
    <w:rsid w:val="0017006C"/>
    <w:rsid w:val="00170BE7"/>
    <w:rsid w:val="00170C4D"/>
    <w:rsid w:val="001738AB"/>
    <w:rsid w:val="00174E20"/>
    <w:rsid w:val="001753F4"/>
    <w:rsid w:val="001826BD"/>
    <w:rsid w:val="00184334"/>
    <w:rsid w:val="00184E66"/>
    <w:rsid w:val="00185A65"/>
    <w:rsid w:val="00185AC8"/>
    <w:rsid w:val="0018682C"/>
    <w:rsid w:val="00186BF9"/>
    <w:rsid w:val="00191428"/>
    <w:rsid w:val="00193037"/>
    <w:rsid w:val="001945BF"/>
    <w:rsid w:val="00197AC2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41FB"/>
    <w:rsid w:val="001D7BF6"/>
    <w:rsid w:val="001E4497"/>
    <w:rsid w:val="001F0570"/>
    <w:rsid w:val="001F2097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64C9"/>
    <w:rsid w:val="002170A5"/>
    <w:rsid w:val="0022490E"/>
    <w:rsid w:val="00226250"/>
    <w:rsid w:val="00230075"/>
    <w:rsid w:val="00230761"/>
    <w:rsid w:val="00236E65"/>
    <w:rsid w:val="002372B8"/>
    <w:rsid w:val="00237D3A"/>
    <w:rsid w:val="00240AC0"/>
    <w:rsid w:val="0024227D"/>
    <w:rsid w:val="00244C39"/>
    <w:rsid w:val="002453BD"/>
    <w:rsid w:val="00246E9D"/>
    <w:rsid w:val="00250E02"/>
    <w:rsid w:val="00251A65"/>
    <w:rsid w:val="00257353"/>
    <w:rsid w:val="00267800"/>
    <w:rsid w:val="002721D2"/>
    <w:rsid w:val="0027425A"/>
    <w:rsid w:val="00277892"/>
    <w:rsid w:val="0028093A"/>
    <w:rsid w:val="00281C80"/>
    <w:rsid w:val="002847C3"/>
    <w:rsid w:val="002950E0"/>
    <w:rsid w:val="002954C4"/>
    <w:rsid w:val="002A31A7"/>
    <w:rsid w:val="002B07BD"/>
    <w:rsid w:val="002B1C56"/>
    <w:rsid w:val="002B34B7"/>
    <w:rsid w:val="002B5444"/>
    <w:rsid w:val="002B547F"/>
    <w:rsid w:val="002B6DCF"/>
    <w:rsid w:val="002B7310"/>
    <w:rsid w:val="002C21E9"/>
    <w:rsid w:val="002C3DE3"/>
    <w:rsid w:val="002C60A3"/>
    <w:rsid w:val="002D0EAE"/>
    <w:rsid w:val="002D38C5"/>
    <w:rsid w:val="002D6807"/>
    <w:rsid w:val="002D71D8"/>
    <w:rsid w:val="002D7871"/>
    <w:rsid w:val="002E4217"/>
    <w:rsid w:val="002E505B"/>
    <w:rsid w:val="002E78B7"/>
    <w:rsid w:val="002F30F7"/>
    <w:rsid w:val="002F3CF6"/>
    <w:rsid w:val="002F3DAA"/>
    <w:rsid w:val="002F5A76"/>
    <w:rsid w:val="002F5F1E"/>
    <w:rsid w:val="002F7FB5"/>
    <w:rsid w:val="00301D7D"/>
    <w:rsid w:val="00307C0F"/>
    <w:rsid w:val="00314796"/>
    <w:rsid w:val="0031555D"/>
    <w:rsid w:val="00315655"/>
    <w:rsid w:val="00315B32"/>
    <w:rsid w:val="00315BDC"/>
    <w:rsid w:val="003171B5"/>
    <w:rsid w:val="00324559"/>
    <w:rsid w:val="0032547F"/>
    <w:rsid w:val="00327C88"/>
    <w:rsid w:val="00332B74"/>
    <w:rsid w:val="00334C0F"/>
    <w:rsid w:val="003358FF"/>
    <w:rsid w:val="00345164"/>
    <w:rsid w:val="00347424"/>
    <w:rsid w:val="00347B79"/>
    <w:rsid w:val="003509A8"/>
    <w:rsid w:val="0035427F"/>
    <w:rsid w:val="00354545"/>
    <w:rsid w:val="0035709B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606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35DB"/>
    <w:rsid w:val="003A4D1C"/>
    <w:rsid w:val="003A4DA4"/>
    <w:rsid w:val="003A7088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55A9"/>
    <w:rsid w:val="003F5745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451B"/>
    <w:rsid w:val="0045752C"/>
    <w:rsid w:val="00461DE1"/>
    <w:rsid w:val="00464294"/>
    <w:rsid w:val="004704A9"/>
    <w:rsid w:val="00471ACC"/>
    <w:rsid w:val="00472900"/>
    <w:rsid w:val="0047345E"/>
    <w:rsid w:val="004735CE"/>
    <w:rsid w:val="004738F4"/>
    <w:rsid w:val="00474658"/>
    <w:rsid w:val="0047797E"/>
    <w:rsid w:val="00482E64"/>
    <w:rsid w:val="00496A34"/>
    <w:rsid w:val="00497F06"/>
    <w:rsid w:val="004A3757"/>
    <w:rsid w:val="004B1283"/>
    <w:rsid w:val="004B55E6"/>
    <w:rsid w:val="004C0A9A"/>
    <w:rsid w:val="004C6034"/>
    <w:rsid w:val="004D15B6"/>
    <w:rsid w:val="004D206A"/>
    <w:rsid w:val="004D3941"/>
    <w:rsid w:val="004D5158"/>
    <w:rsid w:val="004D6BCF"/>
    <w:rsid w:val="004E2421"/>
    <w:rsid w:val="004E46AC"/>
    <w:rsid w:val="004E5D9E"/>
    <w:rsid w:val="004E6489"/>
    <w:rsid w:val="004E6662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621AA"/>
    <w:rsid w:val="00566F69"/>
    <w:rsid w:val="00572006"/>
    <w:rsid w:val="00572DA8"/>
    <w:rsid w:val="005733BF"/>
    <w:rsid w:val="00573E74"/>
    <w:rsid w:val="00574C03"/>
    <w:rsid w:val="005759B5"/>
    <w:rsid w:val="0057790F"/>
    <w:rsid w:val="00582470"/>
    <w:rsid w:val="00593BA2"/>
    <w:rsid w:val="00593EB6"/>
    <w:rsid w:val="00593FCB"/>
    <w:rsid w:val="00594DE5"/>
    <w:rsid w:val="005963CC"/>
    <w:rsid w:val="00597B3F"/>
    <w:rsid w:val="005A10B7"/>
    <w:rsid w:val="005A12D7"/>
    <w:rsid w:val="005A29D6"/>
    <w:rsid w:val="005A7A0E"/>
    <w:rsid w:val="005B0C92"/>
    <w:rsid w:val="005B20FF"/>
    <w:rsid w:val="005B7AFB"/>
    <w:rsid w:val="005B7E20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F0678"/>
    <w:rsid w:val="005F0F53"/>
    <w:rsid w:val="005F1D0E"/>
    <w:rsid w:val="005F584A"/>
    <w:rsid w:val="006021AD"/>
    <w:rsid w:val="0060625D"/>
    <w:rsid w:val="006078B6"/>
    <w:rsid w:val="00611337"/>
    <w:rsid w:val="00611BAA"/>
    <w:rsid w:val="00612D18"/>
    <w:rsid w:val="00614019"/>
    <w:rsid w:val="00615BB7"/>
    <w:rsid w:val="00616934"/>
    <w:rsid w:val="00616A16"/>
    <w:rsid w:val="00620CFC"/>
    <w:rsid w:val="00621082"/>
    <w:rsid w:val="006216DA"/>
    <w:rsid w:val="00621954"/>
    <w:rsid w:val="00623361"/>
    <w:rsid w:val="00623E79"/>
    <w:rsid w:val="00624BA9"/>
    <w:rsid w:val="0062575C"/>
    <w:rsid w:val="006259DD"/>
    <w:rsid w:val="00627315"/>
    <w:rsid w:val="00627765"/>
    <w:rsid w:val="006339EB"/>
    <w:rsid w:val="006355F4"/>
    <w:rsid w:val="00642E67"/>
    <w:rsid w:val="006559E3"/>
    <w:rsid w:val="00655D91"/>
    <w:rsid w:val="00657577"/>
    <w:rsid w:val="00663DA8"/>
    <w:rsid w:val="00664787"/>
    <w:rsid w:val="006660B2"/>
    <w:rsid w:val="00666B77"/>
    <w:rsid w:val="0066748C"/>
    <w:rsid w:val="0067056E"/>
    <w:rsid w:val="006739CA"/>
    <w:rsid w:val="0067499B"/>
    <w:rsid w:val="0068258E"/>
    <w:rsid w:val="006838EC"/>
    <w:rsid w:val="0068550C"/>
    <w:rsid w:val="006855AC"/>
    <w:rsid w:val="00691790"/>
    <w:rsid w:val="006933C3"/>
    <w:rsid w:val="006956E6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A76DB"/>
    <w:rsid w:val="006B235B"/>
    <w:rsid w:val="006B417A"/>
    <w:rsid w:val="006B45F4"/>
    <w:rsid w:val="006C25F8"/>
    <w:rsid w:val="006C40C7"/>
    <w:rsid w:val="006C56C0"/>
    <w:rsid w:val="006C5C53"/>
    <w:rsid w:val="006C6576"/>
    <w:rsid w:val="006D3A2E"/>
    <w:rsid w:val="006D3EB7"/>
    <w:rsid w:val="006D6F4D"/>
    <w:rsid w:val="006D7B49"/>
    <w:rsid w:val="006E0A2E"/>
    <w:rsid w:val="006E1269"/>
    <w:rsid w:val="006E2E0F"/>
    <w:rsid w:val="006E2EC7"/>
    <w:rsid w:val="006E697B"/>
    <w:rsid w:val="006E7D38"/>
    <w:rsid w:val="006F0870"/>
    <w:rsid w:val="006F2041"/>
    <w:rsid w:val="006F22E8"/>
    <w:rsid w:val="006F43CA"/>
    <w:rsid w:val="006F6798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62EE"/>
    <w:rsid w:val="00731CBC"/>
    <w:rsid w:val="00734624"/>
    <w:rsid w:val="007346F9"/>
    <w:rsid w:val="007355BA"/>
    <w:rsid w:val="00736877"/>
    <w:rsid w:val="00737731"/>
    <w:rsid w:val="007400D2"/>
    <w:rsid w:val="00740210"/>
    <w:rsid w:val="00740F3C"/>
    <w:rsid w:val="007411D5"/>
    <w:rsid w:val="00743699"/>
    <w:rsid w:val="007449E4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87812"/>
    <w:rsid w:val="0079167D"/>
    <w:rsid w:val="00793979"/>
    <w:rsid w:val="007940C9"/>
    <w:rsid w:val="007A03D4"/>
    <w:rsid w:val="007A0931"/>
    <w:rsid w:val="007A4309"/>
    <w:rsid w:val="007B4A1C"/>
    <w:rsid w:val="007B4FD9"/>
    <w:rsid w:val="007B50E3"/>
    <w:rsid w:val="007B627D"/>
    <w:rsid w:val="007B6E7F"/>
    <w:rsid w:val="007C53A1"/>
    <w:rsid w:val="007C58BD"/>
    <w:rsid w:val="007C5D4B"/>
    <w:rsid w:val="007C7599"/>
    <w:rsid w:val="007D00B1"/>
    <w:rsid w:val="007D0E36"/>
    <w:rsid w:val="007D44FA"/>
    <w:rsid w:val="007D453B"/>
    <w:rsid w:val="007D678D"/>
    <w:rsid w:val="007D71E1"/>
    <w:rsid w:val="007E1AB2"/>
    <w:rsid w:val="007E3F69"/>
    <w:rsid w:val="007E7735"/>
    <w:rsid w:val="007F1254"/>
    <w:rsid w:val="007F1374"/>
    <w:rsid w:val="007F1510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2966"/>
    <w:rsid w:val="0084434E"/>
    <w:rsid w:val="00844C32"/>
    <w:rsid w:val="008459D3"/>
    <w:rsid w:val="008506B1"/>
    <w:rsid w:val="00850F74"/>
    <w:rsid w:val="008510CC"/>
    <w:rsid w:val="00857F80"/>
    <w:rsid w:val="00860C47"/>
    <w:rsid w:val="00860FDE"/>
    <w:rsid w:val="00862CFA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2371"/>
    <w:rsid w:val="00882989"/>
    <w:rsid w:val="00883CB3"/>
    <w:rsid w:val="00891049"/>
    <w:rsid w:val="00891821"/>
    <w:rsid w:val="0089412C"/>
    <w:rsid w:val="0089515C"/>
    <w:rsid w:val="00897403"/>
    <w:rsid w:val="008A40C0"/>
    <w:rsid w:val="008A4BE5"/>
    <w:rsid w:val="008A5923"/>
    <w:rsid w:val="008A5DEF"/>
    <w:rsid w:val="008A7236"/>
    <w:rsid w:val="008B1120"/>
    <w:rsid w:val="008B1AA1"/>
    <w:rsid w:val="008B1BFF"/>
    <w:rsid w:val="008B4BE6"/>
    <w:rsid w:val="008B634D"/>
    <w:rsid w:val="008C2DD5"/>
    <w:rsid w:val="008C737A"/>
    <w:rsid w:val="008D0DDC"/>
    <w:rsid w:val="008D2241"/>
    <w:rsid w:val="008D4828"/>
    <w:rsid w:val="008D4DCA"/>
    <w:rsid w:val="008D514C"/>
    <w:rsid w:val="008D549A"/>
    <w:rsid w:val="008D744F"/>
    <w:rsid w:val="008F12A1"/>
    <w:rsid w:val="008F3624"/>
    <w:rsid w:val="008F6772"/>
    <w:rsid w:val="008F73D1"/>
    <w:rsid w:val="009002CA"/>
    <w:rsid w:val="00901449"/>
    <w:rsid w:val="00902E53"/>
    <w:rsid w:val="00903AF9"/>
    <w:rsid w:val="00904F2A"/>
    <w:rsid w:val="0090579F"/>
    <w:rsid w:val="00906002"/>
    <w:rsid w:val="0091396D"/>
    <w:rsid w:val="009143C9"/>
    <w:rsid w:val="00915A40"/>
    <w:rsid w:val="009201C9"/>
    <w:rsid w:val="00920284"/>
    <w:rsid w:val="0092046F"/>
    <w:rsid w:val="0092216C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4716A"/>
    <w:rsid w:val="00952439"/>
    <w:rsid w:val="00953155"/>
    <w:rsid w:val="0096028F"/>
    <w:rsid w:val="00960414"/>
    <w:rsid w:val="00961B81"/>
    <w:rsid w:val="00962ED5"/>
    <w:rsid w:val="00965495"/>
    <w:rsid w:val="00967CB4"/>
    <w:rsid w:val="00971561"/>
    <w:rsid w:val="00972851"/>
    <w:rsid w:val="009761DA"/>
    <w:rsid w:val="009801C0"/>
    <w:rsid w:val="00980EEF"/>
    <w:rsid w:val="00982D9D"/>
    <w:rsid w:val="00984B51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0DFE"/>
    <w:rsid w:val="009D2789"/>
    <w:rsid w:val="009D4233"/>
    <w:rsid w:val="009D4C0F"/>
    <w:rsid w:val="009D5660"/>
    <w:rsid w:val="009D7C44"/>
    <w:rsid w:val="009E1BF4"/>
    <w:rsid w:val="009E451F"/>
    <w:rsid w:val="009E7B86"/>
    <w:rsid w:val="009F1660"/>
    <w:rsid w:val="009F2D4E"/>
    <w:rsid w:val="009F366D"/>
    <w:rsid w:val="009F45EC"/>
    <w:rsid w:val="009F5A8D"/>
    <w:rsid w:val="009F6C78"/>
    <w:rsid w:val="00A03C0C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406"/>
    <w:rsid w:val="00A44E95"/>
    <w:rsid w:val="00A47640"/>
    <w:rsid w:val="00A47FE3"/>
    <w:rsid w:val="00A51447"/>
    <w:rsid w:val="00A53F34"/>
    <w:rsid w:val="00A540EB"/>
    <w:rsid w:val="00A5539A"/>
    <w:rsid w:val="00A60B97"/>
    <w:rsid w:val="00A6126C"/>
    <w:rsid w:val="00A634C9"/>
    <w:rsid w:val="00A658BF"/>
    <w:rsid w:val="00A676F6"/>
    <w:rsid w:val="00A71E51"/>
    <w:rsid w:val="00A74D06"/>
    <w:rsid w:val="00A764E4"/>
    <w:rsid w:val="00A77F56"/>
    <w:rsid w:val="00A825CA"/>
    <w:rsid w:val="00A954D1"/>
    <w:rsid w:val="00A95A2D"/>
    <w:rsid w:val="00A97557"/>
    <w:rsid w:val="00AA1044"/>
    <w:rsid w:val="00AA2D01"/>
    <w:rsid w:val="00AA34B1"/>
    <w:rsid w:val="00AA37D0"/>
    <w:rsid w:val="00AA5085"/>
    <w:rsid w:val="00AA719D"/>
    <w:rsid w:val="00AA73E8"/>
    <w:rsid w:val="00AB06B2"/>
    <w:rsid w:val="00AB1C3D"/>
    <w:rsid w:val="00AB29A8"/>
    <w:rsid w:val="00AB7D22"/>
    <w:rsid w:val="00AC0243"/>
    <w:rsid w:val="00AC22A5"/>
    <w:rsid w:val="00AC2670"/>
    <w:rsid w:val="00AD1F5D"/>
    <w:rsid w:val="00AD3B24"/>
    <w:rsid w:val="00AD3D88"/>
    <w:rsid w:val="00AD7641"/>
    <w:rsid w:val="00AE1C50"/>
    <w:rsid w:val="00AE1F78"/>
    <w:rsid w:val="00AE42A5"/>
    <w:rsid w:val="00AE4D63"/>
    <w:rsid w:val="00AE4EC6"/>
    <w:rsid w:val="00AF23AF"/>
    <w:rsid w:val="00AF2C62"/>
    <w:rsid w:val="00AF4E3A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7B32"/>
    <w:rsid w:val="00B37B75"/>
    <w:rsid w:val="00B42DDB"/>
    <w:rsid w:val="00B46671"/>
    <w:rsid w:val="00B472D0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76AC4"/>
    <w:rsid w:val="00B82B96"/>
    <w:rsid w:val="00B84A8E"/>
    <w:rsid w:val="00B85252"/>
    <w:rsid w:val="00B92D67"/>
    <w:rsid w:val="00B93F3F"/>
    <w:rsid w:val="00B948C0"/>
    <w:rsid w:val="00B952D8"/>
    <w:rsid w:val="00B9615A"/>
    <w:rsid w:val="00B9676E"/>
    <w:rsid w:val="00B97982"/>
    <w:rsid w:val="00BA016B"/>
    <w:rsid w:val="00BA169C"/>
    <w:rsid w:val="00BA1CBE"/>
    <w:rsid w:val="00BA2B23"/>
    <w:rsid w:val="00BA3831"/>
    <w:rsid w:val="00BA397E"/>
    <w:rsid w:val="00BA500B"/>
    <w:rsid w:val="00BA5B5B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4749"/>
    <w:rsid w:val="00BC5B1D"/>
    <w:rsid w:val="00BC5BB3"/>
    <w:rsid w:val="00BD1F5A"/>
    <w:rsid w:val="00BD2F0F"/>
    <w:rsid w:val="00BD53BD"/>
    <w:rsid w:val="00BD5DEF"/>
    <w:rsid w:val="00BD713D"/>
    <w:rsid w:val="00BE193B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1FEB"/>
    <w:rsid w:val="00C141D0"/>
    <w:rsid w:val="00C1426D"/>
    <w:rsid w:val="00C20F98"/>
    <w:rsid w:val="00C21F77"/>
    <w:rsid w:val="00C239F9"/>
    <w:rsid w:val="00C249C9"/>
    <w:rsid w:val="00C26788"/>
    <w:rsid w:val="00C27BEF"/>
    <w:rsid w:val="00C32A74"/>
    <w:rsid w:val="00C33715"/>
    <w:rsid w:val="00C33BEA"/>
    <w:rsid w:val="00C3607C"/>
    <w:rsid w:val="00C37FB6"/>
    <w:rsid w:val="00C424F1"/>
    <w:rsid w:val="00C4424F"/>
    <w:rsid w:val="00C445CC"/>
    <w:rsid w:val="00C453B3"/>
    <w:rsid w:val="00C4552C"/>
    <w:rsid w:val="00C4599F"/>
    <w:rsid w:val="00C45F82"/>
    <w:rsid w:val="00C475F7"/>
    <w:rsid w:val="00C53E01"/>
    <w:rsid w:val="00C55DD0"/>
    <w:rsid w:val="00C569DB"/>
    <w:rsid w:val="00C61E5C"/>
    <w:rsid w:val="00C7289F"/>
    <w:rsid w:val="00C72B10"/>
    <w:rsid w:val="00C81CDA"/>
    <w:rsid w:val="00C8257E"/>
    <w:rsid w:val="00C83148"/>
    <w:rsid w:val="00C846A9"/>
    <w:rsid w:val="00C84732"/>
    <w:rsid w:val="00C87086"/>
    <w:rsid w:val="00C87B56"/>
    <w:rsid w:val="00C90256"/>
    <w:rsid w:val="00C97610"/>
    <w:rsid w:val="00CA1F31"/>
    <w:rsid w:val="00CA26A3"/>
    <w:rsid w:val="00CA2822"/>
    <w:rsid w:val="00CA3050"/>
    <w:rsid w:val="00CA694A"/>
    <w:rsid w:val="00CB128D"/>
    <w:rsid w:val="00CB2BDF"/>
    <w:rsid w:val="00CB3FC3"/>
    <w:rsid w:val="00CB6841"/>
    <w:rsid w:val="00CC53DC"/>
    <w:rsid w:val="00CC7023"/>
    <w:rsid w:val="00CC7AC8"/>
    <w:rsid w:val="00CD0459"/>
    <w:rsid w:val="00CD1F68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4C8C"/>
    <w:rsid w:val="00D075C4"/>
    <w:rsid w:val="00D07A16"/>
    <w:rsid w:val="00D103D9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4209"/>
    <w:rsid w:val="00D351A5"/>
    <w:rsid w:val="00D356CD"/>
    <w:rsid w:val="00D36170"/>
    <w:rsid w:val="00D3779C"/>
    <w:rsid w:val="00D37DCA"/>
    <w:rsid w:val="00D526B4"/>
    <w:rsid w:val="00D54373"/>
    <w:rsid w:val="00D62225"/>
    <w:rsid w:val="00D64EA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3C7F"/>
    <w:rsid w:val="00D95B2F"/>
    <w:rsid w:val="00DA0D76"/>
    <w:rsid w:val="00DA0D9C"/>
    <w:rsid w:val="00DA1274"/>
    <w:rsid w:val="00DA133C"/>
    <w:rsid w:val="00DA2B1D"/>
    <w:rsid w:val="00DA30A3"/>
    <w:rsid w:val="00DA3567"/>
    <w:rsid w:val="00DA4249"/>
    <w:rsid w:val="00DA62A2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17"/>
    <w:rsid w:val="00DC3E82"/>
    <w:rsid w:val="00DC529B"/>
    <w:rsid w:val="00DC5CE3"/>
    <w:rsid w:val="00DD3129"/>
    <w:rsid w:val="00DD563C"/>
    <w:rsid w:val="00DD5AD7"/>
    <w:rsid w:val="00DD607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0C5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22660"/>
    <w:rsid w:val="00E232E0"/>
    <w:rsid w:val="00E23A5B"/>
    <w:rsid w:val="00E24257"/>
    <w:rsid w:val="00E3030C"/>
    <w:rsid w:val="00E32EAF"/>
    <w:rsid w:val="00E34BF8"/>
    <w:rsid w:val="00E44F7F"/>
    <w:rsid w:val="00E456B3"/>
    <w:rsid w:val="00E50836"/>
    <w:rsid w:val="00E509E4"/>
    <w:rsid w:val="00E50CC8"/>
    <w:rsid w:val="00E51FE8"/>
    <w:rsid w:val="00E5244F"/>
    <w:rsid w:val="00E53670"/>
    <w:rsid w:val="00E55E57"/>
    <w:rsid w:val="00E56249"/>
    <w:rsid w:val="00E5690E"/>
    <w:rsid w:val="00E57483"/>
    <w:rsid w:val="00E64CE8"/>
    <w:rsid w:val="00E655BA"/>
    <w:rsid w:val="00E67ACE"/>
    <w:rsid w:val="00E67BA7"/>
    <w:rsid w:val="00E71E0C"/>
    <w:rsid w:val="00E757FD"/>
    <w:rsid w:val="00E75C39"/>
    <w:rsid w:val="00E81DCE"/>
    <w:rsid w:val="00E84140"/>
    <w:rsid w:val="00E848FF"/>
    <w:rsid w:val="00E8562F"/>
    <w:rsid w:val="00E8685A"/>
    <w:rsid w:val="00E9010E"/>
    <w:rsid w:val="00E90232"/>
    <w:rsid w:val="00E90DD4"/>
    <w:rsid w:val="00E93D69"/>
    <w:rsid w:val="00E94FA8"/>
    <w:rsid w:val="00EA1FCE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F58"/>
    <w:rsid w:val="00ED0982"/>
    <w:rsid w:val="00ED276F"/>
    <w:rsid w:val="00ED28A8"/>
    <w:rsid w:val="00ED4634"/>
    <w:rsid w:val="00ED4B34"/>
    <w:rsid w:val="00ED7CB3"/>
    <w:rsid w:val="00EE1123"/>
    <w:rsid w:val="00EE1706"/>
    <w:rsid w:val="00EE333D"/>
    <w:rsid w:val="00EE3A4F"/>
    <w:rsid w:val="00EE52AB"/>
    <w:rsid w:val="00EF09A6"/>
    <w:rsid w:val="00EF0C91"/>
    <w:rsid w:val="00EF2660"/>
    <w:rsid w:val="00EF26A2"/>
    <w:rsid w:val="00EF48F9"/>
    <w:rsid w:val="00F06892"/>
    <w:rsid w:val="00F0741A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76E3"/>
    <w:rsid w:val="00F37D06"/>
    <w:rsid w:val="00F37ED4"/>
    <w:rsid w:val="00F40A46"/>
    <w:rsid w:val="00F41D12"/>
    <w:rsid w:val="00F42D89"/>
    <w:rsid w:val="00F45235"/>
    <w:rsid w:val="00F50B3C"/>
    <w:rsid w:val="00F52C27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51FE"/>
    <w:rsid w:val="00F8554D"/>
    <w:rsid w:val="00F90647"/>
    <w:rsid w:val="00F91147"/>
    <w:rsid w:val="00F92F29"/>
    <w:rsid w:val="00F933B3"/>
    <w:rsid w:val="00F93ED3"/>
    <w:rsid w:val="00FA2132"/>
    <w:rsid w:val="00FA2B0D"/>
    <w:rsid w:val="00FA4625"/>
    <w:rsid w:val="00FB2711"/>
    <w:rsid w:val="00FB2F2A"/>
    <w:rsid w:val="00FB4E60"/>
    <w:rsid w:val="00FC1750"/>
    <w:rsid w:val="00FC22CB"/>
    <w:rsid w:val="00FC49BA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hop.standard.md/ro/standard_details/65910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4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3495</Words>
  <Characters>19926</Characters>
  <Application>Microsoft Office Word</Application>
  <DocSecurity>0</DocSecurity>
  <Lines>166</Lines>
  <Paragraphs>46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Direcția politici de prevenire a poluării</cp:lastModifiedBy>
  <cp:revision>7</cp:revision>
  <cp:lastPrinted>2024-11-05T13:27:00Z</cp:lastPrinted>
  <dcterms:created xsi:type="dcterms:W3CDTF">2025-12-24T08:31:00Z</dcterms:created>
  <dcterms:modified xsi:type="dcterms:W3CDTF">2025-12-24T09:11:00Z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