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6910" w14:textId="77777777" w:rsidR="00584D11" w:rsidRDefault="00000000">
      <w:pPr>
        <w:spacing w:after="0" w:line="240" w:lineRule="auto"/>
        <w:ind w:firstLineChars="235" w:firstLine="661"/>
        <w:jc w:val="right"/>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UE</w:t>
      </w:r>
    </w:p>
    <w:p w14:paraId="139DE2C6" w14:textId="77777777" w:rsidR="00584D11" w:rsidRDefault="00584D11">
      <w:pPr>
        <w:spacing w:after="0" w:line="240" w:lineRule="auto"/>
        <w:ind w:firstLineChars="235" w:firstLine="658"/>
        <w:jc w:val="right"/>
        <w:rPr>
          <w:rFonts w:ascii="Times New Roman" w:eastAsia="Times New Roman" w:hAnsi="Times New Roman" w:cs="Times New Roman"/>
          <w:i/>
          <w:color w:val="000000" w:themeColor="text1"/>
          <w:sz w:val="28"/>
          <w:szCs w:val="28"/>
          <w:lang w:eastAsia="ru-RU"/>
        </w:rPr>
      </w:pPr>
    </w:p>
    <w:p w14:paraId="4C18A564" w14:textId="77777777" w:rsidR="00584D11" w:rsidRDefault="00000000">
      <w:pPr>
        <w:spacing w:after="0" w:line="240" w:lineRule="auto"/>
        <w:ind w:firstLineChars="235" w:firstLine="658"/>
        <w:jc w:val="right"/>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Proiect</w:t>
      </w:r>
    </w:p>
    <w:p w14:paraId="24AB10F0" w14:textId="77777777" w:rsidR="00584D11" w:rsidRDefault="00584D11">
      <w:pPr>
        <w:spacing w:after="0" w:line="240" w:lineRule="auto"/>
        <w:ind w:firstLineChars="235" w:firstLine="661"/>
        <w:rPr>
          <w:rFonts w:ascii="Times New Roman" w:eastAsia="Times New Roman" w:hAnsi="Times New Roman" w:cs="Times New Roman"/>
          <w:b/>
          <w:color w:val="000000" w:themeColor="text1"/>
          <w:sz w:val="28"/>
          <w:szCs w:val="28"/>
          <w:lang w:eastAsia="ru-RU"/>
        </w:rPr>
      </w:pPr>
    </w:p>
    <w:p w14:paraId="51B591D1" w14:textId="77777777" w:rsidR="00584D11" w:rsidRDefault="00584D11">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p>
    <w:p w14:paraId="3DA7D578" w14:textId="77777777" w:rsidR="00584D11" w:rsidRDefault="00000000">
      <w:pPr>
        <w:tabs>
          <w:tab w:val="left" w:pos="2977"/>
        </w:tabs>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GUVERNUL  REPUBLICII  MOLDOVA</w:t>
      </w:r>
    </w:p>
    <w:p w14:paraId="6AB52E90" w14:textId="77777777" w:rsidR="00584D11" w:rsidRDefault="00584D11">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p>
    <w:p w14:paraId="43C83F93" w14:textId="77777777" w:rsidR="00584D11" w:rsidRDefault="00000000">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H O T Ă R Â R E nr.</w:t>
      </w:r>
      <w:r>
        <w:rPr>
          <w:rFonts w:ascii="Times New Roman" w:eastAsia="Times New Roman" w:hAnsi="Times New Roman" w:cs="Times New Roman"/>
          <w:color w:val="000000" w:themeColor="text1"/>
          <w:sz w:val="28"/>
          <w:szCs w:val="28"/>
          <w:lang w:eastAsia="ru-RU"/>
        </w:rPr>
        <w:t>_____</w:t>
      </w:r>
    </w:p>
    <w:p w14:paraId="743BCE81" w14:textId="77777777" w:rsidR="00584D11" w:rsidRDefault="00584D11">
      <w:pPr>
        <w:spacing w:after="0" w:line="240" w:lineRule="auto"/>
        <w:ind w:firstLineChars="235" w:firstLine="661"/>
        <w:jc w:val="center"/>
        <w:rPr>
          <w:rFonts w:ascii="Times New Roman" w:eastAsia="Times New Roman" w:hAnsi="Times New Roman" w:cs="Times New Roman"/>
          <w:b/>
          <w:color w:val="000000" w:themeColor="text1"/>
          <w:sz w:val="28"/>
          <w:szCs w:val="28"/>
          <w:lang w:eastAsia="ru-RU"/>
        </w:rPr>
      </w:pPr>
    </w:p>
    <w:p w14:paraId="356E1E7B" w14:textId="77777777" w:rsidR="00584D11" w:rsidRDefault="00000000">
      <w:pPr>
        <w:spacing w:after="0" w:line="240" w:lineRule="auto"/>
        <w:ind w:firstLineChars="235" w:firstLine="661"/>
        <w:jc w:val="center"/>
        <w:rPr>
          <w:rFonts w:ascii="Times New Roman" w:eastAsia="Times New Roman" w:hAnsi="Times New Roman" w:cs="Times New Roman"/>
          <w:b/>
          <w:color w:val="000000" w:themeColor="text1"/>
          <w:sz w:val="28"/>
          <w:szCs w:val="28"/>
          <w:u w:val="single"/>
          <w:lang w:eastAsia="ru-RU"/>
        </w:rPr>
      </w:pPr>
      <w:r>
        <w:rPr>
          <w:rFonts w:ascii="Times New Roman" w:eastAsia="Times New Roman" w:hAnsi="Times New Roman" w:cs="Times New Roman"/>
          <w:b/>
          <w:color w:val="000000" w:themeColor="text1"/>
          <w:sz w:val="28"/>
          <w:szCs w:val="28"/>
          <w:u w:val="single"/>
          <w:lang w:eastAsia="ru-RU"/>
        </w:rPr>
        <w:t>din                       2025</w:t>
      </w:r>
    </w:p>
    <w:p w14:paraId="5C9412A6" w14:textId="77777777" w:rsidR="00584D11" w:rsidRDefault="00000000">
      <w:pPr>
        <w:spacing w:after="0" w:line="240" w:lineRule="auto"/>
        <w:ind w:firstLineChars="235" w:firstLine="566"/>
        <w:jc w:val="center"/>
        <w:rPr>
          <w:rFonts w:ascii="Times New Roman" w:eastAsia="Times New Roman" w:hAnsi="Times New Roman" w:cs="Times New Roman"/>
          <w:b/>
          <w:color w:val="000000" w:themeColor="text1"/>
          <w:sz w:val="24"/>
          <w:szCs w:val="28"/>
          <w:lang w:eastAsia="ru-RU"/>
        </w:rPr>
      </w:pPr>
      <w:r>
        <w:rPr>
          <w:rFonts w:ascii="Times New Roman" w:eastAsia="Times New Roman" w:hAnsi="Times New Roman" w:cs="Times New Roman"/>
          <w:b/>
          <w:color w:val="000000" w:themeColor="text1"/>
          <w:sz w:val="24"/>
          <w:szCs w:val="28"/>
          <w:lang w:eastAsia="ru-RU"/>
        </w:rPr>
        <w:t>Chişinău</w:t>
      </w:r>
    </w:p>
    <w:p w14:paraId="379C4C76" w14:textId="77777777" w:rsidR="00584D11" w:rsidRDefault="00584D11">
      <w:pPr>
        <w:spacing w:after="0" w:line="240" w:lineRule="auto"/>
        <w:ind w:firstLineChars="235" w:firstLine="658"/>
        <w:jc w:val="center"/>
        <w:rPr>
          <w:rFonts w:ascii="Times New Roman" w:eastAsia="Times New Roman" w:hAnsi="Times New Roman" w:cs="Times New Roman"/>
          <w:color w:val="000000" w:themeColor="text1"/>
          <w:sz w:val="28"/>
          <w:szCs w:val="28"/>
          <w:lang w:eastAsia="ru-RU"/>
        </w:rPr>
      </w:pPr>
    </w:p>
    <w:p w14:paraId="022E22C3" w14:textId="77777777" w:rsidR="00584D11" w:rsidRDefault="00000000">
      <w:pPr>
        <w:spacing w:after="0"/>
        <w:ind w:firstLineChars="235" w:firstLine="66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themeColor="text1"/>
          <w:sz w:val="28"/>
          <w:szCs w:val="28"/>
          <w:lang w:eastAsia="ro-RO"/>
        </w:rPr>
        <w:t xml:space="preserve">cu privire la modificarea </w:t>
      </w:r>
      <w:r>
        <w:rPr>
          <w:rFonts w:ascii="Times New Roman" w:eastAsia="Times New Roman" w:hAnsi="Times New Roman" w:cs="Times New Roman"/>
          <w:b/>
          <w:sz w:val="28"/>
          <w:szCs w:val="28"/>
          <w:lang w:eastAsia="ru-RU"/>
        </w:rPr>
        <w:t>Hotărârii Guvernului nr. 902/2015</w:t>
      </w:r>
    </w:p>
    <w:p w14:paraId="560D3ED5" w14:textId="77777777" w:rsidR="00584D11" w:rsidRDefault="00000000">
      <w:pPr>
        <w:spacing w:after="0"/>
        <w:ind w:firstLineChars="235" w:firstLine="66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cu privire la Consiliul Național pentru Managementul Integrat al Frontierei de Stat</w:t>
      </w:r>
    </w:p>
    <w:p w14:paraId="55304CDE" w14:textId="77777777" w:rsidR="00584D11" w:rsidRDefault="00584D11">
      <w:pPr>
        <w:spacing w:after="0" w:line="240" w:lineRule="auto"/>
        <w:ind w:firstLineChars="235" w:firstLine="661"/>
        <w:jc w:val="center"/>
        <w:rPr>
          <w:rFonts w:ascii="Times New Roman" w:eastAsia="Times New Roman" w:hAnsi="Times New Roman" w:cs="Times New Roman"/>
          <w:b/>
          <w:bCs/>
          <w:color w:val="000000" w:themeColor="text1"/>
          <w:sz w:val="28"/>
          <w:szCs w:val="28"/>
          <w:lang w:eastAsia="ro-RO"/>
        </w:rPr>
      </w:pPr>
    </w:p>
    <w:p w14:paraId="3901B22C" w14:textId="77777777" w:rsidR="00584D11" w:rsidRDefault="00000000">
      <w:pPr>
        <w:spacing w:after="0" w:line="240" w:lineRule="auto"/>
        <w:ind w:firstLineChars="235" w:firstLine="658"/>
        <w:jc w:val="center"/>
        <w:rPr>
          <w:rFonts w:ascii="Times New Roman" w:eastAsia="Times New Roman" w:hAnsi="Times New Roman" w:cs="Times New Roman"/>
          <w:bCs/>
          <w:color w:val="000000" w:themeColor="text1"/>
          <w:sz w:val="28"/>
          <w:szCs w:val="28"/>
          <w:lang w:eastAsia="ro-RO"/>
        </w:rPr>
      </w:pPr>
      <w:r>
        <w:rPr>
          <w:rFonts w:ascii="Times New Roman" w:eastAsia="Times New Roman" w:hAnsi="Times New Roman" w:cs="Times New Roman"/>
          <w:bCs/>
          <w:color w:val="000000" w:themeColor="text1"/>
          <w:sz w:val="28"/>
          <w:szCs w:val="28"/>
          <w:lang w:eastAsia="ro-RO"/>
        </w:rPr>
        <w:t>----------------------------------------------------------------------------------------</w:t>
      </w:r>
    </w:p>
    <w:p w14:paraId="111D0D71" w14:textId="77777777" w:rsidR="00584D11" w:rsidRDefault="00584D11">
      <w:pPr>
        <w:spacing w:after="0" w:line="240" w:lineRule="auto"/>
        <w:ind w:firstLineChars="235" w:firstLine="658"/>
        <w:jc w:val="both"/>
        <w:rPr>
          <w:rFonts w:ascii="Times New Roman" w:eastAsia="Times New Roman" w:hAnsi="Times New Roman" w:cs="Times New Roman"/>
          <w:color w:val="000000" w:themeColor="text1"/>
          <w:sz w:val="28"/>
          <w:szCs w:val="28"/>
          <w:lang w:eastAsia="ro-RO"/>
        </w:rPr>
      </w:pPr>
    </w:p>
    <w:p w14:paraId="432877CA" w14:textId="77777777" w:rsidR="00584D11" w:rsidRDefault="00000000">
      <w:pPr>
        <w:tabs>
          <w:tab w:val="left" w:pos="851"/>
        </w:tabs>
        <w:spacing w:after="0"/>
        <w:ind w:right="-1" w:firstLineChars="235" w:firstLine="658"/>
        <w:jc w:val="both"/>
        <w:rPr>
          <w:rFonts w:ascii="Times New Roman" w:eastAsia="Times New Roman" w:hAnsi="Times New Roman" w:cs="Times New Roman"/>
          <w:sz w:val="28"/>
          <w:szCs w:val="24"/>
          <w:lang w:eastAsia="ro-RO"/>
        </w:rPr>
      </w:pPr>
      <w:r>
        <w:rPr>
          <w:rFonts w:ascii="Times New Roman" w:eastAsia="Times New Roman" w:hAnsi="Times New Roman" w:cs="Times New Roman"/>
          <w:color w:val="000000" w:themeColor="text1"/>
          <w:sz w:val="28"/>
          <w:szCs w:val="28"/>
          <w:lang w:eastAsia="ru-RU"/>
        </w:rPr>
        <w:t xml:space="preserve">În temeiul </w:t>
      </w:r>
      <w:r>
        <w:rPr>
          <w:rFonts w:ascii="Times New Roman" w:eastAsiaTheme="minorEastAsia" w:hAnsi="Times New Roman" w:cs="Times New Roman"/>
          <w:sz w:val="28"/>
          <w:szCs w:val="28"/>
          <w:lang w:eastAsia="ro-RO"/>
        </w:rPr>
        <w:t xml:space="preserve">art. 6 lit. h) din Legea nr. 136/2017 cu privire la Guvern </w:t>
      </w:r>
      <w:r>
        <w:rPr>
          <w:rFonts w:ascii="Times New Roman" w:eastAsia="Times New Roman" w:hAnsi="Times New Roman" w:cs="Times New Roman"/>
          <w:sz w:val="28"/>
          <w:szCs w:val="28"/>
          <w:lang w:eastAsia="ru-RU"/>
        </w:rPr>
        <w:t>(Monitorul Oficial al Republicii Moldova, 2017, nr. 252, art. 412) cu modificările ulterioare</w:t>
      </w:r>
      <w:r>
        <w:rPr>
          <w:rFonts w:ascii="Times New Roman" w:eastAsia="Times New Roman" w:hAnsi="Times New Roman" w:cs="Times New Roman"/>
          <w:sz w:val="28"/>
          <w:szCs w:val="24"/>
          <w:lang w:eastAsia="ro-RO"/>
        </w:rPr>
        <w:t xml:space="preserve">, și art. 2 din Legea nr. 112/2014 pentru ratificarea Acordului de Asociere între Republica Moldova, pe de o parte, şi Uniunea Europeană şi Comunitatea Europeană a Energiei Atomice şi statele membre ale acestora, pe de altă parte (Monitorul Oficial al Republicii Moldova, 2014, nr. 185-199, art. 442), </w:t>
      </w:r>
      <w:r>
        <w:rPr>
          <w:rFonts w:ascii="Times New Roman" w:eastAsia="Batang" w:hAnsi="Times New Roman" w:cs="Times New Roman"/>
          <w:sz w:val="28"/>
          <w:szCs w:val="28"/>
          <w:shd w:val="clear" w:color="auto" w:fill="FFFFFF"/>
          <w:lang w:eastAsia="ru-RU"/>
        </w:rPr>
        <w:t>Guvernul HOTĂRĂŞTE:</w:t>
      </w:r>
    </w:p>
    <w:p w14:paraId="0288641E" w14:textId="77777777" w:rsidR="00584D11" w:rsidRDefault="00584D11">
      <w:pPr>
        <w:tabs>
          <w:tab w:val="left" w:pos="851"/>
        </w:tabs>
        <w:spacing w:after="0"/>
        <w:ind w:right="-1" w:firstLineChars="235" w:firstLine="658"/>
        <w:jc w:val="both"/>
        <w:rPr>
          <w:rFonts w:ascii="Times New Roman" w:eastAsia="Times New Roman" w:hAnsi="Times New Roman" w:cs="Times New Roman"/>
          <w:sz w:val="28"/>
          <w:szCs w:val="28"/>
          <w:lang w:eastAsia="ru-RU"/>
        </w:rPr>
      </w:pPr>
    </w:p>
    <w:p w14:paraId="6AB7D7AF" w14:textId="77777777" w:rsidR="00584D11" w:rsidRDefault="00000000">
      <w:pPr>
        <w:pStyle w:val="Listparagraf"/>
        <w:numPr>
          <w:ilvl w:val="0"/>
          <w:numId w:val="1"/>
        </w:numPr>
        <w:tabs>
          <w:tab w:val="clear" w:pos="425"/>
          <w:tab w:val="left" w:pos="0"/>
          <w:tab w:val="left" w:pos="851"/>
          <w:tab w:val="left" w:pos="1134"/>
        </w:tabs>
        <w:spacing w:after="0"/>
        <w:ind w:left="0" w:firstLineChars="231" w:firstLine="64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Hotărârea Guvernului nr. 902/2015 cu privire la Consiliul Național pentru Managementul Integrat al Frontierei de Stat (Monitorul Oficial al Republicii Moldova, 2016, nr. 2-12, art. 7), cu modificările ulterioare, se modifică după cum urmează:</w:t>
      </w:r>
    </w:p>
    <w:p w14:paraId="021CBE08" w14:textId="77777777" w:rsidR="00584D11" w:rsidRDefault="00000000">
      <w:pPr>
        <w:pStyle w:val="Listparagraf"/>
        <w:numPr>
          <w:ilvl w:val="1"/>
          <w:numId w:val="2"/>
        </w:numPr>
        <w:tabs>
          <w:tab w:val="left" w:pos="993"/>
          <w:tab w:val="left" w:pos="1134"/>
        </w:tabs>
        <w:spacing w:after="0"/>
        <w:ind w:left="0" w:firstLineChars="231" w:firstLine="64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Clauza de adoptare va avea următorul cuprins:</w:t>
      </w:r>
    </w:p>
    <w:p w14:paraId="65F06280" w14:textId="77777777" w:rsidR="00584D11" w:rsidRDefault="00000000">
      <w:pPr>
        <w:pStyle w:val="Listparagraf"/>
        <w:tabs>
          <w:tab w:val="left" w:pos="993"/>
          <w:tab w:val="left" w:pos="1134"/>
        </w:tabs>
        <w:spacing w:after="0"/>
        <w:ind w:left="0" w:firstLineChars="231" w:firstLine="64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„În temeiul art. 54 alin. (1) din Legea nr. 28/2024 cu privire la frontiera de stat a Republicii Moldova (Monitorul Oficial al Republicii Moldova, 2024, nr. 93-95, art. 139) și art. 6 lit. h) din Legea nr. 136/2017 cu privire la Guvern (Monitorul oficial al Republicii Moldova, 2017, nr. 252, art. 412), cu modificările ulterioare,”</w:t>
      </w:r>
    </w:p>
    <w:p w14:paraId="2668B2AF" w14:textId="77777777" w:rsidR="00584D11" w:rsidRDefault="00000000">
      <w:pPr>
        <w:pStyle w:val="Listparagraf"/>
        <w:numPr>
          <w:ilvl w:val="1"/>
          <w:numId w:val="2"/>
        </w:numPr>
        <w:tabs>
          <w:tab w:val="left" w:pos="993"/>
          <w:tab w:val="left" w:pos="1134"/>
        </w:tabs>
        <w:spacing w:after="0"/>
        <w:ind w:left="0" w:firstLineChars="231" w:firstLine="64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Clauza de armonizare va avea următorul cuprins:</w:t>
      </w:r>
    </w:p>
    <w:p w14:paraId="22B56493" w14:textId="77777777" w:rsidR="00584D11" w:rsidRDefault="00000000">
      <w:pPr>
        <w:spacing w:after="0"/>
        <w:ind w:firstLineChars="231" w:firstLine="64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,,Prezenta hotărâre transpune:</w:t>
      </w:r>
    </w:p>
    <w:p w14:paraId="2E866349" w14:textId="05DA273F" w:rsidR="00584D11" w:rsidRDefault="00000000">
      <w:pPr>
        <w:spacing w:after="0"/>
        <w:ind w:firstLineChars="231" w:firstLine="64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o-RO"/>
        </w:rPr>
        <w:t>- parțial (transpune art</w:t>
      </w:r>
      <w:r w:rsidRPr="002D7848">
        <w:rPr>
          <w:rFonts w:ascii="Times New Roman" w:eastAsia="Times New Roman" w:hAnsi="Times New Roman" w:cs="Times New Roman"/>
          <w:sz w:val="28"/>
          <w:szCs w:val="28"/>
          <w:lang w:eastAsia="ro-RO"/>
        </w:rPr>
        <w:t>. 2, art. 3 alin. (5)</w:t>
      </w:r>
      <w:r w:rsidR="002D7848" w:rsidRPr="002D7848">
        <w:rPr>
          <w:rFonts w:ascii="Times New Roman" w:eastAsia="Times New Roman" w:hAnsi="Times New Roman" w:cs="Times New Roman"/>
          <w:sz w:val="28"/>
          <w:szCs w:val="28"/>
          <w:lang w:val="ro-MD" w:eastAsia="ro-RO"/>
        </w:rPr>
        <w:t>,</w:t>
      </w:r>
      <w:r w:rsidRPr="002D7848">
        <w:rPr>
          <w:rFonts w:ascii="Times New Roman" w:eastAsia="Times New Roman" w:hAnsi="Times New Roman" w:cs="Times New Roman"/>
          <w:sz w:val="28"/>
          <w:szCs w:val="28"/>
          <w:lang w:eastAsia="ro-RO"/>
        </w:rPr>
        <w:t xml:space="preserve"> </w:t>
      </w:r>
      <w:r w:rsidRPr="005E50C1">
        <w:rPr>
          <w:rFonts w:ascii="Times New Roman" w:eastAsia="Times New Roman" w:hAnsi="Times New Roman" w:cs="Times New Roman"/>
          <w:sz w:val="28"/>
          <w:szCs w:val="28"/>
          <w:lang w:eastAsia="ro-RO"/>
        </w:rPr>
        <w:t>art. 4</w:t>
      </w:r>
      <w:r w:rsidR="00453BB9">
        <w:rPr>
          <w:rFonts w:ascii="Times New Roman" w:eastAsia="Times New Roman" w:hAnsi="Times New Roman" w:cs="Times New Roman"/>
          <w:sz w:val="28"/>
          <w:szCs w:val="28"/>
          <w:lang w:val="ro-MD" w:eastAsia="ro-RO"/>
        </w:rPr>
        <w:t xml:space="preserve"> alin. (1), alin. (3)</w:t>
      </w:r>
      <w:r w:rsidRPr="005E50C1">
        <w:rPr>
          <w:rFonts w:ascii="Times New Roman" w:eastAsia="Times New Roman" w:hAnsi="Times New Roman" w:cs="Times New Roman"/>
          <w:sz w:val="28"/>
          <w:szCs w:val="28"/>
          <w:lang w:eastAsia="ro-RO"/>
        </w:rPr>
        <w:t xml:space="preserve">, </w:t>
      </w:r>
      <w:r w:rsidRPr="00AE06A5">
        <w:rPr>
          <w:rFonts w:ascii="Times New Roman" w:eastAsia="Times New Roman" w:hAnsi="Times New Roman" w:cs="Times New Roman"/>
          <w:sz w:val="28"/>
          <w:szCs w:val="28"/>
          <w:lang w:eastAsia="ro-RO"/>
        </w:rPr>
        <w:t xml:space="preserve">art. 6, </w:t>
      </w:r>
      <w:r w:rsidR="00AE06A5">
        <w:rPr>
          <w:rFonts w:ascii="Times New Roman" w:eastAsia="Times New Roman" w:hAnsi="Times New Roman" w:cs="Times New Roman"/>
          <w:sz w:val="28"/>
          <w:szCs w:val="28"/>
          <w:lang w:val="ro-MD" w:eastAsia="ro-RO"/>
        </w:rPr>
        <w:t xml:space="preserve">art. 13 </w:t>
      </w:r>
      <w:r w:rsidR="00587518">
        <w:rPr>
          <w:rFonts w:ascii="Times New Roman" w:eastAsia="Times New Roman" w:hAnsi="Times New Roman" w:cs="Times New Roman"/>
          <w:sz w:val="28"/>
          <w:szCs w:val="28"/>
          <w:lang w:val="ro-MD" w:eastAsia="ro-RO"/>
        </w:rPr>
        <w:t>alin. (1</w:t>
      </w:r>
      <w:r w:rsidR="00587518" w:rsidRPr="00972040">
        <w:rPr>
          <w:rFonts w:ascii="Times New Roman" w:eastAsia="Times New Roman" w:hAnsi="Times New Roman" w:cs="Times New Roman"/>
          <w:sz w:val="28"/>
          <w:szCs w:val="28"/>
          <w:lang w:val="ro-MD" w:eastAsia="ro-RO"/>
        </w:rPr>
        <w:t>),</w:t>
      </w:r>
      <w:r w:rsidRPr="00972040">
        <w:rPr>
          <w:rFonts w:ascii="Times New Roman" w:eastAsia="Times New Roman" w:hAnsi="Times New Roman" w:cs="Times New Roman"/>
          <w:sz w:val="28"/>
          <w:szCs w:val="28"/>
          <w:lang w:eastAsia="ro-RO"/>
        </w:rPr>
        <w:t xml:space="preserve"> art. 15 alin. (1), </w:t>
      </w:r>
      <w:r w:rsidRPr="00444CF4">
        <w:rPr>
          <w:rFonts w:ascii="Times New Roman" w:eastAsia="Times New Roman" w:hAnsi="Times New Roman" w:cs="Times New Roman"/>
          <w:sz w:val="28"/>
          <w:szCs w:val="28"/>
          <w:lang w:eastAsia="ro-RO"/>
        </w:rPr>
        <w:t xml:space="preserve">art. 18 alin. (7), </w:t>
      </w:r>
      <w:r w:rsidRPr="00A032CF">
        <w:rPr>
          <w:rFonts w:ascii="Times New Roman" w:eastAsia="Times New Roman" w:hAnsi="Times New Roman" w:cs="Times New Roman"/>
          <w:sz w:val="28"/>
          <w:szCs w:val="28"/>
          <w:lang w:eastAsia="ro-RO"/>
        </w:rPr>
        <w:t>art. 20</w:t>
      </w:r>
      <w:r w:rsidR="00444CF4" w:rsidRPr="00A032CF">
        <w:rPr>
          <w:rFonts w:ascii="Times New Roman" w:eastAsia="Times New Roman" w:hAnsi="Times New Roman" w:cs="Times New Roman"/>
          <w:sz w:val="28"/>
          <w:szCs w:val="28"/>
          <w:lang w:val="ro-MD" w:eastAsia="ro-RO"/>
        </w:rPr>
        <w:t xml:space="preserve"> alin.</w:t>
      </w:r>
      <w:r w:rsidRPr="00A032CF">
        <w:rPr>
          <w:rFonts w:ascii="Times New Roman" w:eastAsia="Times New Roman" w:hAnsi="Times New Roman" w:cs="Times New Roman"/>
          <w:sz w:val="28"/>
          <w:szCs w:val="28"/>
          <w:lang w:eastAsia="ro-RO"/>
        </w:rPr>
        <w:t xml:space="preserve"> (1),</w:t>
      </w:r>
      <w:r w:rsidR="00A032CF" w:rsidRPr="00A032CF">
        <w:rPr>
          <w:rFonts w:ascii="Times New Roman" w:eastAsia="Times New Roman" w:hAnsi="Times New Roman" w:cs="Times New Roman"/>
          <w:sz w:val="28"/>
          <w:szCs w:val="28"/>
          <w:lang w:val="ro-MD" w:eastAsia="ro-RO"/>
        </w:rPr>
        <w:t xml:space="preserve"> alin.</w:t>
      </w:r>
      <w:r w:rsidRPr="00A032CF">
        <w:rPr>
          <w:rFonts w:ascii="Times New Roman" w:eastAsia="Times New Roman" w:hAnsi="Times New Roman" w:cs="Times New Roman"/>
          <w:sz w:val="28"/>
          <w:szCs w:val="28"/>
          <w:lang w:eastAsia="ro-RO"/>
        </w:rPr>
        <w:t xml:space="preserve"> (2),</w:t>
      </w:r>
      <w:r w:rsidR="00A032CF" w:rsidRPr="00A032CF">
        <w:rPr>
          <w:rFonts w:ascii="Times New Roman" w:eastAsia="Times New Roman" w:hAnsi="Times New Roman" w:cs="Times New Roman"/>
          <w:sz w:val="28"/>
          <w:szCs w:val="28"/>
          <w:lang w:val="ro-MD" w:eastAsia="ro-RO"/>
        </w:rPr>
        <w:t xml:space="preserve"> alin.</w:t>
      </w:r>
      <w:r w:rsidRPr="00A032CF">
        <w:rPr>
          <w:rFonts w:ascii="Times New Roman" w:eastAsia="Times New Roman" w:hAnsi="Times New Roman" w:cs="Times New Roman"/>
          <w:sz w:val="28"/>
          <w:szCs w:val="28"/>
          <w:lang w:eastAsia="ro-RO"/>
        </w:rPr>
        <w:t xml:space="preserve"> (3),</w:t>
      </w:r>
      <w:r w:rsidR="00CE4DF8">
        <w:rPr>
          <w:rFonts w:ascii="Times New Roman" w:eastAsia="Times New Roman" w:hAnsi="Times New Roman" w:cs="Times New Roman"/>
          <w:sz w:val="28"/>
          <w:szCs w:val="28"/>
          <w:lang w:val="ro-MD" w:eastAsia="ro-RO"/>
        </w:rPr>
        <w:t xml:space="preserve"> alin</w:t>
      </w:r>
      <w:r w:rsidR="00CE4DF8" w:rsidRPr="00CE4DF8">
        <w:rPr>
          <w:rFonts w:ascii="Times New Roman" w:eastAsia="Times New Roman" w:hAnsi="Times New Roman" w:cs="Times New Roman"/>
          <w:sz w:val="28"/>
          <w:szCs w:val="28"/>
          <w:lang w:val="ro-MD" w:eastAsia="ro-RO"/>
        </w:rPr>
        <w:t>.</w:t>
      </w:r>
      <w:r w:rsidRPr="00CE4DF8">
        <w:rPr>
          <w:rFonts w:ascii="Times New Roman" w:eastAsia="Times New Roman" w:hAnsi="Times New Roman" w:cs="Times New Roman"/>
          <w:sz w:val="28"/>
          <w:szCs w:val="28"/>
          <w:lang w:eastAsia="ro-RO"/>
        </w:rPr>
        <w:t xml:space="preserve"> (5), </w:t>
      </w:r>
      <w:r w:rsidRPr="00E42237">
        <w:rPr>
          <w:rFonts w:ascii="Times New Roman" w:eastAsia="Times New Roman" w:hAnsi="Times New Roman" w:cs="Times New Roman"/>
          <w:sz w:val="28"/>
          <w:szCs w:val="28"/>
          <w:lang w:eastAsia="ro-RO"/>
        </w:rPr>
        <w:t>art. 2</w:t>
      </w:r>
      <w:r w:rsidR="00E42237" w:rsidRPr="00E42237">
        <w:rPr>
          <w:rFonts w:ascii="Times New Roman" w:eastAsia="Times New Roman" w:hAnsi="Times New Roman" w:cs="Times New Roman"/>
          <w:sz w:val="28"/>
          <w:szCs w:val="28"/>
          <w:lang w:val="ro-MD" w:eastAsia="ro-RO"/>
        </w:rPr>
        <w:t>2</w:t>
      </w:r>
      <w:r w:rsidRPr="00E42237">
        <w:rPr>
          <w:rFonts w:ascii="Times New Roman" w:eastAsia="Times New Roman" w:hAnsi="Times New Roman" w:cs="Times New Roman"/>
          <w:sz w:val="28"/>
          <w:szCs w:val="28"/>
          <w:lang w:eastAsia="ro-RO"/>
        </w:rPr>
        <w:t xml:space="preserve"> alin. (</w:t>
      </w:r>
      <w:r w:rsidR="00E42237" w:rsidRPr="00E42237">
        <w:rPr>
          <w:rFonts w:ascii="Times New Roman" w:eastAsia="Times New Roman" w:hAnsi="Times New Roman" w:cs="Times New Roman"/>
          <w:sz w:val="28"/>
          <w:szCs w:val="28"/>
          <w:lang w:val="ro-MD" w:eastAsia="ro-RO"/>
        </w:rPr>
        <w:t>1</w:t>
      </w:r>
      <w:r w:rsidRPr="00E42237">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din Regulamentul (UE) 2022/922 al Consiliului din 9 iunie 2022 privind instituirea și funcționarea unui mecanism de evaluare și monitorizare în </w:t>
      </w:r>
      <w:r>
        <w:rPr>
          <w:rFonts w:ascii="Times New Roman" w:eastAsia="Times New Roman" w:hAnsi="Times New Roman" w:cs="Times New Roman"/>
          <w:sz w:val="28"/>
          <w:szCs w:val="28"/>
          <w:lang w:eastAsia="ro-RO"/>
        </w:rPr>
        <w:lastRenderedPageBreak/>
        <w:t>vederea verificării aplicării acquis-ului Schengen și de abrogare a Regulamentului (UE) nr. 1053/2013</w:t>
      </w:r>
      <w:r>
        <w:rPr>
          <w:rFonts w:ascii="Times New Roman" w:eastAsia="Times New Roman" w:hAnsi="Times New Roman" w:cs="Times New Roman"/>
          <w:sz w:val="28"/>
          <w:szCs w:val="28"/>
          <w:highlight w:val="white"/>
        </w:rPr>
        <w:t xml:space="preserve">, CELEX: </w:t>
      </w:r>
      <w:r>
        <w:rPr>
          <w:rFonts w:ascii="Times New Roman" w:hAnsi="Times New Roman" w:cs="Times New Roman"/>
          <w:sz w:val="28"/>
          <w:szCs w:val="28"/>
          <w:shd w:val="clear" w:color="auto" w:fill="FFFFFF"/>
        </w:rPr>
        <w:t>32022R0922;</w:t>
      </w:r>
    </w:p>
    <w:p w14:paraId="41C917D6" w14:textId="3D54556B" w:rsidR="00584D11" w:rsidRPr="001E291C" w:rsidRDefault="00000000">
      <w:pPr>
        <w:spacing w:after="0"/>
        <w:ind w:firstLineChars="231" w:firstLine="647"/>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rPr>
        <w:t>- art. 3 din REGULAMENTUL (UE) 2019/1896 AL PARLAMENTULUI EUROPEAN ȘI AL CONSILIULUI din 13 noiembrie 2019 privind Poliția de frontieră și garda de coastă la nivel european și de abrogare a Regulamentelor (UE) nr. 1052/2013 și (UE) 2016/1624, CELEX:32019R1896</w:t>
      </w:r>
      <w:r w:rsidR="001E291C">
        <w:rPr>
          <w:rFonts w:ascii="Times New Roman" w:eastAsia="Times New Roman" w:hAnsi="Times New Roman" w:cs="Times New Roman"/>
          <w:sz w:val="28"/>
          <w:szCs w:val="28"/>
          <w:lang w:val="ro-MD"/>
        </w:rPr>
        <w:t>.</w:t>
      </w:r>
    </w:p>
    <w:p w14:paraId="6464100B" w14:textId="317E55DF" w:rsidR="00584D11" w:rsidRDefault="00000000">
      <w:pPr>
        <w:pStyle w:val="Listparagraf"/>
        <w:numPr>
          <w:ilvl w:val="1"/>
          <w:numId w:val="2"/>
        </w:numPr>
        <w:tabs>
          <w:tab w:val="left" w:pos="993"/>
          <w:tab w:val="left" w:pos="1276"/>
        </w:tabs>
        <w:spacing w:after="0"/>
        <w:ind w:left="0" w:firstLineChars="231" w:firstLine="647"/>
        <w:jc w:val="both"/>
        <w:rPr>
          <w:rFonts w:ascii="Times New Roman" w:eastAsia="Times New Roman" w:hAnsi="Times New Roman" w:cs="Times New Roman"/>
          <w:sz w:val="28"/>
          <w:szCs w:val="28"/>
          <w:highlight w:val="white"/>
        </w:rPr>
      </w:pPr>
      <w:r>
        <w:rPr>
          <w:rFonts w:ascii="Times New Roman" w:hAnsi="Times New Roman" w:cs="Times New Roman"/>
          <w:sz w:val="28"/>
          <w:szCs w:val="28"/>
          <w:shd w:val="clear" w:color="auto" w:fill="FFFFFF"/>
        </w:rPr>
        <w:t>La punctul 2 se completează cu textul „Regulamentul</w:t>
      </w:r>
      <w:r w:rsidR="00D12511">
        <w:rPr>
          <w:rFonts w:ascii="Times New Roman" w:hAnsi="Times New Roman" w:cs="Times New Roman"/>
          <w:sz w:val="28"/>
          <w:szCs w:val="28"/>
          <w:shd w:val="clear" w:color="auto" w:fill="FFFFFF"/>
          <w:lang w:val="ro-MD"/>
        </w:rPr>
        <w:t xml:space="preserve"> </w:t>
      </w:r>
      <w:r w:rsidR="00D12511" w:rsidRPr="00D12511">
        <w:rPr>
          <w:rFonts w:ascii="Times New Roman" w:hAnsi="Times New Roman" w:cs="Times New Roman"/>
          <w:sz w:val="28"/>
          <w:szCs w:val="28"/>
          <w:shd w:val="clear" w:color="auto" w:fill="FFFFFF"/>
          <w:lang w:val="ro-MD"/>
        </w:rPr>
        <w:t>privind instituirea și funcționarea mecanismului național de control al calit</w:t>
      </w:r>
      <w:r w:rsidR="00D12511">
        <w:rPr>
          <w:rFonts w:ascii="Times New Roman" w:hAnsi="Times New Roman" w:cs="Times New Roman"/>
          <w:sz w:val="28"/>
          <w:szCs w:val="28"/>
          <w:shd w:val="clear" w:color="auto" w:fill="FFFFFF"/>
          <w:lang w:val="ro-MD"/>
        </w:rPr>
        <w:t>ă</w:t>
      </w:r>
      <w:r w:rsidR="00D12511" w:rsidRPr="00D12511">
        <w:rPr>
          <w:rFonts w:ascii="Times New Roman" w:hAnsi="Times New Roman" w:cs="Times New Roman"/>
          <w:sz w:val="28"/>
          <w:szCs w:val="28"/>
          <w:shd w:val="clear" w:color="auto" w:fill="FFFFFF"/>
          <w:lang w:val="ro-MD"/>
        </w:rPr>
        <w:t>ții managementului integrat al frontierei de stat și pregătirii pentru verificarea îndeplinirii condițiilor necesare pentru aplicarea acquis-ului Schengen</w:t>
      </w:r>
      <w:r>
        <w:rPr>
          <w:rFonts w:ascii="Times New Roman" w:hAnsi="Times New Roman" w:cs="Times New Roman"/>
          <w:sz w:val="28"/>
          <w:szCs w:val="28"/>
          <w:shd w:val="clear" w:color="auto" w:fill="FFFFFF"/>
        </w:rPr>
        <w:t>, conform Anexei nr. 3” .</w:t>
      </w:r>
      <w:r>
        <w:rPr>
          <w:rFonts w:ascii="Times New Roman" w:hAnsi="Times New Roman" w:cs="Times New Roman"/>
          <w:sz w:val="28"/>
          <w:szCs w:val="28"/>
          <w:shd w:val="clear" w:color="auto" w:fill="FFFFFF"/>
        </w:rPr>
        <w:br/>
      </w:r>
    </w:p>
    <w:p w14:paraId="2C127276" w14:textId="77777777" w:rsidR="00584D11" w:rsidRDefault="00000000">
      <w:pPr>
        <w:pStyle w:val="Listparagraf"/>
        <w:numPr>
          <w:ilvl w:val="0"/>
          <w:numId w:val="1"/>
        </w:numPr>
        <w:tabs>
          <w:tab w:val="left" w:pos="851"/>
          <w:tab w:val="left" w:pos="1134"/>
        </w:tabs>
        <w:spacing w:after="0"/>
        <w:ind w:left="0" w:right="-1" w:firstLineChars="231" w:firstLine="647"/>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Anexa nr. 1 la hotărâre va avea următorul cuprins:</w:t>
      </w:r>
    </w:p>
    <w:p w14:paraId="3FB04206" w14:textId="77777777" w:rsidR="00584D11" w:rsidRDefault="00000000">
      <w:pPr>
        <w:pStyle w:val="Listparagraf"/>
        <w:tabs>
          <w:tab w:val="left" w:pos="851"/>
          <w:tab w:val="left" w:pos="1134"/>
        </w:tabs>
        <w:spacing w:after="0"/>
        <w:ind w:left="0" w:right="-1" w:firstLineChars="231" w:firstLine="647"/>
        <w:jc w:val="right"/>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„Anexa nr. 1 la Hotărârea Guvernului</w:t>
      </w:r>
    </w:p>
    <w:p w14:paraId="349CE48D" w14:textId="77777777" w:rsidR="00584D11" w:rsidRDefault="00000000">
      <w:pPr>
        <w:pStyle w:val="Listparagraf"/>
        <w:tabs>
          <w:tab w:val="left" w:pos="851"/>
          <w:tab w:val="left" w:pos="1134"/>
        </w:tabs>
        <w:spacing w:after="0"/>
        <w:ind w:left="0" w:right="-1" w:firstLineChars="231" w:firstLine="647"/>
        <w:jc w:val="right"/>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nr. 902 din 31 decembrie 2015</w:t>
      </w:r>
    </w:p>
    <w:p w14:paraId="727D6780" w14:textId="77777777" w:rsidR="00584D11" w:rsidRDefault="00584D11">
      <w:pPr>
        <w:pStyle w:val="Listparagraf"/>
        <w:tabs>
          <w:tab w:val="left" w:pos="851"/>
          <w:tab w:val="left" w:pos="1134"/>
        </w:tabs>
        <w:spacing w:after="0"/>
        <w:ind w:left="0" w:right="-1" w:firstLineChars="231" w:firstLine="647"/>
        <w:jc w:val="both"/>
        <w:rPr>
          <w:rFonts w:ascii="Times New Roman" w:eastAsia="Batang" w:hAnsi="Times New Roman" w:cs="Times New Roman"/>
          <w:sz w:val="28"/>
          <w:szCs w:val="28"/>
          <w:shd w:val="clear" w:color="auto" w:fill="FFFFFF"/>
          <w:lang w:eastAsia="ru-RU"/>
        </w:rPr>
      </w:pPr>
    </w:p>
    <w:p w14:paraId="74362DF3" w14:textId="77777777" w:rsidR="00584D11" w:rsidRDefault="00000000">
      <w:pPr>
        <w:pStyle w:val="Listparagraf"/>
        <w:tabs>
          <w:tab w:val="left" w:pos="851"/>
          <w:tab w:val="left" w:pos="1134"/>
        </w:tabs>
        <w:spacing w:after="0"/>
        <w:ind w:left="0" w:right="-1" w:firstLineChars="231" w:firstLine="647"/>
        <w:jc w:val="center"/>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COMPONENȚA</w:t>
      </w:r>
    </w:p>
    <w:p w14:paraId="1F553CAE" w14:textId="77777777" w:rsidR="00584D11" w:rsidRDefault="00000000">
      <w:pPr>
        <w:pStyle w:val="Listparagraf"/>
        <w:tabs>
          <w:tab w:val="left" w:pos="851"/>
          <w:tab w:val="left" w:pos="1134"/>
        </w:tabs>
        <w:spacing w:after="0"/>
        <w:ind w:left="0" w:right="-1" w:firstLineChars="231" w:firstLine="647"/>
        <w:jc w:val="center"/>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Consiliului Național pentru</w:t>
      </w:r>
    </w:p>
    <w:p w14:paraId="240596CF" w14:textId="77777777" w:rsidR="00584D11" w:rsidRDefault="00000000">
      <w:pPr>
        <w:pStyle w:val="Listparagraf"/>
        <w:tabs>
          <w:tab w:val="left" w:pos="851"/>
          <w:tab w:val="left" w:pos="1134"/>
        </w:tabs>
        <w:spacing w:after="0"/>
        <w:ind w:left="0" w:right="-1" w:firstLineChars="231" w:firstLine="647"/>
        <w:jc w:val="center"/>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Managementul Integrat al Frontierei de Stat</w:t>
      </w:r>
    </w:p>
    <w:p w14:paraId="05775480" w14:textId="77777777" w:rsidR="00584D11" w:rsidRDefault="00584D11">
      <w:pPr>
        <w:pStyle w:val="Listparagraf"/>
        <w:tabs>
          <w:tab w:val="left" w:pos="851"/>
          <w:tab w:val="left" w:pos="1134"/>
        </w:tabs>
        <w:spacing w:after="0"/>
        <w:ind w:left="0" w:right="-1" w:firstLineChars="231" w:firstLine="647"/>
        <w:jc w:val="both"/>
        <w:rPr>
          <w:rFonts w:ascii="Times New Roman" w:eastAsia="Batang" w:hAnsi="Times New Roman" w:cs="Times New Roman"/>
          <w:sz w:val="28"/>
          <w:szCs w:val="28"/>
          <w:shd w:val="clear" w:color="auto" w:fill="FFFFFF"/>
          <w:lang w:eastAsia="ru-RU"/>
        </w:rPr>
      </w:pPr>
    </w:p>
    <w:p w14:paraId="5DC4C3F9" w14:textId="2AB9B9E6" w:rsidR="00CC4002" w:rsidRPr="00CC4002" w:rsidRDefault="00000000" w:rsidP="001D5A33">
      <w:pPr>
        <w:tabs>
          <w:tab w:val="left" w:pos="851"/>
          <w:tab w:val="left" w:pos="1134"/>
        </w:tabs>
        <w:spacing w:after="0"/>
        <w:ind w:leftChars="299" w:left="658" w:right="-1" w:firstLineChars="17" w:firstLine="48"/>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eastAsia="ru-RU"/>
        </w:rPr>
        <w:t>Ministrul afacerilor interne, președinte al Consiliului</w:t>
      </w:r>
    </w:p>
    <w:p w14:paraId="2F07AC9E" w14:textId="74968941" w:rsidR="00584D11" w:rsidRDefault="00000000" w:rsidP="001D5A33">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eastAsia="ru-RU"/>
        </w:rPr>
        <w:t>Secretarul de stat al Ministerului Afacerilor Interne (responsabil de domeniul managementul integrat al frontierei de stat), vicepreședinte al Consiliului</w:t>
      </w:r>
    </w:p>
    <w:p w14:paraId="3F5E238F" w14:textId="03D8EA68" w:rsidR="0037450D" w:rsidRPr="0037450D" w:rsidRDefault="0037450D" w:rsidP="0037450D">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val="ro-MD" w:eastAsia="ru-RU"/>
        </w:rPr>
      </w:pPr>
      <w:proofErr w:type="spellStart"/>
      <w:r w:rsidRPr="00CC4002">
        <w:rPr>
          <w:rFonts w:ascii="Times New Roman" w:eastAsia="Batang" w:hAnsi="Times New Roman" w:cs="Times New Roman"/>
          <w:sz w:val="28"/>
          <w:szCs w:val="28"/>
          <w:shd w:val="clear" w:color="auto" w:fill="FFFFFF"/>
          <w:lang w:val="en-US" w:eastAsia="ru-RU"/>
        </w:rPr>
        <w:t>Secretarul</w:t>
      </w:r>
      <w:proofErr w:type="spellEnd"/>
      <w:r w:rsidRPr="00CC4002">
        <w:rPr>
          <w:rFonts w:ascii="Times New Roman" w:eastAsia="Batang" w:hAnsi="Times New Roman" w:cs="Times New Roman"/>
          <w:sz w:val="28"/>
          <w:szCs w:val="28"/>
          <w:shd w:val="clear" w:color="auto" w:fill="FFFFFF"/>
          <w:lang w:val="en-US" w:eastAsia="ru-RU"/>
        </w:rPr>
        <w:t xml:space="preserve"> de stat al </w:t>
      </w:r>
      <w:r w:rsidRPr="00CC4002">
        <w:rPr>
          <w:rFonts w:ascii="Times New Roman" w:eastAsia="Batang" w:hAnsi="Times New Roman" w:cs="Times New Roman"/>
          <w:sz w:val="28"/>
          <w:szCs w:val="28"/>
          <w:shd w:val="clear" w:color="auto" w:fill="FFFFFF"/>
          <w:lang w:eastAsia="ru-RU"/>
        </w:rPr>
        <w:t>Minist</w:t>
      </w:r>
      <w:proofErr w:type="spellStart"/>
      <w:r w:rsidRPr="00CC4002">
        <w:rPr>
          <w:rFonts w:ascii="Times New Roman" w:eastAsia="Batang" w:hAnsi="Times New Roman" w:cs="Times New Roman"/>
          <w:sz w:val="28"/>
          <w:szCs w:val="28"/>
          <w:shd w:val="clear" w:color="auto" w:fill="FFFFFF"/>
          <w:lang w:val="en-US" w:eastAsia="ru-RU"/>
        </w:rPr>
        <w:t>erului</w:t>
      </w:r>
      <w:proofErr w:type="spellEnd"/>
      <w:r w:rsidRPr="00CC4002">
        <w:rPr>
          <w:rFonts w:ascii="Times New Roman" w:eastAsia="Batang" w:hAnsi="Times New Roman" w:cs="Times New Roman"/>
          <w:sz w:val="28"/>
          <w:szCs w:val="28"/>
          <w:shd w:val="clear" w:color="auto" w:fill="FFFFFF"/>
          <w:lang w:val="en-US" w:eastAsia="ru-RU"/>
        </w:rPr>
        <w:t xml:space="preserve"> F</w:t>
      </w:r>
      <w:r w:rsidRPr="00CC4002">
        <w:rPr>
          <w:rFonts w:ascii="Times New Roman" w:eastAsia="Batang" w:hAnsi="Times New Roman" w:cs="Times New Roman"/>
          <w:sz w:val="28"/>
          <w:szCs w:val="28"/>
          <w:shd w:val="clear" w:color="auto" w:fill="FFFFFF"/>
          <w:lang w:eastAsia="ru-RU"/>
        </w:rPr>
        <w:t>inanțelor</w:t>
      </w:r>
      <w:r w:rsidRPr="00CC4002">
        <w:rPr>
          <w:rFonts w:ascii="Times New Roman" w:eastAsia="Batang" w:hAnsi="Times New Roman" w:cs="Times New Roman"/>
          <w:sz w:val="28"/>
          <w:szCs w:val="28"/>
          <w:shd w:val="clear" w:color="auto" w:fill="FFFFFF"/>
          <w:lang w:val="en-US" w:eastAsia="ru-RU"/>
        </w:rPr>
        <w:t xml:space="preserve"> (</w:t>
      </w:r>
      <w:proofErr w:type="spellStart"/>
      <w:r w:rsidRPr="00CC4002">
        <w:rPr>
          <w:rFonts w:ascii="Times New Roman" w:eastAsia="Batang" w:hAnsi="Times New Roman" w:cs="Times New Roman"/>
          <w:sz w:val="28"/>
          <w:szCs w:val="28"/>
          <w:shd w:val="clear" w:color="auto" w:fill="FFFFFF"/>
          <w:lang w:val="en-US" w:eastAsia="ru-RU"/>
        </w:rPr>
        <w:t>responsabil</w:t>
      </w:r>
      <w:proofErr w:type="spellEnd"/>
      <w:r w:rsidRPr="00CC4002">
        <w:rPr>
          <w:rFonts w:ascii="Times New Roman" w:eastAsia="Batang" w:hAnsi="Times New Roman" w:cs="Times New Roman"/>
          <w:sz w:val="28"/>
          <w:szCs w:val="28"/>
          <w:shd w:val="clear" w:color="auto" w:fill="FFFFFF"/>
          <w:lang w:val="en-US" w:eastAsia="ru-RU"/>
        </w:rPr>
        <w:t xml:space="preserve"> de </w:t>
      </w:r>
      <w:proofErr w:type="spellStart"/>
      <w:r w:rsidRPr="00CC4002">
        <w:rPr>
          <w:rFonts w:ascii="Times New Roman" w:eastAsia="Batang" w:hAnsi="Times New Roman" w:cs="Times New Roman"/>
          <w:sz w:val="28"/>
          <w:szCs w:val="28"/>
          <w:shd w:val="clear" w:color="auto" w:fill="FFFFFF"/>
          <w:lang w:val="en-US" w:eastAsia="ru-RU"/>
        </w:rPr>
        <w:t>domeniul</w:t>
      </w:r>
      <w:proofErr w:type="spellEnd"/>
      <w:r w:rsidRPr="00CC4002">
        <w:rPr>
          <w:rFonts w:ascii="Times New Roman" w:eastAsia="Batang" w:hAnsi="Times New Roman" w:cs="Times New Roman"/>
          <w:sz w:val="28"/>
          <w:szCs w:val="28"/>
          <w:shd w:val="clear" w:color="auto" w:fill="FFFFFF"/>
          <w:lang w:val="en-US" w:eastAsia="ru-RU"/>
        </w:rPr>
        <w:t xml:space="preserve"> </w:t>
      </w:r>
      <w:proofErr w:type="spellStart"/>
      <w:r w:rsidRPr="00CC4002">
        <w:rPr>
          <w:rFonts w:ascii="Times New Roman" w:eastAsia="Batang" w:hAnsi="Times New Roman" w:cs="Times New Roman"/>
          <w:sz w:val="28"/>
          <w:szCs w:val="28"/>
          <w:shd w:val="clear" w:color="auto" w:fill="FFFFFF"/>
          <w:lang w:val="en-US" w:eastAsia="ru-RU"/>
        </w:rPr>
        <w:t>finanțe</w:t>
      </w:r>
      <w:proofErr w:type="spellEnd"/>
      <w:r w:rsidRPr="00CC4002">
        <w:rPr>
          <w:rFonts w:ascii="Times New Roman" w:eastAsia="Batang" w:hAnsi="Times New Roman" w:cs="Times New Roman"/>
          <w:sz w:val="28"/>
          <w:szCs w:val="28"/>
          <w:shd w:val="clear" w:color="auto" w:fill="FFFFFF"/>
          <w:lang w:val="en-US" w:eastAsia="ru-RU"/>
        </w:rPr>
        <w:t xml:space="preserve"> </w:t>
      </w:r>
      <w:proofErr w:type="spellStart"/>
      <w:r w:rsidRPr="00CC4002">
        <w:rPr>
          <w:rFonts w:ascii="Times New Roman" w:eastAsia="Batang" w:hAnsi="Times New Roman" w:cs="Times New Roman"/>
          <w:sz w:val="28"/>
          <w:szCs w:val="28"/>
          <w:shd w:val="clear" w:color="auto" w:fill="FFFFFF"/>
          <w:lang w:val="en-US" w:eastAsia="ru-RU"/>
        </w:rPr>
        <w:t>publice</w:t>
      </w:r>
      <w:proofErr w:type="spellEnd"/>
      <w:r w:rsidRPr="00CC4002">
        <w:rPr>
          <w:rFonts w:ascii="Times New Roman" w:eastAsia="Batang" w:hAnsi="Times New Roman" w:cs="Times New Roman"/>
          <w:sz w:val="28"/>
          <w:szCs w:val="28"/>
          <w:shd w:val="clear" w:color="auto" w:fill="FFFFFF"/>
          <w:lang w:val="en-US" w:eastAsia="ru-RU"/>
        </w:rPr>
        <w:t>)</w:t>
      </w:r>
    </w:p>
    <w:p w14:paraId="49B862C3" w14:textId="4A10252A" w:rsidR="00584D11" w:rsidRDefault="00000000" w:rsidP="001D5A33">
      <w:pPr>
        <w:tabs>
          <w:tab w:val="left" w:pos="851"/>
          <w:tab w:val="left" w:pos="1134"/>
        </w:tabs>
        <w:spacing w:after="0"/>
        <w:ind w:leftChars="299" w:left="658" w:right="-1" w:firstLineChars="17" w:firstLine="4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general al Ministerului Afacerilor Externe</w:t>
      </w:r>
    </w:p>
    <w:p w14:paraId="56FB4F3D" w14:textId="0E7034E7" w:rsidR="00584D11" w:rsidRDefault="00000000" w:rsidP="00CC476C">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de stat al Ministerului Apărării (responsabil de domeniul politica de apărare)</w:t>
      </w:r>
    </w:p>
    <w:p w14:paraId="7AE0C47D" w14:textId="63626098" w:rsidR="00584D11" w:rsidRDefault="00000000" w:rsidP="00CC476C">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de stat al Ministerului Infrastructurii și Dezvoltării Regionale (responsabil de domeniul transport)</w:t>
      </w:r>
    </w:p>
    <w:p w14:paraId="6B152B23" w14:textId="75A49EEE" w:rsidR="00584D11" w:rsidRDefault="00000000" w:rsidP="00CC476C">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de stat al Ministerului Dezvoltării Economice și Digitalizării (responsabil de domeniul administrării proprietății publice)</w:t>
      </w:r>
    </w:p>
    <w:p w14:paraId="3D249C28" w14:textId="4771F9A9" w:rsidR="00584D11" w:rsidRDefault="00000000" w:rsidP="00CC476C">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de stat al Ministerului Agriculturii și Industriei Alimentare (responsabil de siguranța alimentelor)</w:t>
      </w:r>
    </w:p>
    <w:p w14:paraId="38E337CD" w14:textId="14FCB004" w:rsidR="00584D11" w:rsidRDefault="00000000" w:rsidP="00CC476C">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de stat al Ministerului Muncii și Protecției Sociale (responsabil de domeniul asistență socială)</w:t>
      </w:r>
    </w:p>
    <w:p w14:paraId="5195AE8E" w14:textId="1E2B4347" w:rsidR="00584D11" w:rsidRDefault="00000000" w:rsidP="00CC476C">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de stat al Ministerului Mediului (responsabil de domeniul protecția mediului)</w:t>
      </w:r>
    </w:p>
    <w:p w14:paraId="67B87589" w14:textId="15719126" w:rsidR="00584D11" w:rsidRDefault="00000000" w:rsidP="00CC476C">
      <w:pPr>
        <w:tabs>
          <w:tab w:val="left" w:pos="851"/>
          <w:tab w:val="left" w:pos="1134"/>
        </w:tabs>
        <w:spacing w:after="0"/>
        <w:ind w:right="-1" w:firstLineChars="252" w:firstLine="706"/>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Secretarul de stat al Ministerului Sănătății (responsabil de domeniul sănătate publică)</w:t>
      </w:r>
    </w:p>
    <w:p w14:paraId="59994A63" w14:textId="76D22496" w:rsidR="00584D11" w:rsidRDefault="00000000" w:rsidP="00CC476C">
      <w:pPr>
        <w:tabs>
          <w:tab w:val="left" w:pos="709"/>
          <w:tab w:val="left" w:pos="851"/>
          <w:tab w:val="left" w:pos="1134"/>
        </w:tabs>
        <w:spacing w:after="0"/>
        <w:ind w:right="-1" w:firstLineChars="253" w:firstLine="70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lastRenderedPageBreak/>
        <w:t>Șeful Inspectoratului General al Poliției de Frontieră al Ministerului Afacerilor Interne</w:t>
      </w:r>
    </w:p>
    <w:p w14:paraId="4C5C500F" w14:textId="67EF9537" w:rsidR="00584D11" w:rsidRDefault="00CC476C" w:rsidP="00CC476C">
      <w:p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 xml:space="preserve">Directorul Serviciului Vamal </w:t>
      </w:r>
    </w:p>
    <w:p w14:paraId="77C699B5" w14:textId="12F77A9D" w:rsidR="00584D11" w:rsidRDefault="00CC476C" w:rsidP="00CC476C">
      <w:p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Șeful Serviciului Consiliului Național de Securitate</w:t>
      </w:r>
    </w:p>
    <w:p w14:paraId="74108476" w14:textId="651ADA17" w:rsidR="00584D11" w:rsidRDefault="00CC476C" w:rsidP="00CC476C">
      <w:pPr>
        <w:tabs>
          <w:tab w:val="left" w:pos="660"/>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Directorul General al Centrului Național de Management al Crizelor</w:t>
      </w:r>
    </w:p>
    <w:p w14:paraId="3EC06710" w14:textId="36C97945" w:rsidR="00584D11" w:rsidRDefault="00CC476C" w:rsidP="00CC476C">
      <w:p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Directorul adjunct al Serviciului de Informații și Securitate</w:t>
      </w:r>
    </w:p>
    <w:p w14:paraId="59F25F32" w14:textId="43F2ED1F" w:rsidR="00584D11" w:rsidRDefault="005A753B" w:rsidP="005A753B">
      <w:pPr>
        <w:tabs>
          <w:tab w:val="left" w:pos="851"/>
          <w:tab w:val="left" w:pos="1134"/>
        </w:tabs>
        <w:spacing w:after="0"/>
        <w:ind w:leftChars="299" w:left="658"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Șeful Inspectoratului General al Poliției al Ministerului Afacerilor Interne</w:t>
      </w:r>
    </w:p>
    <w:p w14:paraId="6A6B9EF1" w14:textId="0FB2E6D8" w:rsidR="00584D11" w:rsidRDefault="005A753B" w:rsidP="005A753B">
      <w:pPr>
        <w:tabs>
          <w:tab w:val="left" w:pos="851"/>
          <w:tab w:val="left" w:pos="1134"/>
        </w:tabs>
        <w:spacing w:after="0"/>
        <w:ind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Șeful Inspectoratului General pentru Situații de Urgență al Ministerului Afacerilor Interne</w:t>
      </w:r>
    </w:p>
    <w:p w14:paraId="28A8697B" w14:textId="0A9B6D22" w:rsidR="00584D11" w:rsidRDefault="005A753B" w:rsidP="005A753B">
      <w:pPr>
        <w:tabs>
          <w:tab w:val="left" w:pos="851"/>
          <w:tab w:val="left" w:pos="1134"/>
        </w:tabs>
        <w:spacing w:after="0"/>
        <w:ind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Șeful Inspectoratului General pentru Migrație al Ministerului Afacerilor Interne</w:t>
      </w:r>
    </w:p>
    <w:p w14:paraId="68291B4E" w14:textId="58AD7A98" w:rsidR="00584D11" w:rsidRDefault="005A753B" w:rsidP="005A753B">
      <w:pPr>
        <w:tabs>
          <w:tab w:val="left" w:pos="851"/>
          <w:tab w:val="left" w:pos="1134"/>
        </w:tabs>
        <w:spacing w:after="0"/>
        <w:ind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 xml:space="preserve">Directorul Serviciului Tehnologii </w:t>
      </w:r>
      <w:r w:rsidR="000E38A2">
        <w:rPr>
          <w:rFonts w:ascii="Times New Roman" w:eastAsia="Batang" w:hAnsi="Times New Roman" w:cs="Times New Roman"/>
          <w:sz w:val="28"/>
          <w:szCs w:val="28"/>
          <w:shd w:val="clear" w:color="auto" w:fill="FFFFFF"/>
          <w:lang w:eastAsia="ru-RU"/>
        </w:rPr>
        <w:t xml:space="preserve">Informaționale </w:t>
      </w:r>
      <w:r>
        <w:rPr>
          <w:rFonts w:ascii="Times New Roman" w:eastAsia="Batang" w:hAnsi="Times New Roman" w:cs="Times New Roman"/>
          <w:sz w:val="28"/>
          <w:szCs w:val="28"/>
          <w:shd w:val="clear" w:color="auto" w:fill="FFFFFF"/>
          <w:lang w:eastAsia="ru-RU"/>
        </w:rPr>
        <w:t>al Ministerului Afacerilor Interne</w:t>
      </w:r>
    </w:p>
    <w:p w14:paraId="0AC109C1" w14:textId="3A504ACE" w:rsidR="00584D11" w:rsidRDefault="005A753B" w:rsidP="008B69F4">
      <w:pPr>
        <w:tabs>
          <w:tab w:val="left" w:pos="851"/>
          <w:tab w:val="left" w:pos="1134"/>
        </w:tabs>
        <w:spacing w:after="0"/>
        <w:ind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Directorul I</w:t>
      </w:r>
      <w:proofErr w:type="spellStart"/>
      <w:r w:rsidR="00E73455">
        <w:rPr>
          <w:rFonts w:ascii="Times New Roman" w:eastAsia="Batang" w:hAnsi="Times New Roman" w:cs="Times New Roman"/>
          <w:sz w:val="28"/>
          <w:szCs w:val="28"/>
          <w:shd w:val="clear" w:color="auto" w:fill="FFFFFF"/>
          <w:lang w:val="ro-MD" w:eastAsia="ru-RU"/>
        </w:rPr>
        <w:t>nstituției</w:t>
      </w:r>
      <w:proofErr w:type="spellEnd"/>
      <w:r w:rsidR="00037821">
        <w:rPr>
          <w:rFonts w:ascii="Times New Roman" w:eastAsia="Batang" w:hAnsi="Times New Roman" w:cs="Times New Roman"/>
          <w:sz w:val="28"/>
          <w:szCs w:val="28"/>
          <w:shd w:val="clear" w:color="auto" w:fill="FFFFFF"/>
          <w:lang w:val="ro-MD" w:eastAsia="ru-RU"/>
        </w:rPr>
        <w:t xml:space="preserve"> publice</w:t>
      </w:r>
      <w:r>
        <w:rPr>
          <w:rFonts w:ascii="Times New Roman" w:eastAsia="Batang" w:hAnsi="Times New Roman" w:cs="Times New Roman"/>
          <w:sz w:val="28"/>
          <w:szCs w:val="28"/>
          <w:shd w:val="clear" w:color="auto" w:fill="FFFFFF"/>
          <w:lang w:eastAsia="ru-RU"/>
        </w:rPr>
        <w:t xml:space="preserve"> Serviciul Tehnologii Informaționale și Securitate Cibernetică</w:t>
      </w:r>
    </w:p>
    <w:p w14:paraId="2E3075EE" w14:textId="56E414B2" w:rsidR="00584D11" w:rsidRDefault="005A753B" w:rsidP="005A753B">
      <w:p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Directorul General al Agenției Naționale pentru Siguranța Alimentelor</w:t>
      </w:r>
    </w:p>
    <w:p w14:paraId="00D4D9A7" w14:textId="7A97A573" w:rsidR="00584D11" w:rsidRDefault="005A753B" w:rsidP="005A753B">
      <w:p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Directorul Instituției Publice Agenția Servicii Publice</w:t>
      </w:r>
    </w:p>
    <w:p w14:paraId="6F640CA7" w14:textId="38F77C2B" w:rsidR="00584D11" w:rsidRDefault="005A753B" w:rsidP="005A753B">
      <w:p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Directorul Agenției Naționale pentru Sănătate Publică</w:t>
      </w:r>
    </w:p>
    <w:p w14:paraId="708CDB04" w14:textId="3B8AE7B3" w:rsidR="00584D11" w:rsidRDefault="005A753B" w:rsidP="00037821">
      <w:pPr>
        <w:tabs>
          <w:tab w:val="left" w:pos="709"/>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MD" w:eastAsia="ru-RU"/>
        </w:rPr>
        <w:t xml:space="preserve">          </w:t>
      </w:r>
      <w:r w:rsidR="00293291">
        <w:rPr>
          <w:rFonts w:ascii="Times New Roman" w:eastAsia="Batang" w:hAnsi="Times New Roman" w:cs="Times New Roman"/>
          <w:sz w:val="28"/>
          <w:szCs w:val="28"/>
          <w:shd w:val="clear" w:color="auto" w:fill="FFFFFF"/>
          <w:lang w:eastAsia="ru-RU"/>
        </w:rPr>
        <w:t>Șeful Biroului politici de reintegrare al Cancelariei de Stat”.</w:t>
      </w:r>
    </w:p>
    <w:p w14:paraId="596C3EEE" w14:textId="77777777" w:rsidR="00584D11" w:rsidRDefault="00584D11" w:rsidP="00CC476C">
      <w:pPr>
        <w:tabs>
          <w:tab w:val="left" w:pos="851"/>
          <w:tab w:val="left" w:pos="1134"/>
        </w:tabs>
        <w:spacing w:after="0"/>
        <w:ind w:right="-1" w:firstLineChars="253" w:firstLine="708"/>
        <w:jc w:val="both"/>
        <w:rPr>
          <w:rFonts w:ascii="Times New Roman" w:eastAsia="Batang" w:hAnsi="Times New Roman" w:cs="Times New Roman"/>
          <w:sz w:val="28"/>
          <w:szCs w:val="28"/>
          <w:shd w:val="clear" w:color="auto" w:fill="FFFFFF"/>
          <w:lang w:eastAsia="ru-RU"/>
        </w:rPr>
      </w:pPr>
    </w:p>
    <w:p w14:paraId="3DDB4F5C" w14:textId="77777777" w:rsidR="00584D11" w:rsidRDefault="00000000">
      <w:pPr>
        <w:pStyle w:val="Listparagraf"/>
        <w:numPr>
          <w:ilvl w:val="0"/>
          <w:numId w:val="1"/>
        </w:numPr>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Anexa nr. 2 la hotărâre se modifică după cum urmează:</w:t>
      </w:r>
    </w:p>
    <w:p w14:paraId="2DBEC67E" w14:textId="77777777" w:rsidR="00584D11" w:rsidRDefault="00000000">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3.1</w:t>
      </w:r>
      <w:r>
        <w:rPr>
          <w:rFonts w:ascii="Times New Roman" w:eastAsia="Batang" w:hAnsi="Times New Roman" w:cs="Times New Roman"/>
          <w:sz w:val="28"/>
          <w:szCs w:val="28"/>
          <w:shd w:val="clear" w:color="auto" w:fill="FFFFFF"/>
          <w:lang w:eastAsia="ru-RU"/>
        </w:rPr>
        <w:t xml:space="preserve"> La pct. 5:</w:t>
      </w:r>
    </w:p>
    <w:p w14:paraId="5412C498" w14:textId="77777777" w:rsidR="00584D11" w:rsidRDefault="00000000">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3.1.1 la subpunctul 1) și în tot cuprinsul anexei cuvintele „Strategiei naționale” se substituie cu cuvintele „Programul național” la orice formă gramaticală;</w:t>
      </w:r>
    </w:p>
    <w:p w14:paraId="26D48133" w14:textId="77777777" w:rsidR="00584D11" w:rsidRDefault="00000000">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3.1.2 subpunctul 2) se completează cu cuvintele „</w:t>
      </w:r>
      <w:r>
        <w:rPr>
          <w:rFonts w:ascii="Times New Roman" w:hAnsi="Times New Roman" w:cs="Times New Roman"/>
          <w:sz w:val="28"/>
          <w:szCs w:val="28"/>
        </w:rPr>
        <w:t>precum</w:t>
      </w:r>
      <w:r>
        <w:t xml:space="preserve"> </w:t>
      </w:r>
      <w:r>
        <w:rPr>
          <w:rFonts w:ascii="Times New Roman" w:hAnsi="Times New Roman" w:cs="Times New Roman"/>
          <w:sz w:val="28"/>
          <w:szCs w:val="28"/>
        </w:rPr>
        <w:t xml:space="preserve">și respectarea </w:t>
      </w:r>
      <w:r>
        <w:rPr>
          <w:rFonts w:ascii="Times New Roman" w:eastAsia="Batang" w:hAnsi="Times New Roman" w:cs="Times New Roman"/>
          <w:sz w:val="28"/>
          <w:szCs w:val="28"/>
          <w:shd w:val="clear" w:color="auto" w:fill="FFFFFF"/>
          <w:lang w:eastAsia="ru-RU"/>
        </w:rPr>
        <w:t>obligațiilor şi angajamentelor Republicii Moldova prevăzute în convențiile internaționale în domeniu”;</w:t>
      </w:r>
    </w:p>
    <w:p w14:paraId="46A19495" w14:textId="77777777" w:rsidR="00584D11" w:rsidRDefault="00000000">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en-US" w:eastAsia="ru-RU"/>
        </w:rPr>
        <w:t xml:space="preserve">3.1.3 </w:t>
      </w:r>
      <w:r>
        <w:rPr>
          <w:rFonts w:ascii="Times New Roman" w:eastAsia="Batang" w:hAnsi="Times New Roman" w:cs="Times New Roman"/>
          <w:sz w:val="28"/>
          <w:szCs w:val="28"/>
          <w:shd w:val="clear" w:color="auto" w:fill="FFFFFF"/>
          <w:lang w:eastAsia="ru-RU"/>
        </w:rPr>
        <w:t>la subpunctul 4) după cuvintele „aprobă conceptul şi obiectivele Strategiei naţionale de management integrat al frontierei de stat” se completează cu cuvintele „precum și programul național anual de evaluare a managementului integrat al frontierei de stat și pregătirii pentru verificarea îndeplinirii condițiilor necesare pentru aplicarea acquis-ului Schengen”;</w:t>
      </w:r>
    </w:p>
    <w:p w14:paraId="398DE23E" w14:textId="77777777" w:rsidR="000E6385" w:rsidRDefault="00000000">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val="en-US" w:eastAsia="ru-RU"/>
        </w:rPr>
        <w:t>3.1.4 l</w:t>
      </w:r>
      <w:r>
        <w:rPr>
          <w:rFonts w:ascii="Times New Roman" w:eastAsia="Batang" w:hAnsi="Times New Roman" w:cs="Times New Roman"/>
          <w:sz w:val="28"/>
          <w:szCs w:val="28"/>
          <w:shd w:val="clear" w:color="auto" w:fill="FFFFFF"/>
          <w:lang w:eastAsia="ru-RU"/>
        </w:rPr>
        <w:t>a subpunctul 5)</w:t>
      </w:r>
      <w:r w:rsidR="000E6385">
        <w:rPr>
          <w:rFonts w:ascii="Times New Roman" w:eastAsia="Batang" w:hAnsi="Times New Roman" w:cs="Times New Roman"/>
          <w:sz w:val="28"/>
          <w:szCs w:val="28"/>
          <w:shd w:val="clear" w:color="auto" w:fill="FFFFFF"/>
          <w:lang w:val="ro-MD" w:eastAsia="ru-RU"/>
        </w:rPr>
        <w:t>:</w:t>
      </w:r>
    </w:p>
    <w:p w14:paraId="4154B357" w14:textId="77777777" w:rsidR="000E6385" w:rsidRDefault="000E6385">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val="ro-MD" w:eastAsia="ru-RU"/>
        </w:rPr>
        <w:t>3.1.4.1</w:t>
      </w:r>
      <w:r>
        <w:rPr>
          <w:rFonts w:ascii="Times New Roman" w:eastAsia="Batang" w:hAnsi="Times New Roman" w:cs="Times New Roman"/>
          <w:sz w:val="28"/>
          <w:szCs w:val="28"/>
          <w:shd w:val="clear" w:color="auto" w:fill="FFFFFF"/>
          <w:lang w:eastAsia="ru-RU"/>
        </w:rPr>
        <w:t xml:space="preserve"> după cuvintele „adoptă decizii în vederea asigurării coerenţei” se completează cu cuvintele „și controlului calității”; </w:t>
      </w:r>
    </w:p>
    <w:p w14:paraId="136F0E2C" w14:textId="7B8A5DA1" w:rsidR="00584D11" w:rsidRPr="00293291" w:rsidRDefault="000E6385">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val="ro-MD" w:eastAsia="ru-RU"/>
        </w:rPr>
        <w:t xml:space="preserve">3.1.4.2  </w:t>
      </w:r>
      <w:r>
        <w:rPr>
          <w:rFonts w:ascii="Times New Roman" w:eastAsia="Batang" w:hAnsi="Times New Roman" w:cs="Times New Roman"/>
          <w:sz w:val="28"/>
          <w:szCs w:val="28"/>
          <w:shd w:val="clear" w:color="auto" w:fill="FFFFFF"/>
          <w:lang w:eastAsia="ru-RU"/>
        </w:rPr>
        <w:t>după cuvintele „în procesul de elaborare şi implementare de politici în domeniul managementului integrat al frontierei de stat” se completează cu cuvintele „și pregătirii pentru verificarea îndeplinirii condițiilor necesare pentru aplicarea acquis-ului Schengen”</w:t>
      </w:r>
      <w:r w:rsidR="00293291">
        <w:rPr>
          <w:rFonts w:ascii="Times New Roman" w:eastAsia="Batang" w:hAnsi="Times New Roman" w:cs="Times New Roman"/>
          <w:sz w:val="28"/>
          <w:szCs w:val="28"/>
          <w:shd w:val="clear" w:color="auto" w:fill="FFFFFF"/>
          <w:lang w:val="ro-MD" w:eastAsia="ru-RU"/>
        </w:rPr>
        <w:t>;</w:t>
      </w:r>
    </w:p>
    <w:p w14:paraId="13E00FF4" w14:textId="3C7BAC28" w:rsidR="00584D11" w:rsidRPr="0067122F" w:rsidRDefault="00000000" w:rsidP="0067122F">
      <w:pPr>
        <w:pStyle w:val="Listparagraf"/>
        <w:tabs>
          <w:tab w:val="left" w:pos="1134"/>
        </w:tabs>
        <w:spacing w:after="0"/>
        <w:ind w:left="-3" w:right="-1" w:firstLineChars="236" w:firstLine="661"/>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eastAsia="ru-RU"/>
        </w:rPr>
        <w:lastRenderedPageBreak/>
        <w:t>3.1.5 la subpunctul 6) după cuvintele „cu normele” se completează cu cuvintele „juridice europene”;</w:t>
      </w:r>
      <w:r w:rsidRPr="0067122F">
        <w:rPr>
          <w:rFonts w:ascii="Times New Roman" w:eastAsia="Batang" w:hAnsi="Times New Roman" w:cs="Times New Roman"/>
          <w:sz w:val="28"/>
          <w:szCs w:val="28"/>
          <w:shd w:val="clear" w:color="auto" w:fill="FFFFFF"/>
          <w:lang w:eastAsia="ru-RU"/>
        </w:rPr>
        <w:t xml:space="preserve">  </w:t>
      </w:r>
    </w:p>
    <w:p w14:paraId="0B11DD1D" w14:textId="5A7E84AD"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3.</w:t>
      </w:r>
      <w:r w:rsidR="0067122F">
        <w:rPr>
          <w:rFonts w:ascii="Times New Roman" w:eastAsia="Batang" w:hAnsi="Times New Roman" w:cs="Times New Roman"/>
          <w:b/>
          <w:bCs/>
          <w:sz w:val="28"/>
          <w:szCs w:val="28"/>
          <w:shd w:val="clear" w:color="auto" w:fill="FFFFFF"/>
          <w:lang w:val="ro-MD" w:eastAsia="ru-RU"/>
        </w:rPr>
        <w:t>2</w:t>
      </w:r>
      <w:r>
        <w:rPr>
          <w:rFonts w:ascii="Times New Roman" w:eastAsia="Batang" w:hAnsi="Times New Roman" w:cs="Times New Roman"/>
          <w:sz w:val="28"/>
          <w:szCs w:val="28"/>
          <w:shd w:val="clear" w:color="auto" w:fill="FFFFFF"/>
          <w:lang w:eastAsia="ru-RU"/>
        </w:rPr>
        <w:t xml:space="preserve"> </w:t>
      </w:r>
      <w:r w:rsidR="00463A4B">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La pct. 8:</w:t>
      </w:r>
    </w:p>
    <w:p w14:paraId="76CCD31C" w14:textId="2C702C55"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sidR="0067122F">
        <w:rPr>
          <w:rFonts w:ascii="Times New Roman" w:eastAsia="Batang" w:hAnsi="Times New Roman" w:cs="Times New Roman"/>
          <w:sz w:val="28"/>
          <w:szCs w:val="28"/>
          <w:shd w:val="clear" w:color="auto" w:fill="FFFFFF"/>
          <w:lang w:val="ro-MD" w:eastAsia="ru-RU"/>
        </w:rPr>
        <w:t>2</w:t>
      </w:r>
      <w:r>
        <w:rPr>
          <w:rFonts w:ascii="Times New Roman" w:eastAsia="Batang" w:hAnsi="Times New Roman" w:cs="Times New Roman"/>
          <w:sz w:val="28"/>
          <w:szCs w:val="28"/>
          <w:shd w:val="clear" w:color="auto" w:fill="FFFFFF"/>
          <w:lang w:eastAsia="ru-RU"/>
        </w:rPr>
        <w:t xml:space="preserve">.1 cuvintele „Direcției politici în domeniul managementului integrat al frontierei de stat” se substituie cu cuvintele „subdiviziunii </w:t>
      </w:r>
      <w:r w:rsidR="00B94616">
        <w:rPr>
          <w:rFonts w:ascii="Times New Roman" w:eastAsia="Batang" w:hAnsi="Times New Roman" w:cs="Times New Roman"/>
          <w:sz w:val="28"/>
          <w:szCs w:val="28"/>
          <w:shd w:val="clear" w:color="auto" w:fill="FFFFFF"/>
          <w:lang w:val="ro-MD" w:eastAsia="ru-RU"/>
        </w:rPr>
        <w:t>interne</w:t>
      </w:r>
      <w:r>
        <w:rPr>
          <w:rFonts w:ascii="Times New Roman" w:eastAsia="Batang" w:hAnsi="Times New Roman" w:cs="Times New Roman"/>
          <w:sz w:val="28"/>
          <w:szCs w:val="28"/>
          <w:shd w:val="clear" w:color="auto" w:fill="FFFFFF"/>
          <w:lang w:eastAsia="ru-RU"/>
        </w:rPr>
        <w:t xml:space="preserve"> responsabile de domeniul managementului integrat al frontierei de stat din cadrul aparatului central al Ministerului Afacerilor Interne”;</w:t>
      </w:r>
    </w:p>
    <w:p w14:paraId="5FE5EC9C" w14:textId="1D589665"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sidR="007F42B6">
        <w:rPr>
          <w:rFonts w:ascii="Times New Roman" w:eastAsia="Batang" w:hAnsi="Times New Roman" w:cs="Times New Roman"/>
          <w:sz w:val="28"/>
          <w:szCs w:val="28"/>
          <w:shd w:val="clear" w:color="auto" w:fill="FFFFFF"/>
          <w:lang w:val="ro-MD" w:eastAsia="ru-RU"/>
        </w:rPr>
        <w:t>2</w:t>
      </w:r>
      <w:r>
        <w:rPr>
          <w:rFonts w:ascii="Times New Roman" w:eastAsia="Batang" w:hAnsi="Times New Roman" w:cs="Times New Roman"/>
          <w:sz w:val="28"/>
          <w:szCs w:val="28"/>
          <w:shd w:val="clear" w:color="auto" w:fill="FFFFFF"/>
          <w:lang w:eastAsia="ru-RU"/>
        </w:rPr>
        <w:t xml:space="preserve">.2 subpunctul 2) va avea următorul cuprins: </w:t>
      </w:r>
    </w:p>
    <w:p w14:paraId="1F340A5E" w14:textId="77777777"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„2) informează despre data planificată, distribuie agenda preliminară și materialele aferente pentru pregătirea ședințelor Consiliului autorităților din sistemul managementului integrat al frontierei de stat, precum și invitaților, cu 30 zile înainte de data preconizată pentru coordonarea agendei și/sau confirmarea prezenței la ședință”;</w:t>
      </w:r>
    </w:p>
    <w:p w14:paraId="5D6956C0" w14:textId="74FFDC18" w:rsidR="00584D11" w:rsidRPr="00742C0F"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eastAsia="ru-RU"/>
        </w:rPr>
        <w:t>3.</w:t>
      </w:r>
      <w:r w:rsidR="007F42B6">
        <w:rPr>
          <w:rFonts w:ascii="Times New Roman" w:eastAsia="Batang" w:hAnsi="Times New Roman" w:cs="Times New Roman"/>
          <w:sz w:val="28"/>
          <w:szCs w:val="28"/>
          <w:shd w:val="clear" w:color="auto" w:fill="FFFFFF"/>
          <w:lang w:val="ro-MD" w:eastAsia="ru-RU"/>
        </w:rPr>
        <w:t>2</w:t>
      </w:r>
      <w:r>
        <w:rPr>
          <w:rFonts w:ascii="Times New Roman" w:eastAsia="Batang" w:hAnsi="Times New Roman" w:cs="Times New Roman"/>
          <w:sz w:val="28"/>
          <w:szCs w:val="28"/>
          <w:shd w:val="clear" w:color="auto" w:fill="FFFFFF"/>
          <w:lang w:eastAsia="ru-RU"/>
        </w:rPr>
        <w:t>.3 la subpunctul 6) după cuvintele „planifică şi coordonează evaluările privind modalităţile de aplicare a măsurilor stabilite în cadrul Strategiei naţionale de management integrat al frontierei de stat” se completează cu cuvintele „precum și cele prevăzute în programul anual de evaluare aprobat de Consiliu”</w:t>
      </w:r>
      <w:r w:rsidR="00742C0F">
        <w:rPr>
          <w:rFonts w:ascii="Times New Roman" w:eastAsia="Batang" w:hAnsi="Times New Roman" w:cs="Times New Roman"/>
          <w:sz w:val="28"/>
          <w:szCs w:val="28"/>
          <w:shd w:val="clear" w:color="auto" w:fill="FFFFFF"/>
          <w:lang w:val="ro-MD" w:eastAsia="ru-RU"/>
        </w:rPr>
        <w:t>;</w:t>
      </w:r>
    </w:p>
    <w:p w14:paraId="6B745B21" w14:textId="4DB81C3D"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en-US" w:eastAsia="ru-RU"/>
        </w:rPr>
        <w:t>3.</w:t>
      </w:r>
      <w:r w:rsidR="007F42B6">
        <w:rPr>
          <w:rFonts w:ascii="Times New Roman" w:eastAsia="Batang" w:hAnsi="Times New Roman" w:cs="Times New Roman"/>
          <w:sz w:val="28"/>
          <w:szCs w:val="28"/>
          <w:shd w:val="clear" w:color="auto" w:fill="FFFFFF"/>
          <w:lang w:val="en-US" w:eastAsia="ru-RU"/>
        </w:rPr>
        <w:t>2</w:t>
      </w:r>
      <w:r>
        <w:rPr>
          <w:rFonts w:ascii="Times New Roman" w:eastAsia="Batang" w:hAnsi="Times New Roman" w:cs="Times New Roman"/>
          <w:sz w:val="28"/>
          <w:szCs w:val="28"/>
          <w:shd w:val="clear" w:color="auto" w:fill="FFFFFF"/>
          <w:lang w:val="en-US" w:eastAsia="ru-RU"/>
        </w:rPr>
        <w:t xml:space="preserve">.4 </w:t>
      </w:r>
      <w:r>
        <w:rPr>
          <w:rFonts w:ascii="Times New Roman" w:eastAsia="Batang" w:hAnsi="Times New Roman" w:cs="Times New Roman"/>
          <w:sz w:val="28"/>
          <w:szCs w:val="28"/>
          <w:shd w:val="clear" w:color="auto" w:fill="FFFFFF"/>
          <w:lang w:eastAsia="ru-RU"/>
        </w:rPr>
        <w:t xml:space="preserve">se completează cu subpunctul 9) cu următorul conținut: </w:t>
      </w:r>
    </w:p>
    <w:p w14:paraId="362E29F7" w14:textId="493A105E"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„9) exercită atribuțiile din mecanismul</w:t>
      </w:r>
      <w:r w:rsidR="009D4791" w:rsidRPr="009D4791">
        <w:rPr>
          <w:rFonts w:ascii="Times New Roman" w:eastAsia="Batang" w:hAnsi="Times New Roman" w:cs="Times New Roman"/>
          <w:sz w:val="28"/>
          <w:szCs w:val="28"/>
          <w:shd w:val="clear" w:color="auto" w:fill="FFFFFF"/>
          <w:lang w:val="ro-MD" w:eastAsia="ru-RU"/>
        </w:rPr>
        <w:t xml:space="preserve"> național de control al calit</w:t>
      </w:r>
      <w:r w:rsidR="009D4791">
        <w:rPr>
          <w:rFonts w:ascii="Times New Roman" w:eastAsia="Batang" w:hAnsi="Times New Roman" w:cs="Times New Roman"/>
          <w:sz w:val="28"/>
          <w:szCs w:val="28"/>
          <w:shd w:val="clear" w:color="auto" w:fill="FFFFFF"/>
          <w:lang w:val="ro-MD" w:eastAsia="ru-RU"/>
        </w:rPr>
        <w:t>ă</w:t>
      </w:r>
      <w:r w:rsidR="009D4791" w:rsidRPr="009D4791">
        <w:rPr>
          <w:rFonts w:ascii="Times New Roman" w:eastAsia="Batang" w:hAnsi="Times New Roman" w:cs="Times New Roman"/>
          <w:sz w:val="28"/>
          <w:szCs w:val="28"/>
          <w:shd w:val="clear" w:color="auto" w:fill="FFFFFF"/>
          <w:lang w:val="ro-MD" w:eastAsia="ru-RU"/>
        </w:rPr>
        <w:t>ții managementului integrat al frontierei de stat și pregătirii pentru verificarea îndeplinirii condițiilor necesare pentru aplicarea acquis-ului Schengen</w:t>
      </w:r>
      <w:r>
        <w:rPr>
          <w:rFonts w:ascii="Times New Roman" w:eastAsia="Batang" w:hAnsi="Times New Roman" w:cs="Times New Roman"/>
          <w:sz w:val="28"/>
          <w:szCs w:val="28"/>
          <w:shd w:val="clear" w:color="auto" w:fill="FFFFFF"/>
          <w:lang w:eastAsia="ru-RU"/>
        </w:rPr>
        <w:t xml:space="preserve"> conform prevederilor din Anexa nr. 3”;</w:t>
      </w:r>
    </w:p>
    <w:p w14:paraId="2B11E897" w14:textId="0CDB2975"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3.</w:t>
      </w:r>
      <w:r w:rsidR="007F42B6">
        <w:rPr>
          <w:rFonts w:ascii="Times New Roman" w:eastAsia="Batang" w:hAnsi="Times New Roman" w:cs="Times New Roman"/>
          <w:b/>
          <w:bCs/>
          <w:sz w:val="28"/>
          <w:szCs w:val="28"/>
          <w:shd w:val="clear" w:color="auto" w:fill="FFFFFF"/>
          <w:lang w:val="ro-MD" w:eastAsia="ru-RU"/>
        </w:rPr>
        <w:t>3</w:t>
      </w:r>
      <w:r>
        <w:rPr>
          <w:rFonts w:ascii="Times New Roman" w:eastAsia="Batang" w:hAnsi="Times New Roman" w:cs="Times New Roman"/>
          <w:sz w:val="28"/>
          <w:szCs w:val="28"/>
          <w:shd w:val="clear" w:color="auto" w:fill="FFFFFF"/>
          <w:lang w:eastAsia="ru-RU"/>
        </w:rPr>
        <w:t xml:space="preserve"> la pct. 13 cuvântul „anual” se substituie cu cuvântul „semestrial;</w:t>
      </w:r>
    </w:p>
    <w:p w14:paraId="292E9A54" w14:textId="712ACD9E" w:rsidR="00C431A2"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b/>
          <w:bCs/>
          <w:sz w:val="28"/>
          <w:szCs w:val="28"/>
          <w:shd w:val="clear" w:color="auto" w:fill="FFFFFF"/>
          <w:lang w:eastAsia="ru-RU"/>
        </w:rPr>
        <w:t>3.</w:t>
      </w:r>
      <w:r w:rsidR="007F42B6">
        <w:rPr>
          <w:rFonts w:ascii="Times New Roman" w:eastAsia="Batang" w:hAnsi="Times New Roman" w:cs="Times New Roman"/>
          <w:b/>
          <w:bCs/>
          <w:sz w:val="28"/>
          <w:szCs w:val="28"/>
          <w:shd w:val="clear" w:color="auto" w:fill="FFFFFF"/>
          <w:lang w:val="ro-MD" w:eastAsia="ru-RU"/>
        </w:rPr>
        <w:t>4</w:t>
      </w:r>
      <w:r>
        <w:rPr>
          <w:rFonts w:ascii="Times New Roman" w:eastAsia="Batang" w:hAnsi="Times New Roman" w:cs="Times New Roman"/>
          <w:b/>
          <w:bCs/>
          <w:sz w:val="28"/>
          <w:szCs w:val="28"/>
          <w:shd w:val="clear" w:color="auto" w:fill="FFFFFF"/>
          <w:lang w:eastAsia="ru-RU"/>
        </w:rPr>
        <w:t xml:space="preserve"> </w:t>
      </w:r>
      <w:r>
        <w:rPr>
          <w:rFonts w:ascii="Times New Roman" w:eastAsia="Batang" w:hAnsi="Times New Roman" w:cs="Times New Roman"/>
          <w:sz w:val="28"/>
          <w:szCs w:val="28"/>
          <w:shd w:val="clear" w:color="auto" w:fill="FFFFFF"/>
          <w:lang w:eastAsia="ru-RU"/>
        </w:rPr>
        <w:t>la pct. 17</w:t>
      </w:r>
      <w:r w:rsidR="00C431A2">
        <w:rPr>
          <w:rFonts w:ascii="Times New Roman" w:eastAsia="Batang" w:hAnsi="Times New Roman" w:cs="Times New Roman"/>
          <w:sz w:val="28"/>
          <w:szCs w:val="28"/>
          <w:shd w:val="clear" w:color="auto" w:fill="FFFFFF"/>
          <w:lang w:val="ro-MD" w:eastAsia="ru-RU"/>
        </w:rPr>
        <w:t>:</w:t>
      </w:r>
    </w:p>
    <w:p w14:paraId="6C62CEDC" w14:textId="4F7A6476" w:rsidR="00C431A2" w:rsidRPr="007F42B6" w:rsidRDefault="00C431A2" w:rsidP="007F42B6">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val="ro-MD" w:eastAsia="ru-RU"/>
        </w:rPr>
        <w:t>3.</w:t>
      </w:r>
      <w:r w:rsidR="007F42B6">
        <w:rPr>
          <w:rFonts w:ascii="Times New Roman" w:eastAsia="Batang" w:hAnsi="Times New Roman" w:cs="Times New Roman"/>
          <w:sz w:val="28"/>
          <w:szCs w:val="28"/>
          <w:shd w:val="clear" w:color="auto" w:fill="FFFFFF"/>
          <w:lang w:val="ro-MD" w:eastAsia="ru-RU"/>
        </w:rPr>
        <w:t>4</w:t>
      </w:r>
      <w:r>
        <w:rPr>
          <w:rFonts w:ascii="Times New Roman" w:eastAsia="Batang" w:hAnsi="Times New Roman" w:cs="Times New Roman"/>
          <w:sz w:val="28"/>
          <w:szCs w:val="28"/>
          <w:shd w:val="clear" w:color="auto" w:fill="FFFFFF"/>
          <w:lang w:val="ro-MD" w:eastAsia="ru-RU"/>
        </w:rPr>
        <w:t>.1</w:t>
      </w:r>
      <w:r>
        <w:rPr>
          <w:rFonts w:ascii="Times New Roman" w:eastAsia="Batang" w:hAnsi="Times New Roman" w:cs="Times New Roman"/>
          <w:sz w:val="28"/>
          <w:szCs w:val="28"/>
          <w:shd w:val="clear" w:color="auto" w:fill="FFFFFF"/>
          <w:lang w:eastAsia="ru-RU"/>
        </w:rPr>
        <w:t xml:space="preserve"> după cuvintele „de către membrii Consiliului” se completează cu cuvintele „cu cel puțin 10 zile înainte de data planificată a ședinței”;</w:t>
      </w:r>
    </w:p>
    <w:p w14:paraId="1EE00483" w14:textId="41D89EF9"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3.</w:t>
      </w:r>
      <w:r w:rsidR="007F42B6">
        <w:rPr>
          <w:rFonts w:ascii="Times New Roman" w:eastAsia="Batang" w:hAnsi="Times New Roman" w:cs="Times New Roman"/>
          <w:b/>
          <w:bCs/>
          <w:sz w:val="28"/>
          <w:szCs w:val="28"/>
          <w:shd w:val="clear" w:color="auto" w:fill="FFFFFF"/>
          <w:lang w:val="ro-MD" w:eastAsia="ru-RU"/>
        </w:rPr>
        <w:t>5</w:t>
      </w:r>
      <w:r>
        <w:rPr>
          <w:rFonts w:ascii="Times New Roman" w:eastAsia="Batang" w:hAnsi="Times New Roman" w:cs="Times New Roman"/>
          <w:sz w:val="28"/>
          <w:szCs w:val="28"/>
          <w:shd w:val="clear" w:color="auto" w:fill="FFFFFF"/>
          <w:lang w:eastAsia="ru-RU"/>
        </w:rPr>
        <w:t xml:space="preserve"> la pct. 21 cuvintele „secretarul ședinței, gestionarea acestor informații asigurându-se de” se exclude;</w:t>
      </w:r>
    </w:p>
    <w:p w14:paraId="5DEA6D49" w14:textId="6E283DB9" w:rsidR="00584D11" w:rsidRDefault="00000000">
      <w:pPr>
        <w:pStyle w:val="Listparagraf"/>
        <w:tabs>
          <w:tab w:val="left" w:pos="851"/>
          <w:tab w:val="left" w:pos="1134"/>
        </w:tabs>
        <w:spacing w:after="0"/>
        <w:ind w:left="0" w:right="-1"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3.</w:t>
      </w:r>
      <w:r w:rsidR="007F42B6">
        <w:rPr>
          <w:rFonts w:ascii="Times New Roman" w:eastAsia="Batang" w:hAnsi="Times New Roman" w:cs="Times New Roman"/>
          <w:b/>
          <w:bCs/>
          <w:sz w:val="28"/>
          <w:szCs w:val="28"/>
          <w:shd w:val="clear" w:color="auto" w:fill="FFFFFF"/>
          <w:lang w:val="ro-MD" w:eastAsia="ru-RU"/>
        </w:rPr>
        <w:t>6</w:t>
      </w:r>
      <w:r>
        <w:rPr>
          <w:rFonts w:ascii="Times New Roman" w:eastAsia="Batang" w:hAnsi="Times New Roman" w:cs="Times New Roman"/>
          <w:sz w:val="28"/>
          <w:szCs w:val="28"/>
          <w:shd w:val="clear" w:color="auto" w:fill="FFFFFF"/>
          <w:lang w:eastAsia="ru-RU"/>
        </w:rPr>
        <w:t xml:space="preserve"> la pct. 22 după cuvintele „Ministerului Afacerilor Interne” se completează cu cuvintele „la compartimentul Transparența/Comisii de profil/Consiliul Național pentru Managementul Integrat la Frontierei de Stat”.</w:t>
      </w:r>
      <w:r>
        <w:rPr>
          <w:rFonts w:ascii="Times New Roman" w:eastAsia="Batang" w:hAnsi="Times New Roman" w:cs="Times New Roman"/>
          <w:sz w:val="28"/>
          <w:szCs w:val="28"/>
          <w:shd w:val="clear" w:color="auto" w:fill="FFFFFF"/>
          <w:lang w:eastAsia="ru-RU"/>
        </w:rPr>
        <w:br/>
      </w:r>
    </w:p>
    <w:p w14:paraId="710AAE7D" w14:textId="77777777" w:rsidR="00584D11" w:rsidRDefault="00000000">
      <w:pPr>
        <w:pStyle w:val="Listparagraf"/>
        <w:numPr>
          <w:ilvl w:val="0"/>
          <w:numId w:val="1"/>
        </w:num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Se completează cu Anexa nr. 3, cu următorul cuprins:</w:t>
      </w:r>
      <w:r>
        <w:rPr>
          <w:rFonts w:ascii="Times New Roman" w:eastAsia="Batang" w:hAnsi="Times New Roman" w:cs="Times New Roman"/>
          <w:sz w:val="28"/>
          <w:szCs w:val="28"/>
          <w:shd w:val="clear" w:color="auto" w:fill="FFFFFF"/>
          <w:lang w:eastAsia="ru-RU"/>
        </w:rPr>
        <w:br/>
      </w:r>
    </w:p>
    <w:p w14:paraId="2FA76886" w14:textId="77777777" w:rsidR="00584D11" w:rsidRDefault="00000000">
      <w:pPr>
        <w:pStyle w:val="Listparagraf"/>
        <w:tabs>
          <w:tab w:val="left" w:pos="851"/>
          <w:tab w:val="left" w:pos="1134"/>
        </w:tabs>
        <w:spacing w:after="0"/>
        <w:ind w:left="658" w:right="-1"/>
        <w:jc w:val="right"/>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„Anexa nr. 3 la Hotărârea Guvernului</w:t>
      </w:r>
    </w:p>
    <w:p w14:paraId="241B4AA3" w14:textId="77777777" w:rsidR="00584D11" w:rsidRDefault="00000000">
      <w:pPr>
        <w:pStyle w:val="Listparagraf"/>
        <w:tabs>
          <w:tab w:val="left" w:pos="851"/>
          <w:tab w:val="left" w:pos="1134"/>
        </w:tabs>
        <w:spacing w:after="0"/>
        <w:ind w:left="658" w:right="-1"/>
        <w:jc w:val="right"/>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nr. 902 din 31 decembrie 2015</w:t>
      </w:r>
    </w:p>
    <w:p w14:paraId="67781ECB" w14:textId="77777777" w:rsidR="00584D11" w:rsidRDefault="00584D11">
      <w:pPr>
        <w:pStyle w:val="Listparagraf"/>
        <w:tabs>
          <w:tab w:val="left" w:pos="851"/>
          <w:tab w:val="left" w:pos="1134"/>
        </w:tabs>
        <w:spacing w:after="0"/>
        <w:ind w:left="658" w:right="-1"/>
        <w:jc w:val="right"/>
        <w:rPr>
          <w:rFonts w:ascii="Times New Roman" w:eastAsia="Batang" w:hAnsi="Times New Roman" w:cs="Times New Roman"/>
          <w:sz w:val="28"/>
          <w:szCs w:val="28"/>
          <w:shd w:val="clear" w:color="auto" w:fill="FFFFFF"/>
          <w:lang w:eastAsia="ru-RU"/>
        </w:rPr>
      </w:pPr>
    </w:p>
    <w:p w14:paraId="5D4BB17E" w14:textId="77777777" w:rsidR="00584D11" w:rsidRDefault="00584D11">
      <w:pPr>
        <w:pStyle w:val="Listparagraf"/>
        <w:tabs>
          <w:tab w:val="left" w:pos="851"/>
          <w:tab w:val="left" w:pos="1134"/>
        </w:tabs>
        <w:spacing w:after="0"/>
        <w:ind w:left="658" w:right="-1"/>
        <w:jc w:val="right"/>
        <w:rPr>
          <w:rFonts w:ascii="Times New Roman" w:eastAsia="Batang" w:hAnsi="Times New Roman" w:cs="Times New Roman"/>
          <w:sz w:val="28"/>
          <w:szCs w:val="28"/>
          <w:shd w:val="clear" w:color="auto" w:fill="FFFFFF"/>
          <w:lang w:eastAsia="ru-RU"/>
        </w:rPr>
      </w:pPr>
    </w:p>
    <w:p w14:paraId="57FF714B" w14:textId="77777777" w:rsidR="00AB2464" w:rsidRDefault="00AB2464">
      <w:pPr>
        <w:pStyle w:val="Listparagraf"/>
        <w:tabs>
          <w:tab w:val="left" w:pos="851"/>
          <w:tab w:val="left" w:pos="1134"/>
        </w:tabs>
        <w:spacing w:after="0"/>
        <w:ind w:left="658" w:right="-1"/>
        <w:jc w:val="center"/>
        <w:rPr>
          <w:rFonts w:ascii="Times New Roman" w:eastAsia="Batang" w:hAnsi="Times New Roman" w:cs="Times New Roman"/>
          <w:b/>
          <w:bCs/>
          <w:sz w:val="28"/>
          <w:szCs w:val="28"/>
          <w:shd w:val="clear" w:color="auto" w:fill="FFFFFF"/>
          <w:lang w:val="ro-MD" w:eastAsia="ru-RU"/>
        </w:rPr>
      </w:pPr>
    </w:p>
    <w:p w14:paraId="4BE159FA" w14:textId="283D7006" w:rsidR="00584D11" w:rsidRDefault="00000000">
      <w:pPr>
        <w:pStyle w:val="Listparagraf"/>
        <w:tabs>
          <w:tab w:val="left" w:pos="851"/>
          <w:tab w:val="left" w:pos="1134"/>
        </w:tabs>
        <w:spacing w:after="0"/>
        <w:ind w:left="658"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lastRenderedPageBreak/>
        <w:t xml:space="preserve">REGULAMENT </w:t>
      </w:r>
    </w:p>
    <w:p w14:paraId="1AFDC155" w14:textId="169255A6" w:rsidR="00584D11" w:rsidRDefault="00000000">
      <w:pPr>
        <w:pStyle w:val="Listparagraf"/>
        <w:tabs>
          <w:tab w:val="left" w:pos="851"/>
          <w:tab w:val="left" w:pos="1134"/>
        </w:tabs>
        <w:spacing w:after="0"/>
        <w:ind w:left="658"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 xml:space="preserve">privind instituirea și funcționarea </w:t>
      </w:r>
      <w:bookmarkStart w:id="0" w:name="_Hlk215815029"/>
      <w:r>
        <w:rPr>
          <w:rFonts w:ascii="Times New Roman" w:eastAsia="Batang" w:hAnsi="Times New Roman" w:cs="Times New Roman"/>
          <w:b/>
          <w:bCs/>
          <w:sz w:val="28"/>
          <w:szCs w:val="28"/>
          <w:shd w:val="clear" w:color="auto" w:fill="FFFFFF"/>
          <w:lang w:eastAsia="ru-RU"/>
        </w:rPr>
        <w:t>mecanismului național de control al calit</w:t>
      </w:r>
      <w:r w:rsidR="00420976">
        <w:rPr>
          <w:rFonts w:ascii="Times New Roman" w:eastAsia="Batang" w:hAnsi="Times New Roman" w:cs="Times New Roman"/>
          <w:b/>
          <w:bCs/>
          <w:sz w:val="28"/>
          <w:szCs w:val="28"/>
          <w:shd w:val="clear" w:color="auto" w:fill="FFFFFF"/>
          <w:lang w:val="ro-MD" w:eastAsia="ru-RU"/>
        </w:rPr>
        <w:t>ă</w:t>
      </w:r>
      <w:r>
        <w:rPr>
          <w:rFonts w:ascii="Times New Roman" w:eastAsia="Batang" w:hAnsi="Times New Roman" w:cs="Times New Roman"/>
          <w:b/>
          <w:bCs/>
          <w:sz w:val="28"/>
          <w:szCs w:val="28"/>
          <w:shd w:val="clear" w:color="auto" w:fill="FFFFFF"/>
          <w:lang w:eastAsia="ru-RU"/>
        </w:rPr>
        <w:t xml:space="preserve">ții managementului integrat al frontierei de stat și pregătirii pentru verificarea îndeplinirii condițiilor necesare pentru aplicarea acquis-ului Schengen </w:t>
      </w:r>
    </w:p>
    <w:bookmarkEnd w:id="0"/>
    <w:p w14:paraId="5569AB35" w14:textId="77777777" w:rsidR="00584D11" w:rsidRDefault="00584D11">
      <w:pPr>
        <w:tabs>
          <w:tab w:val="left" w:pos="851"/>
          <w:tab w:val="left" w:pos="1134"/>
        </w:tabs>
        <w:spacing w:after="0"/>
        <w:ind w:right="-1"/>
        <w:rPr>
          <w:rFonts w:ascii="Times New Roman" w:eastAsia="Batang" w:hAnsi="Times New Roman" w:cs="Times New Roman"/>
          <w:sz w:val="28"/>
          <w:szCs w:val="28"/>
          <w:shd w:val="clear" w:color="auto" w:fill="FFFFFF"/>
          <w:lang w:eastAsia="ru-RU"/>
        </w:rPr>
      </w:pPr>
    </w:p>
    <w:p w14:paraId="71C177B7" w14:textId="77777777" w:rsidR="00584D11" w:rsidRDefault="00000000">
      <w:pPr>
        <w:tabs>
          <w:tab w:val="left" w:pos="851"/>
          <w:tab w:val="left" w:pos="1134"/>
        </w:tabs>
        <w:spacing w:after="0"/>
        <w:ind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CAPITOLUL I</w:t>
      </w:r>
    </w:p>
    <w:p w14:paraId="73A4CD07" w14:textId="77777777" w:rsidR="00584D11" w:rsidRDefault="00000000">
      <w:pPr>
        <w:tabs>
          <w:tab w:val="left" w:pos="851"/>
          <w:tab w:val="left" w:pos="1134"/>
        </w:tabs>
        <w:spacing w:after="0"/>
        <w:ind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DISPOZIȚII GENERALE</w:t>
      </w:r>
    </w:p>
    <w:p w14:paraId="66FD582E" w14:textId="77777777" w:rsidR="00584D11" w:rsidRDefault="00584D11">
      <w:pPr>
        <w:tabs>
          <w:tab w:val="left" w:pos="851"/>
          <w:tab w:val="left" w:pos="1134"/>
        </w:tabs>
        <w:spacing w:after="0"/>
        <w:ind w:right="-1"/>
        <w:jc w:val="center"/>
        <w:rPr>
          <w:rFonts w:ascii="Times New Roman" w:eastAsia="Batang" w:hAnsi="Times New Roman" w:cs="Times New Roman"/>
          <w:b/>
          <w:bCs/>
          <w:sz w:val="28"/>
          <w:szCs w:val="28"/>
          <w:shd w:val="clear" w:color="auto" w:fill="FFFFFF"/>
          <w:lang w:eastAsia="ru-RU"/>
        </w:rPr>
      </w:pPr>
    </w:p>
    <w:p w14:paraId="08AA5767" w14:textId="17853B23" w:rsidR="00584D11" w:rsidRDefault="00000000">
      <w:pPr>
        <w:pStyle w:val="Listparagraf"/>
        <w:numPr>
          <w:ilvl w:val="0"/>
          <w:numId w:val="3"/>
        </w:numPr>
        <w:tabs>
          <w:tab w:val="left" w:pos="851"/>
          <w:tab w:val="left" w:pos="1134"/>
        </w:tabs>
        <w:spacing w:after="0"/>
        <w:ind w:left="0" w:right="-1" w:firstLineChars="235" w:firstLine="658"/>
        <w:jc w:val="both"/>
        <w:rPr>
          <w:rFonts w:ascii="Times New Roman" w:eastAsia="Batang" w:hAnsi="Times New Roman" w:cs="Times New Roman"/>
          <w:strike/>
          <w:sz w:val="28"/>
          <w:szCs w:val="28"/>
          <w:shd w:val="clear" w:color="auto" w:fill="FFFFFF"/>
          <w:lang w:eastAsia="ru-RU"/>
        </w:rPr>
      </w:pPr>
      <w:r>
        <w:rPr>
          <w:rFonts w:ascii="Times New Roman" w:eastAsia="Batang" w:hAnsi="Times New Roman" w:cs="Times New Roman"/>
          <w:sz w:val="28"/>
          <w:szCs w:val="28"/>
          <w:shd w:val="clear" w:color="auto" w:fill="FFFFFF"/>
          <w:lang w:eastAsia="ru-RU"/>
        </w:rPr>
        <w:tab/>
        <w:t>Mecanismul național de control al calității are ca scop garantarea implement</w:t>
      </w:r>
      <w:r w:rsidR="00745E9C">
        <w:rPr>
          <w:rFonts w:ascii="Times New Roman" w:eastAsia="Batang" w:hAnsi="Times New Roman" w:cs="Times New Roman"/>
          <w:sz w:val="28"/>
          <w:szCs w:val="28"/>
          <w:shd w:val="clear" w:color="auto" w:fill="FFFFFF"/>
          <w:lang w:val="ro-MD" w:eastAsia="ru-RU"/>
        </w:rPr>
        <w:t>ă</w:t>
      </w:r>
      <w:r>
        <w:rPr>
          <w:rFonts w:ascii="Times New Roman" w:eastAsia="Batang" w:hAnsi="Times New Roman" w:cs="Times New Roman"/>
          <w:sz w:val="28"/>
          <w:szCs w:val="28"/>
          <w:shd w:val="clear" w:color="auto" w:fill="FFFFFF"/>
          <w:lang w:eastAsia="ru-RU"/>
        </w:rPr>
        <w:t>rii managementului integrat al frontierei de stat</w:t>
      </w:r>
      <w:r w:rsidR="00745E9C">
        <w:rPr>
          <w:rFonts w:ascii="Times New Roman" w:eastAsia="Batang" w:hAnsi="Times New Roman" w:cs="Times New Roman"/>
          <w:sz w:val="28"/>
          <w:szCs w:val="28"/>
          <w:shd w:val="clear" w:color="auto" w:fill="FFFFFF"/>
          <w:lang w:val="ro-MD" w:eastAsia="ru-RU"/>
        </w:rPr>
        <w:t xml:space="preserve"> (în continuare - </w:t>
      </w:r>
      <w:r w:rsidR="00745E9C" w:rsidRPr="00745E9C">
        <w:rPr>
          <w:rFonts w:ascii="Times New Roman" w:eastAsia="Batang" w:hAnsi="Times New Roman" w:cs="Times New Roman"/>
          <w:i/>
          <w:iCs/>
          <w:sz w:val="28"/>
          <w:szCs w:val="28"/>
          <w:shd w:val="clear" w:color="auto" w:fill="FFFFFF"/>
          <w:lang w:val="ro-MD" w:eastAsia="ru-RU"/>
        </w:rPr>
        <w:t>MIFS</w:t>
      </w:r>
      <w:r w:rsidR="00745E9C">
        <w:rPr>
          <w:rFonts w:ascii="Times New Roman" w:eastAsia="Batang" w:hAnsi="Times New Roman" w:cs="Times New Roman"/>
          <w:sz w:val="28"/>
          <w:szCs w:val="28"/>
          <w:shd w:val="clear" w:color="auto" w:fill="FFFFFF"/>
          <w:lang w:val="ro-MD" w:eastAsia="ru-RU"/>
        </w:rPr>
        <w:t>)</w:t>
      </w:r>
      <w:r>
        <w:rPr>
          <w:rFonts w:ascii="Times New Roman" w:eastAsia="Batang" w:hAnsi="Times New Roman" w:cs="Times New Roman"/>
          <w:sz w:val="28"/>
          <w:szCs w:val="28"/>
          <w:shd w:val="clear" w:color="auto" w:fill="FFFFFF"/>
          <w:lang w:eastAsia="ru-RU"/>
        </w:rPr>
        <w:t xml:space="preserve"> la nivel strategic și operațional de către autoritățile din sistemul managementului integrat al frontierei de stat, precum și a pregătirii pentru verificarea îndeplinirii condițiilor necesare pentru aplicarea acquis-ului Schengen. Rezultatele aplic</w:t>
      </w:r>
      <w:r w:rsidR="00AF2DAE">
        <w:rPr>
          <w:rFonts w:ascii="Times New Roman" w:eastAsia="Batang" w:hAnsi="Times New Roman" w:cs="Times New Roman"/>
          <w:sz w:val="28"/>
          <w:szCs w:val="28"/>
          <w:shd w:val="clear" w:color="auto" w:fill="FFFFFF"/>
          <w:lang w:val="ro-MD" w:eastAsia="ru-RU"/>
        </w:rPr>
        <w:t>ă</w:t>
      </w:r>
      <w:r>
        <w:rPr>
          <w:rFonts w:ascii="Times New Roman" w:eastAsia="Batang" w:hAnsi="Times New Roman" w:cs="Times New Roman"/>
          <w:sz w:val="28"/>
          <w:szCs w:val="28"/>
          <w:shd w:val="clear" w:color="auto" w:fill="FFFFFF"/>
          <w:lang w:eastAsia="ru-RU"/>
        </w:rPr>
        <w:t>rii mecanismului de control al calității sunt utilizate ca bază pentru dezvoltarea continuă a componentelor managementului integrat al frontierei de stat și a condițiilor necesare pentru aplicarea tuturor părților relevante ale acquis-ului Schengen, precum și la stabilirea priorităților în utilizarea instrumentelor de finanțare relevante.</w:t>
      </w:r>
    </w:p>
    <w:p w14:paraId="0370509E" w14:textId="77777777" w:rsidR="00584D11" w:rsidRDefault="00000000">
      <w:pPr>
        <w:pStyle w:val="Listparagraf"/>
        <w:numPr>
          <w:ilvl w:val="0"/>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În sensul prezentului Regulament se definesc următoarele noțiuni:</w:t>
      </w:r>
    </w:p>
    <w:p w14:paraId="5A799606" w14:textId="1892DA0D"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w:t>
      </w:r>
      <w:r>
        <w:rPr>
          <w:rFonts w:ascii="Times New Roman" w:eastAsia="Batang" w:hAnsi="Times New Roman" w:cs="Times New Roman"/>
          <w:i/>
          <w:iCs/>
          <w:sz w:val="28"/>
          <w:szCs w:val="28"/>
          <w:shd w:val="clear" w:color="auto" w:fill="FFFFFF"/>
          <w:lang w:eastAsia="ru-RU"/>
        </w:rPr>
        <w:t>acquis-ul Schengen</w:t>
      </w:r>
      <w:r>
        <w:rPr>
          <w:rFonts w:ascii="Times New Roman" w:eastAsia="Batang" w:hAnsi="Times New Roman" w:cs="Times New Roman"/>
          <w:sz w:val="28"/>
          <w:szCs w:val="28"/>
          <w:shd w:val="clear" w:color="auto" w:fill="FFFFFF"/>
          <w:lang w:eastAsia="ru-RU"/>
        </w:rPr>
        <w:t>” înseamnă dispozițiile integrate în cadrul Uniunii în conformitate cu Protocolul nr. 19 privind acquis-ul Schengen integrat în cadrul Uniunii Europene, anexat la T</w:t>
      </w:r>
      <w:r w:rsidR="00233D71">
        <w:rPr>
          <w:rFonts w:ascii="Times New Roman" w:eastAsia="Batang" w:hAnsi="Times New Roman" w:cs="Times New Roman"/>
          <w:sz w:val="28"/>
          <w:szCs w:val="28"/>
          <w:shd w:val="clear" w:color="auto" w:fill="FFFFFF"/>
          <w:lang w:val="ro-MD" w:eastAsia="ru-RU"/>
        </w:rPr>
        <w:t xml:space="preserve">ratatul privind </w:t>
      </w:r>
      <w:r>
        <w:rPr>
          <w:rFonts w:ascii="Times New Roman" w:eastAsia="Batang" w:hAnsi="Times New Roman" w:cs="Times New Roman"/>
          <w:sz w:val="28"/>
          <w:szCs w:val="28"/>
          <w:shd w:val="clear" w:color="auto" w:fill="FFFFFF"/>
          <w:lang w:eastAsia="ru-RU"/>
        </w:rPr>
        <w:t>U</w:t>
      </w:r>
      <w:proofErr w:type="spellStart"/>
      <w:r w:rsidR="00233D71">
        <w:rPr>
          <w:rFonts w:ascii="Times New Roman" w:eastAsia="Batang" w:hAnsi="Times New Roman" w:cs="Times New Roman"/>
          <w:sz w:val="28"/>
          <w:szCs w:val="28"/>
          <w:shd w:val="clear" w:color="auto" w:fill="FFFFFF"/>
          <w:lang w:val="ro-MD" w:eastAsia="ru-RU"/>
        </w:rPr>
        <w:t>niunea</w:t>
      </w:r>
      <w:proofErr w:type="spellEnd"/>
      <w:r w:rsidR="00233D71">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E</w:t>
      </w:r>
      <w:proofErr w:type="spellStart"/>
      <w:r w:rsidR="00233D71">
        <w:rPr>
          <w:rFonts w:ascii="Times New Roman" w:eastAsia="Batang" w:hAnsi="Times New Roman" w:cs="Times New Roman"/>
          <w:sz w:val="28"/>
          <w:szCs w:val="28"/>
          <w:shd w:val="clear" w:color="auto" w:fill="FFFFFF"/>
          <w:lang w:val="ro-MD" w:eastAsia="ru-RU"/>
        </w:rPr>
        <w:t>uropeană</w:t>
      </w:r>
      <w:proofErr w:type="spellEnd"/>
      <w:r>
        <w:rPr>
          <w:rFonts w:ascii="Times New Roman" w:eastAsia="Batang" w:hAnsi="Times New Roman" w:cs="Times New Roman"/>
          <w:sz w:val="28"/>
          <w:szCs w:val="28"/>
          <w:shd w:val="clear" w:color="auto" w:fill="FFFFFF"/>
          <w:lang w:eastAsia="ru-RU"/>
        </w:rPr>
        <w:t xml:space="preserve"> și la T</w:t>
      </w:r>
      <w:r w:rsidR="00F07267">
        <w:rPr>
          <w:rFonts w:ascii="Times New Roman" w:eastAsia="Batang" w:hAnsi="Times New Roman" w:cs="Times New Roman"/>
          <w:sz w:val="28"/>
          <w:szCs w:val="28"/>
          <w:shd w:val="clear" w:color="auto" w:fill="FFFFFF"/>
          <w:lang w:val="ro-MD" w:eastAsia="ru-RU"/>
        </w:rPr>
        <w:t xml:space="preserve">ratatul privind </w:t>
      </w:r>
      <w:r w:rsidR="00AD0F58">
        <w:rPr>
          <w:rFonts w:ascii="Times New Roman" w:eastAsia="Batang" w:hAnsi="Times New Roman" w:cs="Times New Roman"/>
          <w:sz w:val="28"/>
          <w:szCs w:val="28"/>
          <w:shd w:val="clear" w:color="auto" w:fill="FFFFFF"/>
          <w:lang w:eastAsia="ru-RU"/>
        </w:rPr>
        <w:t>f</w:t>
      </w:r>
      <w:proofErr w:type="spellStart"/>
      <w:r w:rsidR="00AD0F58">
        <w:rPr>
          <w:rFonts w:ascii="Times New Roman" w:eastAsia="Batang" w:hAnsi="Times New Roman" w:cs="Times New Roman"/>
          <w:sz w:val="28"/>
          <w:szCs w:val="28"/>
          <w:shd w:val="clear" w:color="auto" w:fill="FFFFFF"/>
          <w:lang w:val="ro-MD" w:eastAsia="ru-RU"/>
        </w:rPr>
        <w:t>uncționarea</w:t>
      </w:r>
      <w:proofErr w:type="spellEnd"/>
      <w:r w:rsidR="00AD0F58">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U</w:t>
      </w:r>
      <w:proofErr w:type="spellStart"/>
      <w:r w:rsidR="00F07267">
        <w:rPr>
          <w:rFonts w:ascii="Times New Roman" w:eastAsia="Batang" w:hAnsi="Times New Roman" w:cs="Times New Roman"/>
          <w:sz w:val="28"/>
          <w:szCs w:val="28"/>
          <w:shd w:val="clear" w:color="auto" w:fill="FFFFFF"/>
          <w:lang w:val="ro-MD" w:eastAsia="ru-RU"/>
        </w:rPr>
        <w:t>niunii</w:t>
      </w:r>
      <w:proofErr w:type="spellEnd"/>
      <w:r w:rsidR="00F07267">
        <w:rPr>
          <w:rFonts w:ascii="Times New Roman" w:eastAsia="Batang" w:hAnsi="Times New Roman" w:cs="Times New Roman"/>
          <w:sz w:val="28"/>
          <w:szCs w:val="28"/>
          <w:shd w:val="clear" w:color="auto" w:fill="FFFFFF"/>
          <w:lang w:val="ro-MD" w:eastAsia="ru-RU"/>
        </w:rPr>
        <w:t xml:space="preserve"> </w:t>
      </w:r>
      <w:r>
        <w:rPr>
          <w:rFonts w:ascii="Times New Roman" w:eastAsia="Batang" w:hAnsi="Times New Roman" w:cs="Times New Roman"/>
          <w:sz w:val="28"/>
          <w:szCs w:val="28"/>
          <w:shd w:val="clear" w:color="auto" w:fill="FFFFFF"/>
          <w:lang w:eastAsia="ru-RU"/>
        </w:rPr>
        <w:t>E</w:t>
      </w:r>
      <w:proofErr w:type="spellStart"/>
      <w:r w:rsidR="00F07267">
        <w:rPr>
          <w:rFonts w:ascii="Times New Roman" w:eastAsia="Batang" w:hAnsi="Times New Roman" w:cs="Times New Roman"/>
          <w:sz w:val="28"/>
          <w:szCs w:val="28"/>
          <w:shd w:val="clear" w:color="auto" w:fill="FFFFFF"/>
          <w:lang w:val="ro-MD" w:eastAsia="ru-RU"/>
        </w:rPr>
        <w:t>uropene</w:t>
      </w:r>
      <w:proofErr w:type="spellEnd"/>
      <w:r>
        <w:rPr>
          <w:rFonts w:ascii="Times New Roman" w:eastAsia="Batang" w:hAnsi="Times New Roman" w:cs="Times New Roman"/>
          <w:sz w:val="28"/>
          <w:szCs w:val="28"/>
          <w:shd w:val="clear" w:color="auto" w:fill="FFFFFF"/>
          <w:lang w:eastAsia="ru-RU"/>
        </w:rPr>
        <w:t>, precum și actele care se bazează pe acestea sau care au legătură cu acestea;</w:t>
      </w:r>
    </w:p>
    <w:p w14:paraId="1DBEAF37"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constatare a neconformității</w:t>
      </w:r>
      <w:r>
        <w:rPr>
          <w:rFonts w:ascii="Times New Roman" w:eastAsia="Batang" w:hAnsi="Times New Roman" w:cs="Times New Roman"/>
          <w:sz w:val="28"/>
          <w:szCs w:val="28"/>
          <w:shd w:val="clear" w:color="auto" w:fill="FFFFFF"/>
          <w:lang w:eastAsia="ru-RU"/>
        </w:rPr>
        <w:t xml:space="preserve"> – identificarea unei situații potrivit căreia cadrul normativ sau modul în care acesta este pus în aplicare nu corespunde unui nivel adecvat de implementare a componentelor managementului integrat al frontierei de stat și de îndeplinire a condițiilor necesare pentru aplicarea acquis-ului Schengen;</w:t>
      </w:r>
    </w:p>
    <w:p w14:paraId="3EC48F02"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i/>
          <w:iCs/>
          <w:sz w:val="28"/>
          <w:szCs w:val="28"/>
          <w:shd w:val="clear" w:color="auto" w:fill="FFFFFF"/>
          <w:lang w:eastAsia="ru-RU"/>
        </w:rPr>
        <w:t>componentele managementului integrat al frontierei de stat</w:t>
      </w:r>
      <w:r>
        <w:rPr>
          <w:rFonts w:ascii="Times New Roman" w:eastAsia="Batang" w:hAnsi="Times New Roman"/>
          <w:sz w:val="28"/>
          <w:szCs w:val="28"/>
          <w:shd w:val="clear" w:color="auto" w:fill="FFFFFF"/>
          <w:lang w:eastAsia="ru-RU"/>
        </w:rPr>
        <w:t xml:space="preserve"> </w:t>
      </w:r>
      <w:r>
        <w:rPr>
          <w:rFonts w:ascii="Times New Roman" w:eastAsia="Batang" w:hAnsi="Times New Roman"/>
          <w:sz w:val="28"/>
          <w:szCs w:val="28"/>
          <w:shd w:val="clear" w:color="auto" w:fill="FFFFFF"/>
          <w:lang w:val="ro-RO" w:eastAsia="ru-RU"/>
        </w:rPr>
        <w:t xml:space="preserve">- </w:t>
      </w:r>
      <w:r>
        <w:rPr>
          <w:rFonts w:ascii="Times New Roman" w:eastAsia="Batang" w:hAnsi="Times New Roman"/>
          <w:sz w:val="28"/>
          <w:szCs w:val="28"/>
          <w:shd w:val="clear" w:color="auto" w:fill="FFFFFF"/>
          <w:lang w:eastAsia="ru-RU"/>
        </w:rPr>
        <w:t>prevederile</w:t>
      </w:r>
      <w:r>
        <w:rPr>
          <w:rFonts w:ascii="Times New Roman" w:eastAsia="Batang" w:hAnsi="Times New Roman"/>
          <w:sz w:val="28"/>
          <w:szCs w:val="28"/>
          <w:shd w:val="clear" w:color="auto" w:fill="FFFFFF"/>
          <w:lang w:val="ro-RO" w:eastAsia="ru-RU"/>
        </w:rPr>
        <w:t xml:space="preserve"> </w:t>
      </w:r>
      <w:r>
        <w:rPr>
          <w:rFonts w:ascii="Times New Roman" w:eastAsia="Batang" w:hAnsi="Times New Roman"/>
          <w:sz w:val="28"/>
          <w:szCs w:val="28"/>
          <w:shd w:val="clear" w:color="auto" w:fill="FFFFFF"/>
          <w:lang w:eastAsia="ru-RU"/>
        </w:rPr>
        <w:t>relevante pentru Republica Moldova, preluate din art. 3 din Regulamentul (UE) 2019/1896 al Parlamentului European și al Consiliului din 13 noiembrie 2019 privind Poliția de frontieră și Garda de Coastă la nivel european și de abrogare a Regulamentelor (UE) nr. 1052/2013 și (UE) 2016/1624;</w:t>
      </w:r>
    </w:p>
    <w:p w14:paraId="198F87E4"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i/>
          <w:iCs/>
          <w:sz w:val="28"/>
          <w:szCs w:val="28"/>
          <w:shd w:val="clear" w:color="auto" w:fill="FFFFFF"/>
          <w:lang w:eastAsia="ru-RU"/>
        </w:rPr>
        <w:t>deficiență gravă</w:t>
      </w:r>
      <w:r>
        <w:rPr>
          <w:rFonts w:ascii="Times New Roman" w:eastAsia="Batang" w:hAnsi="Times New Roman"/>
          <w:sz w:val="28"/>
          <w:szCs w:val="28"/>
          <w:shd w:val="clear" w:color="auto" w:fill="FFFFFF"/>
          <w:lang w:eastAsia="ru-RU"/>
        </w:rPr>
        <w:t xml:space="preserve"> – situație atribuită uneia sau mai multor constatări ale neconformității în domeniul componentelor managementului integrat al frontierei de stat și condițiilor necesare pentru aplicarea acquis-ului Schengen și care, în mod individual sau combinate între ele, riscă să constituie o încălcare a drepturilor fundamentale ale omului sau să aibă, în timp, un impact negativ semnificativ asupra </w:t>
      </w:r>
      <w:r>
        <w:rPr>
          <w:rFonts w:ascii="Times New Roman" w:eastAsia="Batang" w:hAnsi="Times New Roman"/>
          <w:sz w:val="28"/>
          <w:szCs w:val="28"/>
          <w:shd w:val="clear" w:color="auto" w:fill="FFFFFF"/>
          <w:lang w:eastAsia="ru-RU"/>
        </w:rPr>
        <w:lastRenderedPageBreak/>
        <w:t>performanței generale a statului în implementarea componentelor managementului integrat al frontierei de stat și îndeplinirea condițiilor necesare pentru aplicarea acquis-ului Schengen;</w:t>
      </w:r>
    </w:p>
    <w:p w14:paraId="23FAFAA0"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evaluare</w:t>
      </w:r>
      <w:r>
        <w:rPr>
          <w:rFonts w:ascii="Times New Roman" w:eastAsia="Batang" w:hAnsi="Times New Roman" w:cs="Times New Roman"/>
          <w:sz w:val="28"/>
          <w:szCs w:val="28"/>
          <w:shd w:val="clear" w:color="auto" w:fill="FFFFFF"/>
          <w:lang w:eastAsia="ru-RU"/>
        </w:rPr>
        <w:t xml:space="preserve"> </w:t>
      </w:r>
      <w:r>
        <w:rPr>
          <w:rFonts w:ascii="Times New Roman" w:eastAsia="Batang" w:hAnsi="Times New Roman" w:cs="Times New Roman"/>
          <w:sz w:val="28"/>
          <w:szCs w:val="28"/>
          <w:shd w:val="clear" w:color="auto" w:fill="FFFFFF"/>
          <w:lang w:val="ro-RO" w:eastAsia="ru-RU"/>
        </w:rPr>
        <w:t>-</w:t>
      </w:r>
      <w:r>
        <w:rPr>
          <w:rFonts w:ascii="Times New Roman" w:eastAsia="Batang" w:hAnsi="Times New Roman" w:cs="Times New Roman"/>
          <w:sz w:val="28"/>
          <w:szCs w:val="28"/>
          <w:shd w:val="clear" w:color="auto" w:fill="FFFFFF"/>
          <w:lang w:eastAsia="ru-RU"/>
        </w:rPr>
        <w:t xml:space="preserve"> ansamblu de activități prevăzute în programul anual de evaluare aprobat de Consiliului Naţional pentru Managementul Integrat al Frontierei de Stat, prin care se verifică implementarea componentelor managementului integrat al frontierei de stat în conformitate cu prevederile Anexei 1 la Comunicarea Comisiei către Parlamentul European și Consiliu privind instituirea politicii strategice multianuale pentru gestionarea europeană integrată a frontierelor (14.3.2023 COM(2023) 146 final) și nivelul pregătirii pentru verificarea îndeplinirii condițiilor necesare pentru aplicarea acquis-ului Schengen;</w:t>
      </w:r>
    </w:p>
    <w:p w14:paraId="6648CEE9"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evaluare neanunțată</w:t>
      </w:r>
      <w:r>
        <w:rPr>
          <w:rFonts w:ascii="Times New Roman" w:eastAsia="Batang" w:hAnsi="Times New Roman" w:cs="Times New Roman"/>
          <w:sz w:val="28"/>
          <w:szCs w:val="28"/>
          <w:shd w:val="clear" w:color="auto" w:fill="FFFFFF"/>
          <w:lang w:eastAsia="ru-RU"/>
        </w:rPr>
        <w:t xml:space="preserve"> – evaluare care nu este inclusă în program</w:t>
      </w:r>
      <w:r>
        <w:rPr>
          <w:rFonts w:ascii="Times New Roman" w:eastAsia="Batang" w:hAnsi="Times New Roman" w:cs="Times New Roman"/>
          <w:sz w:val="28"/>
          <w:szCs w:val="28"/>
          <w:shd w:val="clear" w:color="auto" w:fill="FFFFFF"/>
          <w:lang w:val="en-US" w:eastAsia="ru-RU"/>
        </w:rPr>
        <w:t>ul</w:t>
      </w:r>
      <w:r>
        <w:rPr>
          <w:rFonts w:ascii="Times New Roman" w:eastAsia="Batang" w:hAnsi="Times New Roman" w:cs="Times New Roman"/>
          <w:sz w:val="28"/>
          <w:szCs w:val="28"/>
          <w:shd w:val="clear" w:color="auto" w:fill="FFFFFF"/>
          <w:lang w:eastAsia="ru-RU"/>
        </w:rPr>
        <w:t xml:space="preserve"> de evaluare, prin care se verifică aplicarea componentelor MIFS de către una sau mai multe autorități din sistemul MIFS în unul sau mai multe domenii de activitate;</w:t>
      </w:r>
    </w:p>
    <w:p w14:paraId="46839DAB" w14:textId="4405C8A8"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evaluare periodică</w:t>
      </w:r>
      <w:r>
        <w:rPr>
          <w:rFonts w:ascii="Times New Roman" w:eastAsia="Batang" w:hAnsi="Times New Roman" w:cs="Times New Roman"/>
          <w:sz w:val="28"/>
          <w:szCs w:val="28"/>
          <w:shd w:val="clear" w:color="auto" w:fill="FFFFFF"/>
          <w:lang w:eastAsia="ru-RU"/>
        </w:rPr>
        <w:t xml:space="preserve"> – evaluarea cu caracter de regularitate, planificată prin programul anual de evaluare, prin care se verifică modul de implementare, de către o autoritate sau un grup de autorități din sistemul managementului integrat al frontierei de stat, a tuturor componentelor </w:t>
      </w:r>
      <w:r>
        <w:rPr>
          <w:rFonts w:ascii="Times New Roman" w:eastAsia="Batang" w:hAnsi="Times New Roman" w:cs="Times New Roman"/>
          <w:sz w:val="28"/>
          <w:szCs w:val="28"/>
          <w:shd w:val="clear" w:color="auto" w:fill="FFFFFF"/>
          <w:lang w:val="en-US" w:eastAsia="ru-RU"/>
        </w:rPr>
        <w:t>MIFS</w:t>
      </w:r>
      <w:r>
        <w:rPr>
          <w:rFonts w:ascii="Times New Roman" w:eastAsia="Batang" w:hAnsi="Times New Roman" w:cs="Times New Roman"/>
          <w:sz w:val="28"/>
          <w:szCs w:val="28"/>
          <w:shd w:val="clear" w:color="auto" w:fill="FFFFFF"/>
          <w:lang w:eastAsia="ru-RU"/>
        </w:rPr>
        <w:t xml:space="preserve"> și al pregătirii de ansamblu pentru verificarea îndeplinirii condițiilor necesare pentru aplicarea acquis-ului Schengen, în vederea evaluării performanței generale a statului; evaluările periodice realizate prin intermediul vizitelor reprezintă principalul mijloc de evaluare.</w:t>
      </w:r>
    </w:p>
    <w:p w14:paraId="2F89C7FF"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evaluare tematică</w:t>
      </w:r>
      <w:r>
        <w:rPr>
          <w:rFonts w:ascii="Times New Roman" w:eastAsia="Batang" w:hAnsi="Times New Roman" w:cs="Times New Roman"/>
          <w:sz w:val="28"/>
          <w:szCs w:val="28"/>
          <w:shd w:val="clear" w:color="auto" w:fill="FFFFFF"/>
          <w:lang w:eastAsia="ru-RU"/>
        </w:rPr>
        <w:t xml:space="preserve"> – </w:t>
      </w:r>
      <w:proofErr w:type="spellStart"/>
      <w:r>
        <w:rPr>
          <w:rFonts w:ascii="Times New Roman" w:eastAsia="Batang" w:hAnsi="Times New Roman" w:cs="Times New Roman"/>
          <w:sz w:val="28"/>
          <w:szCs w:val="28"/>
          <w:shd w:val="clear" w:color="auto" w:fill="FFFFFF"/>
          <w:lang w:val="ro-RO" w:eastAsia="ru-RU"/>
        </w:rPr>
        <w:t>eval</w:t>
      </w:r>
      <w:proofErr w:type="spellEnd"/>
      <w:r>
        <w:rPr>
          <w:rFonts w:ascii="Times New Roman" w:eastAsia="Batang" w:hAnsi="Times New Roman" w:cs="Times New Roman"/>
          <w:sz w:val="28"/>
          <w:szCs w:val="28"/>
          <w:shd w:val="clear" w:color="auto" w:fill="FFFFFF"/>
          <w:lang w:eastAsia="ru-RU"/>
        </w:rPr>
        <w:t>uarea cu caracter specific, inclusă în programul anual de evaluare, menită să furnizeze o analiză a gradului de adecvare, în baza analizelor de risc, a cadrului normativ sau practicilor autorităților din sistemul managementului integrat al frontierei de stat rezultate din acesta, la aplicarea anumitor componente ale managementului integrat al frontierei de stat și îndeplinirea anumitor condiții necesare pentru aplicarea acquis-ului Schengen;</w:t>
      </w:r>
    </w:p>
    <w:p w14:paraId="33D929C5" w14:textId="438BCD85"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mecanism național de control al calității</w:t>
      </w:r>
      <w:r>
        <w:rPr>
          <w:rFonts w:ascii="Times New Roman" w:eastAsia="Batang" w:hAnsi="Times New Roman" w:cs="Times New Roman"/>
          <w:sz w:val="28"/>
          <w:szCs w:val="28"/>
          <w:shd w:val="clear" w:color="auto" w:fill="FFFFFF"/>
          <w:lang w:eastAsia="ru-RU"/>
        </w:rPr>
        <w:t xml:space="preserve"> </w:t>
      </w:r>
      <w:r>
        <w:rPr>
          <w:rFonts w:ascii="Times New Roman" w:eastAsia="Batang" w:hAnsi="Times New Roman" w:cs="Times New Roman"/>
          <w:sz w:val="28"/>
          <w:szCs w:val="28"/>
          <w:shd w:val="clear" w:color="auto" w:fill="FFFFFF"/>
          <w:lang w:val="ro-RO" w:eastAsia="ru-RU"/>
        </w:rPr>
        <w:t>-</w:t>
      </w:r>
      <w:r>
        <w:rPr>
          <w:rFonts w:ascii="Times New Roman" w:eastAsia="Batang" w:hAnsi="Times New Roman" w:cs="Times New Roman"/>
          <w:sz w:val="28"/>
          <w:szCs w:val="28"/>
          <w:shd w:val="clear" w:color="auto" w:fill="FFFFFF"/>
          <w:lang w:eastAsia="ru-RU"/>
        </w:rPr>
        <w:t xml:space="preserve"> evaluarea și monitorizarea aplicării componentelor </w:t>
      </w:r>
      <w:r w:rsidR="00AE65C9">
        <w:rPr>
          <w:rFonts w:ascii="Times New Roman" w:eastAsia="Batang" w:hAnsi="Times New Roman" w:cs="Times New Roman"/>
          <w:sz w:val="28"/>
          <w:szCs w:val="28"/>
          <w:shd w:val="clear" w:color="auto" w:fill="FFFFFF"/>
          <w:lang w:val="ro-MD" w:eastAsia="ru-RU"/>
        </w:rPr>
        <w:t>MIFS</w:t>
      </w:r>
      <w:r>
        <w:rPr>
          <w:rFonts w:ascii="Times New Roman" w:eastAsia="Batang" w:hAnsi="Times New Roman" w:cs="Times New Roman"/>
          <w:sz w:val="28"/>
          <w:szCs w:val="28"/>
          <w:shd w:val="clear" w:color="auto" w:fill="FFFFFF"/>
          <w:lang w:eastAsia="ru-RU"/>
        </w:rPr>
        <w:t xml:space="preserve"> și pregătirii pentru verificarea îndeplinirii condițiilor necesare pentru aplicarea acquis-ului Schengen;</w:t>
      </w:r>
    </w:p>
    <w:p w14:paraId="7B732544"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monitorizare</w:t>
      </w:r>
      <w:r>
        <w:rPr>
          <w:rFonts w:ascii="Times New Roman" w:eastAsia="Batang" w:hAnsi="Times New Roman" w:cs="Times New Roman"/>
          <w:sz w:val="28"/>
          <w:szCs w:val="28"/>
          <w:shd w:val="clear" w:color="auto" w:fill="FFFFFF"/>
          <w:lang w:eastAsia="ru-RU"/>
        </w:rPr>
        <w:t xml:space="preserve"> </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 xml:space="preserve">activități de verificare a progresului înregistrat în punerea în aplicare a recomandărilor </w:t>
      </w:r>
      <w:r>
        <w:rPr>
          <w:rFonts w:ascii="Times New Roman" w:eastAsia="Batang" w:hAnsi="Times New Roman" w:cs="Times New Roman"/>
          <w:sz w:val="28"/>
          <w:szCs w:val="28"/>
          <w:shd w:val="clear" w:color="auto" w:fill="FFFFFF"/>
          <w:lang w:val="ro-RO" w:eastAsia="ru-RU"/>
        </w:rPr>
        <w:t xml:space="preserve">din raportul de evaluare </w:t>
      </w:r>
      <w:r>
        <w:rPr>
          <w:rFonts w:ascii="Times New Roman" w:eastAsia="Batang" w:hAnsi="Times New Roman" w:cs="Times New Roman"/>
          <w:sz w:val="28"/>
          <w:szCs w:val="28"/>
          <w:shd w:val="clear" w:color="auto" w:fill="FFFFFF"/>
          <w:lang w:eastAsia="ru-RU"/>
        </w:rPr>
        <w:t xml:space="preserve">sau </w:t>
      </w:r>
      <w:r>
        <w:rPr>
          <w:rFonts w:ascii="Times New Roman" w:eastAsia="Batang" w:hAnsi="Times New Roman" w:cs="Times New Roman"/>
          <w:sz w:val="28"/>
          <w:szCs w:val="28"/>
          <w:shd w:val="clear" w:color="auto" w:fill="FFFFFF"/>
          <w:lang w:val="ro-RO" w:eastAsia="ru-RU"/>
        </w:rPr>
        <w:t xml:space="preserve">în implementarea </w:t>
      </w:r>
      <w:r>
        <w:rPr>
          <w:rFonts w:ascii="Times New Roman" w:eastAsia="Batang" w:hAnsi="Times New Roman" w:cs="Times New Roman"/>
          <w:sz w:val="28"/>
          <w:szCs w:val="28"/>
          <w:shd w:val="clear" w:color="auto" w:fill="FFFFFF"/>
          <w:lang w:eastAsia="ru-RU"/>
        </w:rPr>
        <w:t>unui plan de acțiune ca urmare a unei evaluări care a identificat o deficiență gravă;</w:t>
      </w:r>
    </w:p>
    <w:p w14:paraId="5D6C711A" w14:textId="77777777" w:rsidR="00584D11" w:rsidRDefault="00000000">
      <w:pPr>
        <w:pStyle w:val="Listparagraf"/>
        <w:numPr>
          <w:ilvl w:val="1"/>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i/>
          <w:iCs/>
          <w:sz w:val="28"/>
          <w:szCs w:val="28"/>
          <w:shd w:val="clear" w:color="auto" w:fill="FFFFFF"/>
          <w:lang w:eastAsia="ru-RU"/>
        </w:rPr>
        <w:t>observator</w:t>
      </w:r>
      <w:r>
        <w:rPr>
          <w:rFonts w:ascii="Times New Roman" w:eastAsia="Batang" w:hAnsi="Times New Roman" w:cs="Times New Roman"/>
          <w:sz w:val="28"/>
          <w:szCs w:val="28"/>
          <w:shd w:val="clear" w:color="auto" w:fill="FFFFFF"/>
          <w:lang w:eastAsia="ru-RU"/>
        </w:rPr>
        <w:t xml:space="preserve"> - expert desemnat de o autoritate sau instituție publică, organizatie non-guvernamentală din Republica Moldova, și/sau un organ, un oficiu sau o agenție din Uniunea Europeană care participă la evaluare sau monitorizare.</w:t>
      </w:r>
    </w:p>
    <w:p w14:paraId="61046655" w14:textId="0566F2FC" w:rsidR="00584D11" w:rsidRDefault="00000000">
      <w:pPr>
        <w:pStyle w:val="Listparagraf"/>
        <w:numPr>
          <w:ilvl w:val="0"/>
          <w:numId w:val="3"/>
        </w:numPr>
        <w:tabs>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Mecanismul național de control al calității este direcționat de Consiliului Naţional pentru Managementul Integrat al Frontierei de Stat</w:t>
      </w:r>
      <w:r w:rsidR="00D952D0">
        <w:rPr>
          <w:rFonts w:ascii="Times New Roman" w:eastAsia="Batang" w:hAnsi="Times New Roman" w:cs="Times New Roman"/>
          <w:sz w:val="28"/>
          <w:szCs w:val="28"/>
          <w:shd w:val="clear" w:color="auto" w:fill="FFFFFF"/>
          <w:lang w:val="ro-MD" w:eastAsia="ru-RU"/>
        </w:rPr>
        <w:t xml:space="preserve"> (în continuare - </w:t>
      </w:r>
      <w:r w:rsidR="00D952D0" w:rsidRPr="00D952D0">
        <w:rPr>
          <w:rFonts w:ascii="Times New Roman" w:eastAsia="Batang" w:hAnsi="Times New Roman" w:cs="Times New Roman"/>
          <w:i/>
          <w:iCs/>
          <w:sz w:val="28"/>
          <w:szCs w:val="28"/>
          <w:shd w:val="clear" w:color="auto" w:fill="FFFFFF"/>
          <w:lang w:val="ro-MD" w:eastAsia="ru-RU"/>
        </w:rPr>
        <w:t>Consiliu</w:t>
      </w:r>
      <w:r w:rsidR="00D952D0">
        <w:rPr>
          <w:rFonts w:ascii="Times New Roman" w:eastAsia="Batang" w:hAnsi="Times New Roman" w:cs="Times New Roman"/>
          <w:sz w:val="28"/>
          <w:szCs w:val="28"/>
          <w:shd w:val="clear" w:color="auto" w:fill="FFFFFF"/>
          <w:lang w:val="ro-MD" w:eastAsia="ru-RU"/>
        </w:rPr>
        <w:t>)</w:t>
      </w:r>
      <w:r>
        <w:rPr>
          <w:rFonts w:ascii="Times New Roman" w:eastAsia="Batang" w:hAnsi="Times New Roman" w:cs="Times New Roman"/>
          <w:sz w:val="28"/>
          <w:szCs w:val="28"/>
          <w:shd w:val="clear" w:color="auto" w:fill="FFFFFF"/>
          <w:lang w:eastAsia="ru-RU"/>
        </w:rPr>
        <w:t xml:space="preserve"> prin aprobarea programului național anual de evaluare și implementat de </w:t>
      </w:r>
      <w:r>
        <w:rPr>
          <w:rFonts w:ascii="Times New Roman" w:eastAsia="Batang" w:hAnsi="Times New Roman" w:cs="Times New Roman"/>
          <w:sz w:val="28"/>
          <w:szCs w:val="28"/>
          <w:shd w:val="clear" w:color="auto" w:fill="FFFFFF"/>
          <w:lang w:eastAsia="ru-RU"/>
        </w:rPr>
        <w:lastRenderedPageBreak/>
        <w:t xml:space="preserve">autoritățile din sistemul </w:t>
      </w:r>
      <w:r w:rsidR="00AE65C9">
        <w:rPr>
          <w:rFonts w:ascii="Times New Roman" w:eastAsia="Batang" w:hAnsi="Times New Roman" w:cs="Times New Roman"/>
          <w:sz w:val="28"/>
          <w:szCs w:val="28"/>
          <w:shd w:val="clear" w:color="auto" w:fill="FFFFFF"/>
          <w:lang w:val="ro-MD" w:eastAsia="ru-RU"/>
        </w:rPr>
        <w:t>MIFS</w:t>
      </w:r>
      <w:r>
        <w:rPr>
          <w:rFonts w:ascii="Times New Roman" w:eastAsia="Batang" w:hAnsi="Times New Roman" w:cs="Times New Roman"/>
          <w:sz w:val="28"/>
          <w:szCs w:val="28"/>
          <w:shd w:val="clear" w:color="auto" w:fill="FFFFFF"/>
          <w:lang w:eastAsia="ru-RU"/>
        </w:rPr>
        <w:t>. Planificarea și coordonarea activităților de evaluare și monitorizare prevăzute în programul național anual de evaluare se realizează de către Secretariatul Consiliului, sprijinit tehnic de un grup de lucru pentru controlul calității.</w:t>
      </w:r>
    </w:p>
    <w:p w14:paraId="6C028BB0" w14:textId="77777777" w:rsidR="00584D11" w:rsidRPr="009E51B6" w:rsidRDefault="00584D11" w:rsidP="009E51B6">
      <w:pPr>
        <w:tabs>
          <w:tab w:val="left" w:pos="851"/>
          <w:tab w:val="left" w:pos="1134"/>
        </w:tabs>
        <w:spacing w:after="0"/>
        <w:ind w:right="-1"/>
        <w:jc w:val="both"/>
        <w:rPr>
          <w:rFonts w:ascii="Times New Roman" w:eastAsia="Batang" w:hAnsi="Times New Roman" w:cs="Times New Roman"/>
          <w:sz w:val="28"/>
          <w:szCs w:val="28"/>
          <w:highlight w:val="yellow"/>
          <w:shd w:val="clear" w:color="auto" w:fill="FFFFFF"/>
          <w:lang w:val="ro-MD" w:eastAsia="ru-RU"/>
        </w:rPr>
      </w:pPr>
    </w:p>
    <w:p w14:paraId="7DD50706"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3.1 </w:t>
      </w:r>
      <w:r>
        <w:rPr>
          <w:rFonts w:ascii="Times New Roman" w:eastAsia="Batang" w:hAnsi="Times New Roman" w:cs="Times New Roman"/>
          <w:sz w:val="28"/>
          <w:szCs w:val="28"/>
          <w:shd w:val="clear" w:color="auto" w:fill="FFFFFF"/>
          <w:lang w:eastAsia="ru-RU"/>
        </w:rPr>
        <w:t>Următoarele componente ale MIFS sunt formulate pentru evaluare:</w:t>
      </w:r>
    </w:p>
    <w:p w14:paraId="7E53D193"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3.1</w:t>
      </w:r>
      <w:r>
        <w:rPr>
          <w:rFonts w:ascii="Times New Roman" w:eastAsia="Batang" w:hAnsi="Times New Roman" w:cs="Times New Roman"/>
          <w:sz w:val="28"/>
          <w:szCs w:val="28"/>
          <w:shd w:val="clear" w:color="auto" w:fill="FFFFFF"/>
          <w:lang w:val="ro-RO" w:eastAsia="ru-RU"/>
        </w:rPr>
        <w:t>.1</w:t>
      </w:r>
      <w:r>
        <w:rPr>
          <w:rFonts w:ascii="Times New Roman" w:eastAsia="Batang" w:hAnsi="Times New Roman" w:cs="Times New Roman"/>
          <w:sz w:val="28"/>
          <w:szCs w:val="28"/>
          <w:shd w:val="clear" w:color="auto" w:fill="FFFFFF"/>
          <w:lang w:eastAsia="ru-RU"/>
        </w:rPr>
        <w:t xml:space="preserve"> controlul la frontieră, prevenirea și combaterea criminalității transfrontaliere și protecția persoanelor vulnerabile;</w:t>
      </w:r>
    </w:p>
    <w:p w14:paraId="745F2E53"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1.2</w:t>
      </w:r>
      <w:r>
        <w:rPr>
          <w:rFonts w:ascii="Times New Roman" w:eastAsia="Batang" w:hAnsi="Times New Roman" w:cs="Times New Roman"/>
          <w:sz w:val="28"/>
          <w:szCs w:val="28"/>
          <w:shd w:val="clear" w:color="auto" w:fill="FFFFFF"/>
          <w:lang w:eastAsia="ru-RU"/>
        </w:rPr>
        <w:t xml:space="preserve"> analiza de risc pentru securitatea internă și analiza amenințărilor susceptibile să afecteze funcționarea sau securitatea frontierei de stat;</w:t>
      </w:r>
    </w:p>
    <w:p w14:paraId="75A3EC5F"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1.3</w:t>
      </w:r>
      <w:r>
        <w:rPr>
          <w:rFonts w:ascii="Times New Roman" w:eastAsia="Batang" w:hAnsi="Times New Roman" w:cs="Times New Roman"/>
          <w:sz w:val="28"/>
          <w:szCs w:val="28"/>
          <w:shd w:val="clear" w:color="auto" w:fill="FFFFFF"/>
          <w:lang w:eastAsia="ru-RU"/>
        </w:rPr>
        <w:t xml:space="preserve"> cooperarea interinstituțională;</w:t>
      </w:r>
    </w:p>
    <w:p w14:paraId="54E9C602"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trike/>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1.4</w:t>
      </w:r>
      <w:r>
        <w:rPr>
          <w:rFonts w:ascii="Times New Roman" w:eastAsia="Batang" w:hAnsi="Times New Roman" w:cs="Times New Roman"/>
          <w:sz w:val="28"/>
          <w:szCs w:val="28"/>
          <w:shd w:val="clear" w:color="auto" w:fill="FFFFFF"/>
          <w:lang w:eastAsia="ru-RU"/>
        </w:rPr>
        <w:t xml:space="preserve"> cooperarea internațională;</w:t>
      </w:r>
    </w:p>
    <w:p w14:paraId="4635252A"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trike/>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1.5</w:t>
      </w:r>
      <w:r>
        <w:rPr>
          <w:rFonts w:ascii="Times New Roman" w:eastAsia="Batang" w:hAnsi="Times New Roman" w:cs="Times New Roman"/>
          <w:sz w:val="28"/>
          <w:szCs w:val="28"/>
          <w:shd w:val="clear" w:color="auto" w:fill="FFFFFF"/>
          <w:lang w:eastAsia="ru-RU"/>
        </w:rPr>
        <w:t xml:space="preserve"> mecanisme de solidaritate, în special instrumentele de finanțare;</w:t>
      </w:r>
    </w:p>
    <w:p w14:paraId="4BF08455"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1.6</w:t>
      </w:r>
      <w:r>
        <w:rPr>
          <w:rFonts w:ascii="Times New Roman" w:eastAsia="Batang" w:hAnsi="Times New Roman" w:cs="Times New Roman"/>
          <w:sz w:val="28"/>
          <w:szCs w:val="28"/>
          <w:shd w:val="clear" w:color="auto" w:fill="FFFFFF"/>
          <w:lang w:eastAsia="ru-RU"/>
        </w:rPr>
        <w:t xml:space="preserve"> măsurile tehnice și operative la nivel național;</w:t>
      </w:r>
    </w:p>
    <w:p w14:paraId="761C0221"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1.7</w:t>
      </w:r>
      <w:r>
        <w:rPr>
          <w:rFonts w:ascii="Times New Roman" w:eastAsia="Batang" w:hAnsi="Times New Roman" w:cs="Times New Roman"/>
          <w:sz w:val="28"/>
          <w:szCs w:val="28"/>
          <w:shd w:val="clear" w:color="auto" w:fill="FFFFFF"/>
          <w:lang w:eastAsia="ru-RU"/>
        </w:rPr>
        <w:t xml:space="preserve"> returnarea și readmisia;</w:t>
      </w:r>
    </w:p>
    <w:p w14:paraId="29840893"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1.8</w:t>
      </w:r>
      <w:r>
        <w:rPr>
          <w:rFonts w:ascii="Times New Roman" w:eastAsia="Batang" w:hAnsi="Times New Roman" w:cs="Times New Roman"/>
          <w:sz w:val="28"/>
          <w:szCs w:val="28"/>
          <w:shd w:val="clear" w:color="auto" w:fill="FFFFFF"/>
          <w:lang w:eastAsia="ru-RU"/>
        </w:rPr>
        <w:t xml:space="preserve"> utilizarea tehnologiilor de ultimă generație;</w:t>
      </w:r>
    </w:p>
    <w:p w14:paraId="3D74C085"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1.9</w:t>
      </w:r>
      <w:r>
        <w:rPr>
          <w:rFonts w:ascii="Times New Roman" w:eastAsia="Batang" w:hAnsi="Times New Roman" w:cs="Times New Roman"/>
          <w:sz w:val="28"/>
          <w:szCs w:val="28"/>
          <w:shd w:val="clear" w:color="auto" w:fill="FFFFFF"/>
          <w:lang w:eastAsia="ru-RU"/>
        </w:rPr>
        <w:t xml:space="preserve"> mecanismul de control al calității;</w:t>
      </w:r>
    </w:p>
    <w:p w14:paraId="3D32EB67"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3.1</w:t>
      </w:r>
      <w:r>
        <w:rPr>
          <w:rFonts w:ascii="Times New Roman" w:eastAsia="Batang" w:hAnsi="Times New Roman" w:cs="Times New Roman"/>
          <w:sz w:val="28"/>
          <w:szCs w:val="28"/>
          <w:shd w:val="clear" w:color="auto" w:fill="FFFFFF"/>
          <w:lang w:val="ro-RO" w:eastAsia="ru-RU"/>
        </w:rPr>
        <w:t>.1</w:t>
      </w:r>
      <w:r>
        <w:rPr>
          <w:rFonts w:ascii="Times New Roman" w:eastAsia="Batang" w:hAnsi="Times New Roman" w:cs="Times New Roman"/>
          <w:sz w:val="28"/>
          <w:szCs w:val="28"/>
          <w:shd w:val="clear" w:color="auto" w:fill="FFFFFF"/>
          <w:lang w:eastAsia="ru-RU"/>
        </w:rPr>
        <w:t>0 drepturile fundamentale;</w:t>
      </w:r>
    </w:p>
    <w:p w14:paraId="5B53949A"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w:t>
      </w:r>
      <w:r>
        <w:rPr>
          <w:rFonts w:ascii="Times New Roman" w:eastAsia="Batang" w:hAnsi="Times New Roman" w:cs="Times New Roman"/>
          <w:sz w:val="28"/>
          <w:szCs w:val="28"/>
          <w:shd w:val="clear" w:color="auto" w:fill="FFFFFF"/>
          <w:lang w:eastAsia="ru-RU"/>
        </w:rPr>
        <w:t>11 educație și formare profesională;</w:t>
      </w:r>
    </w:p>
    <w:p w14:paraId="66C73C21"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3.</w:t>
      </w:r>
      <w:r>
        <w:rPr>
          <w:rFonts w:ascii="Times New Roman" w:eastAsia="Batang" w:hAnsi="Times New Roman" w:cs="Times New Roman"/>
          <w:sz w:val="28"/>
          <w:szCs w:val="28"/>
          <w:shd w:val="clear" w:color="auto" w:fill="FFFFFF"/>
          <w:lang w:val="ro-RO" w:eastAsia="ru-RU"/>
        </w:rPr>
        <w:t>1.</w:t>
      </w:r>
      <w:r>
        <w:rPr>
          <w:rFonts w:ascii="Times New Roman" w:eastAsia="Batang" w:hAnsi="Times New Roman" w:cs="Times New Roman"/>
          <w:sz w:val="28"/>
          <w:szCs w:val="28"/>
          <w:shd w:val="clear" w:color="auto" w:fill="FFFFFF"/>
          <w:lang w:eastAsia="ru-RU"/>
        </w:rPr>
        <w:t>12 cercetare și inovare.</w:t>
      </w:r>
    </w:p>
    <w:p w14:paraId="68B36E66" w14:textId="77777777" w:rsidR="00584D11" w:rsidRDefault="00000000">
      <w:pPr>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ab/>
      </w:r>
    </w:p>
    <w:p w14:paraId="4A0F63DA" w14:textId="77777777" w:rsidR="00584D11" w:rsidRDefault="00000000">
      <w:pPr>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val="ro-RO" w:eastAsia="ru-RU"/>
        </w:rPr>
      </w:pPr>
      <w:r>
        <w:rPr>
          <w:rFonts w:ascii="Times New Roman" w:eastAsia="Batang" w:hAnsi="Times New Roman" w:cs="Times New Roman"/>
          <w:sz w:val="28"/>
          <w:szCs w:val="28"/>
          <w:shd w:val="clear" w:color="auto" w:fill="FFFFFF"/>
          <w:lang w:eastAsia="ru-RU"/>
        </w:rPr>
        <w:t>3.2 Părțile principale ale acquis-ului Schengen</w:t>
      </w:r>
      <w:r>
        <w:rPr>
          <w:rFonts w:ascii="Times New Roman" w:eastAsia="Batang" w:hAnsi="Times New Roman" w:cs="Times New Roman"/>
          <w:sz w:val="28"/>
          <w:szCs w:val="28"/>
          <w:shd w:val="clear" w:color="auto" w:fill="FFFFFF"/>
          <w:lang w:val="ro-RO" w:eastAsia="ru-RU"/>
        </w:rPr>
        <w:t xml:space="preserve"> evaluate:</w:t>
      </w:r>
    </w:p>
    <w:p w14:paraId="4B7675E4"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3.2.1 </w:t>
      </w:r>
      <w:r>
        <w:rPr>
          <w:rFonts w:ascii="Times New Roman" w:eastAsia="Batang" w:hAnsi="Times New Roman" w:cs="Times New Roman"/>
          <w:sz w:val="28"/>
          <w:szCs w:val="28"/>
          <w:shd w:val="clear" w:color="auto" w:fill="FFFFFF"/>
          <w:lang w:eastAsia="ru-RU"/>
        </w:rPr>
        <w:t>gestionarea frontierelor externe;</w:t>
      </w:r>
    </w:p>
    <w:p w14:paraId="1A95818C"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3.2.2 </w:t>
      </w:r>
      <w:r>
        <w:rPr>
          <w:rFonts w:ascii="Times New Roman" w:eastAsia="Batang" w:hAnsi="Times New Roman" w:cs="Times New Roman"/>
          <w:sz w:val="28"/>
          <w:szCs w:val="28"/>
          <w:shd w:val="clear" w:color="auto" w:fill="FFFFFF"/>
          <w:lang w:eastAsia="ru-RU"/>
        </w:rPr>
        <w:t xml:space="preserve">absența controalelor la frontierele interne; </w:t>
      </w:r>
    </w:p>
    <w:p w14:paraId="7497A9E7"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3.2.3 </w:t>
      </w:r>
      <w:r>
        <w:rPr>
          <w:rFonts w:ascii="Times New Roman" w:eastAsia="Batang" w:hAnsi="Times New Roman" w:cs="Times New Roman"/>
          <w:sz w:val="28"/>
          <w:szCs w:val="28"/>
          <w:shd w:val="clear" w:color="auto" w:fill="FFFFFF"/>
          <w:lang w:eastAsia="ru-RU"/>
        </w:rPr>
        <w:t>politica în domeniul vizelor;</w:t>
      </w:r>
    </w:p>
    <w:p w14:paraId="795DFF25"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3.2.4 </w:t>
      </w:r>
      <w:r>
        <w:rPr>
          <w:rFonts w:ascii="Times New Roman" w:eastAsia="Batang" w:hAnsi="Times New Roman" w:cs="Times New Roman"/>
          <w:sz w:val="28"/>
          <w:szCs w:val="28"/>
          <w:shd w:val="clear" w:color="auto" w:fill="FFFFFF"/>
          <w:lang w:eastAsia="ru-RU"/>
        </w:rPr>
        <w:t xml:space="preserve">returnarea; </w:t>
      </w:r>
    </w:p>
    <w:p w14:paraId="261234F1"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3.2.5 </w:t>
      </w:r>
      <w:r>
        <w:rPr>
          <w:rFonts w:ascii="Times New Roman" w:eastAsia="Batang" w:hAnsi="Times New Roman" w:cs="Times New Roman"/>
          <w:sz w:val="28"/>
          <w:szCs w:val="28"/>
          <w:shd w:val="clear" w:color="auto" w:fill="FFFFFF"/>
          <w:lang w:eastAsia="ru-RU"/>
        </w:rPr>
        <w:t>sistemele informatice la scară largă care sprijină aplicarea acquis-ului Schengen;</w:t>
      </w:r>
    </w:p>
    <w:p w14:paraId="2385B6D4"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3.2.6 </w:t>
      </w:r>
      <w:r>
        <w:rPr>
          <w:rFonts w:ascii="Times New Roman" w:eastAsia="Batang" w:hAnsi="Times New Roman" w:cs="Times New Roman"/>
          <w:sz w:val="28"/>
          <w:szCs w:val="28"/>
          <w:shd w:val="clear" w:color="auto" w:fill="FFFFFF"/>
          <w:lang w:eastAsia="ru-RU"/>
        </w:rPr>
        <w:t>cooperarea polițienească;</w:t>
      </w:r>
    </w:p>
    <w:p w14:paraId="5BC39C1C" w14:textId="77777777"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3.2.7 </w:t>
      </w:r>
      <w:r>
        <w:rPr>
          <w:rFonts w:ascii="Times New Roman" w:eastAsia="Batang" w:hAnsi="Times New Roman" w:cs="Times New Roman"/>
          <w:sz w:val="28"/>
          <w:szCs w:val="28"/>
          <w:shd w:val="clear" w:color="auto" w:fill="FFFFFF"/>
          <w:lang w:eastAsia="ru-RU"/>
        </w:rPr>
        <w:t xml:space="preserve">cooperarea judiciară în materie penală;  </w:t>
      </w:r>
    </w:p>
    <w:p w14:paraId="79283D37" w14:textId="60B6CE00" w:rsidR="00584D11" w:rsidRDefault="00000000">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3.2.8 </w:t>
      </w:r>
      <w:r>
        <w:rPr>
          <w:rFonts w:ascii="Times New Roman" w:eastAsia="Batang" w:hAnsi="Times New Roman" w:cs="Times New Roman"/>
          <w:sz w:val="28"/>
          <w:szCs w:val="28"/>
          <w:shd w:val="clear" w:color="auto" w:fill="FFFFFF"/>
          <w:lang w:eastAsia="ru-RU"/>
        </w:rPr>
        <w:t xml:space="preserve">protecția </w:t>
      </w:r>
      <w:r w:rsidRPr="007958D4">
        <w:rPr>
          <w:rFonts w:ascii="Times New Roman" w:eastAsia="Batang" w:hAnsi="Times New Roman" w:cs="Times New Roman"/>
          <w:sz w:val="28"/>
          <w:szCs w:val="28"/>
          <w:shd w:val="clear" w:color="auto" w:fill="FFFFFF"/>
          <w:lang w:eastAsia="ru-RU"/>
        </w:rPr>
        <w:t>datelor</w:t>
      </w:r>
      <w:r w:rsidRPr="007958D4">
        <w:rPr>
          <w:rFonts w:ascii="Times New Roman" w:eastAsia="Batang" w:hAnsi="Times New Roman" w:cs="Times New Roman"/>
          <w:sz w:val="28"/>
          <w:szCs w:val="28"/>
          <w:shd w:val="clear" w:color="auto" w:fill="FFFFFF"/>
          <w:lang w:val="ro-RO" w:eastAsia="ru-RU"/>
        </w:rPr>
        <w:t xml:space="preserve"> cu caracter personal</w:t>
      </w:r>
      <w:r w:rsidRPr="007958D4">
        <w:rPr>
          <w:rFonts w:ascii="Times New Roman" w:eastAsia="Batang" w:hAnsi="Times New Roman" w:cs="Times New Roman"/>
          <w:sz w:val="28"/>
          <w:szCs w:val="28"/>
          <w:shd w:val="clear" w:color="auto" w:fill="FFFFFF"/>
          <w:lang w:eastAsia="ru-RU"/>
        </w:rPr>
        <w:t>.</w:t>
      </w:r>
    </w:p>
    <w:p w14:paraId="5528167F" w14:textId="77777777" w:rsidR="00584D11" w:rsidRPr="009E51B6" w:rsidRDefault="00584D11">
      <w:pPr>
        <w:pStyle w:val="Listparagraf"/>
        <w:tabs>
          <w:tab w:val="left" w:pos="851"/>
          <w:tab w:val="left" w:pos="1134"/>
        </w:tabs>
        <w:spacing w:after="0"/>
        <w:ind w:left="7" w:right="-1" w:firstLineChars="233" w:firstLine="652"/>
        <w:jc w:val="both"/>
        <w:rPr>
          <w:rFonts w:ascii="Times New Roman" w:eastAsia="Batang" w:hAnsi="Times New Roman" w:cs="Times New Roman"/>
          <w:sz w:val="28"/>
          <w:szCs w:val="28"/>
          <w:shd w:val="clear" w:color="auto" w:fill="FFFFFF"/>
          <w:lang w:val="ro-MD" w:eastAsia="ru-RU"/>
        </w:rPr>
      </w:pPr>
    </w:p>
    <w:p w14:paraId="24A56CC0" w14:textId="77777777" w:rsidR="00584D11" w:rsidRDefault="00000000">
      <w:pPr>
        <w:pStyle w:val="Listparagraf"/>
        <w:numPr>
          <w:ilvl w:val="0"/>
          <w:numId w:val="3"/>
        </w:numPr>
        <w:tabs>
          <w:tab w:val="left" w:pos="851"/>
          <w:tab w:val="left" w:pos="1134"/>
        </w:tabs>
        <w:spacing w:after="0"/>
        <w:ind w:leftChars="17" w:left="37" w:right="-1" w:firstLineChars="221" w:firstLine="619"/>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Mecanismul național de control al calității instituit prin prezentul Regulament nu substituie mecanismele de evaluare și monitorizare stabilite prin alte acte normative.</w:t>
      </w:r>
    </w:p>
    <w:p w14:paraId="27043FEE" w14:textId="77777777" w:rsidR="00584D11" w:rsidRDefault="00584D11">
      <w:pPr>
        <w:tabs>
          <w:tab w:val="left" w:pos="851"/>
          <w:tab w:val="left" w:pos="1134"/>
        </w:tabs>
        <w:spacing w:after="0"/>
        <w:ind w:right="-1"/>
        <w:jc w:val="center"/>
        <w:rPr>
          <w:rFonts w:ascii="Times New Roman" w:eastAsia="Batang" w:hAnsi="Times New Roman" w:cs="Times New Roman"/>
          <w:b/>
          <w:bCs/>
          <w:sz w:val="28"/>
          <w:szCs w:val="28"/>
          <w:shd w:val="clear" w:color="auto" w:fill="FFFFFF"/>
          <w:lang w:eastAsia="ru-RU"/>
        </w:rPr>
      </w:pPr>
    </w:p>
    <w:p w14:paraId="027F39F2" w14:textId="77777777" w:rsidR="00AB2464" w:rsidRDefault="00AB2464">
      <w:pPr>
        <w:tabs>
          <w:tab w:val="left" w:pos="851"/>
          <w:tab w:val="left" w:pos="1134"/>
        </w:tabs>
        <w:spacing w:after="0" w:line="240" w:lineRule="auto"/>
        <w:ind w:right="-1"/>
        <w:jc w:val="center"/>
        <w:rPr>
          <w:rFonts w:ascii="Times New Roman" w:eastAsia="Batang" w:hAnsi="Times New Roman" w:cs="Times New Roman"/>
          <w:b/>
          <w:bCs/>
          <w:sz w:val="28"/>
          <w:szCs w:val="28"/>
          <w:shd w:val="clear" w:color="auto" w:fill="FFFFFF"/>
          <w:lang w:val="ro-MD" w:eastAsia="ru-RU"/>
        </w:rPr>
      </w:pPr>
    </w:p>
    <w:p w14:paraId="29C4D2CC" w14:textId="77777777" w:rsidR="00AB2464" w:rsidRDefault="00AB2464">
      <w:pPr>
        <w:tabs>
          <w:tab w:val="left" w:pos="851"/>
          <w:tab w:val="left" w:pos="1134"/>
        </w:tabs>
        <w:spacing w:after="0" w:line="240" w:lineRule="auto"/>
        <w:ind w:right="-1"/>
        <w:jc w:val="center"/>
        <w:rPr>
          <w:rFonts w:ascii="Times New Roman" w:eastAsia="Batang" w:hAnsi="Times New Roman" w:cs="Times New Roman"/>
          <w:b/>
          <w:bCs/>
          <w:sz w:val="28"/>
          <w:szCs w:val="28"/>
          <w:shd w:val="clear" w:color="auto" w:fill="FFFFFF"/>
          <w:lang w:val="ro-MD" w:eastAsia="ru-RU"/>
        </w:rPr>
      </w:pPr>
    </w:p>
    <w:p w14:paraId="33CDE410" w14:textId="77777777" w:rsidR="00AB2464" w:rsidRDefault="00AB2464">
      <w:pPr>
        <w:tabs>
          <w:tab w:val="left" w:pos="851"/>
          <w:tab w:val="left" w:pos="1134"/>
        </w:tabs>
        <w:spacing w:after="0" w:line="240" w:lineRule="auto"/>
        <w:ind w:right="-1"/>
        <w:jc w:val="center"/>
        <w:rPr>
          <w:rFonts w:ascii="Times New Roman" w:eastAsia="Batang" w:hAnsi="Times New Roman" w:cs="Times New Roman"/>
          <w:b/>
          <w:bCs/>
          <w:sz w:val="28"/>
          <w:szCs w:val="28"/>
          <w:shd w:val="clear" w:color="auto" w:fill="FFFFFF"/>
          <w:lang w:val="ro-MD" w:eastAsia="ru-RU"/>
        </w:rPr>
      </w:pPr>
    </w:p>
    <w:p w14:paraId="6CEF68B9" w14:textId="7ED7B1D3" w:rsidR="00584D11" w:rsidRDefault="00000000">
      <w:pPr>
        <w:tabs>
          <w:tab w:val="left" w:pos="851"/>
          <w:tab w:val="left" w:pos="1134"/>
        </w:tabs>
        <w:spacing w:after="0" w:line="240" w:lineRule="auto"/>
        <w:ind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lastRenderedPageBreak/>
        <w:t>CAPITOLUL II</w:t>
      </w:r>
    </w:p>
    <w:p w14:paraId="37EC991A" w14:textId="77777777" w:rsidR="00584D11" w:rsidRDefault="00000000">
      <w:pPr>
        <w:tabs>
          <w:tab w:val="left" w:pos="851"/>
          <w:tab w:val="left" w:pos="1134"/>
        </w:tabs>
        <w:spacing w:after="0" w:line="240" w:lineRule="auto"/>
        <w:ind w:right="-1"/>
        <w:jc w:val="center"/>
        <w:rPr>
          <w:rFonts w:ascii="Times New Roman" w:eastAsia="Batang" w:hAnsi="Times New Roman" w:cs="Times New Roman"/>
          <w:b/>
          <w:bCs/>
          <w:strike/>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ECHIPA DE EVALUARE</w:t>
      </w:r>
    </w:p>
    <w:p w14:paraId="5A8EF272" w14:textId="77777777" w:rsidR="00584D11" w:rsidRDefault="00000000">
      <w:pPr>
        <w:tabs>
          <w:tab w:val="left" w:pos="851"/>
          <w:tab w:val="left" w:pos="1134"/>
        </w:tabs>
        <w:spacing w:after="0" w:line="240" w:lineRule="auto"/>
        <w:ind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 xml:space="preserve"> </w:t>
      </w:r>
    </w:p>
    <w:p w14:paraId="14D4E69F" w14:textId="77777777" w:rsidR="00584D11" w:rsidRDefault="00000000">
      <w:pPr>
        <w:tabs>
          <w:tab w:val="left" w:pos="851"/>
          <w:tab w:val="left" w:pos="1134"/>
        </w:tabs>
        <w:spacing w:after="0" w:line="240" w:lineRule="auto"/>
        <w:ind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 xml:space="preserve">Secțiunea 1 </w:t>
      </w:r>
    </w:p>
    <w:p w14:paraId="5599C0FC" w14:textId="1DA8D311" w:rsidR="00584D11" w:rsidRPr="005F7ACC" w:rsidRDefault="00000000" w:rsidP="00D326B7">
      <w:pPr>
        <w:tabs>
          <w:tab w:val="left" w:pos="851"/>
          <w:tab w:val="left" w:pos="1134"/>
        </w:tabs>
        <w:spacing w:after="0" w:line="240" w:lineRule="auto"/>
        <w:ind w:right="-1"/>
        <w:jc w:val="center"/>
        <w:rPr>
          <w:rFonts w:ascii="Times New Roman" w:eastAsia="Batang" w:hAnsi="Times New Roman" w:cs="Times New Roman"/>
          <w:b/>
          <w:bCs/>
          <w:sz w:val="28"/>
          <w:szCs w:val="28"/>
          <w:shd w:val="clear" w:color="auto" w:fill="FFFFFF"/>
          <w:lang w:val="ro-MD" w:eastAsia="ru-RU"/>
        </w:rPr>
      </w:pPr>
      <w:r>
        <w:rPr>
          <w:rFonts w:ascii="Times New Roman" w:eastAsia="Batang" w:hAnsi="Times New Roman" w:cs="Times New Roman"/>
          <w:b/>
          <w:bCs/>
          <w:sz w:val="28"/>
          <w:szCs w:val="28"/>
          <w:shd w:val="clear" w:color="auto" w:fill="FFFFFF"/>
          <w:lang w:eastAsia="ru-RU"/>
        </w:rPr>
        <w:t xml:space="preserve">Misiunea </w:t>
      </w:r>
      <w:r>
        <w:rPr>
          <w:rFonts w:ascii="Times New Roman" w:eastAsia="Batang" w:hAnsi="Times New Roman" w:cs="Times New Roman"/>
          <w:b/>
          <w:bCs/>
          <w:sz w:val="28"/>
          <w:szCs w:val="28"/>
          <w:shd w:val="clear" w:color="auto" w:fill="FFFFFF"/>
          <w:lang w:val="ro-RO" w:eastAsia="ru-RU"/>
        </w:rPr>
        <w:t>G</w:t>
      </w:r>
      <w:r>
        <w:rPr>
          <w:rFonts w:ascii="Times New Roman" w:eastAsia="Batang" w:hAnsi="Times New Roman"/>
          <w:b/>
          <w:bCs/>
          <w:sz w:val="28"/>
          <w:szCs w:val="28"/>
          <w:shd w:val="clear" w:color="auto" w:fill="FFFFFF"/>
          <w:lang w:eastAsia="ru-RU"/>
        </w:rPr>
        <w:t>rup</w:t>
      </w:r>
      <w:r>
        <w:rPr>
          <w:rFonts w:ascii="Times New Roman" w:eastAsia="Batang" w:hAnsi="Times New Roman"/>
          <w:b/>
          <w:bCs/>
          <w:sz w:val="28"/>
          <w:szCs w:val="28"/>
          <w:shd w:val="clear" w:color="auto" w:fill="FFFFFF"/>
          <w:lang w:val="ro-RO" w:eastAsia="ru-RU"/>
        </w:rPr>
        <w:t>ului</w:t>
      </w:r>
      <w:r>
        <w:rPr>
          <w:rFonts w:ascii="Times New Roman" w:eastAsia="Batang" w:hAnsi="Times New Roman"/>
          <w:b/>
          <w:bCs/>
          <w:sz w:val="28"/>
          <w:szCs w:val="28"/>
          <w:shd w:val="clear" w:color="auto" w:fill="FFFFFF"/>
          <w:lang w:eastAsia="ru-RU"/>
        </w:rPr>
        <w:t xml:space="preserve"> de lucru pentru controlul calității</w:t>
      </w:r>
    </w:p>
    <w:p w14:paraId="0F3D0706" w14:textId="60BB4135" w:rsidR="00584D11" w:rsidRDefault="00000000">
      <w:pPr>
        <w:pStyle w:val="Listparagraf"/>
        <w:numPr>
          <w:ilvl w:val="0"/>
          <w:numId w:val="1"/>
        </w:numPr>
        <w:tabs>
          <w:tab w:val="left" w:pos="1134"/>
        </w:tabs>
        <w:spacing w:after="0"/>
        <w:ind w:left="0" w:right="-1" w:firstLine="660"/>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Grupul de lucru pentru controlul calității se constituie în cadrul Consiliului în conformitate cu prevederile art. 9-12 din Anexa 2.</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Misiunea grupului de lucru pentru controlul calității este facilitarea planificării și coordonării procesului de evaluare și monitorizare.</w:t>
      </w:r>
    </w:p>
    <w:p w14:paraId="2984489F" w14:textId="77777777" w:rsidR="00584D11" w:rsidRDefault="00000000">
      <w:pPr>
        <w:pStyle w:val="Listparagraf"/>
        <w:numPr>
          <w:ilvl w:val="0"/>
          <w:numId w:val="1"/>
        </w:numPr>
        <w:tabs>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Grupul de lucru contribuie la:</w:t>
      </w:r>
    </w:p>
    <w:p w14:paraId="52E2C57E" w14:textId="77777777" w:rsidR="00584D11" w:rsidRDefault="00000000">
      <w:pPr>
        <w:pStyle w:val="Listparagraf"/>
        <w:tabs>
          <w:tab w:val="left" w:pos="1134"/>
        </w:tabs>
        <w:spacing w:after="0"/>
        <w:ind w:left="0" w:right="-1" w:firstLineChars="235" w:firstLine="658"/>
        <w:jc w:val="both"/>
        <w:rPr>
          <w:rFonts w:ascii="Times New Roman" w:eastAsia="Batang" w:hAnsi="Times New Roman" w:cs="Times New Roman"/>
          <w:sz w:val="28"/>
          <w:szCs w:val="28"/>
          <w:shd w:val="clear" w:color="auto" w:fill="FFFFFF"/>
          <w:lang w:val="ro-RO" w:eastAsia="ru-RU"/>
        </w:rPr>
      </w:pPr>
      <w:r>
        <w:rPr>
          <w:rFonts w:ascii="Times New Roman" w:eastAsia="Batang" w:hAnsi="Times New Roman" w:cs="Times New Roman"/>
          <w:sz w:val="28"/>
          <w:szCs w:val="28"/>
          <w:shd w:val="clear" w:color="auto" w:fill="FFFFFF"/>
          <w:lang w:val="ro-RO" w:eastAsia="ru-RU"/>
        </w:rPr>
        <w:t xml:space="preserve">6.1 </w:t>
      </w:r>
      <w:r>
        <w:rPr>
          <w:rFonts w:ascii="Times New Roman" w:eastAsia="Batang" w:hAnsi="Times New Roman" w:cs="Times New Roman"/>
          <w:sz w:val="28"/>
          <w:szCs w:val="28"/>
          <w:shd w:val="clear" w:color="auto" w:fill="FFFFFF"/>
          <w:lang w:eastAsia="ru-RU"/>
        </w:rPr>
        <w:t>asigurarea expertizei tehnice necesare stabilirii obiectivelor, întocmirii planurilor și a metodologiilor specifice de evaluare și monitorizare</w:t>
      </w:r>
      <w:r>
        <w:rPr>
          <w:rFonts w:ascii="Times New Roman" w:eastAsia="Batang" w:hAnsi="Times New Roman" w:cs="Times New Roman"/>
          <w:sz w:val="28"/>
          <w:szCs w:val="28"/>
          <w:shd w:val="clear" w:color="auto" w:fill="FFFFFF"/>
          <w:lang w:val="ro-RO" w:eastAsia="ru-RU"/>
        </w:rPr>
        <w:t>;</w:t>
      </w:r>
    </w:p>
    <w:p w14:paraId="60BF426C" w14:textId="066F1A67" w:rsidR="00584D11" w:rsidRDefault="00000000" w:rsidP="00662A2C">
      <w:pPr>
        <w:pStyle w:val="Listparagraf"/>
        <w:tabs>
          <w:tab w:val="left" w:pos="993"/>
          <w:tab w:val="left" w:pos="1134"/>
        </w:tabs>
        <w:spacing w:after="0"/>
        <w:ind w:left="0" w:right="-1" w:firstLineChars="235" w:firstLine="658"/>
        <w:jc w:val="both"/>
        <w:rPr>
          <w:rFonts w:ascii="Times New Roman" w:eastAsia="Batang" w:hAnsi="Times New Roman" w:cs="Times New Roman"/>
          <w:sz w:val="28"/>
          <w:szCs w:val="28"/>
          <w:shd w:val="clear" w:color="auto" w:fill="FFFFFF"/>
          <w:lang w:val="ro-RO" w:eastAsia="ru-RU"/>
        </w:rPr>
      </w:pPr>
      <w:r>
        <w:rPr>
          <w:rFonts w:ascii="Times New Roman" w:eastAsia="Batang" w:hAnsi="Times New Roman" w:cs="Times New Roman"/>
          <w:sz w:val="28"/>
          <w:szCs w:val="28"/>
          <w:shd w:val="clear" w:color="auto" w:fill="FFFFFF"/>
          <w:lang w:val="ro-RO" w:eastAsia="ru-RU"/>
        </w:rPr>
        <w:t xml:space="preserve">6.2 </w:t>
      </w:r>
      <w:r>
        <w:rPr>
          <w:rFonts w:ascii="Times New Roman" w:eastAsia="Batang" w:hAnsi="Times New Roman" w:cs="Times New Roman"/>
          <w:sz w:val="28"/>
          <w:szCs w:val="28"/>
          <w:shd w:val="clear" w:color="auto" w:fill="FFFFFF"/>
          <w:lang w:eastAsia="ru-RU"/>
        </w:rPr>
        <w:t xml:space="preserve">elaborarea actului normativ comun al autorităților din sistemul </w:t>
      </w:r>
      <w:r w:rsidR="006A779D">
        <w:rPr>
          <w:rFonts w:ascii="Times New Roman" w:eastAsia="Batang" w:hAnsi="Times New Roman" w:cs="Times New Roman"/>
          <w:sz w:val="28"/>
          <w:szCs w:val="28"/>
          <w:shd w:val="clear" w:color="auto" w:fill="FFFFFF"/>
          <w:lang w:val="ro-MD" w:eastAsia="ru-RU"/>
        </w:rPr>
        <w:t>MIFS</w:t>
      </w:r>
      <w:r>
        <w:rPr>
          <w:rFonts w:ascii="Times New Roman" w:eastAsia="Batang" w:hAnsi="Times New Roman" w:cs="Times New Roman"/>
          <w:sz w:val="28"/>
          <w:szCs w:val="28"/>
          <w:shd w:val="clear" w:color="auto" w:fill="FFFFFF"/>
          <w:lang w:eastAsia="ru-RU"/>
        </w:rPr>
        <w:t xml:space="preserve"> privind misiunile echipelor de evaluare și monitorizare</w:t>
      </w:r>
      <w:r>
        <w:rPr>
          <w:rFonts w:ascii="Times New Roman" w:eastAsia="Batang" w:hAnsi="Times New Roman" w:cs="Times New Roman"/>
          <w:sz w:val="28"/>
          <w:szCs w:val="28"/>
          <w:shd w:val="clear" w:color="auto" w:fill="FFFFFF"/>
          <w:lang w:val="ro-RO" w:eastAsia="ru-RU"/>
        </w:rPr>
        <w:t>;</w:t>
      </w:r>
    </w:p>
    <w:p w14:paraId="2464064C" w14:textId="100CD483" w:rsidR="00584D11" w:rsidRDefault="00000000">
      <w:pPr>
        <w:pStyle w:val="Listparagraf"/>
        <w:tabs>
          <w:tab w:val="left" w:pos="1134"/>
        </w:tabs>
        <w:spacing w:after="0"/>
        <w:ind w:left="0" w:right="-1" w:firstLineChars="235" w:firstLine="658"/>
        <w:jc w:val="both"/>
        <w:rPr>
          <w:rFonts w:ascii="Times New Roman" w:eastAsia="Batang" w:hAnsi="Times New Roman" w:cs="Times New Roman"/>
          <w:sz w:val="28"/>
          <w:szCs w:val="28"/>
          <w:shd w:val="clear" w:color="auto" w:fill="FFFFFF"/>
          <w:lang w:val="ro-RO" w:eastAsia="ru-RU"/>
        </w:rPr>
      </w:pPr>
      <w:r>
        <w:rPr>
          <w:rFonts w:ascii="Times New Roman" w:eastAsia="Batang" w:hAnsi="Times New Roman" w:cs="Times New Roman"/>
          <w:sz w:val="28"/>
          <w:szCs w:val="28"/>
          <w:shd w:val="clear" w:color="auto" w:fill="FFFFFF"/>
          <w:lang w:val="ro-RO" w:eastAsia="ru-RU"/>
        </w:rPr>
        <w:t xml:space="preserve">6.3 </w:t>
      </w:r>
      <w:r>
        <w:rPr>
          <w:rFonts w:ascii="Times New Roman" w:eastAsia="Batang" w:hAnsi="Times New Roman" w:cs="Times New Roman"/>
          <w:sz w:val="28"/>
          <w:szCs w:val="28"/>
          <w:shd w:val="clear" w:color="auto" w:fill="FFFFFF"/>
          <w:lang w:eastAsia="ru-RU"/>
        </w:rPr>
        <w:t>coordon</w:t>
      </w:r>
      <w:r w:rsidR="00662A2C">
        <w:rPr>
          <w:rFonts w:ascii="Times New Roman" w:eastAsia="Batang" w:hAnsi="Times New Roman" w:cs="Times New Roman"/>
          <w:sz w:val="28"/>
          <w:szCs w:val="28"/>
          <w:shd w:val="clear" w:color="auto" w:fill="FFFFFF"/>
          <w:lang w:val="ro-MD" w:eastAsia="ru-RU"/>
        </w:rPr>
        <w:t>a</w:t>
      </w:r>
      <w:r>
        <w:rPr>
          <w:rFonts w:ascii="Times New Roman" w:eastAsia="Batang" w:hAnsi="Times New Roman" w:cs="Times New Roman"/>
          <w:sz w:val="28"/>
          <w:szCs w:val="28"/>
          <w:shd w:val="clear" w:color="auto" w:fill="FFFFFF"/>
          <w:lang w:eastAsia="ru-RU"/>
        </w:rPr>
        <w:t>r</w:t>
      </w:r>
      <w:r>
        <w:rPr>
          <w:rFonts w:ascii="Times New Roman" w:eastAsia="Batang" w:hAnsi="Times New Roman" w:cs="Times New Roman"/>
          <w:sz w:val="28"/>
          <w:szCs w:val="28"/>
          <w:shd w:val="clear" w:color="auto" w:fill="FFFFFF"/>
          <w:lang w:val="ro-RO" w:eastAsia="ru-RU"/>
        </w:rPr>
        <w:t>ea</w:t>
      </w:r>
      <w:r>
        <w:rPr>
          <w:rFonts w:ascii="Times New Roman" w:eastAsia="Batang" w:hAnsi="Times New Roman" w:cs="Times New Roman"/>
          <w:sz w:val="28"/>
          <w:szCs w:val="28"/>
          <w:shd w:val="clear" w:color="auto" w:fill="FFFFFF"/>
          <w:lang w:eastAsia="ru-RU"/>
        </w:rPr>
        <w:t xml:space="preserve"> inter-institutional</w:t>
      </w:r>
      <w:r>
        <w:rPr>
          <w:rFonts w:ascii="Times New Roman" w:eastAsia="Batang" w:hAnsi="Times New Roman" w:cs="Times New Roman"/>
          <w:sz w:val="28"/>
          <w:szCs w:val="28"/>
          <w:shd w:val="clear" w:color="auto" w:fill="FFFFFF"/>
          <w:lang w:val="ro-RO" w:eastAsia="ru-RU"/>
        </w:rPr>
        <w:t>ă</w:t>
      </w:r>
      <w:r>
        <w:rPr>
          <w:rFonts w:ascii="Times New Roman" w:eastAsia="Batang" w:hAnsi="Times New Roman" w:cs="Times New Roman"/>
          <w:sz w:val="28"/>
          <w:szCs w:val="28"/>
          <w:shd w:val="clear" w:color="auto" w:fill="FFFFFF"/>
          <w:lang w:eastAsia="ru-RU"/>
        </w:rPr>
        <w:t xml:space="preserve"> pentru identificarea, selecția și pregătirea evaluatorilor, pregătirea echipelor de evaluare și organizarea vizitelor</w:t>
      </w:r>
      <w:r>
        <w:rPr>
          <w:rFonts w:ascii="Times New Roman" w:eastAsia="Batang" w:hAnsi="Times New Roman" w:cs="Times New Roman"/>
          <w:sz w:val="28"/>
          <w:szCs w:val="28"/>
          <w:shd w:val="clear" w:color="auto" w:fill="FFFFFF"/>
          <w:lang w:val="ro-RO" w:eastAsia="ru-RU"/>
        </w:rPr>
        <w:t>;</w:t>
      </w:r>
    </w:p>
    <w:p w14:paraId="33707CB0" w14:textId="77777777" w:rsidR="00584D11" w:rsidRDefault="00000000">
      <w:pPr>
        <w:pStyle w:val="Listparagraf"/>
        <w:tabs>
          <w:tab w:val="left" w:pos="1134"/>
        </w:tabs>
        <w:spacing w:after="0"/>
        <w:ind w:left="0" w:right="-1" w:firstLineChars="235" w:firstLine="658"/>
        <w:jc w:val="both"/>
        <w:rPr>
          <w:rFonts w:ascii="Times New Roman" w:eastAsia="Batang" w:hAnsi="Times New Roman" w:cs="Times New Roman"/>
          <w:sz w:val="28"/>
          <w:szCs w:val="28"/>
          <w:shd w:val="clear" w:color="auto" w:fill="FFFFFF"/>
          <w:lang w:val="ro-RO" w:eastAsia="ru-RU"/>
        </w:rPr>
      </w:pPr>
      <w:r>
        <w:rPr>
          <w:rFonts w:ascii="Times New Roman" w:eastAsia="Batang" w:hAnsi="Times New Roman" w:cs="Times New Roman"/>
          <w:sz w:val="28"/>
          <w:szCs w:val="28"/>
          <w:shd w:val="clear" w:color="auto" w:fill="FFFFFF"/>
          <w:lang w:val="ro-RO" w:eastAsia="ru-RU"/>
        </w:rPr>
        <w:t>6.4 menținerea unui registru de evidență al evaluatorilor naționali, precum și al pregătirii și calificărilor acestora;</w:t>
      </w:r>
    </w:p>
    <w:p w14:paraId="343FC0F8" w14:textId="77777777" w:rsidR="00584D11" w:rsidRDefault="00000000">
      <w:pPr>
        <w:pStyle w:val="Listparagraf"/>
        <w:tabs>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 xml:space="preserve">6.5 </w:t>
      </w:r>
      <w:r>
        <w:rPr>
          <w:rFonts w:ascii="Times New Roman" w:eastAsia="Batang" w:hAnsi="Times New Roman" w:cs="Times New Roman"/>
          <w:sz w:val="28"/>
          <w:szCs w:val="28"/>
          <w:shd w:val="clear" w:color="auto" w:fill="FFFFFF"/>
          <w:lang w:eastAsia="ru-RU"/>
        </w:rPr>
        <w:t>elabor</w:t>
      </w:r>
      <w:r>
        <w:rPr>
          <w:rFonts w:ascii="Times New Roman" w:eastAsia="Batang" w:hAnsi="Times New Roman" w:cs="Times New Roman"/>
          <w:sz w:val="28"/>
          <w:szCs w:val="28"/>
          <w:shd w:val="clear" w:color="auto" w:fill="FFFFFF"/>
          <w:lang w:val="ro-RO" w:eastAsia="ru-RU"/>
        </w:rPr>
        <w:t>a</w:t>
      </w:r>
      <w:r>
        <w:rPr>
          <w:rFonts w:ascii="Times New Roman" w:eastAsia="Batang" w:hAnsi="Times New Roman" w:cs="Times New Roman"/>
          <w:sz w:val="28"/>
          <w:szCs w:val="28"/>
          <w:shd w:val="clear" w:color="auto" w:fill="FFFFFF"/>
          <w:lang w:eastAsia="ru-RU"/>
        </w:rPr>
        <w:t>r</w:t>
      </w:r>
      <w:r>
        <w:rPr>
          <w:rFonts w:ascii="Times New Roman" w:eastAsia="Batang" w:hAnsi="Times New Roman" w:cs="Times New Roman"/>
          <w:sz w:val="28"/>
          <w:szCs w:val="28"/>
          <w:shd w:val="clear" w:color="auto" w:fill="FFFFFF"/>
          <w:lang w:val="ro-RO" w:eastAsia="ru-RU"/>
        </w:rPr>
        <w:t>ea</w:t>
      </w:r>
      <w:r>
        <w:rPr>
          <w:rFonts w:ascii="Times New Roman" w:eastAsia="Batang" w:hAnsi="Times New Roman" w:cs="Times New Roman"/>
          <w:sz w:val="28"/>
          <w:szCs w:val="28"/>
          <w:shd w:val="clear" w:color="auto" w:fill="FFFFFF"/>
          <w:lang w:eastAsia="ru-RU"/>
        </w:rPr>
        <w:t xml:space="preserve"> rapoartelor finale de evaluare și monitorizare, conținând concluzii și recomandări privind </w:t>
      </w:r>
      <w:r>
        <w:rPr>
          <w:rFonts w:ascii="Times New Roman" w:eastAsia="Batang" w:hAnsi="Times New Roman" w:cs="Times New Roman"/>
          <w:sz w:val="28"/>
          <w:szCs w:val="28"/>
          <w:shd w:val="clear" w:color="auto" w:fill="FFFFFF"/>
          <w:lang w:val="ro-RO" w:eastAsia="ru-RU"/>
        </w:rPr>
        <w:t>măsurile</w:t>
      </w:r>
      <w:r>
        <w:rPr>
          <w:rFonts w:ascii="Times New Roman" w:eastAsia="Batang" w:hAnsi="Times New Roman" w:cs="Times New Roman"/>
          <w:sz w:val="28"/>
          <w:szCs w:val="28"/>
          <w:shd w:val="clear" w:color="auto" w:fill="FFFFFF"/>
          <w:lang w:eastAsia="ru-RU"/>
        </w:rPr>
        <w:t xml:space="preserve"> necesare soluționării problemelor identificate în timpul misiunilor de evaluare.</w:t>
      </w:r>
    </w:p>
    <w:p w14:paraId="5344CAEF" w14:textId="77777777" w:rsidR="00584D11" w:rsidRDefault="00584D11">
      <w:pPr>
        <w:pStyle w:val="Listparagraf"/>
        <w:tabs>
          <w:tab w:val="left" w:pos="851"/>
          <w:tab w:val="left" w:pos="1134"/>
        </w:tabs>
        <w:spacing w:after="0"/>
        <w:ind w:left="360" w:right="-1"/>
        <w:jc w:val="both"/>
        <w:rPr>
          <w:rFonts w:ascii="Times New Roman" w:eastAsia="Batang" w:hAnsi="Times New Roman" w:cs="Times New Roman"/>
          <w:sz w:val="28"/>
          <w:szCs w:val="28"/>
          <w:shd w:val="clear" w:color="auto" w:fill="FFFFFF"/>
          <w:lang w:eastAsia="ru-RU"/>
        </w:rPr>
      </w:pPr>
    </w:p>
    <w:p w14:paraId="7682D880" w14:textId="77777777" w:rsidR="00584D11" w:rsidRDefault="00000000">
      <w:pPr>
        <w:spacing w:after="0" w:line="240" w:lineRule="auto"/>
        <w:jc w:val="center"/>
        <w:rPr>
          <w:rFonts w:ascii="Times New Roman" w:hAnsi="Times New Roman" w:cs="Times New Roman"/>
          <w:b/>
          <w:bCs/>
          <w:sz w:val="28"/>
          <w:szCs w:val="28"/>
          <w:shd w:val="clear" w:color="auto" w:fill="FFFFFF"/>
          <w:lang w:eastAsia="ru-RU"/>
        </w:rPr>
      </w:pPr>
      <w:r>
        <w:rPr>
          <w:rFonts w:ascii="Times New Roman" w:hAnsi="Times New Roman" w:cs="Times New Roman"/>
          <w:b/>
          <w:bCs/>
          <w:sz w:val="28"/>
          <w:szCs w:val="28"/>
          <w:shd w:val="clear" w:color="auto" w:fill="FFFFFF"/>
          <w:lang w:eastAsia="ru-RU"/>
        </w:rPr>
        <w:t>Secțiunea a 2-a</w:t>
      </w:r>
    </w:p>
    <w:p w14:paraId="30EA64CC" w14:textId="232EE6C7" w:rsidR="00584D11" w:rsidRDefault="00000000" w:rsidP="00D326B7">
      <w:pPr>
        <w:spacing w:after="0" w:line="240" w:lineRule="auto"/>
        <w:jc w:val="center"/>
        <w:rPr>
          <w:rFonts w:ascii="Times New Roman" w:hAnsi="Times New Roman" w:cs="Times New Roman"/>
          <w:b/>
          <w:bCs/>
          <w:sz w:val="28"/>
          <w:szCs w:val="28"/>
          <w:shd w:val="clear" w:color="auto" w:fill="FFFFFF"/>
          <w:lang w:val="ro-RO" w:eastAsia="ru-RU"/>
        </w:rPr>
      </w:pPr>
      <w:r>
        <w:rPr>
          <w:rFonts w:ascii="Times New Roman" w:hAnsi="Times New Roman" w:cs="Times New Roman"/>
          <w:b/>
          <w:bCs/>
          <w:sz w:val="28"/>
          <w:szCs w:val="28"/>
          <w:shd w:val="clear" w:color="auto" w:fill="FFFFFF"/>
          <w:lang w:eastAsia="ru-RU"/>
        </w:rPr>
        <w:t xml:space="preserve">Organizarea și funcționarea </w:t>
      </w:r>
      <w:r w:rsidR="003F2364">
        <w:rPr>
          <w:rFonts w:ascii="Times New Roman" w:hAnsi="Times New Roman" w:cs="Times New Roman"/>
          <w:b/>
          <w:bCs/>
          <w:sz w:val="28"/>
          <w:szCs w:val="28"/>
          <w:shd w:val="clear" w:color="auto" w:fill="FFFFFF"/>
          <w:lang w:val="ro-RO" w:eastAsia="ru-RU"/>
        </w:rPr>
        <w:t xml:space="preserve">echipei </w:t>
      </w:r>
      <w:r>
        <w:rPr>
          <w:rFonts w:ascii="Times New Roman" w:hAnsi="Times New Roman" w:cs="Times New Roman"/>
          <w:b/>
          <w:bCs/>
          <w:sz w:val="28"/>
          <w:szCs w:val="28"/>
          <w:shd w:val="clear" w:color="auto" w:fill="FFFFFF"/>
          <w:lang w:val="ro-RO" w:eastAsia="ru-RU"/>
        </w:rPr>
        <w:t>de evaluare</w:t>
      </w:r>
    </w:p>
    <w:p w14:paraId="0DE9AA17" w14:textId="77777777" w:rsidR="00584D11" w:rsidRDefault="00000000">
      <w:pPr>
        <w:pStyle w:val="Listparagraf"/>
        <w:numPr>
          <w:ilvl w:val="0"/>
          <w:numId w:val="1"/>
        </w:numPr>
        <w:tabs>
          <w:tab w:val="clear" w:pos="425"/>
          <w:tab w:val="left" w:pos="851"/>
          <w:tab w:val="left" w:pos="1134"/>
        </w:tabs>
        <w:spacing w:after="0"/>
        <w:ind w:left="0" w:right="-1" w:firstLineChars="235" w:firstLine="658"/>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Echipa de evaluare se constituie printr-un act normativ comun </w:t>
      </w:r>
      <w:r>
        <w:rPr>
          <w:rFonts w:ascii="Times New Roman" w:eastAsia="Batang" w:hAnsi="Times New Roman" w:cs="Times New Roman"/>
          <w:sz w:val="28"/>
          <w:szCs w:val="28"/>
          <w:shd w:val="clear" w:color="auto" w:fill="FFFFFF"/>
          <w:lang w:val="ro-RO" w:eastAsia="ru-RU"/>
        </w:rPr>
        <w:t xml:space="preserve">privind efectuarea misiunii de evaluare, </w:t>
      </w:r>
      <w:r>
        <w:rPr>
          <w:rFonts w:ascii="Times New Roman" w:eastAsia="Batang" w:hAnsi="Times New Roman" w:cs="Times New Roman"/>
          <w:sz w:val="28"/>
          <w:szCs w:val="28"/>
          <w:shd w:val="clear" w:color="auto" w:fill="FFFFFF"/>
          <w:lang w:eastAsia="ru-RU"/>
        </w:rPr>
        <w:t>al autorităților din sistemul MIFS, ai căror angajați vor participa la misiunea de evaluare. Actul normativ comun va conține, cel puțin, următoarele informații:</w:t>
      </w:r>
    </w:p>
    <w:p w14:paraId="479CB6A8" w14:textId="77777777" w:rsidR="00584D11" w:rsidRDefault="00000000">
      <w:pPr>
        <w:pStyle w:val="Listparagraf"/>
        <w:tabs>
          <w:tab w:val="left" w:pos="1100"/>
        </w:tabs>
        <w:spacing w:after="0"/>
        <w:ind w:left="0" w:right="-1" w:firstLine="720"/>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7</w:t>
      </w:r>
      <w:r>
        <w:rPr>
          <w:rFonts w:ascii="Times New Roman" w:eastAsia="Batang" w:hAnsi="Times New Roman" w:cs="Times New Roman"/>
          <w:sz w:val="28"/>
          <w:szCs w:val="28"/>
          <w:shd w:val="clear" w:color="auto" w:fill="FFFFFF"/>
          <w:lang w:eastAsia="ru-RU"/>
        </w:rPr>
        <w:t>.1 componența și coordonatorul echipei de evaluare;</w:t>
      </w:r>
    </w:p>
    <w:p w14:paraId="03CF0933" w14:textId="77777777" w:rsidR="00584D11" w:rsidRDefault="00000000">
      <w:pPr>
        <w:pStyle w:val="Listparagraf"/>
        <w:tabs>
          <w:tab w:val="left" w:pos="1100"/>
        </w:tabs>
        <w:spacing w:after="0"/>
        <w:ind w:left="0" w:right="-1" w:firstLine="720"/>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7</w:t>
      </w:r>
      <w:r>
        <w:rPr>
          <w:rFonts w:ascii="Times New Roman" w:eastAsia="Batang" w:hAnsi="Times New Roman" w:cs="Times New Roman"/>
          <w:sz w:val="28"/>
          <w:szCs w:val="28"/>
          <w:shd w:val="clear" w:color="auto" w:fill="FFFFFF"/>
          <w:lang w:eastAsia="ru-RU"/>
        </w:rPr>
        <w:t>.2 scopul și obiectivele misiunii de evaluare;</w:t>
      </w:r>
    </w:p>
    <w:p w14:paraId="7F5EFF09" w14:textId="77777777" w:rsidR="00584D11" w:rsidRDefault="00000000">
      <w:pPr>
        <w:pStyle w:val="Listparagraf"/>
        <w:tabs>
          <w:tab w:val="left" w:pos="1100"/>
        </w:tabs>
        <w:spacing w:after="0"/>
        <w:ind w:left="0" w:right="-1" w:firstLine="720"/>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7</w:t>
      </w:r>
      <w:r>
        <w:rPr>
          <w:rFonts w:ascii="Times New Roman" w:eastAsia="Batang" w:hAnsi="Times New Roman" w:cs="Times New Roman"/>
          <w:sz w:val="28"/>
          <w:szCs w:val="28"/>
          <w:shd w:val="clear" w:color="auto" w:fill="FFFFFF"/>
          <w:lang w:eastAsia="ru-RU"/>
        </w:rPr>
        <w:t>.3 metodele misiunii de evaluare;</w:t>
      </w:r>
    </w:p>
    <w:p w14:paraId="2CA4DCF5" w14:textId="3010603C" w:rsidR="002F698D" w:rsidRDefault="00000000" w:rsidP="002F698D">
      <w:pPr>
        <w:pStyle w:val="Listparagraf"/>
        <w:tabs>
          <w:tab w:val="left" w:pos="1100"/>
        </w:tabs>
        <w:spacing w:after="0"/>
        <w:ind w:left="0" w:right="-1" w:firstLine="720"/>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val="ro-RO" w:eastAsia="ru-RU"/>
        </w:rPr>
        <w:t>7</w:t>
      </w:r>
      <w:r>
        <w:rPr>
          <w:rFonts w:ascii="Times New Roman" w:eastAsia="Batang" w:hAnsi="Times New Roman" w:cs="Times New Roman"/>
          <w:sz w:val="28"/>
          <w:szCs w:val="28"/>
          <w:shd w:val="clear" w:color="auto" w:fill="FFFFFF"/>
          <w:lang w:eastAsia="ru-RU"/>
        </w:rPr>
        <w:t>.4 tematica/subiectul evaluat;</w:t>
      </w:r>
    </w:p>
    <w:p w14:paraId="701E29F1" w14:textId="510E8D9B" w:rsidR="00584D11" w:rsidRPr="002F698D" w:rsidRDefault="002F698D" w:rsidP="002F698D">
      <w:pPr>
        <w:pStyle w:val="Listparagraf"/>
        <w:tabs>
          <w:tab w:val="left" w:pos="1100"/>
        </w:tabs>
        <w:spacing w:after="0"/>
        <w:ind w:left="0" w:right="-1" w:firstLine="720"/>
        <w:jc w:val="both"/>
        <w:rPr>
          <w:rFonts w:ascii="Times New Roman" w:eastAsia="Batang" w:hAnsi="Times New Roman" w:cs="Times New Roman"/>
          <w:sz w:val="28"/>
          <w:szCs w:val="28"/>
          <w:shd w:val="clear" w:color="auto" w:fill="FFFFFF"/>
          <w:lang w:val="ro-MD" w:eastAsia="ru-RU"/>
        </w:rPr>
      </w:pPr>
      <w:r>
        <w:rPr>
          <w:rFonts w:ascii="Times New Roman" w:eastAsia="Batang" w:hAnsi="Times New Roman" w:cs="Times New Roman"/>
          <w:sz w:val="28"/>
          <w:szCs w:val="28"/>
          <w:shd w:val="clear" w:color="auto" w:fill="FFFFFF"/>
          <w:lang w:val="ro-MD" w:eastAsia="ru-RU"/>
        </w:rPr>
        <w:t xml:space="preserve">7.5 </w:t>
      </w:r>
      <w:r>
        <w:rPr>
          <w:rFonts w:ascii="Times New Roman" w:eastAsia="Batang" w:hAnsi="Times New Roman" w:cs="Times New Roman"/>
          <w:sz w:val="28"/>
          <w:szCs w:val="28"/>
          <w:shd w:val="clear" w:color="auto" w:fill="FFFFFF"/>
          <w:lang w:eastAsia="ru-RU"/>
        </w:rPr>
        <w:t xml:space="preserve">autoritatea/autoritățile din sistemul MIFS și/sau, după caz, subdiviziunea/subdiviziunile </w:t>
      </w:r>
      <w:r w:rsidR="00B94616">
        <w:rPr>
          <w:rFonts w:ascii="Times New Roman" w:eastAsia="Batang" w:hAnsi="Times New Roman" w:cs="Times New Roman"/>
          <w:sz w:val="28"/>
          <w:szCs w:val="28"/>
          <w:shd w:val="clear" w:color="auto" w:fill="FFFFFF"/>
          <w:lang w:val="ro-MD" w:eastAsia="ru-RU"/>
        </w:rPr>
        <w:t>intern</w:t>
      </w:r>
      <w:r>
        <w:rPr>
          <w:rFonts w:ascii="Times New Roman" w:eastAsia="Batang" w:hAnsi="Times New Roman" w:cs="Times New Roman"/>
          <w:sz w:val="28"/>
          <w:szCs w:val="28"/>
          <w:shd w:val="clear" w:color="auto" w:fill="FFFFFF"/>
          <w:lang w:eastAsia="ru-RU"/>
        </w:rPr>
        <w:t>e ale acesteia/acestora, care vor fi evaluate;</w:t>
      </w:r>
    </w:p>
    <w:p w14:paraId="719BD8A8" w14:textId="77777777" w:rsidR="00584D11" w:rsidRDefault="00000000">
      <w:pPr>
        <w:pStyle w:val="Listparagraf"/>
        <w:tabs>
          <w:tab w:val="left" w:pos="1100"/>
        </w:tabs>
        <w:spacing w:after="0"/>
        <w:ind w:left="0" w:right="-1" w:firstLine="720"/>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7</w:t>
      </w:r>
      <w:r>
        <w:rPr>
          <w:rFonts w:ascii="Times New Roman" w:eastAsia="Batang" w:hAnsi="Times New Roman" w:cs="Times New Roman"/>
          <w:sz w:val="28"/>
          <w:szCs w:val="28"/>
          <w:shd w:val="clear" w:color="auto" w:fill="FFFFFF"/>
          <w:lang w:eastAsia="ru-RU"/>
        </w:rPr>
        <w:t>.6 data inițierii și finalizării misiunii de evaluare;</w:t>
      </w:r>
    </w:p>
    <w:p w14:paraId="0CFD00ED" w14:textId="77777777" w:rsidR="00584D11" w:rsidRDefault="00000000">
      <w:pPr>
        <w:pStyle w:val="Listparagraf"/>
        <w:tabs>
          <w:tab w:val="left" w:pos="851"/>
          <w:tab w:val="left" w:pos="1100"/>
          <w:tab w:val="left" w:pos="1134"/>
        </w:tabs>
        <w:spacing w:after="0"/>
        <w:ind w:left="0" w:right="-1" w:firstLine="720"/>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val="ro-RO" w:eastAsia="ru-RU"/>
        </w:rPr>
        <w:t>7</w:t>
      </w:r>
      <w:r>
        <w:rPr>
          <w:rFonts w:ascii="Times New Roman" w:eastAsia="Batang" w:hAnsi="Times New Roman" w:cs="Times New Roman"/>
          <w:sz w:val="28"/>
          <w:szCs w:val="28"/>
          <w:shd w:val="clear" w:color="auto" w:fill="FFFFFF"/>
          <w:lang w:eastAsia="ru-RU"/>
        </w:rPr>
        <w:t xml:space="preserve">.7 asigurarea logistică a echipei </w:t>
      </w:r>
      <w:r>
        <w:rPr>
          <w:rFonts w:ascii="Times New Roman" w:eastAsia="Batang" w:hAnsi="Times New Roman" w:cs="Times New Roman"/>
          <w:sz w:val="28"/>
          <w:szCs w:val="28"/>
          <w:shd w:val="clear" w:color="auto" w:fill="FFFFFF"/>
          <w:lang w:val="ro-RO" w:eastAsia="ru-RU"/>
        </w:rPr>
        <w:t>de evaluare</w:t>
      </w:r>
      <w:r>
        <w:rPr>
          <w:rFonts w:ascii="Times New Roman" w:eastAsia="Batang" w:hAnsi="Times New Roman" w:cs="Times New Roman"/>
          <w:sz w:val="28"/>
          <w:szCs w:val="28"/>
          <w:shd w:val="clear" w:color="auto" w:fill="FFFFFF"/>
          <w:lang w:eastAsia="ru-RU"/>
        </w:rPr>
        <w:t xml:space="preserve"> pe perioada misiunii de evaluare (transport, spațiu de lucru etc.).</w:t>
      </w:r>
    </w:p>
    <w:p w14:paraId="77548DA1" w14:textId="77777777" w:rsidR="00584D11" w:rsidRDefault="00000000">
      <w:pPr>
        <w:pStyle w:val="Listparagraf"/>
        <w:tabs>
          <w:tab w:val="left" w:pos="851"/>
          <w:tab w:val="left" w:pos="1134"/>
        </w:tabs>
        <w:spacing w:after="0"/>
        <w:ind w:left="0" w:right="-1" w:firstLine="720"/>
        <w:jc w:val="both"/>
        <w:rPr>
          <w:rFonts w:ascii="Times New Roman" w:eastAsia="Batang" w:hAnsi="Times New Roman" w:cs="Times New Roman"/>
          <w:sz w:val="28"/>
          <w:szCs w:val="28"/>
          <w:shd w:val="clear" w:color="auto" w:fill="FFFFFF"/>
          <w:lang w:eastAsia="ru-RU"/>
        </w:rPr>
      </w:pPr>
      <w:r w:rsidRPr="00460150">
        <w:rPr>
          <w:rFonts w:ascii="Times New Roman" w:eastAsia="Batang" w:hAnsi="Times New Roman" w:cs="Times New Roman"/>
          <w:b/>
          <w:bCs/>
          <w:sz w:val="28"/>
          <w:szCs w:val="28"/>
          <w:shd w:val="clear" w:color="auto" w:fill="FFFFFF"/>
          <w:lang w:val="ro-RO" w:eastAsia="ru-RU"/>
        </w:rPr>
        <w:t>8</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Secretariatul Consiliului în funcție de programul anual de evaluare, invită autoritățile din sistemul MIFS, să desemneze specialiști în calitate de membri ai echipei de evaluare</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 xml:space="preserve">În termen de 10 zile lucrătoare de la primirea invitației, </w:t>
      </w:r>
      <w:r>
        <w:rPr>
          <w:rFonts w:ascii="Times New Roman" w:eastAsia="Batang" w:hAnsi="Times New Roman" w:cs="Times New Roman"/>
          <w:sz w:val="28"/>
          <w:szCs w:val="28"/>
          <w:shd w:val="clear" w:color="auto" w:fill="FFFFFF"/>
          <w:lang w:eastAsia="ru-RU"/>
        </w:rPr>
        <w:lastRenderedPageBreak/>
        <w:t xml:space="preserve">conducătorii autorităților din sistemul MIFS vor desemna și vor comunica secretariatului Consiliului numele și datele de contact ale specialiștilor desemnați </w:t>
      </w:r>
      <w:r>
        <w:rPr>
          <w:rFonts w:ascii="Times New Roman" w:eastAsia="Batang" w:hAnsi="Times New Roman" w:cs="Times New Roman"/>
          <w:sz w:val="28"/>
          <w:szCs w:val="28"/>
          <w:shd w:val="clear" w:color="auto" w:fill="FFFFFF"/>
          <w:lang w:val="ro-RO" w:eastAsia="ru-RU"/>
        </w:rPr>
        <w:t xml:space="preserve">în calitate de </w:t>
      </w:r>
      <w:r>
        <w:rPr>
          <w:rFonts w:ascii="Times New Roman" w:eastAsia="Batang" w:hAnsi="Times New Roman" w:cs="Times New Roman"/>
          <w:sz w:val="28"/>
          <w:szCs w:val="28"/>
          <w:shd w:val="clear" w:color="auto" w:fill="FFFFFF"/>
          <w:lang w:eastAsia="ru-RU"/>
        </w:rPr>
        <w:t>membri ai echipelor de evaluare.</w:t>
      </w:r>
    </w:p>
    <w:p w14:paraId="0D241D1E" w14:textId="77777777" w:rsidR="00584D11" w:rsidRDefault="00000000">
      <w:pPr>
        <w:pStyle w:val="Listparagraf"/>
        <w:tabs>
          <w:tab w:val="left" w:pos="851"/>
          <w:tab w:val="left" w:pos="1134"/>
        </w:tabs>
        <w:spacing w:after="0"/>
        <w:ind w:left="0" w:right="-1" w:firstLine="720"/>
        <w:jc w:val="both"/>
        <w:rPr>
          <w:rFonts w:ascii="Times New Roman" w:eastAsia="Batang" w:hAnsi="Times New Roman" w:cs="Times New Roman"/>
          <w:sz w:val="28"/>
          <w:szCs w:val="28"/>
          <w:shd w:val="clear" w:color="auto" w:fill="FFFFFF"/>
          <w:lang w:val="ro-RO" w:eastAsia="ru-RU"/>
        </w:rPr>
      </w:pPr>
      <w:r w:rsidRPr="00460150">
        <w:rPr>
          <w:rFonts w:ascii="Times New Roman" w:eastAsia="Batang" w:hAnsi="Times New Roman" w:cs="Times New Roman"/>
          <w:b/>
          <w:bCs/>
          <w:sz w:val="28"/>
          <w:szCs w:val="28"/>
          <w:shd w:val="clear" w:color="auto" w:fill="FFFFFF"/>
          <w:lang w:val="ro-RO" w:eastAsia="ru-RU"/>
        </w:rPr>
        <w:t>9</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Secretariatul Consiliului poate invita autorit</w:t>
      </w:r>
      <w:proofErr w:type="spellStart"/>
      <w:r>
        <w:rPr>
          <w:rFonts w:ascii="Times New Roman" w:eastAsia="Batang" w:hAnsi="Times New Roman" w:cs="Times New Roman"/>
          <w:sz w:val="28"/>
          <w:szCs w:val="28"/>
          <w:shd w:val="clear" w:color="auto" w:fill="FFFFFF"/>
          <w:lang w:val="ro-RO" w:eastAsia="ru-RU"/>
        </w:rPr>
        <w:t>ățile</w:t>
      </w:r>
      <w:proofErr w:type="spellEnd"/>
      <w:r>
        <w:rPr>
          <w:rFonts w:ascii="Times New Roman" w:eastAsia="Batang" w:hAnsi="Times New Roman" w:cs="Times New Roman"/>
          <w:sz w:val="28"/>
          <w:szCs w:val="28"/>
          <w:shd w:val="clear" w:color="auto" w:fill="FFFFFF"/>
          <w:lang w:eastAsia="ru-RU"/>
        </w:rPr>
        <w:t xml:space="preserve"> sau instituți</w:t>
      </w:r>
      <w:proofErr w:type="spellStart"/>
      <w:r>
        <w:rPr>
          <w:rFonts w:ascii="Times New Roman" w:eastAsia="Batang" w:hAnsi="Times New Roman" w:cs="Times New Roman"/>
          <w:sz w:val="28"/>
          <w:szCs w:val="28"/>
          <w:shd w:val="clear" w:color="auto" w:fill="FFFFFF"/>
          <w:lang w:val="ro-RO" w:eastAsia="ru-RU"/>
        </w:rPr>
        <w:t>ile</w:t>
      </w:r>
      <w:proofErr w:type="spellEnd"/>
      <w:r>
        <w:rPr>
          <w:rFonts w:ascii="Times New Roman" w:eastAsia="Batang" w:hAnsi="Times New Roman" w:cs="Times New Roman"/>
          <w:sz w:val="28"/>
          <w:szCs w:val="28"/>
          <w:shd w:val="clear" w:color="auto" w:fill="FFFFFF"/>
          <w:lang w:eastAsia="ru-RU"/>
        </w:rPr>
        <w:t xml:space="preserve"> public</w:t>
      </w:r>
      <w:r>
        <w:rPr>
          <w:rFonts w:ascii="Times New Roman" w:eastAsia="Batang" w:hAnsi="Times New Roman" w:cs="Times New Roman"/>
          <w:sz w:val="28"/>
          <w:szCs w:val="28"/>
          <w:shd w:val="clear" w:color="auto" w:fill="FFFFFF"/>
          <w:lang w:val="ro-RO" w:eastAsia="ru-RU"/>
        </w:rPr>
        <w:t>e</w:t>
      </w:r>
      <w:r>
        <w:rPr>
          <w:rFonts w:ascii="Times New Roman" w:eastAsia="Batang" w:hAnsi="Times New Roman" w:cs="Times New Roman"/>
          <w:sz w:val="28"/>
          <w:szCs w:val="28"/>
          <w:shd w:val="clear" w:color="auto" w:fill="FFFFFF"/>
          <w:lang w:eastAsia="ru-RU"/>
        </w:rPr>
        <w:t>, organiza</w:t>
      </w:r>
      <w:proofErr w:type="spellStart"/>
      <w:r>
        <w:rPr>
          <w:rFonts w:ascii="Times New Roman" w:eastAsia="Batang" w:hAnsi="Times New Roman" w:cs="Times New Roman"/>
          <w:sz w:val="28"/>
          <w:szCs w:val="28"/>
          <w:shd w:val="clear" w:color="auto" w:fill="FFFFFF"/>
          <w:lang w:val="ro-RO" w:eastAsia="ru-RU"/>
        </w:rPr>
        <w:t>țiile</w:t>
      </w:r>
      <w:proofErr w:type="spellEnd"/>
      <w:r>
        <w:rPr>
          <w:rFonts w:ascii="Times New Roman" w:eastAsia="Batang" w:hAnsi="Times New Roman" w:cs="Times New Roman"/>
          <w:sz w:val="28"/>
          <w:szCs w:val="28"/>
          <w:shd w:val="clear" w:color="auto" w:fill="FFFFFF"/>
          <w:lang w:eastAsia="ru-RU"/>
        </w:rPr>
        <w:t xml:space="preserve"> non-guvernamental</w:t>
      </w:r>
      <w:r>
        <w:rPr>
          <w:rFonts w:ascii="Times New Roman" w:eastAsia="Batang" w:hAnsi="Times New Roman" w:cs="Times New Roman"/>
          <w:sz w:val="28"/>
          <w:szCs w:val="28"/>
          <w:shd w:val="clear" w:color="auto" w:fill="FFFFFF"/>
          <w:lang w:val="ro-RO" w:eastAsia="ru-RU"/>
        </w:rPr>
        <w:t>e</w:t>
      </w:r>
      <w:r>
        <w:rPr>
          <w:rFonts w:ascii="Times New Roman" w:eastAsia="Batang" w:hAnsi="Times New Roman" w:cs="Times New Roman"/>
          <w:sz w:val="28"/>
          <w:szCs w:val="28"/>
          <w:shd w:val="clear" w:color="auto" w:fill="FFFFFF"/>
          <w:lang w:eastAsia="ru-RU"/>
        </w:rPr>
        <w:t xml:space="preserve"> din Republica Moldova, și/sau organ</w:t>
      </w:r>
      <w:r>
        <w:rPr>
          <w:rFonts w:ascii="Times New Roman" w:eastAsia="Batang" w:hAnsi="Times New Roman" w:cs="Times New Roman"/>
          <w:sz w:val="28"/>
          <w:szCs w:val="28"/>
          <w:shd w:val="clear" w:color="auto" w:fill="FFFFFF"/>
          <w:lang w:val="ro-RO" w:eastAsia="ru-RU"/>
        </w:rPr>
        <w:t>ele</w:t>
      </w:r>
      <w:r>
        <w:rPr>
          <w:rFonts w:ascii="Times New Roman" w:eastAsia="Batang" w:hAnsi="Times New Roman" w:cs="Times New Roman"/>
          <w:sz w:val="28"/>
          <w:szCs w:val="28"/>
          <w:shd w:val="clear" w:color="auto" w:fill="FFFFFF"/>
          <w:lang w:eastAsia="ru-RU"/>
        </w:rPr>
        <w:t xml:space="preserve">, </w:t>
      </w:r>
      <w:r>
        <w:rPr>
          <w:rFonts w:ascii="Times New Roman" w:eastAsia="Batang" w:hAnsi="Times New Roman" w:cs="Times New Roman"/>
          <w:sz w:val="28"/>
          <w:szCs w:val="28"/>
          <w:shd w:val="clear" w:color="auto" w:fill="FFFFFF"/>
          <w:lang w:val="ro-RO" w:eastAsia="ru-RU"/>
        </w:rPr>
        <w:t>oficiile sau agențiile</w:t>
      </w:r>
      <w:r>
        <w:rPr>
          <w:rFonts w:ascii="Times New Roman" w:eastAsia="Batang" w:hAnsi="Times New Roman" w:cs="Times New Roman"/>
          <w:sz w:val="28"/>
          <w:szCs w:val="28"/>
          <w:shd w:val="clear" w:color="auto" w:fill="FFFFFF"/>
          <w:lang w:eastAsia="ru-RU"/>
        </w:rPr>
        <w:t xml:space="preserve"> din Uniunea Europeană</w:t>
      </w:r>
      <w:r>
        <w:rPr>
          <w:rFonts w:ascii="Times New Roman" w:eastAsia="Batang" w:hAnsi="Times New Roman" w:cs="Times New Roman"/>
          <w:sz w:val="28"/>
          <w:szCs w:val="28"/>
          <w:shd w:val="clear" w:color="auto" w:fill="FFFFFF"/>
          <w:lang w:val="ro-RO" w:eastAsia="ru-RU"/>
        </w:rPr>
        <w:t xml:space="preserve"> să desemneze </w:t>
      </w:r>
      <w:r>
        <w:rPr>
          <w:rFonts w:ascii="Times New Roman" w:eastAsia="Batang" w:hAnsi="Times New Roman" w:cs="Times New Roman"/>
          <w:sz w:val="28"/>
          <w:szCs w:val="28"/>
          <w:shd w:val="clear" w:color="auto" w:fill="FFFFFF"/>
          <w:lang w:eastAsia="ru-RU"/>
        </w:rPr>
        <w:t>observatori.</w:t>
      </w:r>
      <w:r>
        <w:rPr>
          <w:rFonts w:ascii="Times New Roman" w:eastAsia="Batang" w:hAnsi="Times New Roman" w:cs="Times New Roman"/>
          <w:sz w:val="28"/>
          <w:szCs w:val="28"/>
          <w:shd w:val="clear" w:color="auto" w:fill="FFFFFF"/>
          <w:lang w:val="ro-RO" w:eastAsia="ru-RU"/>
        </w:rPr>
        <w:t xml:space="preserve"> Pentru invitație și răspuns se aplică termenele prevăzute la punctul 8.</w:t>
      </w:r>
    </w:p>
    <w:p w14:paraId="740F8EE4" w14:textId="02B14739" w:rsidR="00584D11" w:rsidRDefault="00000000">
      <w:pPr>
        <w:pStyle w:val="Listparagraf"/>
        <w:tabs>
          <w:tab w:val="left" w:pos="851"/>
          <w:tab w:val="left" w:pos="1134"/>
        </w:tabs>
        <w:spacing w:after="0"/>
        <w:ind w:left="0" w:right="-1" w:firstLine="720"/>
        <w:jc w:val="both"/>
        <w:rPr>
          <w:rFonts w:ascii="Times New Roman" w:eastAsia="Batang" w:hAnsi="Times New Roman" w:cs="Times New Roman"/>
          <w:sz w:val="28"/>
          <w:szCs w:val="28"/>
          <w:shd w:val="clear" w:color="auto" w:fill="FFFFFF"/>
          <w:lang w:eastAsia="ru-RU"/>
        </w:rPr>
      </w:pPr>
      <w:r w:rsidRPr="00460150">
        <w:rPr>
          <w:rFonts w:ascii="Times New Roman" w:eastAsia="Batang" w:hAnsi="Times New Roman" w:cs="Times New Roman"/>
          <w:b/>
          <w:bCs/>
          <w:sz w:val="28"/>
          <w:szCs w:val="28"/>
          <w:shd w:val="clear" w:color="auto" w:fill="FFFFFF"/>
          <w:lang w:val="ro-RO" w:eastAsia="ru-RU"/>
        </w:rPr>
        <w:t>10</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 xml:space="preserve">Membrii </w:t>
      </w:r>
      <w:r w:rsidR="003F2364">
        <w:rPr>
          <w:rFonts w:ascii="Times New Roman" w:eastAsia="Batang" w:hAnsi="Times New Roman" w:cs="Times New Roman"/>
          <w:sz w:val="28"/>
          <w:szCs w:val="28"/>
          <w:shd w:val="clear" w:color="auto" w:fill="FFFFFF"/>
          <w:lang w:eastAsia="ru-RU"/>
        </w:rPr>
        <w:t xml:space="preserve">echipei </w:t>
      </w:r>
      <w:r>
        <w:rPr>
          <w:rFonts w:ascii="Times New Roman" w:eastAsia="Batang" w:hAnsi="Times New Roman" w:cs="Times New Roman"/>
          <w:sz w:val="28"/>
          <w:szCs w:val="28"/>
          <w:shd w:val="clear" w:color="auto" w:fill="FFFFFF"/>
          <w:lang w:eastAsia="ru-RU"/>
        </w:rPr>
        <w:t>de evaluare și/sau monitorizare și observatorii dețin calificări corespunzătoare, inclusiv cunoștințe teoretice solide și experiență practică în domeniile vizate de evaluare și monitorizare, precum și cunoștințe temeinice privind principiile, procedurile și tehnicile de evaluare.</w:t>
      </w:r>
    </w:p>
    <w:p w14:paraId="13E9C6CE" w14:textId="77777777" w:rsidR="00584D11" w:rsidRDefault="00000000">
      <w:pPr>
        <w:pStyle w:val="Listparagraf"/>
        <w:tabs>
          <w:tab w:val="left" w:pos="851"/>
          <w:tab w:val="left" w:pos="1134"/>
        </w:tabs>
        <w:spacing w:after="0"/>
        <w:ind w:left="0" w:right="-1" w:firstLine="720"/>
        <w:jc w:val="both"/>
        <w:rPr>
          <w:rFonts w:ascii="Times New Roman" w:eastAsia="Batang" w:hAnsi="Times New Roman" w:cs="Times New Roman"/>
          <w:sz w:val="28"/>
          <w:szCs w:val="28"/>
          <w:shd w:val="clear" w:color="auto" w:fill="FFFFFF"/>
          <w:lang w:eastAsia="ru-RU"/>
        </w:rPr>
      </w:pPr>
      <w:r w:rsidRPr="00460150">
        <w:rPr>
          <w:rFonts w:ascii="Times New Roman" w:eastAsia="Batang" w:hAnsi="Times New Roman" w:cs="Times New Roman"/>
          <w:b/>
          <w:bCs/>
          <w:sz w:val="28"/>
          <w:szCs w:val="28"/>
          <w:shd w:val="clear" w:color="auto" w:fill="FFFFFF"/>
          <w:lang w:val="ro-RO" w:eastAsia="ru-RU"/>
        </w:rPr>
        <w:t>11.</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 xml:space="preserve">Membrii </w:t>
      </w:r>
      <w:r>
        <w:rPr>
          <w:rFonts w:ascii="Times New Roman" w:eastAsia="Batang" w:hAnsi="Times New Roman" w:cs="Times New Roman"/>
          <w:sz w:val="28"/>
          <w:szCs w:val="28"/>
          <w:shd w:val="clear" w:color="auto" w:fill="FFFFFF"/>
          <w:lang w:val="ro-RO" w:eastAsia="ru-RU"/>
        </w:rPr>
        <w:t>echipei de evaluare</w:t>
      </w:r>
      <w:r>
        <w:rPr>
          <w:rFonts w:ascii="Times New Roman" w:eastAsia="Batang" w:hAnsi="Times New Roman" w:cs="Times New Roman"/>
          <w:sz w:val="28"/>
          <w:szCs w:val="28"/>
          <w:shd w:val="clear" w:color="auto" w:fill="FFFFFF"/>
          <w:lang w:eastAsia="ru-RU"/>
        </w:rPr>
        <w:t xml:space="preserve"> își păstrează calitatea pe care o au în cadrul autorităților din care provin, precum și toate drepturile ce decurg din această calitate. Sarcinile echipei de evaluare se îndeplinesc de către membrii acest</w:t>
      </w:r>
      <w:r>
        <w:rPr>
          <w:rFonts w:ascii="Times New Roman" w:eastAsia="Batang" w:hAnsi="Times New Roman" w:cs="Times New Roman"/>
          <w:sz w:val="28"/>
          <w:szCs w:val="28"/>
          <w:shd w:val="clear" w:color="auto" w:fill="FFFFFF"/>
          <w:lang w:val="ro-RO" w:eastAsia="ru-RU"/>
        </w:rPr>
        <w:t>e</w:t>
      </w:r>
      <w:r>
        <w:rPr>
          <w:rFonts w:ascii="Times New Roman" w:eastAsia="Batang" w:hAnsi="Times New Roman" w:cs="Times New Roman"/>
          <w:sz w:val="28"/>
          <w:szCs w:val="28"/>
          <w:shd w:val="clear" w:color="auto" w:fill="FFFFFF"/>
          <w:lang w:eastAsia="ru-RU"/>
        </w:rPr>
        <w:t>ia în cadrul atribuțiilor de serviciu și activitatea acestora nu este remunerată suplimentar. Pe perioada desfășurării misiunilor de evaluare, de regulă, membrii echipei de evaluare sunt exonerați de îndeplinirea atribuțiile de serviciu de bază.</w:t>
      </w:r>
    </w:p>
    <w:p w14:paraId="51B2DFA2" w14:textId="77777777" w:rsidR="00584D11" w:rsidRDefault="00000000">
      <w:pPr>
        <w:pStyle w:val="Listparagraf"/>
        <w:numPr>
          <w:ilvl w:val="0"/>
          <w:numId w:val="4"/>
        </w:numPr>
        <w:tabs>
          <w:tab w:val="left" w:pos="851"/>
          <w:tab w:val="left" w:pos="1134"/>
        </w:tabs>
        <w:spacing w:after="0"/>
        <w:ind w:right="-1" w:hanging="92"/>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Coordonatorul echipei de evaluare:</w:t>
      </w:r>
    </w:p>
    <w:p w14:paraId="57A2655F" w14:textId="77777777" w:rsidR="00584D11" w:rsidRDefault="00000000">
      <w:pPr>
        <w:pStyle w:val="Listparagraf"/>
        <w:numPr>
          <w:ilvl w:val="1"/>
          <w:numId w:val="4"/>
        </w:numPr>
        <w:tabs>
          <w:tab w:val="left" w:pos="851"/>
          <w:tab w:val="left" w:pos="1134"/>
          <w:tab w:val="left" w:pos="1418"/>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asigură îndeplinirea atribuțiilor echipei</w:t>
      </w:r>
      <w:r>
        <w:rPr>
          <w:rFonts w:ascii="Times New Roman" w:eastAsia="Batang" w:hAnsi="Times New Roman" w:cs="Times New Roman"/>
          <w:sz w:val="28"/>
          <w:szCs w:val="28"/>
          <w:shd w:val="clear" w:color="auto" w:fill="FFFFFF"/>
          <w:lang w:val="ro-RO" w:eastAsia="ru-RU"/>
        </w:rPr>
        <w:t xml:space="preserve"> de evaluare</w:t>
      </w:r>
      <w:r>
        <w:rPr>
          <w:rFonts w:ascii="Times New Roman" w:eastAsia="Batang" w:hAnsi="Times New Roman" w:cs="Times New Roman"/>
          <w:sz w:val="28"/>
          <w:szCs w:val="28"/>
          <w:shd w:val="clear" w:color="auto" w:fill="FFFFFF"/>
          <w:lang w:eastAsia="ru-RU"/>
        </w:rPr>
        <w:t>;</w:t>
      </w:r>
    </w:p>
    <w:p w14:paraId="498CBD85" w14:textId="21195E85" w:rsidR="00584D11" w:rsidRDefault="00000000" w:rsidP="003F2364">
      <w:pPr>
        <w:pStyle w:val="Listparagraf"/>
        <w:numPr>
          <w:ilvl w:val="1"/>
          <w:numId w:val="4"/>
        </w:numPr>
        <w:tabs>
          <w:tab w:val="left" w:pos="851"/>
          <w:tab w:val="left" w:pos="1134"/>
          <w:tab w:val="left" w:pos="1276"/>
        </w:tabs>
        <w:spacing w:after="0"/>
        <w:ind w:left="0" w:right="-1" w:firstLine="709"/>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reprezintă echipa </w:t>
      </w:r>
      <w:r>
        <w:rPr>
          <w:rFonts w:ascii="Times New Roman" w:eastAsia="Batang" w:hAnsi="Times New Roman" w:cs="Times New Roman"/>
          <w:sz w:val="28"/>
          <w:szCs w:val="28"/>
          <w:shd w:val="clear" w:color="auto" w:fill="FFFFFF"/>
          <w:lang w:val="ro-RO" w:eastAsia="ru-RU"/>
        </w:rPr>
        <w:t xml:space="preserve">de evaluare </w:t>
      </w:r>
      <w:r>
        <w:rPr>
          <w:rFonts w:ascii="Times New Roman" w:eastAsia="Batang" w:hAnsi="Times New Roman" w:cs="Times New Roman"/>
          <w:sz w:val="28"/>
          <w:szCs w:val="28"/>
          <w:shd w:val="clear" w:color="auto" w:fill="FFFFFF"/>
          <w:lang w:eastAsia="ru-RU"/>
        </w:rPr>
        <w:t xml:space="preserve">în relațiile cu Secretariatul Consiliul, cu Grupul de lucru pentru controlul calității, cu </w:t>
      </w:r>
      <w:r>
        <w:rPr>
          <w:rFonts w:ascii="Times New Roman" w:eastAsia="Batang" w:hAnsi="Times New Roman" w:cs="Times New Roman"/>
          <w:sz w:val="28"/>
          <w:szCs w:val="28"/>
          <w:shd w:val="clear" w:color="auto" w:fill="FFFFFF"/>
          <w:lang w:val="ro-RO" w:eastAsia="ru-RU"/>
        </w:rPr>
        <w:t xml:space="preserve">Consiliul, cu </w:t>
      </w:r>
      <w:r>
        <w:rPr>
          <w:rFonts w:ascii="Times New Roman" w:eastAsia="Batang" w:hAnsi="Times New Roman" w:cs="Times New Roman"/>
          <w:sz w:val="28"/>
          <w:szCs w:val="28"/>
          <w:shd w:val="clear" w:color="auto" w:fill="FFFFFF"/>
          <w:lang w:eastAsia="ru-RU"/>
        </w:rPr>
        <w:t>alte autorități și organizații naționale și internaționale;</w:t>
      </w:r>
    </w:p>
    <w:p w14:paraId="35A33C37" w14:textId="77777777" w:rsidR="00584D11" w:rsidRDefault="00000000">
      <w:pPr>
        <w:pStyle w:val="Listparagraf"/>
        <w:numPr>
          <w:ilvl w:val="1"/>
          <w:numId w:val="4"/>
        </w:num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aprobă planul misiunii de evaluare;</w:t>
      </w:r>
    </w:p>
    <w:p w14:paraId="1F34C55C" w14:textId="77777777" w:rsidR="00584D11" w:rsidRDefault="00000000">
      <w:pPr>
        <w:pStyle w:val="Listparagraf"/>
        <w:numPr>
          <w:ilvl w:val="1"/>
          <w:numId w:val="4"/>
        </w:numPr>
        <w:tabs>
          <w:tab w:val="left" w:pos="851"/>
          <w:tab w:val="left" w:pos="1134"/>
        </w:tabs>
        <w:spacing w:after="0"/>
        <w:ind w:left="0" w:right="-1" w:firstLine="709"/>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semnează actele echipei </w:t>
      </w:r>
      <w:r>
        <w:rPr>
          <w:rFonts w:ascii="Times New Roman" w:eastAsia="Batang" w:hAnsi="Times New Roman" w:cs="Times New Roman"/>
          <w:sz w:val="28"/>
          <w:szCs w:val="28"/>
          <w:shd w:val="clear" w:color="auto" w:fill="FFFFFF"/>
          <w:lang w:val="ro-RO" w:eastAsia="ru-RU"/>
        </w:rPr>
        <w:t>de evaluare</w:t>
      </w:r>
      <w:r>
        <w:rPr>
          <w:rFonts w:ascii="Times New Roman" w:eastAsia="Batang" w:hAnsi="Times New Roman" w:cs="Times New Roman"/>
          <w:sz w:val="28"/>
          <w:szCs w:val="28"/>
          <w:shd w:val="clear" w:color="auto" w:fill="FFFFFF"/>
          <w:lang w:eastAsia="ru-RU"/>
        </w:rPr>
        <w:t>;</w:t>
      </w:r>
    </w:p>
    <w:p w14:paraId="65102ED1" w14:textId="77777777" w:rsidR="00584D11" w:rsidRDefault="00000000">
      <w:pPr>
        <w:pStyle w:val="Listparagraf"/>
        <w:numPr>
          <w:ilvl w:val="1"/>
          <w:numId w:val="4"/>
        </w:numPr>
        <w:tabs>
          <w:tab w:val="left" w:pos="851"/>
          <w:tab w:val="left" w:pos="1134"/>
        </w:tabs>
        <w:spacing w:after="0"/>
        <w:ind w:left="0" w:right="-1" w:firstLine="709"/>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stabilește modalitatea de lucru și particularitățile de realizare a misiunii de evaluare;</w:t>
      </w:r>
    </w:p>
    <w:p w14:paraId="78B7A934" w14:textId="77777777" w:rsidR="00584D11" w:rsidRDefault="00000000">
      <w:pPr>
        <w:pStyle w:val="Listparagraf"/>
        <w:numPr>
          <w:ilvl w:val="1"/>
          <w:numId w:val="4"/>
        </w:numPr>
        <w:tabs>
          <w:tab w:val="left" w:pos="851"/>
          <w:tab w:val="left" w:pos="1134"/>
        </w:tabs>
        <w:spacing w:after="0"/>
        <w:ind w:left="0" w:right="-1" w:firstLine="709"/>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prezintă rezultatele evaluării în cadrul Consiliului. </w:t>
      </w:r>
    </w:p>
    <w:p w14:paraId="5DADFB63" w14:textId="77777777" w:rsidR="00584D11" w:rsidRDefault="00584D11">
      <w:pPr>
        <w:pStyle w:val="Listparagraf"/>
        <w:tabs>
          <w:tab w:val="left" w:pos="851"/>
          <w:tab w:val="left" w:pos="1134"/>
        </w:tabs>
        <w:spacing w:after="0"/>
        <w:ind w:left="360" w:right="-1" w:hanging="26"/>
        <w:jc w:val="both"/>
        <w:rPr>
          <w:rFonts w:ascii="Times New Roman" w:eastAsia="Batang" w:hAnsi="Times New Roman" w:cs="Times New Roman"/>
          <w:sz w:val="28"/>
          <w:szCs w:val="28"/>
          <w:shd w:val="clear" w:color="auto" w:fill="FFFFFF"/>
          <w:lang w:eastAsia="ru-RU"/>
        </w:rPr>
      </w:pPr>
    </w:p>
    <w:p w14:paraId="6008F574" w14:textId="77777777" w:rsidR="00584D11" w:rsidRDefault="00000000" w:rsidP="00D326B7">
      <w:pPr>
        <w:spacing w:after="0"/>
        <w:jc w:val="center"/>
        <w:rPr>
          <w:rFonts w:ascii="Times New Roman" w:hAnsi="Times New Roman" w:cs="Times New Roman"/>
          <w:b/>
          <w:bCs/>
          <w:sz w:val="28"/>
          <w:szCs w:val="28"/>
          <w:shd w:val="clear" w:color="auto" w:fill="FFFFFF"/>
          <w:lang w:eastAsia="ru-RU"/>
        </w:rPr>
      </w:pPr>
      <w:r>
        <w:rPr>
          <w:rFonts w:ascii="Times New Roman" w:hAnsi="Times New Roman" w:cs="Times New Roman"/>
          <w:b/>
          <w:bCs/>
          <w:sz w:val="28"/>
          <w:szCs w:val="28"/>
          <w:shd w:val="clear" w:color="auto" w:fill="FFFFFF"/>
          <w:lang w:eastAsia="ru-RU"/>
        </w:rPr>
        <w:t>Secțiunea a 3-a</w:t>
      </w:r>
    </w:p>
    <w:p w14:paraId="38E32DEC" w14:textId="77777777" w:rsidR="00584D11" w:rsidRDefault="00000000" w:rsidP="00D326B7">
      <w:pPr>
        <w:spacing w:after="0"/>
        <w:jc w:val="center"/>
        <w:rPr>
          <w:rFonts w:ascii="Times New Roman" w:hAnsi="Times New Roman" w:cs="Times New Roman"/>
          <w:b/>
          <w:bCs/>
          <w:sz w:val="28"/>
          <w:szCs w:val="28"/>
          <w:shd w:val="clear" w:color="auto" w:fill="FFFFFF"/>
          <w:lang w:eastAsia="ru-RU"/>
        </w:rPr>
      </w:pPr>
      <w:r>
        <w:rPr>
          <w:rFonts w:ascii="Times New Roman" w:hAnsi="Times New Roman" w:cs="Times New Roman"/>
          <w:b/>
          <w:bCs/>
          <w:sz w:val="28"/>
          <w:szCs w:val="28"/>
          <w:shd w:val="clear" w:color="auto" w:fill="FFFFFF"/>
          <w:lang w:eastAsia="ru-RU"/>
        </w:rPr>
        <w:t>Planificarea și efectuarea misiunilor de evaluare</w:t>
      </w:r>
    </w:p>
    <w:p w14:paraId="0DADDBD9" w14:textId="77777777" w:rsidR="00584D11" w:rsidRDefault="00000000">
      <w:pPr>
        <w:pStyle w:val="Listparagraf"/>
        <w:numPr>
          <w:ilvl w:val="0"/>
          <w:numId w:val="4"/>
        </w:numPr>
        <w:tabs>
          <w:tab w:val="left" w:pos="851"/>
          <w:tab w:val="left" w:pos="1134"/>
        </w:tabs>
        <w:spacing w:after="0"/>
        <w:ind w:left="0" w:right="-1" w:firstLine="709"/>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Misiunile de evaluare se efectuează în baza programului național anual de evaluare aprobat de Consiliu, conform planificării propuse de Secretariatul</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 xml:space="preserve">Consiliului ținând cont de propunerile, recomandările și informațiile prezentate de </w:t>
      </w:r>
      <w:r>
        <w:rPr>
          <w:rFonts w:ascii="Times New Roman" w:eastAsia="Batang" w:hAnsi="Times New Roman" w:cs="Times New Roman"/>
          <w:sz w:val="28"/>
          <w:szCs w:val="28"/>
          <w:shd w:val="clear" w:color="auto" w:fill="FFFFFF"/>
          <w:lang w:val="ro-RO" w:eastAsia="ru-RU"/>
        </w:rPr>
        <w:t>G</w:t>
      </w:r>
      <w:r>
        <w:rPr>
          <w:rFonts w:ascii="Times New Roman" w:eastAsia="Batang" w:hAnsi="Times New Roman" w:cs="Times New Roman"/>
          <w:sz w:val="28"/>
          <w:szCs w:val="28"/>
          <w:shd w:val="clear" w:color="auto" w:fill="FFFFFF"/>
          <w:lang w:eastAsia="ru-RU"/>
        </w:rPr>
        <w:t>rupul de lucru pentru controlul calității.</w:t>
      </w:r>
    </w:p>
    <w:p w14:paraId="40824B1F" w14:textId="77777777" w:rsidR="00584D11" w:rsidRDefault="00000000">
      <w:pPr>
        <w:pStyle w:val="Listparagraf"/>
        <w:numPr>
          <w:ilvl w:val="0"/>
          <w:numId w:val="4"/>
        </w:numPr>
        <w:tabs>
          <w:tab w:val="left" w:pos="851"/>
          <w:tab w:val="left" w:pos="1134"/>
        </w:tabs>
        <w:spacing w:after="0"/>
        <w:ind w:left="0" w:right="-1" w:firstLine="709"/>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Evaluările pot fi periodice sau tematice și pot fi combinate cu activități de monitorizare.</w:t>
      </w:r>
    </w:p>
    <w:p w14:paraId="2B52383D" w14:textId="77777777" w:rsidR="00584D11" w:rsidRDefault="00000000">
      <w:pPr>
        <w:pStyle w:val="Listparagraf"/>
        <w:numPr>
          <w:ilvl w:val="0"/>
          <w:numId w:val="4"/>
        </w:numPr>
        <w:tabs>
          <w:tab w:val="left" w:pos="851"/>
          <w:tab w:val="left" w:pos="1134"/>
        </w:tabs>
        <w:spacing w:after="0"/>
        <w:ind w:left="0" w:right="-1" w:firstLine="709"/>
        <w:jc w:val="both"/>
        <w:rPr>
          <w:rFonts w:ascii="Times New Roman" w:eastAsia="Batang" w:hAnsi="Times New Roman" w:cs="Times New Roman"/>
          <w:sz w:val="28"/>
          <w:szCs w:val="28"/>
          <w:shd w:val="clear" w:color="auto" w:fill="FFFFFF"/>
          <w:lang w:val="ro-RO" w:eastAsia="ru-RU"/>
        </w:rPr>
      </w:pPr>
      <w:r>
        <w:rPr>
          <w:rFonts w:ascii="Times New Roman" w:eastAsia="Batang" w:hAnsi="Times New Roman" w:cs="Times New Roman"/>
          <w:sz w:val="28"/>
          <w:szCs w:val="28"/>
          <w:shd w:val="clear" w:color="auto" w:fill="FFFFFF"/>
          <w:lang w:eastAsia="ru-RU"/>
        </w:rPr>
        <w:t>Consiliul poate organiza evaluări neanunțate, în special</w:t>
      </w:r>
      <w:r>
        <w:rPr>
          <w:rFonts w:ascii="Times New Roman" w:eastAsia="Batang" w:hAnsi="Times New Roman" w:cs="Times New Roman"/>
          <w:sz w:val="28"/>
          <w:szCs w:val="28"/>
          <w:shd w:val="clear" w:color="auto" w:fill="FFFFFF"/>
          <w:lang w:val="ro-RO" w:eastAsia="ru-RU"/>
        </w:rPr>
        <w:t xml:space="preserve"> atunci când ia cunoștință de probleme emergente sau sistemice care ar putea avea un impact negativ semnificativ asupra funcționării MIFS, inclusiv circumstanțe care ar constitui o </w:t>
      </w:r>
      <w:r>
        <w:rPr>
          <w:rFonts w:ascii="Times New Roman" w:eastAsia="Batang" w:hAnsi="Times New Roman" w:cs="Times New Roman"/>
          <w:sz w:val="28"/>
          <w:szCs w:val="28"/>
          <w:shd w:val="clear" w:color="auto" w:fill="FFFFFF"/>
          <w:lang w:val="ro-RO" w:eastAsia="ru-RU"/>
        </w:rPr>
        <w:lastRenderedPageBreak/>
        <w:t>amenințare la adresa ordinii publice și/sau securității naționale și atunci când are motive să considere că au loc încălcări grave ale drepturilor omului. Decizia privind organizarea unei evaluări neanunțate poate fi adoptată în cadrul ședinței ad-hoc a Consiliului, prin unanimitate.</w:t>
      </w:r>
    </w:p>
    <w:p w14:paraId="58468B26" w14:textId="4BAEE82E" w:rsidR="00584D11" w:rsidRDefault="00000000">
      <w:pPr>
        <w:pStyle w:val="Listparagraf"/>
        <w:numPr>
          <w:ilvl w:val="0"/>
          <w:numId w:val="4"/>
        </w:numPr>
        <w:tabs>
          <w:tab w:val="left" w:pos="993"/>
          <w:tab w:val="left" w:pos="1134"/>
          <w:tab w:val="left" w:pos="1276"/>
        </w:tabs>
        <w:spacing w:after="0"/>
        <w:ind w:left="0" w:right="-1" w:firstLine="851"/>
        <w:jc w:val="both"/>
        <w:rPr>
          <w:rFonts w:ascii="Times New Roman" w:eastAsia="Batang" w:hAnsi="Times New Roman" w:cs="Times New Roman"/>
          <w:strike/>
          <w:sz w:val="28"/>
          <w:szCs w:val="28"/>
          <w:shd w:val="clear" w:color="auto" w:fill="FFFFFF"/>
          <w:lang w:eastAsia="ru-RU"/>
        </w:rPr>
      </w:pPr>
      <w:r>
        <w:rPr>
          <w:rFonts w:ascii="Times New Roman" w:eastAsia="Batang" w:hAnsi="Times New Roman" w:cs="Times New Roman"/>
          <w:sz w:val="28"/>
          <w:szCs w:val="28"/>
          <w:shd w:val="clear" w:color="auto" w:fill="FFFFFF"/>
          <w:lang w:eastAsia="ru-RU"/>
        </w:rPr>
        <w:t>Misiunile de evaluare</w:t>
      </w:r>
      <w:r w:rsidR="00AE06A5">
        <w:rPr>
          <w:rFonts w:ascii="Times New Roman" w:eastAsia="Batang" w:hAnsi="Times New Roman" w:cs="Times New Roman"/>
          <w:sz w:val="28"/>
          <w:szCs w:val="28"/>
          <w:shd w:val="clear" w:color="auto" w:fill="FFFFFF"/>
          <w:lang w:val="ro-MD" w:eastAsia="ru-RU"/>
        </w:rPr>
        <w:t xml:space="preserve"> și activitățile de monitorizare</w:t>
      </w:r>
      <w:r>
        <w:rPr>
          <w:rFonts w:ascii="Times New Roman" w:eastAsia="Batang" w:hAnsi="Times New Roman" w:cs="Times New Roman"/>
          <w:sz w:val="28"/>
          <w:szCs w:val="28"/>
          <w:shd w:val="clear" w:color="auto" w:fill="FFFFFF"/>
          <w:lang w:eastAsia="ru-RU"/>
        </w:rPr>
        <w:t xml:space="preserve"> pot fi efectuate prin intermediul vizitelor la fața locului, precum și al chestionarelor sau, în mod excepțional, al altor metode la distanță. În funcție de necesități, vizitele la fața locului și chestionarele pot fi utilizate independent sau în combinație cu altă metodă, după caz. </w:t>
      </w:r>
    </w:p>
    <w:p w14:paraId="7A264A1A"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Anual, până la 15 noiembrie, autoritățile din sistemul MIFS prezintă Secretariatului Consiliului propuneri privind controlul calității la nivel național (prin activități de evaluare și monitorizare) pentru anul următor, precum și informații privind riscurile relevante care trebuie luate în considerare. Propunerile vor fi aduse la cunoștință tuturor membrilor Consiliului și incorporate în programul anual de evaluare pentru a fi aprobat de Consiliu.</w:t>
      </w:r>
    </w:p>
    <w:p w14:paraId="1ECCA286"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Grupul de lucru pentru controlul calității elaborează și înaintează Secretariatului Consiliului planul misiunii de evaluare,</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inclusiv propunerile de activități pregătitoare și documentația de implementare (chestionare cu termen de răspuns) necesare pentru a asigura eficiența, acuratețea și coerența misiunilor de evaluare.</w:t>
      </w:r>
    </w:p>
    <w:p w14:paraId="39E97C64"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w:t>
      </w:r>
      <w:r>
        <w:rPr>
          <w:rFonts w:ascii="Times New Roman" w:eastAsia="Batang" w:hAnsi="Times New Roman" w:cs="Times New Roman"/>
          <w:sz w:val="28"/>
          <w:szCs w:val="28"/>
          <w:shd w:val="clear" w:color="auto" w:fill="FFFFFF"/>
          <w:lang w:val="ro-RO" w:eastAsia="ru-RU"/>
        </w:rPr>
        <w:t xml:space="preserve">Planul misiunii de evaluare se aprobă ca anexă la actul normativ privind efectuarea misiunii de evaluare. </w:t>
      </w:r>
      <w:r>
        <w:rPr>
          <w:rFonts w:ascii="Times New Roman" w:eastAsia="Batang" w:hAnsi="Times New Roman" w:cs="Times New Roman"/>
          <w:sz w:val="28"/>
          <w:szCs w:val="28"/>
          <w:shd w:val="clear" w:color="auto" w:fill="FFFFFF"/>
          <w:lang w:eastAsia="ru-RU"/>
        </w:rPr>
        <w:t xml:space="preserve">Secretariatul Consiliului transmite </w:t>
      </w:r>
      <w:r>
        <w:rPr>
          <w:rFonts w:ascii="Times New Roman" w:eastAsia="Batang" w:hAnsi="Times New Roman" w:cs="Times New Roman"/>
          <w:sz w:val="28"/>
          <w:szCs w:val="28"/>
          <w:shd w:val="clear" w:color="auto" w:fill="FFFFFF"/>
          <w:lang w:val="ro-RO" w:eastAsia="ru-RU"/>
        </w:rPr>
        <w:t xml:space="preserve">planul misiunii de evaluare </w:t>
      </w:r>
      <w:r>
        <w:rPr>
          <w:rFonts w:ascii="Times New Roman" w:eastAsia="Batang" w:hAnsi="Times New Roman" w:cs="Times New Roman"/>
          <w:sz w:val="28"/>
          <w:szCs w:val="28"/>
          <w:shd w:val="clear" w:color="auto" w:fill="FFFFFF"/>
          <w:lang w:eastAsia="ru-RU"/>
        </w:rPr>
        <w:t xml:space="preserve">autorității din sistemul MIFS care urmează a fi evaluată, cu cel puțin 10 zile lucrătoare înainte de data </w:t>
      </w:r>
      <w:r>
        <w:rPr>
          <w:rFonts w:ascii="Times New Roman" w:eastAsia="Batang" w:hAnsi="Times New Roman" w:cs="Times New Roman"/>
          <w:sz w:val="28"/>
          <w:szCs w:val="28"/>
          <w:shd w:val="clear" w:color="auto" w:fill="FFFFFF"/>
          <w:lang w:val="ro-RO" w:eastAsia="ru-RU"/>
        </w:rPr>
        <w:t xml:space="preserve">din programul anual de evaluare, </w:t>
      </w:r>
      <w:r>
        <w:rPr>
          <w:rFonts w:ascii="Times New Roman" w:eastAsia="Batang" w:hAnsi="Times New Roman" w:cs="Times New Roman"/>
          <w:sz w:val="28"/>
          <w:szCs w:val="28"/>
          <w:shd w:val="clear" w:color="auto" w:fill="FFFFFF"/>
          <w:lang w:eastAsia="ru-RU"/>
        </w:rPr>
        <w:t>la care este planificată inițierea misiunii de evaluare</w:t>
      </w:r>
      <w:r>
        <w:rPr>
          <w:rFonts w:ascii="Times New Roman" w:eastAsia="Batang" w:hAnsi="Times New Roman" w:cs="Times New Roman"/>
          <w:sz w:val="28"/>
          <w:szCs w:val="28"/>
          <w:shd w:val="clear" w:color="auto" w:fill="FFFFFF"/>
          <w:lang w:val="ro-RO" w:eastAsia="ru-RU"/>
        </w:rPr>
        <w:t>.</w:t>
      </w:r>
    </w:p>
    <w:p w14:paraId="203E56CD"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Membrii echipei de evaluare responsabilă de vizita la fața locului au obligația să dețină și să prezinte documentele de identificare, actul normativ privind efectuarea misiunii de evaluare și planul misiunii de evaluare, care îi autorizează să efectueze o astfel de vizită, în conformitate cu prezentul Regulament.</w:t>
      </w:r>
    </w:p>
    <w:p w14:paraId="0AC33CD6" w14:textId="0241AF09"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Autoritatea din sistemul MIFS sau subdiviziunea </w:t>
      </w:r>
      <w:r w:rsidR="00B94616">
        <w:rPr>
          <w:rFonts w:ascii="Times New Roman" w:eastAsia="Batang" w:hAnsi="Times New Roman" w:cs="Times New Roman"/>
          <w:sz w:val="28"/>
          <w:szCs w:val="28"/>
          <w:shd w:val="clear" w:color="auto" w:fill="FFFFFF"/>
          <w:lang w:val="ro-MD" w:eastAsia="ru-RU"/>
        </w:rPr>
        <w:t>intern</w:t>
      </w:r>
      <w:r>
        <w:rPr>
          <w:rFonts w:ascii="Times New Roman" w:eastAsia="Batang" w:hAnsi="Times New Roman" w:cs="Times New Roman"/>
          <w:sz w:val="28"/>
          <w:szCs w:val="28"/>
          <w:shd w:val="clear" w:color="auto" w:fill="FFFFFF"/>
          <w:lang w:eastAsia="ru-RU"/>
        </w:rPr>
        <w:t>ă a acesteia, supusă evaluării, trebuie să permită echipei de evaluare responsabilă de vizita la fața locului să-și exercite mandatul prevăzut în actul normativ privind efectuarea misiunii de evaluare și planul misiunii de evaluare.</w:t>
      </w:r>
    </w:p>
    <w:p w14:paraId="12A2C2C1" w14:textId="79BA6ABD"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Echip</w:t>
      </w:r>
      <w:r>
        <w:rPr>
          <w:rFonts w:ascii="Times New Roman" w:eastAsia="Batang" w:hAnsi="Times New Roman" w:cs="Times New Roman"/>
          <w:sz w:val="28"/>
          <w:szCs w:val="28"/>
          <w:shd w:val="clear" w:color="auto" w:fill="FFFFFF"/>
          <w:lang w:val="ro-RO" w:eastAsia="ru-RU"/>
        </w:rPr>
        <w:t>ei</w:t>
      </w:r>
      <w:r>
        <w:rPr>
          <w:rFonts w:ascii="Times New Roman" w:eastAsia="Batang" w:hAnsi="Times New Roman" w:cs="Times New Roman"/>
          <w:sz w:val="28"/>
          <w:szCs w:val="28"/>
          <w:shd w:val="clear" w:color="auto" w:fill="FFFFFF"/>
          <w:lang w:eastAsia="ru-RU"/>
        </w:rPr>
        <w:t xml:space="preserve"> de evaluare responsabil</w:t>
      </w:r>
      <w:r>
        <w:rPr>
          <w:rFonts w:ascii="Times New Roman" w:eastAsia="Batang" w:hAnsi="Times New Roman" w:cs="Times New Roman"/>
          <w:sz w:val="28"/>
          <w:szCs w:val="28"/>
          <w:shd w:val="clear" w:color="auto" w:fill="FFFFFF"/>
          <w:lang w:val="ro-RO" w:eastAsia="ru-RU"/>
        </w:rPr>
        <w:t>e</w:t>
      </w:r>
      <w:r>
        <w:rPr>
          <w:rFonts w:ascii="Times New Roman" w:eastAsia="Batang" w:hAnsi="Times New Roman" w:cs="Times New Roman"/>
          <w:sz w:val="28"/>
          <w:szCs w:val="28"/>
          <w:shd w:val="clear" w:color="auto" w:fill="FFFFFF"/>
          <w:lang w:eastAsia="ru-RU"/>
        </w:rPr>
        <w:t xml:space="preserve"> de vizita la fața locului i se asigură accesul deplin și neîngrădit la toate zonele, sediile și sectoarele de responsabilitate, precum și la documentele necesare ale autorității din sistemul MIFS și/sau subdiviziunii </w:t>
      </w:r>
      <w:r w:rsidR="00B94616">
        <w:rPr>
          <w:rFonts w:ascii="Times New Roman" w:eastAsia="Batang" w:hAnsi="Times New Roman" w:cs="Times New Roman"/>
          <w:sz w:val="28"/>
          <w:szCs w:val="28"/>
          <w:shd w:val="clear" w:color="auto" w:fill="FFFFFF"/>
          <w:lang w:val="ro-MD" w:eastAsia="ru-RU"/>
        </w:rPr>
        <w:t>intern</w:t>
      </w:r>
      <w:r>
        <w:rPr>
          <w:rFonts w:ascii="Times New Roman" w:eastAsia="Batang" w:hAnsi="Times New Roman" w:cs="Times New Roman"/>
          <w:sz w:val="28"/>
          <w:szCs w:val="28"/>
          <w:shd w:val="clear" w:color="auto" w:fill="FFFFFF"/>
          <w:lang w:eastAsia="ru-RU"/>
        </w:rPr>
        <w:t xml:space="preserve">e a acesteia, supuse evaluării, cu condiția respectării regimului de acces în sectoarele supuse evaluării, precum și a prevederilor din domeniul secretului de stat/clasificat, informațiilor oficiale cu acces limitat (informațiilor cu </w:t>
      </w:r>
      <w:r>
        <w:rPr>
          <w:rFonts w:ascii="Times New Roman" w:eastAsia="Batang" w:hAnsi="Times New Roman" w:cs="Times New Roman"/>
          <w:sz w:val="28"/>
          <w:szCs w:val="28"/>
          <w:shd w:val="clear" w:color="auto" w:fill="FFFFFF"/>
          <w:lang w:eastAsia="ru-RU"/>
        </w:rPr>
        <w:lastRenderedPageBreak/>
        <w:t>caracter confidențial și secretului comercial), securității informaționale și protecției datelor cu caracter personal.</w:t>
      </w:r>
    </w:p>
    <w:p w14:paraId="5699325D" w14:textId="0C78D330"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Autoritatea din sistemul MIFS sau subdiviziunea </w:t>
      </w:r>
      <w:r w:rsidR="00B94616">
        <w:rPr>
          <w:rFonts w:ascii="Times New Roman" w:eastAsia="Batang" w:hAnsi="Times New Roman" w:cs="Times New Roman"/>
          <w:sz w:val="28"/>
          <w:szCs w:val="28"/>
          <w:shd w:val="clear" w:color="auto" w:fill="FFFFFF"/>
          <w:lang w:val="ro-MD" w:eastAsia="ru-RU"/>
        </w:rPr>
        <w:t>intern</w:t>
      </w:r>
      <w:r>
        <w:rPr>
          <w:rFonts w:ascii="Times New Roman" w:eastAsia="Batang" w:hAnsi="Times New Roman" w:cs="Times New Roman"/>
          <w:sz w:val="28"/>
          <w:szCs w:val="28"/>
          <w:shd w:val="clear" w:color="auto" w:fill="FFFFFF"/>
          <w:lang w:eastAsia="ru-RU"/>
        </w:rPr>
        <w:t>ă a acesteia, supusă evaluării, desemnează un reprezentant, care va asista echipa de evaluare responsabilă de vizita la fața locului, în îndeplinirea misiunii sale.</w:t>
      </w:r>
    </w:p>
    <w:p w14:paraId="0EBB48E3" w14:textId="5135F2B2"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Autoritatea din sistemul MIFS sau subdiviziunea </w:t>
      </w:r>
      <w:r w:rsidR="0070209D">
        <w:rPr>
          <w:rFonts w:ascii="Times New Roman" w:eastAsia="Batang" w:hAnsi="Times New Roman" w:cs="Times New Roman"/>
          <w:sz w:val="28"/>
          <w:szCs w:val="28"/>
          <w:shd w:val="clear" w:color="auto" w:fill="FFFFFF"/>
          <w:lang w:val="ro-MD" w:eastAsia="ru-RU"/>
        </w:rPr>
        <w:t>intern</w:t>
      </w:r>
      <w:r>
        <w:rPr>
          <w:rFonts w:ascii="Times New Roman" w:eastAsia="Batang" w:hAnsi="Times New Roman" w:cs="Times New Roman"/>
          <w:sz w:val="28"/>
          <w:szCs w:val="28"/>
          <w:shd w:val="clear" w:color="auto" w:fill="FFFFFF"/>
          <w:lang w:eastAsia="ru-RU"/>
        </w:rPr>
        <w:t>ă a acesteia, supusă evaluării, poate prezenta și distribui</w:t>
      </w:r>
      <w:r>
        <w:rPr>
          <w:rFonts w:ascii="Times New Roman" w:eastAsia="Batang" w:hAnsi="Times New Roman" w:cs="Times New Roman"/>
          <w:sz w:val="28"/>
          <w:szCs w:val="28"/>
          <w:shd w:val="clear" w:color="auto" w:fill="FFFFFF"/>
          <w:lang w:val="ro-RO" w:eastAsia="ru-RU"/>
        </w:rPr>
        <w:t>, inclusiv în avans,</w:t>
      </w:r>
      <w:r>
        <w:rPr>
          <w:rFonts w:ascii="Times New Roman" w:eastAsia="Batang" w:hAnsi="Times New Roman" w:cs="Times New Roman"/>
          <w:sz w:val="28"/>
          <w:szCs w:val="28"/>
          <w:shd w:val="clear" w:color="auto" w:fill="FFFFFF"/>
          <w:lang w:eastAsia="ru-RU"/>
        </w:rPr>
        <w:t xml:space="preserve"> membrilor echipei de evaluare responsabile de vizita la fața locului materiale informative privind misiunea, atribuțiile, specificul activității, dotarea, rezultatele înregistrate, problematica și alte date relevante misiunii de evaluare.</w:t>
      </w:r>
    </w:p>
    <w:p w14:paraId="4C23F598"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După fiecare misiune de evaluare se întocmește un raport de evaluare, care se bazează pe constatările vizitei la fața locului și/sau pe chestionar. Echipa de evaluare este responsabilă de redactarea raportului de evaluare.</w:t>
      </w:r>
    </w:p>
    <w:p w14:paraId="7245BBAD"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La elaborarea raportului de evaluare, echipa de evaluare ia în considerare răspunsurile la chestionar, orice informație suplimentară obținută și verificată în cursul activității de evaluare și constatările activității de evaluare. Rapoartele de evaluare pot include materiale documentare și digitale în sprijinul constatărilor.</w:t>
      </w:r>
    </w:p>
    <w:p w14:paraId="2571A574"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Observatorii sprijină echipa de evaluare la </w:t>
      </w:r>
      <w:r>
        <w:rPr>
          <w:rFonts w:ascii="Times New Roman" w:eastAsia="Batang" w:hAnsi="Times New Roman" w:cs="Times New Roman"/>
          <w:sz w:val="28"/>
          <w:szCs w:val="28"/>
          <w:shd w:val="clear" w:color="auto" w:fill="FFFFFF"/>
          <w:lang w:val="ro-RO" w:eastAsia="ru-RU"/>
        </w:rPr>
        <w:t>invitația</w:t>
      </w:r>
      <w:r>
        <w:rPr>
          <w:rFonts w:ascii="Times New Roman" w:eastAsia="Batang" w:hAnsi="Times New Roman" w:cs="Times New Roman"/>
          <w:sz w:val="28"/>
          <w:szCs w:val="28"/>
          <w:shd w:val="clear" w:color="auto" w:fill="FFFFFF"/>
          <w:lang w:eastAsia="ru-RU"/>
        </w:rPr>
        <w:t xml:space="preserve"> Secretariatului Consiliului, dar nu participă la procesul decizional intern.</w:t>
      </w:r>
      <w:r>
        <w:rPr>
          <w:rFonts w:ascii="Times New Roman" w:eastAsia="Batang" w:hAnsi="Times New Roman" w:cs="Times New Roman"/>
          <w:sz w:val="28"/>
          <w:szCs w:val="28"/>
          <w:shd w:val="clear" w:color="auto" w:fill="FFFFFF"/>
          <w:lang w:val="ro-RO" w:eastAsia="ru-RU"/>
        </w:rPr>
        <w:t xml:space="preserve"> </w:t>
      </w:r>
    </w:p>
    <w:p w14:paraId="1F67707C" w14:textId="77777777" w:rsidR="00584D11" w:rsidRDefault="00000000">
      <w:pPr>
        <w:pStyle w:val="Listparagraf"/>
        <w:numPr>
          <w:ilvl w:val="0"/>
          <w:numId w:val="4"/>
        </w:numPr>
        <w:tabs>
          <w:tab w:val="left" w:pos="851"/>
          <w:tab w:val="left" w:pos="1134"/>
          <w:tab w:val="left" w:pos="1276"/>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Raportul de evaluare conține aspectele calitative, cantitative, operaționale, administrative și organizaționale, după caz, și enumeră orice deficiențe constatate în timpul misiunii de evaluare.</w:t>
      </w:r>
    </w:p>
    <w:p w14:paraId="1B312635" w14:textId="77777777" w:rsidR="00584D11" w:rsidRDefault="00000000">
      <w:pPr>
        <w:pStyle w:val="Listparagraf"/>
        <w:numPr>
          <w:ilvl w:val="0"/>
          <w:numId w:val="4"/>
        </w:numPr>
        <w:tabs>
          <w:tab w:val="left" w:pos="851"/>
          <w:tab w:val="left" w:pos="1134"/>
          <w:tab w:val="left" w:pos="1276"/>
        </w:tabs>
        <w:spacing w:after="0"/>
        <w:ind w:left="851" w:right="-1" w:firstLine="0"/>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Constatările pot fi evaluate într-una din categoriile următoare:</w:t>
      </w:r>
    </w:p>
    <w:p w14:paraId="1DC25FF2" w14:textId="77777777" w:rsidR="00584D11" w:rsidRDefault="00000000">
      <w:pPr>
        <w:pStyle w:val="Listparagraf"/>
        <w:numPr>
          <w:ilvl w:val="1"/>
          <w:numId w:val="4"/>
        </w:numPr>
        <w:tabs>
          <w:tab w:val="left" w:pos="851"/>
          <w:tab w:val="left" w:pos="1134"/>
        </w:tabs>
        <w:spacing w:after="0"/>
        <w:ind w:right="-1" w:hanging="383"/>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bune practic</w:t>
      </w:r>
      <w:r>
        <w:rPr>
          <w:rFonts w:ascii="Times New Roman" w:eastAsia="Batang" w:hAnsi="Times New Roman" w:cs="Times New Roman"/>
          <w:sz w:val="28"/>
          <w:szCs w:val="28"/>
          <w:shd w:val="clear" w:color="auto" w:fill="FFFFFF"/>
          <w:lang w:val="ro-RO" w:eastAsia="ru-RU"/>
        </w:rPr>
        <w:t>i</w:t>
      </w:r>
      <w:r>
        <w:rPr>
          <w:rFonts w:ascii="Times New Roman" w:eastAsia="Batang" w:hAnsi="Times New Roman" w:cs="Times New Roman"/>
          <w:sz w:val="28"/>
          <w:szCs w:val="28"/>
          <w:shd w:val="clear" w:color="auto" w:fill="FFFFFF"/>
          <w:lang w:eastAsia="ru-RU"/>
        </w:rPr>
        <w:t>;</w:t>
      </w:r>
    </w:p>
    <w:p w14:paraId="54B3EE94" w14:textId="77777777" w:rsidR="00584D11" w:rsidRDefault="00000000">
      <w:pPr>
        <w:pStyle w:val="Listparagraf"/>
        <w:numPr>
          <w:ilvl w:val="1"/>
          <w:numId w:val="4"/>
        </w:numPr>
        <w:tabs>
          <w:tab w:val="left" w:pos="851"/>
          <w:tab w:val="left" w:pos="1134"/>
        </w:tabs>
        <w:spacing w:after="0"/>
        <w:ind w:left="1276" w:right="-1" w:hanging="383"/>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necesită îmbunătățiri;</w:t>
      </w:r>
    </w:p>
    <w:p w14:paraId="4D57DF45" w14:textId="77777777" w:rsidR="00584D11" w:rsidRDefault="00000000">
      <w:pPr>
        <w:pStyle w:val="Listparagraf"/>
        <w:numPr>
          <w:ilvl w:val="1"/>
          <w:numId w:val="4"/>
        </w:numPr>
        <w:tabs>
          <w:tab w:val="left" w:pos="851"/>
          <w:tab w:val="left" w:pos="1134"/>
        </w:tabs>
        <w:spacing w:after="0"/>
        <w:ind w:left="1276" w:right="-1" w:hanging="383"/>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neconform.</w:t>
      </w:r>
    </w:p>
    <w:p w14:paraId="6526B778"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Raportul de evaluare conține recomandări de măsuri de remediere vizând deficiențele și domeniile în care sunt necesare îmbunătățiri care au fost identificate în cursul evaluării și indică prioritățile pentru punerea în aplicare a recomandărilor respective.</w:t>
      </w:r>
    </w:p>
    <w:p w14:paraId="78C80F4C" w14:textId="0AEE6D9E"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Echipa de evaluare transmite spre consultare, prin intermediul Secretariatului</w:t>
      </w:r>
      <w:r w:rsidR="00745E9C">
        <w:rPr>
          <w:rFonts w:ascii="Times New Roman" w:eastAsia="Batang" w:hAnsi="Times New Roman" w:cs="Times New Roman"/>
          <w:sz w:val="28"/>
          <w:szCs w:val="28"/>
          <w:shd w:val="clear" w:color="auto" w:fill="FFFFFF"/>
          <w:lang w:val="ro-MD" w:eastAsia="ru-RU"/>
        </w:rPr>
        <w:t xml:space="preserve"> Consiliului</w:t>
      </w:r>
      <w:r>
        <w:rPr>
          <w:rFonts w:ascii="Times New Roman" w:eastAsia="Batang" w:hAnsi="Times New Roman" w:cs="Times New Roman"/>
          <w:sz w:val="28"/>
          <w:szCs w:val="28"/>
          <w:shd w:val="clear" w:color="auto" w:fill="FFFFFF"/>
          <w:lang w:eastAsia="ru-RU"/>
        </w:rPr>
        <w:t>, proiectul raportului de evaluare autorității din sistemul MIFS supusă evaluării.</w:t>
      </w:r>
    </w:p>
    <w:p w14:paraId="6FEF5FCF"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Raportul de evaluare poate fixa termene rezonabile, stabilite în cooperare cu autoritatea din sistemul MIFS în cauză, pentru punerea în aplicare a recomandărilor.</w:t>
      </w:r>
    </w:p>
    <w:p w14:paraId="2CBD1CA6"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Autoritatea din sistemul MIFS, supusă evaluării, își prezintă obiecțiile și propunerile cu privire la proiectul raportului de evaluare în termen, de regulă, de </w:t>
      </w:r>
      <w:r>
        <w:rPr>
          <w:rFonts w:ascii="Times New Roman" w:eastAsia="Batang" w:hAnsi="Times New Roman" w:cs="Times New Roman"/>
          <w:sz w:val="28"/>
          <w:szCs w:val="28"/>
          <w:shd w:val="clear" w:color="auto" w:fill="FFFFFF"/>
          <w:lang w:eastAsia="ru-RU"/>
        </w:rPr>
        <w:lastRenderedPageBreak/>
        <w:t>10 zile lucrătoare de la primirea acestuia. La solicitarea echipei de evaluare prin intermediul Secretariatului Consiliului sau a autorității din sistemul MIFS, supuse evaluării, pot fi organizate ședințe pentru redactarea raportului. Obiecțiile și propunerile autorității din sistemul MIFS, supuse evaluării, vor fi reflectate în proiectul raportului de evaluare.</w:t>
      </w:r>
    </w:p>
    <w:p w14:paraId="30591046"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În cazul în care, autoritatea din sistemul MIFS evaluată contestă în mod substanțial conținutul proiectului de raport de evaluare sau natura unei constatări, raportul care urmează să fie adoptat de Consiliu se limitează la constatări și nu conține recomandări. Consiliul prezintă Guvernului, în termen de cel mult patru luni de la încheierea activității de evaluare, o propunere separată în vederea adoptării unor recomandări prin intermediul unui act normativ de punere în aplicare. Propunerea poate fixa termene rezonabile, stabilite în cooperare cu autoritatea, pentru punerea în aplicare a recomandărilor</w:t>
      </w:r>
      <w:r>
        <w:rPr>
          <w:rFonts w:ascii="Times New Roman" w:eastAsia="Batang" w:hAnsi="Times New Roman" w:cs="Times New Roman"/>
          <w:sz w:val="28"/>
          <w:szCs w:val="28"/>
          <w:shd w:val="clear" w:color="auto" w:fill="FFFFFF"/>
          <w:lang w:val="ro-RO" w:eastAsia="ru-RU"/>
        </w:rPr>
        <w:t>.</w:t>
      </w:r>
    </w:p>
    <w:p w14:paraId="12D58DD0"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Echipa de evaluare poate propune transmiterea,</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prin intermediul Secretariatului, a proiectului raportului de evaluare și comentariilor autorității din sistemul MIFS, supuse evaluării, și celorlalte autorități din sistemul MIFS</w:t>
      </w:r>
      <w:r>
        <w:rPr>
          <w:rFonts w:ascii="Times New Roman" w:eastAsia="Batang" w:hAnsi="Times New Roman" w:cs="Times New Roman"/>
          <w:sz w:val="28"/>
          <w:szCs w:val="28"/>
          <w:shd w:val="clear" w:color="auto" w:fill="FFFFFF"/>
          <w:lang w:val="ro-RO" w:eastAsia="ru-RU"/>
        </w:rPr>
        <w:t xml:space="preserve">, </w:t>
      </w:r>
      <w:r w:rsidRPr="003B1D07">
        <w:rPr>
          <w:rFonts w:ascii="Times New Roman" w:eastAsia="Batang" w:hAnsi="Times New Roman" w:cs="Times New Roman"/>
          <w:sz w:val="28"/>
          <w:szCs w:val="28"/>
          <w:shd w:val="clear" w:color="auto" w:fill="FFFFFF"/>
          <w:lang w:val="ro-RO" w:eastAsia="ru-RU"/>
        </w:rPr>
        <w:t>cu acordul autorității supuse evaluării</w:t>
      </w:r>
      <w:r w:rsidRPr="003B1D07">
        <w:rPr>
          <w:rFonts w:ascii="Times New Roman" w:eastAsia="Batang" w:hAnsi="Times New Roman" w:cs="Times New Roman"/>
          <w:sz w:val="28"/>
          <w:szCs w:val="28"/>
          <w:shd w:val="clear" w:color="auto" w:fill="FFFFFF"/>
          <w:lang w:eastAsia="ru-RU"/>
        </w:rPr>
        <w:t>. Autoritățile din sistemul MIFS pot prezenta</w:t>
      </w:r>
      <w:r>
        <w:rPr>
          <w:rFonts w:ascii="Times New Roman" w:eastAsia="Batang" w:hAnsi="Times New Roman" w:cs="Times New Roman"/>
          <w:sz w:val="28"/>
          <w:szCs w:val="28"/>
          <w:shd w:val="clear" w:color="auto" w:fill="FFFFFF"/>
          <w:lang w:eastAsia="ru-RU"/>
        </w:rPr>
        <w:t xml:space="preserve"> Secretariatului Consiliului observații cu privire la proiectul raportului de evaluare, răspunsul la chestionar și la observațiile autorității din sistemul MIFS vizate în termen de 10 zile lucrătoare de la primirea acestora.</w:t>
      </w:r>
    </w:p>
    <w:p w14:paraId="7037DEFF"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La sfârșitul activității de evaluare,</w:t>
      </w:r>
      <w:r>
        <w:rPr>
          <w:rFonts w:ascii="Times New Roman" w:eastAsia="Batang" w:hAnsi="Times New Roman" w:cs="Times New Roman"/>
          <w:sz w:val="28"/>
          <w:szCs w:val="28"/>
          <w:shd w:val="clear" w:color="auto" w:fill="FFFFFF"/>
          <w:lang w:val="ro-RO" w:eastAsia="ru-RU"/>
        </w:rPr>
        <w:t xml:space="preserve"> în cazul identificării unei deficiențe grave,</w:t>
      </w:r>
      <w:r>
        <w:rPr>
          <w:rFonts w:ascii="Times New Roman" w:eastAsia="Batang" w:hAnsi="Times New Roman" w:cs="Times New Roman"/>
          <w:sz w:val="28"/>
          <w:szCs w:val="28"/>
          <w:shd w:val="clear" w:color="auto" w:fill="FFFFFF"/>
          <w:lang w:eastAsia="ru-RU"/>
        </w:rPr>
        <w:t xml:space="preserve"> la propunerea echipei de evaluare</w:t>
      </w:r>
      <w:r>
        <w:rPr>
          <w:rFonts w:ascii="Times New Roman" w:eastAsia="Batang" w:hAnsi="Times New Roman" w:cs="Times New Roman"/>
          <w:sz w:val="28"/>
          <w:szCs w:val="28"/>
          <w:shd w:val="clear" w:color="auto" w:fill="FFFFFF"/>
          <w:lang w:val="ro-RO" w:eastAsia="ru-RU"/>
        </w:rPr>
        <w:t>,</w:t>
      </w:r>
      <w:r>
        <w:rPr>
          <w:rFonts w:ascii="Times New Roman" w:eastAsia="Batang" w:hAnsi="Times New Roman" w:cs="Times New Roman"/>
          <w:sz w:val="28"/>
          <w:szCs w:val="28"/>
          <w:shd w:val="clear" w:color="auto" w:fill="FFFFFF"/>
          <w:lang w:eastAsia="ru-RU"/>
        </w:rPr>
        <w:t xml:space="preserve"> prin intermediul Secretariatului Consiliului, autoritatea evaluată </w:t>
      </w:r>
      <w:r>
        <w:rPr>
          <w:rFonts w:ascii="Times New Roman" w:eastAsia="Batang" w:hAnsi="Times New Roman" w:cs="Times New Roman"/>
          <w:sz w:val="28"/>
          <w:szCs w:val="28"/>
          <w:shd w:val="clear" w:color="auto" w:fill="FFFFFF"/>
          <w:lang w:val="ro-RO" w:eastAsia="ru-RU"/>
        </w:rPr>
        <w:t xml:space="preserve">este informată în scris. </w:t>
      </w:r>
      <w:r>
        <w:rPr>
          <w:rFonts w:ascii="Times New Roman" w:eastAsia="Batang" w:hAnsi="Times New Roman" w:cs="Times New Roman"/>
          <w:sz w:val="28"/>
          <w:szCs w:val="28"/>
          <w:shd w:val="clear" w:color="auto" w:fill="FFFFFF"/>
          <w:lang w:eastAsia="ru-RU"/>
        </w:rPr>
        <w:t>Guvernul, prin intermediul Secretariatului Consiliului, este, de asemenea, informat fără întârziere.</w:t>
      </w:r>
    </w:p>
    <w:p w14:paraId="76A08EF4"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Autoritatea evaluată ia măsuri de remediere imediate, prin mobilizarea mijloacelor operaționale și financiare disponibile</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Autoritatea evaluată informează fără întârziere</w:t>
      </w:r>
      <w:r>
        <w:rPr>
          <w:rFonts w:ascii="Times New Roman" w:eastAsia="Batang" w:hAnsi="Times New Roman" w:cs="Times New Roman"/>
          <w:sz w:val="28"/>
          <w:szCs w:val="28"/>
          <w:shd w:val="clear" w:color="auto" w:fill="FFFFFF"/>
          <w:lang w:val="ro-RO" w:eastAsia="ru-RU"/>
        </w:rPr>
        <w:t>, dar în nu mai târziu de 5 zile,</w:t>
      </w:r>
      <w:r>
        <w:rPr>
          <w:rFonts w:ascii="Times New Roman" w:eastAsia="Batang" w:hAnsi="Times New Roman" w:cs="Times New Roman"/>
          <w:sz w:val="28"/>
          <w:szCs w:val="28"/>
          <w:shd w:val="clear" w:color="auto" w:fill="FFFFFF"/>
          <w:lang w:eastAsia="ru-RU"/>
        </w:rPr>
        <w:t xml:space="preserve"> Consiliul și celelalte autorități cu privire la măsurile imediate de remediere luate sau planificate.</w:t>
      </w:r>
    </w:p>
    <w:p w14:paraId="140761E6" w14:textId="77777777" w:rsidR="00584D11" w:rsidRDefault="00000000">
      <w:pPr>
        <w:pStyle w:val="Listparagraf"/>
        <w:numPr>
          <w:ilvl w:val="0"/>
          <w:numId w:val="4"/>
        </w:numPr>
        <w:tabs>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sidRPr="00183380">
        <w:rPr>
          <w:rFonts w:ascii="Times New Roman" w:eastAsia="Batang" w:hAnsi="Times New Roman" w:cs="Times New Roman"/>
          <w:sz w:val="28"/>
          <w:szCs w:val="28"/>
          <w:shd w:val="clear" w:color="auto" w:fill="FFFFFF"/>
          <w:lang w:val="ro-RO" w:eastAsia="ru-RU"/>
        </w:rPr>
        <w:t>În cazul în care elaborarea unui plan de acțiune este necesară, a</w:t>
      </w:r>
      <w:r w:rsidRPr="00183380">
        <w:rPr>
          <w:rFonts w:ascii="Times New Roman" w:eastAsia="Batang" w:hAnsi="Times New Roman" w:cs="Times New Roman"/>
          <w:sz w:val="28"/>
          <w:szCs w:val="28"/>
          <w:shd w:val="clear" w:color="auto" w:fill="FFFFFF"/>
          <w:lang w:eastAsia="ru-RU"/>
        </w:rPr>
        <w:t>utoritatea evaluată prezintă Consiliului,</w:t>
      </w:r>
      <w:r w:rsidRPr="00183380">
        <w:rPr>
          <w:rFonts w:ascii="Times New Roman" w:eastAsia="Batang" w:hAnsi="Times New Roman" w:cs="Times New Roman"/>
          <w:sz w:val="28"/>
          <w:szCs w:val="28"/>
          <w:shd w:val="clear" w:color="auto" w:fill="FFFFFF"/>
          <w:lang w:val="ro-RO" w:eastAsia="ru-RU"/>
        </w:rPr>
        <w:t xml:space="preserve"> în termen de 30 zile,</w:t>
      </w:r>
      <w:r w:rsidRPr="00183380">
        <w:rPr>
          <w:rFonts w:ascii="Times New Roman" w:eastAsia="Batang" w:hAnsi="Times New Roman" w:cs="Times New Roman"/>
          <w:sz w:val="28"/>
          <w:szCs w:val="28"/>
          <w:shd w:val="clear" w:color="auto" w:fill="FFFFFF"/>
          <w:lang w:eastAsia="ru-RU"/>
        </w:rPr>
        <w:t xml:space="preserve"> prin</w:t>
      </w:r>
      <w:r>
        <w:rPr>
          <w:rFonts w:ascii="Times New Roman" w:eastAsia="Batang" w:hAnsi="Times New Roman" w:cs="Times New Roman"/>
          <w:sz w:val="28"/>
          <w:szCs w:val="28"/>
          <w:shd w:val="clear" w:color="auto" w:fill="FFFFFF"/>
          <w:lang w:eastAsia="ru-RU"/>
        </w:rPr>
        <w:t xml:space="preserve"> intermediul Secretariatului Consiliului, un raport privind punerea în aplicare a planului de acțiune pentru remedierea deficienței grave.</w:t>
      </w:r>
      <w:r>
        <w:rPr>
          <w:rFonts w:ascii="Times New Roman" w:eastAsia="Batang" w:hAnsi="Times New Roman" w:cs="Times New Roman"/>
          <w:sz w:val="28"/>
          <w:szCs w:val="28"/>
          <w:shd w:val="clear" w:color="auto" w:fill="FFFFFF"/>
          <w:lang w:val="ro-RO" w:eastAsia="ru-RU"/>
        </w:rPr>
        <w:t xml:space="preserve"> </w:t>
      </w:r>
      <w:r>
        <w:rPr>
          <w:rFonts w:ascii="Times New Roman" w:eastAsia="Batang" w:hAnsi="Times New Roman" w:cs="Times New Roman"/>
          <w:sz w:val="28"/>
          <w:szCs w:val="28"/>
          <w:shd w:val="clear" w:color="auto" w:fill="FFFFFF"/>
          <w:lang w:eastAsia="ru-RU"/>
        </w:rPr>
        <w:t xml:space="preserve">La fiecare șase luni autoritatea actualizează </w:t>
      </w:r>
      <w:r>
        <w:rPr>
          <w:rFonts w:ascii="Times New Roman" w:eastAsia="Batang" w:hAnsi="Times New Roman" w:cs="Times New Roman"/>
          <w:sz w:val="28"/>
          <w:szCs w:val="28"/>
          <w:shd w:val="clear" w:color="auto" w:fill="FFFFFF"/>
          <w:lang w:val="ro-RO" w:eastAsia="ru-RU"/>
        </w:rPr>
        <w:t>raportul privind implementarea</w:t>
      </w:r>
      <w:r>
        <w:rPr>
          <w:rFonts w:ascii="Times New Roman" w:eastAsia="Batang" w:hAnsi="Times New Roman" w:cs="Times New Roman"/>
          <w:sz w:val="28"/>
          <w:szCs w:val="28"/>
          <w:shd w:val="clear" w:color="auto" w:fill="FFFFFF"/>
          <w:lang w:eastAsia="ru-RU"/>
        </w:rPr>
        <w:t xml:space="preserve"> planului de acțiune, până când Consiliul consideră că planul de acțiune a fost pus în aplicare integral. În funcție de natura deficiențelor și de stadiul punerii în aplicare a recomandărilor, Consiliul, în consultare cu autoritatea evaluată, poate impune autorității evaluate o frecvență a raportării diferită. </w:t>
      </w:r>
    </w:p>
    <w:p w14:paraId="7A2C5889" w14:textId="77777777" w:rsidR="00584D11" w:rsidRDefault="00000000">
      <w:pPr>
        <w:pStyle w:val="Listparagraf"/>
        <w:numPr>
          <w:ilvl w:val="0"/>
          <w:numId w:val="4"/>
        </w:numPr>
        <w:tabs>
          <w:tab w:val="left" w:pos="567"/>
          <w:tab w:val="left" w:pos="851"/>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lastRenderedPageBreak/>
        <w:t xml:space="preserve"> În paralel, Consiliul informează autoritățile și instituțiile publice relevante cu privire la deficiența gravă în vederea asigurării de către acestea a unui posibil sprijin către autoritatea evaluată.</w:t>
      </w:r>
    </w:p>
    <w:p w14:paraId="30F3FC28" w14:textId="77777777" w:rsidR="00584D11" w:rsidRDefault="00000000">
      <w:pPr>
        <w:pStyle w:val="Listparagraf"/>
        <w:numPr>
          <w:ilvl w:val="0"/>
          <w:numId w:val="4"/>
        </w:numPr>
        <w:tabs>
          <w:tab w:val="left" w:pos="567"/>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Echipa de evaluare definitivează proiectul raportului de evaluare și-l prezintă Consiliului prin intermediul secretariatului. Consiliul adoptă raportul de evaluare și-l transmite autorităților din sistemul MIFS pentru întreprinderea măsurilor ce se impun. Raportul de evaluare este cu caracter de recomandare.</w:t>
      </w:r>
    </w:p>
    <w:p w14:paraId="4E1948E0" w14:textId="77777777" w:rsidR="00584D11" w:rsidRDefault="00000000">
      <w:pPr>
        <w:pStyle w:val="Listparagraf"/>
        <w:numPr>
          <w:ilvl w:val="0"/>
          <w:numId w:val="4"/>
        </w:numPr>
        <w:tabs>
          <w:tab w:val="left" w:pos="567"/>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Raportul de evaluare poate servi drept sursă pentru elaborarea documentelor de politici publice în domeniul MIFS, planurilor de acțiuni ale autorităților din sistemul MIFS, precum și altor documente de planificare relevante.</w:t>
      </w:r>
    </w:p>
    <w:p w14:paraId="1C6EB79F" w14:textId="77777777" w:rsidR="00584D11" w:rsidRDefault="00000000">
      <w:pPr>
        <w:pStyle w:val="Listparagraf"/>
        <w:tabs>
          <w:tab w:val="left" w:pos="567"/>
          <w:tab w:val="left" w:pos="1134"/>
        </w:tabs>
        <w:spacing w:after="0"/>
        <w:ind w:left="851" w:right="-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w:t>
      </w:r>
    </w:p>
    <w:p w14:paraId="533E36B4" w14:textId="77777777" w:rsidR="00584D11" w:rsidRDefault="00000000">
      <w:pPr>
        <w:tabs>
          <w:tab w:val="left" w:pos="567"/>
          <w:tab w:val="left" w:pos="1134"/>
        </w:tabs>
        <w:spacing w:after="0"/>
        <w:ind w:right="-1"/>
        <w:jc w:val="center"/>
        <w:rPr>
          <w:rFonts w:ascii="Times New Roman" w:eastAsia="Batang" w:hAnsi="Times New Roman" w:cs="Times New Roman"/>
          <w:b/>
          <w:bCs/>
          <w:sz w:val="28"/>
          <w:szCs w:val="28"/>
          <w:shd w:val="clear" w:color="auto" w:fill="FFFFFF"/>
          <w:lang w:eastAsia="ru-RU"/>
        </w:rPr>
      </w:pPr>
      <w:r>
        <w:rPr>
          <w:rFonts w:ascii="Times New Roman" w:eastAsia="Batang" w:hAnsi="Times New Roman" w:cs="Times New Roman"/>
          <w:b/>
          <w:bCs/>
          <w:sz w:val="28"/>
          <w:szCs w:val="28"/>
          <w:shd w:val="clear" w:color="auto" w:fill="FFFFFF"/>
          <w:lang w:eastAsia="ru-RU"/>
        </w:rPr>
        <w:t>CAPITOLUL III</w:t>
      </w:r>
    </w:p>
    <w:p w14:paraId="147C03A5" w14:textId="42A45884" w:rsidR="00584D11" w:rsidRPr="00D326B7" w:rsidRDefault="00000000" w:rsidP="00D326B7">
      <w:pPr>
        <w:tabs>
          <w:tab w:val="left" w:pos="567"/>
          <w:tab w:val="left" w:pos="1134"/>
        </w:tabs>
        <w:spacing w:after="0"/>
        <w:ind w:right="-1"/>
        <w:jc w:val="center"/>
        <w:rPr>
          <w:rFonts w:ascii="Times New Roman" w:eastAsia="Batang" w:hAnsi="Times New Roman" w:cs="Times New Roman"/>
          <w:b/>
          <w:bCs/>
          <w:sz w:val="28"/>
          <w:szCs w:val="28"/>
          <w:shd w:val="clear" w:color="auto" w:fill="FFFFFF"/>
          <w:lang w:val="ro-MD" w:eastAsia="ru-RU"/>
        </w:rPr>
      </w:pPr>
      <w:r>
        <w:rPr>
          <w:rFonts w:ascii="Times New Roman" w:eastAsia="Batang" w:hAnsi="Times New Roman" w:cs="Times New Roman"/>
          <w:b/>
          <w:bCs/>
          <w:sz w:val="28"/>
          <w:szCs w:val="28"/>
          <w:shd w:val="clear" w:color="auto" w:fill="FFFFFF"/>
          <w:lang w:eastAsia="ru-RU"/>
        </w:rPr>
        <w:t>DISPOZIȚII FINALE</w:t>
      </w:r>
    </w:p>
    <w:p w14:paraId="7C932526" w14:textId="77777777" w:rsidR="00584D11" w:rsidRDefault="00000000">
      <w:pPr>
        <w:pStyle w:val="Listparagraf"/>
        <w:numPr>
          <w:ilvl w:val="0"/>
          <w:numId w:val="4"/>
        </w:numPr>
        <w:tabs>
          <w:tab w:val="left" w:pos="567"/>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Anual, dar nu mai târziu de 1 decembrie, precum și la necesitate, secretariatul Consiliului prezintă președintelui Consiliului un raport de totalizare, care conține informații privind misiunile de evaluare efectuate în anul respectiv, concluziile desprinse în urma evaluărilor și stadiul îndeplinirii recomandărilor. </w:t>
      </w:r>
    </w:p>
    <w:p w14:paraId="2D65B6B9" w14:textId="77777777" w:rsidR="00584D11" w:rsidRDefault="00000000">
      <w:pPr>
        <w:pStyle w:val="Listparagraf"/>
        <w:numPr>
          <w:ilvl w:val="0"/>
          <w:numId w:val="4"/>
        </w:numPr>
        <w:tabs>
          <w:tab w:val="left" w:pos="567"/>
          <w:tab w:val="left" w:pos="1134"/>
        </w:tabs>
        <w:spacing w:after="0"/>
        <w:ind w:left="0" w:right="-1" w:firstLine="851"/>
        <w:jc w:val="both"/>
        <w:rPr>
          <w:rFonts w:ascii="Times New Roman" w:eastAsia="Batang" w:hAnsi="Times New Roman" w:cs="Times New Roman"/>
          <w:sz w:val="28"/>
          <w:szCs w:val="28"/>
          <w:shd w:val="clear" w:color="auto" w:fill="FFFFFF"/>
          <w:lang w:eastAsia="ru-RU"/>
        </w:rPr>
      </w:pPr>
      <w:r>
        <w:rPr>
          <w:rFonts w:ascii="Times New Roman" w:eastAsia="Batang" w:hAnsi="Times New Roman" w:cs="Times New Roman"/>
          <w:sz w:val="28"/>
          <w:szCs w:val="28"/>
          <w:shd w:val="clear" w:color="auto" w:fill="FFFFFF"/>
          <w:lang w:eastAsia="ru-RU"/>
        </w:rPr>
        <w:t xml:space="preserve"> Secretariatul Consiliului asigură gestionarea materialelor aferente misiunilor de evaluare.</w:t>
      </w:r>
    </w:p>
    <w:p w14:paraId="38AC1A2B" w14:textId="77777777" w:rsidR="00584D11" w:rsidRDefault="00000000">
      <w:pPr>
        <w:tabs>
          <w:tab w:val="left" w:pos="851"/>
          <w:tab w:val="left" w:pos="1134"/>
        </w:tabs>
        <w:spacing w:after="0"/>
        <w:ind w:right="-1"/>
        <w:jc w:val="both"/>
        <w:rPr>
          <w:rFonts w:ascii="Times New Roman" w:eastAsia="Batang" w:hAnsi="Times New Roman" w:cs="Times New Roman"/>
          <w:sz w:val="28"/>
          <w:szCs w:val="28"/>
          <w:shd w:val="clear" w:color="auto" w:fill="FFFFFF"/>
          <w:lang w:eastAsia="ru-RU"/>
        </w:rPr>
      </w:pPr>
      <w:r>
        <w:rPr>
          <w:rFonts w:ascii="Times New Roman" w:hAnsi="Times New Roman" w:cs="Times New Roman"/>
          <w:sz w:val="28"/>
          <w:szCs w:val="28"/>
        </w:rPr>
        <w:tab/>
      </w:r>
      <w:r>
        <w:rPr>
          <w:rFonts w:ascii="Times New Roman" w:hAnsi="Times New Roman" w:cs="Times New Roman"/>
          <w:b/>
          <w:bCs/>
          <w:sz w:val="28"/>
          <w:szCs w:val="28"/>
        </w:rPr>
        <w:t>5</w:t>
      </w:r>
      <w:r>
        <w:rPr>
          <w:rFonts w:ascii="Times New Roman" w:hAnsi="Times New Roman" w:cs="Times New Roman"/>
          <w:sz w:val="28"/>
          <w:szCs w:val="28"/>
        </w:rPr>
        <w:t xml:space="preserve">. Prezenta hotărâre intră în vigoare la data publicării în Monitorul Oficial al Republicii Moldova. </w:t>
      </w:r>
    </w:p>
    <w:p w14:paraId="3D74AE53"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Chars="235" w:firstLine="658"/>
        <w:jc w:val="both"/>
        <w:rPr>
          <w:rFonts w:ascii="Times New Roman" w:hAnsi="Times New Roman" w:cs="Times New Roman"/>
          <w:sz w:val="28"/>
          <w:szCs w:val="28"/>
        </w:rPr>
      </w:pPr>
    </w:p>
    <w:p w14:paraId="6BD7DE9B"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p>
    <w:p w14:paraId="5383D5F2" w14:textId="77777777" w:rsidR="00584D11" w:rsidRDefault="00000000">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61"/>
        <w:jc w:val="both"/>
        <w:rPr>
          <w:rFonts w:ascii="Times New Roman" w:eastAsia="Times New Roman" w:hAnsi="Times New Roman" w:cs="Times New Roman"/>
          <w:b/>
          <w:color w:val="000000" w:themeColor="text1"/>
          <w:sz w:val="28"/>
          <w:szCs w:val="28"/>
          <w:lang w:val="ro-RO" w:eastAsia="ru-RU"/>
        </w:rPr>
      </w:pPr>
      <w:r>
        <w:rPr>
          <w:rFonts w:ascii="Times New Roman" w:eastAsia="Times New Roman" w:hAnsi="Times New Roman" w:cs="Times New Roman"/>
          <w:b/>
          <w:sz w:val="28"/>
          <w:szCs w:val="28"/>
          <w:lang w:eastAsia="ru-RU"/>
        </w:rPr>
        <w:t xml:space="preserve">PRIM-MINISTRU                                            </w:t>
      </w:r>
      <w:r>
        <w:rPr>
          <w:rFonts w:ascii="Times New Roman" w:eastAsia="Times New Roman" w:hAnsi="Times New Roman" w:cs="Times New Roman"/>
          <w:b/>
          <w:sz w:val="28"/>
          <w:szCs w:val="28"/>
          <w:lang w:val="ro-RO" w:eastAsia="ru-RU"/>
        </w:rPr>
        <w:t>Alexandru MUNTEANU</w:t>
      </w:r>
    </w:p>
    <w:p w14:paraId="03B385A7"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191AF7E4"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3AA49D5A" w14:textId="77777777" w:rsidR="00584D1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Contrasemnează:</w:t>
      </w:r>
    </w:p>
    <w:p w14:paraId="58355006"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37F7CA7C" w14:textId="77777777" w:rsidR="00584D1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Viceprim-ministru,</w:t>
      </w:r>
    </w:p>
    <w:p w14:paraId="08CED4E9" w14:textId="77777777" w:rsidR="00584D1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ministrul afacerilor externe                                 Mihail POPȘOI</w:t>
      </w:r>
    </w:p>
    <w:p w14:paraId="37DCA34B"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p>
    <w:p w14:paraId="49CFDA24" w14:textId="77777777" w:rsidR="00584D1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Viceprim-ministru,</w:t>
      </w:r>
    </w:p>
    <w:p w14:paraId="3B38F672" w14:textId="77777777" w:rsidR="00584D1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ministrul infrastructurii </w:t>
      </w:r>
    </w:p>
    <w:p w14:paraId="2EF5EEDC" w14:textId="77777777" w:rsidR="00584D1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lang w:eastAsia="ru-RU"/>
        </w:rPr>
        <w:t xml:space="preserve">și dezvoltării regionale                                        </w:t>
      </w:r>
      <w:r w:rsidRPr="00FF77A4">
        <w:rPr>
          <w:rFonts w:ascii="Times New Roman" w:eastAsia="Times New Roman" w:hAnsi="Times New Roman" w:cs="Times New Roman"/>
          <w:color w:val="000000" w:themeColor="text1"/>
          <w:sz w:val="28"/>
          <w:szCs w:val="28"/>
          <w:lang w:eastAsia="ru-RU"/>
        </w:rPr>
        <w:t>Vladimir BOLEA</w:t>
      </w:r>
    </w:p>
    <w:p w14:paraId="1741E9A5"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highlight w:val="yellow"/>
          <w:lang w:eastAsia="ru-RU"/>
        </w:rPr>
      </w:pPr>
    </w:p>
    <w:p w14:paraId="4A12943F" w14:textId="77777777" w:rsidR="00584D11" w:rsidRPr="00AA341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eastAsia="ru-RU"/>
        </w:rPr>
      </w:pPr>
      <w:r w:rsidRPr="00AA3412">
        <w:rPr>
          <w:rFonts w:ascii="Times New Roman" w:eastAsia="Times New Roman" w:hAnsi="Times New Roman" w:cs="Times New Roman"/>
          <w:color w:val="000000" w:themeColor="text1"/>
          <w:sz w:val="28"/>
          <w:szCs w:val="28"/>
          <w:lang w:eastAsia="ru-RU"/>
        </w:rPr>
        <w:t>Viceprim-ministru,</w:t>
      </w:r>
    </w:p>
    <w:p w14:paraId="7082C26B" w14:textId="5CB33E24" w:rsidR="00584D11" w:rsidRPr="00AA3412" w:rsidRDefault="00000000" w:rsidP="00505950">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lang w:val="ro-MD" w:eastAsia="ru-RU"/>
        </w:rPr>
      </w:pPr>
      <w:r w:rsidRPr="00AA3412">
        <w:rPr>
          <w:rFonts w:ascii="Times New Roman" w:eastAsia="Times New Roman" w:hAnsi="Times New Roman" w:cs="Times New Roman"/>
          <w:color w:val="000000" w:themeColor="text1"/>
          <w:sz w:val="28"/>
          <w:szCs w:val="28"/>
          <w:lang w:eastAsia="ru-RU"/>
        </w:rPr>
        <w:t xml:space="preserve">ministrul dezvoltării </w:t>
      </w:r>
      <w:r w:rsidR="00F85ECC">
        <w:rPr>
          <w:rFonts w:ascii="Times New Roman" w:eastAsia="Times New Roman" w:hAnsi="Times New Roman" w:cs="Times New Roman"/>
          <w:color w:val="000000" w:themeColor="text1"/>
          <w:sz w:val="28"/>
          <w:szCs w:val="28"/>
          <w:lang w:val="ro-MD" w:eastAsia="ru-RU"/>
        </w:rPr>
        <w:t>economice</w:t>
      </w:r>
      <w:r w:rsidRPr="00AA3412">
        <w:rPr>
          <w:rFonts w:ascii="Times New Roman" w:eastAsia="Times New Roman" w:hAnsi="Times New Roman" w:cs="Times New Roman"/>
          <w:color w:val="000000" w:themeColor="text1"/>
          <w:sz w:val="28"/>
          <w:szCs w:val="28"/>
          <w:lang w:eastAsia="ru-RU"/>
        </w:rPr>
        <w:t xml:space="preserve"> și digitalizării   </w:t>
      </w:r>
      <w:r w:rsidR="00AA3412" w:rsidRPr="00AA3412">
        <w:rPr>
          <w:rFonts w:ascii="Times New Roman" w:eastAsia="Times New Roman" w:hAnsi="Times New Roman" w:cs="Times New Roman"/>
          <w:color w:val="000000" w:themeColor="text1"/>
          <w:sz w:val="28"/>
          <w:szCs w:val="28"/>
          <w:lang w:val="ro-MD" w:eastAsia="ru-RU"/>
        </w:rPr>
        <w:t>Eugen</w:t>
      </w:r>
      <w:r w:rsidRPr="00AA3412">
        <w:rPr>
          <w:rFonts w:ascii="Times New Roman" w:eastAsia="Times New Roman" w:hAnsi="Times New Roman" w:cs="Times New Roman"/>
          <w:color w:val="000000" w:themeColor="text1"/>
          <w:sz w:val="28"/>
          <w:szCs w:val="28"/>
          <w:lang w:eastAsia="ru-RU"/>
        </w:rPr>
        <w:t xml:space="preserve"> </w:t>
      </w:r>
      <w:r w:rsidR="00AA3412" w:rsidRPr="00AA3412">
        <w:rPr>
          <w:rFonts w:ascii="Times New Roman" w:eastAsia="Times New Roman" w:hAnsi="Times New Roman" w:cs="Times New Roman"/>
          <w:color w:val="000000" w:themeColor="text1"/>
          <w:sz w:val="28"/>
          <w:szCs w:val="28"/>
          <w:lang w:val="ro-MD" w:eastAsia="ru-RU"/>
        </w:rPr>
        <w:t>OSMOCHESCU</w:t>
      </w:r>
    </w:p>
    <w:p w14:paraId="375ED40E"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color w:val="000000" w:themeColor="text1"/>
          <w:sz w:val="28"/>
          <w:szCs w:val="28"/>
          <w:highlight w:val="yellow"/>
          <w:lang w:eastAsia="ru-RU"/>
        </w:rPr>
      </w:pPr>
    </w:p>
    <w:p w14:paraId="104BD737" w14:textId="77777777" w:rsidR="00584D11" w:rsidRPr="00AA341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r w:rsidRPr="00AA3412">
        <w:rPr>
          <w:rFonts w:ascii="Times New Roman" w:eastAsia="Times New Roman" w:hAnsi="Times New Roman" w:cs="Times New Roman"/>
          <w:color w:val="000000" w:themeColor="text1"/>
          <w:sz w:val="28"/>
          <w:szCs w:val="28"/>
          <w:lang w:eastAsia="ru-RU"/>
        </w:rPr>
        <w:t xml:space="preserve">Ministrul afacerilor interne                                     </w:t>
      </w:r>
      <w:r w:rsidRPr="00AA3412">
        <w:rPr>
          <w:rFonts w:ascii="Times New Roman" w:eastAsia="Times New Roman" w:hAnsi="Times New Roman" w:cs="Times New Roman"/>
          <w:sz w:val="28"/>
          <w:szCs w:val="28"/>
          <w:lang w:eastAsia="ru-RU"/>
        </w:rPr>
        <w:t>Daniella MISAIL-NICHITIN</w:t>
      </w:r>
    </w:p>
    <w:p w14:paraId="30601862"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highlight w:val="yellow"/>
          <w:lang w:eastAsia="ru-RU"/>
        </w:rPr>
      </w:pPr>
    </w:p>
    <w:p w14:paraId="5C9A2083" w14:textId="13ACF9A1" w:rsidR="00584D11" w:rsidRPr="00AA341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val="ro-MD" w:eastAsia="ru-RU"/>
        </w:rPr>
      </w:pPr>
      <w:r w:rsidRPr="00AA3412">
        <w:rPr>
          <w:rFonts w:ascii="Times New Roman" w:eastAsia="Times New Roman" w:hAnsi="Times New Roman" w:cs="Times New Roman"/>
          <w:sz w:val="28"/>
          <w:szCs w:val="28"/>
          <w:lang w:eastAsia="ru-RU"/>
        </w:rPr>
        <w:t xml:space="preserve">Ministrul finanțelor                                              </w:t>
      </w:r>
      <w:proofErr w:type="spellStart"/>
      <w:r w:rsidR="00AA3412" w:rsidRPr="00AA3412">
        <w:rPr>
          <w:rFonts w:ascii="Times New Roman" w:eastAsia="Times New Roman" w:hAnsi="Times New Roman" w:cs="Times New Roman"/>
          <w:sz w:val="28"/>
          <w:szCs w:val="28"/>
          <w:lang w:val="ro-MD" w:eastAsia="ru-RU"/>
        </w:rPr>
        <w:t>Andrian</w:t>
      </w:r>
      <w:proofErr w:type="spellEnd"/>
      <w:r w:rsidRPr="00AA3412">
        <w:rPr>
          <w:rFonts w:ascii="Times New Roman" w:eastAsia="Times New Roman" w:hAnsi="Times New Roman" w:cs="Times New Roman"/>
          <w:sz w:val="28"/>
          <w:szCs w:val="28"/>
          <w:lang w:eastAsia="ru-RU"/>
        </w:rPr>
        <w:t xml:space="preserve"> </w:t>
      </w:r>
      <w:r w:rsidR="00AA3412" w:rsidRPr="00AA3412">
        <w:rPr>
          <w:rFonts w:ascii="Times New Roman" w:eastAsia="Times New Roman" w:hAnsi="Times New Roman" w:cs="Times New Roman"/>
          <w:sz w:val="28"/>
          <w:szCs w:val="28"/>
          <w:lang w:val="ro-MD" w:eastAsia="ru-RU"/>
        </w:rPr>
        <w:t>GAVRILIȚĂ</w:t>
      </w:r>
    </w:p>
    <w:p w14:paraId="192E1BF4"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highlight w:val="yellow"/>
          <w:lang w:eastAsia="ru-RU"/>
        </w:rPr>
      </w:pPr>
    </w:p>
    <w:p w14:paraId="40313792" w14:textId="77777777" w:rsidR="00584D11" w:rsidRPr="00AA341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r w:rsidRPr="00AA3412">
        <w:rPr>
          <w:rFonts w:ascii="Times New Roman" w:eastAsia="Times New Roman" w:hAnsi="Times New Roman" w:cs="Times New Roman"/>
          <w:sz w:val="28"/>
          <w:szCs w:val="28"/>
          <w:lang w:eastAsia="ru-RU"/>
        </w:rPr>
        <w:t>Ministrul apărării                                                 Anatolie NOSATÎI</w:t>
      </w:r>
    </w:p>
    <w:p w14:paraId="133A2637"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highlight w:val="yellow"/>
          <w:lang w:eastAsia="ru-RU"/>
        </w:rPr>
      </w:pPr>
    </w:p>
    <w:p w14:paraId="6E9498E8" w14:textId="6C0D3D72" w:rsidR="00584D11" w:rsidRPr="00AA341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val="ro-MD" w:eastAsia="ru-RU"/>
        </w:rPr>
      </w:pPr>
      <w:r w:rsidRPr="00AA3412">
        <w:rPr>
          <w:rFonts w:ascii="Times New Roman" w:eastAsia="Times New Roman" w:hAnsi="Times New Roman" w:cs="Times New Roman"/>
          <w:sz w:val="28"/>
          <w:szCs w:val="28"/>
          <w:lang w:eastAsia="ru-RU"/>
        </w:rPr>
        <w:t xml:space="preserve">Ministrul mediului                                               </w:t>
      </w:r>
      <w:r w:rsidR="00AA3412" w:rsidRPr="00AA3412">
        <w:rPr>
          <w:rFonts w:ascii="Times New Roman" w:eastAsia="Times New Roman" w:hAnsi="Times New Roman" w:cs="Times New Roman"/>
          <w:sz w:val="28"/>
          <w:szCs w:val="28"/>
          <w:lang w:val="ro-MD" w:eastAsia="ru-RU"/>
        </w:rPr>
        <w:t>Gheorghe</w:t>
      </w:r>
      <w:r w:rsidRPr="00AA3412">
        <w:rPr>
          <w:rFonts w:ascii="Times New Roman" w:eastAsia="Times New Roman" w:hAnsi="Times New Roman" w:cs="Times New Roman"/>
          <w:sz w:val="28"/>
          <w:szCs w:val="28"/>
          <w:lang w:eastAsia="ru-RU"/>
        </w:rPr>
        <w:t xml:space="preserve"> </w:t>
      </w:r>
      <w:r w:rsidR="00AA3412" w:rsidRPr="00AA3412">
        <w:rPr>
          <w:rFonts w:ascii="Times New Roman" w:eastAsia="Times New Roman" w:hAnsi="Times New Roman" w:cs="Times New Roman"/>
          <w:sz w:val="28"/>
          <w:szCs w:val="28"/>
          <w:lang w:val="ro-MD" w:eastAsia="ru-RU"/>
        </w:rPr>
        <w:t>HAJDER</w:t>
      </w:r>
    </w:p>
    <w:p w14:paraId="42006574"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highlight w:val="yellow"/>
          <w:lang w:eastAsia="ru-RU"/>
        </w:rPr>
      </w:pPr>
    </w:p>
    <w:p w14:paraId="68043F8C" w14:textId="136C73D4" w:rsidR="00584D11" w:rsidRPr="00D326B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val="ro-MD" w:eastAsia="ru-RU"/>
        </w:rPr>
      </w:pPr>
      <w:r w:rsidRPr="00D326B7">
        <w:rPr>
          <w:rFonts w:ascii="Times New Roman" w:eastAsia="Times New Roman" w:hAnsi="Times New Roman" w:cs="Times New Roman"/>
          <w:sz w:val="28"/>
          <w:szCs w:val="28"/>
          <w:lang w:eastAsia="ru-RU"/>
        </w:rPr>
        <w:t xml:space="preserve">Ministrul sănătății                                                </w:t>
      </w:r>
      <w:r w:rsidR="00D326B7" w:rsidRPr="00D326B7">
        <w:rPr>
          <w:rFonts w:ascii="Times New Roman" w:eastAsia="Times New Roman" w:hAnsi="Times New Roman" w:cs="Times New Roman"/>
          <w:sz w:val="28"/>
          <w:szCs w:val="28"/>
          <w:lang w:val="ro-MD" w:eastAsia="ru-RU"/>
        </w:rPr>
        <w:t>Emil</w:t>
      </w:r>
      <w:r w:rsidRPr="00D326B7">
        <w:rPr>
          <w:rFonts w:ascii="Times New Roman" w:eastAsia="Times New Roman" w:hAnsi="Times New Roman" w:cs="Times New Roman"/>
          <w:sz w:val="28"/>
          <w:szCs w:val="28"/>
          <w:lang w:eastAsia="ru-RU"/>
        </w:rPr>
        <w:t xml:space="preserve"> </w:t>
      </w:r>
      <w:r w:rsidR="00D326B7" w:rsidRPr="00D326B7">
        <w:rPr>
          <w:rFonts w:ascii="Times New Roman" w:eastAsia="Times New Roman" w:hAnsi="Times New Roman" w:cs="Times New Roman"/>
          <w:sz w:val="28"/>
          <w:szCs w:val="28"/>
          <w:lang w:val="ro-MD" w:eastAsia="ru-RU"/>
        </w:rPr>
        <w:t>CEBAN</w:t>
      </w:r>
    </w:p>
    <w:p w14:paraId="3FFB259F" w14:textId="77777777" w:rsidR="00584D11" w:rsidRDefault="0058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highlight w:val="yellow"/>
          <w:lang w:eastAsia="ru-RU"/>
        </w:rPr>
      </w:pPr>
    </w:p>
    <w:p w14:paraId="29AE96BE" w14:textId="77777777" w:rsidR="00584D11" w:rsidRPr="00D326B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35" w:firstLine="658"/>
        <w:jc w:val="both"/>
        <w:rPr>
          <w:rFonts w:ascii="Times New Roman" w:eastAsia="Times New Roman" w:hAnsi="Times New Roman" w:cs="Times New Roman"/>
          <w:sz w:val="28"/>
          <w:szCs w:val="28"/>
          <w:lang w:eastAsia="ru-RU"/>
        </w:rPr>
      </w:pPr>
      <w:r w:rsidRPr="00D326B7">
        <w:rPr>
          <w:rFonts w:ascii="Times New Roman" w:eastAsia="Times New Roman" w:hAnsi="Times New Roman" w:cs="Times New Roman"/>
          <w:sz w:val="28"/>
          <w:szCs w:val="28"/>
          <w:lang w:eastAsia="ru-RU"/>
        </w:rPr>
        <w:t>Ministrul agriculturii și industriei alimentare      Ludmila CATLABUGA</w:t>
      </w:r>
    </w:p>
    <w:p w14:paraId="3FCCD527" w14:textId="77777777" w:rsidR="00584D11" w:rsidRDefault="00584D11">
      <w:pPr>
        <w:ind w:firstLineChars="235" w:firstLine="517"/>
      </w:pPr>
    </w:p>
    <w:sectPr w:rsidR="00584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396C" w14:textId="77777777" w:rsidR="006D47DB" w:rsidRDefault="006D47DB">
      <w:pPr>
        <w:spacing w:line="240" w:lineRule="auto"/>
      </w:pPr>
      <w:r>
        <w:separator/>
      </w:r>
    </w:p>
  </w:endnote>
  <w:endnote w:type="continuationSeparator" w:id="0">
    <w:p w14:paraId="377993AE" w14:textId="77777777" w:rsidR="006D47DB" w:rsidRDefault="006D4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9CC4" w14:textId="77777777" w:rsidR="006D47DB" w:rsidRDefault="006D47DB">
      <w:pPr>
        <w:spacing w:after="0"/>
      </w:pPr>
      <w:r>
        <w:separator/>
      </w:r>
    </w:p>
  </w:footnote>
  <w:footnote w:type="continuationSeparator" w:id="0">
    <w:p w14:paraId="3D720C37" w14:textId="77777777" w:rsidR="006D47DB" w:rsidRDefault="006D47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E4AD"/>
    <w:multiLevelType w:val="multilevel"/>
    <w:tmpl w:val="1A28E4AD"/>
    <w:lvl w:ilvl="0">
      <w:start w:val="1"/>
      <w:numFmt w:val="decimal"/>
      <w:lvlText w:val="%1."/>
      <w:lvlJc w:val="left"/>
      <w:pPr>
        <w:tabs>
          <w:tab w:val="left" w:pos="425"/>
        </w:tabs>
        <w:ind w:left="865" w:hanging="425"/>
      </w:pPr>
      <w:rPr>
        <w:rFonts w:hint="default"/>
        <w:b/>
        <w:bCs/>
      </w:rPr>
    </w:lvl>
    <w:lvl w:ilvl="1">
      <w:start w:val="1"/>
      <w:numFmt w:val="lowerLetter"/>
      <w:lvlText w:val="%2)"/>
      <w:lvlJc w:val="left"/>
      <w:pPr>
        <w:tabs>
          <w:tab w:val="left" w:pos="840"/>
        </w:tabs>
        <w:ind w:left="1280" w:hanging="420"/>
      </w:pPr>
      <w:rPr>
        <w:rFonts w:hint="default"/>
      </w:rPr>
    </w:lvl>
    <w:lvl w:ilvl="2">
      <w:start w:val="1"/>
      <w:numFmt w:val="lowerRoman"/>
      <w:lvlText w:val="%3."/>
      <w:lvlJc w:val="left"/>
      <w:pPr>
        <w:tabs>
          <w:tab w:val="left" w:pos="1260"/>
        </w:tabs>
        <w:ind w:left="1700" w:hanging="420"/>
      </w:pPr>
      <w:rPr>
        <w:rFonts w:hint="default"/>
      </w:rPr>
    </w:lvl>
    <w:lvl w:ilvl="3">
      <w:start w:val="1"/>
      <w:numFmt w:val="decimal"/>
      <w:lvlText w:val="%4."/>
      <w:lvlJc w:val="left"/>
      <w:pPr>
        <w:tabs>
          <w:tab w:val="left" w:pos="1680"/>
        </w:tabs>
        <w:ind w:left="2120" w:hanging="420"/>
      </w:pPr>
      <w:rPr>
        <w:rFonts w:hint="default"/>
      </w:rPr>
    </w:lvl>
    <w:lvl w:ilvl="4">
      <w:start w:val="1"/>
      <w:numFmt w:val="lowerLetter"/>
      <w:lvlText w:val="%5)"/>
      <w:lvlJc w:val="left"/>
      <w:pPr>
        <w:tabs>
          <w:tab w:val="left" w:pos="2100"/>
        </w:tabs>
        <w:ind w:left="2540" w:hanging="420"/>
      </w:pPr>
      <w:rPr>
        <w:rFonts w:hint="default"/>
      </w:rPr>
    </w:lvl>
    <w:lvl w:ilvl="5">
      <w:start w:val="1"/>
      <w:numFmt w:val="lowerRoman"/>
      <w:lvlText w:val="%6."/>
      <w:lvlJc w:val="left"/>
      <w:pPr>
        <w:tabs>
          <w:tab w:val="left" w:pos="2520"/>
        </w:tabs>
        <w:ind w:left="2960" w:hanging="420"/>
      </w:pPr>
      <w:rPr>
        <w:rFonts w:hint="default"/>
      </w:rPr>
    </w:lvl>
    <w:lvl w:ilvl="6">
      <w:start w:val="1"/>
      <w:numFmt w:val="decimal"/>
      <w:lvlText w:val="%7."/>
      <w:lvlJc w:val="left"/>
      <w:pPr>
        <w:tabs>
          <w:tab w:val="left" w:pos="2940"/>
        </w:tabs>
        <w:ind w:left="3380" w:hanging="420"/>
      </w:pPr>
      <w:rPr>
        <w:rFonts w:hint="default"/>
      </w:rPr>
    </w:lvl>
    <w:lvl w:ilvl="7">
      <w:start w:val="1"/>
      <w:numFmt w:val="lowerLetter"/>
      <w:lvlText w:val="%8)"/>
      <w:lvlJc w:val="left"/>
      <w:pPr>
        <w:tabs>
          <w:tab w:val="left" w:pos="3360"/>
        </w:tabs>
        <w:ind w:left="3800" w:hanging="420"/>
      </w:pPr>
      <w:rPr>
        <w:rFonts w:hint="default"/>
      </w:rPr>
    </w:lvl>
    <w:lvl w:ilvl="8">
      <w:start w:val="1"/>
      <w:numFmt w:val="lowerRoman"/>
      <w:lvlText w:val="%9."/>
      <w:lvlJc w:val="left"/>
      <w:pPr>
        <w:tabs>
          <w:tab w:val="left" w:pos="3780"/>
        </w:tabs>
        <w:ind w:left="4220" w:hanging="420"/>
      </w:pPr>
      <w:rPr>
        <w:rFonts w:hint="default"/>
      </w:rPr>
    </w:lvl>
  </w:abstractNum>
  <w:abstractNum w:abstractNumId="1" w15:restartNumberingAfterBreak="0">
    <w:nsid w:val="1F16C980"/>
    <w:multiLevelType w:val="multilevel"/>
    <w:tmpl w:val="7BA00B08"/>
    <w:lvl w:ilvl="0">
      <w:start w:val="1"/>
      <w:numFmt w:val="decimal"/>
      <w:suff w:val="space"/>
      <w:lvlText w:val="%1."/>
      <w:lvlJc w:val="left"/>
      <w:pPr>
        <w:ind w:left="-49"/>
      </w:pPr>
      <w:rPr>
        <w:rFonts w:hint="default"/>
        <w:b/>
        <w:bCs/>
        <w:strike w:val="0"/>
        <w:dstrike w:val="0"/>
      </w:rPr>
    </w:lvl>
    <w:lvl w:ilvl="1">
      <w:start w:val="1"/>
      <w:numFmt w:val="decimal"/>
      <w:suff w:val="space"/>
      <w:lvlText w:val="%1.%2"/>
      <w:lvlJc w:val="left"/>
      <w:pPr>
        <w:ind w:left="-49" w:firstLine="0"/>
      </w:pPr>
      <w:rPr>
        <w:rFonts w:hint="default"/>
      </w:rPr>
    </w:lvl>
    <w:lvl w:ilvl="2">
      <w:start w:val="1"/>
      <w:numFmt w:val="decimal"/>
      <w:suff w:val="space"/>
      <w:lvlText w:val="%1.%2.%3"/>
      <w:lvlJc w:val="left"/>
      <w:pPr>
        <w:ind w:left="-49" w:firstLine="0"/>
      </w:pPr>
      <w:rPr>
        <w:rFonts w:hint="default"/>
      </w:rPr>
    </w:lvl>
    <w:lvl w:ilvl="3">
      <w:start w:val="1"/>
      <w:numFmt w:val="decimal"/>
      <w:suff w:val="space"/>
      <w:lvlText w:val="%1.%2.%3.%4"/>
      <w:lvlJc w:val="left"/>
      <w:pPr>
        <w:ind w:left="-49" w:firstLine="0"/>
      </w:pPr>
      <w:rPr>
        <w:rFonts w:hint="default"/>
      </w:rPr>
    </w:lvl>
    <w:lvl w:ilvl="4">
      <w:start w:val="1"/>
      <w:numFmt w:val="decimal"/>
      <w:suff w:val="space"/>
      <w:lvlText w:val="%1.%2.%3.%4.%5"/>
      <w:lvlJc w:val="left"/>
      <w:pPr>
        <w:ind w:left="-49" w:firstLine="0"/>
      </w:pPr>
      <w:rPr>
        <w:rFonts w:hint="default"/>
      </w:rPr>
    </w:lvl>
    <w:lvl w:ilvl="5">
      <w:start w:val="1"/>
      <w:numFmt w:val="decimal"/>
      <w:suff w:val="space"/>
      <w:lvlText w:val="%1.%2.%3.%4.%5.%6"/>
      <w:lvlJc w:val="left"/>
      <w:pPr>
        <w:ind w:left="-49" w:firstLine="0"/>
      </w:pPr>
      <w:rPr>
        <w:rFonts w:hint="default"/>
      </w:rPr>
    </w:lvl>
    <w:lvl w:ilvl="6">
      <w:start w:val="1"/>
      <w:numFmt w:val="decimal"/>
      <w:suff w:val="space"/>
      <w:lvlText w:val="%1.%2.%3.%4.%5.%6.%7"/>
      <w:lvlJc w:val="left"/>
      <w:pPr>
        <w:ind w:left="-49" w:firstLine="0"/>
      </w:pPr>
      <w:rPr>
        <w:rFonts w:hint="default"/>
      </w:rPr>
    </w:lvl>
    <w:lvl w:ilvl="7">
      <w:start w:val="1"/>
      <w:numFmt w:val="decimal"/>
      <w:suff w:val="space"/>
      <w:lvlText w:val="%1.%2.%3.%4.%5.%6.%7.%8"/>
      <w:lvlJc w:val="left"/>
      <w:pPr>
        <w:ind w:left="-49" w:firstLine="0"/>
      </w:pPr>
      <w:rPr>
        <w:rFonts w:hint="default"/>
      </w:rPr>
    </w:lvl>
    <w:lvl w:ilvl="8">
      <w:start w:val="1"/>
      <w:numFmt w:val="decimal"/>
      <w:suff w:val="space"/>
      <w:lvlText w:val="%1.%2.%3.%4.%5.%6.%7.%8.%9"/>
      <w:lvlJc w:val="left"/>
      <w:pPr>
        <w:ind w:left="-49" w:firstLine="0"/>
      </w:pPr>
      <w:rPr>
        <w:rFonts w:hint="default"/>
      </w:rPr>
    </w:lvl>
  </w:abstractNum>
  <w:abstractNum w:abstractNumId="2" w15:restartNumberingAfterBreak="0">
    <w:nsid w:val="3DB80437"/>
    <w:multiLevelType w:val="multilevel"/>
    <w:tmpl w:val="3DBA6354"/>
    <w:lvl w:ilvl="0">
      <w:start w:val="12"/>
      <w:numFmt w:val="decimal"/>
      <w:lvlText w:val="%1."/>
      <w:lvlJc w:val="left"/>
      <w:pPr>
        <w:ind w:left="801" w:hanging="375"/>
      </w:pPr>
      <w:rPr>
        <w:rFonts w:hint="default"/>
        <w:b/>
        <w:bCs/>
        <w:strike w:val="0"/>
        <w:dstrike w:val="0"/>
      </w:rPr>
    </w:lvl>
    <w:lvl w:ilvl="1">
      <w:start w:val="1"/>
      <w:numFmt w:val="decimal"/>
      <w:isLgl/>
      <w:lvlText w:val="%1.%2"/>
      <w:lvlJc w:val="left"/>
      <w:pPr>
        <w:ind w:left="1234"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3" w15:restartNumberingAfterBreak="0">
    <w:nsid w:val="53D143E5"/>
    <w:multiLevelType w:val="multilevel"/>
    <w:tmpl w:val="53D143E5"/>
    <w:lvl w:ilvl="0">
      <w:start w:val="1"/>
      <w:numFmt w:val="decimal"/>
      <w:lvlText w:val="%1"/>
      <w:lvlJc w:val="left"/>
      <w:pPr>
        <w:ind w:left="375" w:hanging="375"/>
      </w:pPr>
      <w:rPr>
        <w:rFonts w:hint="default"/>
      </w:rPr>
    </w:lvl>
    <w:lvl w:ilvl="1">
      <w:start w:val="1"/>
      <w:numFmt w:val="decimal"/>
      <w:lvlText w:val="%1.%2"/>
      <w:lvlJc w:val="left"/>
      <w:pPr>
        <w:ind w:left="941" w:hanging="375"/>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num w:numId="1" w16cid:durableId="1310789055">
    <w:abstractNumId w:val="0"/>
  </w:num>
  <w:num w:numId="2" w16cid:durableId="604269840">
    <w:abstractNumId w:val="3"/>
  </w:num>
  <w:num w:numId="3" w16cid:durableId="1290935152">
    <w:abstractNumId w:val="1"/>
  </w:num>
  <w:num w:numId="4" w16cid:durableId="136678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B2"/>
    <w:rsid w:val="0000408B"/>
    <w:rsid w:val="00006205"/>
    <w:rsid w:val="00007411"/>
    <w:rsid w:val="0001265E"/>
    <w:rsid w:val="000169F9"/>
    <w:rsid w:val="00016E39"/>
    <w:rsid w:val="000170CB"/>
    <w:rsid w:val="000177D7"/>
    <w:rsid w:val="00017AF8"/>
    <w:rsid w:val="00020784"/>
    <w:rsid w:val="00021F7A"/>
    <w:rsid w:val="00022B13"/>
    <w:rsid w:val="00024579"/>
    <w:rsid w:val="00025DE3"/>
    <w:rsid w:val="000266B3"/>
    <w:rsid w:val="00031B1C"/>
    <w:rsid w:val="00033CFE"/>
    <w:rsid w:val="000355CF"/>
    <w:rsid w:val="00037821"/>
    <w:rsid w:val="00041CB7"/>
    <w:rsid w:val="00042834"/>
    <w:rsid w:val="00043FC6"/>
    <w:rsid w:val="0005070F"/>
    <w:rsid w:val="000539D2"/>
    <w:rsid w:val="0005577E"/>
    <w:rsid w:val="0006481D"/>
    <w:rsid w:val="00073AF0"/>
    <w:rsid w:val="00073ECB"/>
    <w:rsid w:val="000763E3"/>
    <w:rsid w:val="00077D90"/>
    <w:rsid w:val="00093048"/>
    <w:rsid w:val="00095E89"/>
    <w:rsid w:val="000B102C"/>
    <w:rsid w:val="000B5AE7"/>
    <w:rsid w:val="000C2DBF"/>
    <w:rsid w:val="000C5830"/>
    <w:rsid w:val="000C74BB"/>
    <w:rsid w:val="000D1CF6"/>
    <w:rsid w:val="000D4800"/>
    <w:rsid w:val="000D5929"/>
    <w:rsid w:val="000E0D0A"/>
    <w:rsid w:val="000E31F3"/>
    <w:rsid w:val="000E38A2"/>
    <w:rsid w:val="000E6385"/>
    <w:rsid w:val="000F12FB"/>
    <w:rsid w:val="000F3506"/>
    <w:rsid w:val="000F4C0B"/>
    <w:rsid w:val="00100E9F"/>
    <w:rsid w:val="00100ED9"/>
    <w:rsid w:val="00101DE2"/>
    <w:rsid w:val="00106779"/>
    <w:rsid w:val="00113EA7"/>
    <w:rsid w:val="00120E43"/>
    <w:rsid w:val="0012556A"/>
    <w:rsid w:val="00130038"/>
    <w:rsid w:val="00131154"/>
    <w:rsid w:val="00133E03"/>
    <w:rsid w:val="00133FF6"/>
    <w:rsid w:val="001376A5"/>
    <w:rsid w:val="00140ABB"/>
    <w:rsid w:val="00151CDC"/>
    <w:rsid w:val="00152B0C"/>
    <w:rsid w:val="0015617E"/>
    <w:rsid w:val="001617FB"/>
    <w:rsid w:val="00164F4D"/>
    <w:rsid w:val="0016626C"/>
    <w:rsid w:val="00166DDE"/>
    <w:rsid w:val="001672FC"/>
    <w:rsid w:val="00170835"/>
    <w:rsid w:val="001743D7"/>
    <w:rsid w:val="00176D47"/>
    <w:rsid w:val="001815B3"/>
    <w:rsid w:val="00183380"/>
    <w:rsid w:val="00184C8A"/>
    <w:rsid w:val="00185EA6"/>
    <w:rsid w:val="001873AB"/>
    <w:rsid w:val="00187C43"/>
    <w:rsid w:val="00191429"/>
    <w:rsid w:val="00191DB3"/>
    <w:rsid w:val="001974EF"/>
    <w:rsid w:val="001975B2"/>
    <w:rsid w:val="001975F2"/>
    <w:rsid w:val="001A1952"/>
    <w:rsid w:val="001A2049"/>
    <w:rsid w:val="001A31AB"/>
    <w:rsid w:val="001A70B7"/>
    <w:rsid w:val="001B6F3A"/>
    <w:rsid w:val="001C1DF1"/>
    <w:rsid w:val="001C5E9F"/>
    <w:rsid w:val="001D06B8"/>
    <w:rsid w:val="001D2917"/>
    <w:rsid w:val="001D4112"/>
    <w:rsid w:val="001D5A33"/>
    <w:rsid w:val="001D6871"/>
    <w:rsid w:val="001E291C"/>
    <w:rsid w:val="001E3519"/>
    <w:rsid w:val="001E3B52"/>
    <w:rsid w:val="001F4F7B"/>
    <w:rsid w:val="00201FF7"/>
    <w:rsid w:val="002030A0"/>
    <w:rsid w:val="00205761"/>
    <w:rsid w:val="00207ECA"/>
    <w:rsid w:val="0022035A"/>
    <w:rsid w:val="002206A1"/>
    <w:rsid w:val="00223DDA"/>
    <w:rsid w:val="00226D45"/>
    <w:rsid w:val="00227817"/>
    <w:rsid w:val="002335AF"/>
    <w:rsid w:val="00233D71"/>
    <w:rsid w:val="0023619E"/>
    <w:rsid w:val="00236EBB"/>
    <w:rsid w:val="00240222"/>
    <w:rsid w:val="00241A03"/>
    <w:rsid w:val="00243E0F"/>
    <w:rsid w:val="00246D15"/>
    <w:rsid w:val="00247E9E"/>
    <w:rsid w:val="00250438"/>
    <w:rsid w:val="00255038"/>
    <w:rsid w:val="00255117"/>
    <w:rsid w:val="00256235"/>
    <w:rsid w:val="002574C1"/>
    <w:rsid w:val="00260D5C"/>
    <w:rsid w:val="00260F88"/>
    <w:rsid w:val="00267E15"/>
    <w:rsid w:val="00273BA3"/>
    <w:rsid w:val="00276648"/>
    <w:rsid w:val="00276CE0"/>
    <w:rsid w:val="00281F45"/>
    <w:rsid w:val="00284D6B"/>
    <w:rsid w:val="002851DB"/>
    <w:rsid w:val="00285BDF"/>
    <w:rsid w:val="00286233"/>
    <w:rsid w:val="00287309"/>
    <w:rsid w:val="00287C20"/>
    <w:rsid w:val="00293291"/>
    <w:rsid w:val="0029513F"/>
    <w:rsid w:val="002A3C1E"/>
    <w:rsid w:val="002A5083"/>
    <w:rsid w:val="002A78FF"/>
    <w:rsid w:val="002B2F5B"/>
    <w:rsid w:val="002B578C"/>
    <w:rsid w:val="002B7226"/>
    <w:rsid w:val="002C1AF9"/>
    <w:rsid w:val="002C69F3"/>
    <w:rsid w:val="002D0576"/>
    <w:rsid w:val="002D1ECA"/>
    <w:rsid w:val="002D41D8"/>
    <w:rsid w:val="002D4B42"/>
    <w:rsid w:val="002D4D35"/>
    <w:rsid w:val="002D5B6A"/>
    <w:rsid w:val="002D7848"/>
    <w:rsid w:val="002E33F4"/>
    <w:rsid w:val="002F2BE4"/>
    <w:rsid w:val="002F3444"/>
    <w:rsid w:val="002F4C5F"/>
    <w:rsid w:val="002F698D"/>
    <w:rsid w:val="002F72EF"/>
    <w:rsid w:val="00301973"/>
    <w:rsid w:val="0030224F"/>
    <w:rsid w:val="0030261E"/>
    <w:rsid w:val="00305E5D"/>
    <w:rsid w:val="00307D10"/>
    <w:rsid w:val="00310071"/>
    <w:rsid w:val="003102C6"/>
    <w:rsid w:val="003123FC"/>
    <w:rsid w:val="00314B0B"/>
    <w:rsid w:val="00315FA2"/>
    <w:rsid w:val="00320BED"/>
    <w:rsid w:val="0032134B"/>
    <w:rsid w:val="00327203"/>
    <w:rsid w:val="00330AE2"/>
    <w:rsid w:val="00333AE4"/>
    <w:rsid w:val="00333B4F"/>
    <w:rsid w:val="00340490"/>
    <w:rsid w:val="00340DEE"/>
    <w:rsid w:val="00346948"/>
    <w:rsid w:val="00351C6A"/>
    <w:rsid w:val="003614EE"/>
    <w:rsid w:val="00365F9C"/>
    <w:rsid w:val="00370E46"/>
    <w:rsid w:val="00371402"/>
    <w:rsid w:val="003722D0"/>
    <w:rsid w:val="0037450D"/>
    <w:rsid w:val="00376817"/>
    <w:rsid w:val="00377D3E"/>
    <w:rsid w:val="003816AF"/>
    <w:rsid w:val="00381DC0"/>
    <w:rsid w:val="00385893"/>
    <w:rsid w:val="003935E5"/>
    <w:rsid w:val="00394A7E"/>
    <w:rsid w:val="003A39F1"/>
    <w:rsid w:val="003A7BF2"/>
    <w:rsid w:val="003B1D07"/>
    <w:rsid w:val="003B20F7"/>
    <w:rsid w:val="003B3AC8"/>
    <w:rsid w:val="003B5522"/>
    <w:rsid w:val="003C1BFE"/>
    <w:rsid w:val="003D2623"/>
    <w:rsid w:val="003D4CD2"/>
    <w:rsid w:val="003D7674"/>
    <w:rsid w:val="003F0711"/>
    <w:rsid w:val="003F22D8"/>
    <w:rsid w:val="003F2364"/>
    <w:rsid w:val="003F5A8C"/>
    <w:rsid w:val="003F625E"/>
    <w:rsid w:val="003F6A25"/>
    <w:rsid w:val="00404BF1"/>
    <w:rsid w:val="0040576A"/>
    <w:rsid w:val="00407810"/>
    <w:rsid w:val="00410623"/>
    <w:rsid w:val="00410BFC"/>
    <w:rsid w:val="004150C0"/>
    <w:rsid w:val="00415BFA"/>
    <w:rsid w:val="004173FA"/>
    <w:rsid w:val="00420976"/>
    <w:rsid w:val="004307DA"/>
    <w:rsid w:val="004330B6"/>
    <w:rsid w:val="004372D1"/>
    <w:rsid w:val="00444452"/>
    <w:rsid w:val="00444CF4"/>
    <w:rsid w:val="0044614C"/>
    <w:rsid w:val="00453BB9"/>
    <w:rsid w:val="00460150"/>
    <w:rsid w:val="00462332"/>
    <w:rsid w:val="00462619"/>
    <w:rsid w:val="00463A4B"/>
    <w:rsid w:val="004651EE"/>
    <w:rsid w:val="004717C4"/>
    <w:rsid w:val="00473014"/>
    <w:rsid w:val="00473188"/>
    <w:rsid w:val="00473B77"/>
    <w:rsid w:val="004807D0"/>
    <w:rsid w:val="004811AE"/>
    <w:rsid w:val="0048149A"/>
    <w:rsid w:val="004814F6"/>
    <w:rsid w:val="004827BB"/>
    <w:rsid w:val="00485D00"/>
    <w:rsid w:val="0048756A"/>
    <w:rsid w:val="004918A2"/>
    <w:rsid w:val="00494D09"/>
    <w:rsid w:val="004A0A66"/>
    <w:rsid w:val="004A2BE7"/>
    <w:rsid w:val="004A3BD9"/>
    <w:rsid w:val="004A4F7C"/>
    <w:rsid w:val="004B5373"/>
    <w:rsid w:val="004C2D73"/>
    <w:rsid w:val="004C2ED0"/>
    <w:rsid w:val="004C342A"/>
    <w:rsid w:val="004C3A94"/>
    <w:rsid w:val="004C3E03"/>
    <w:rsid w:val="004D0872"/>
    <w:rsid w:val="004D2EC8"/>
    <w:rsid w:val="004D388F"/>
    <w:rsid w:val="004D5040"/>
    <w:rsid w:val="004E0677"/>
    <w:rsid w:val="004E1A71"/>
    <w:rsid w:val="004E2018"/>
    <w:rsid w:val="004E2230"/>
    <w:rsid w:val="004E3C67"/>
    <w:rsid w:val="004E4618"/>
    <w:rsid w:val="004E58DA"/>
    <w:rsid w:val="004F135F"/>
    <w:rsid w:val="004F73C6"/>
    <w:rsid w:val="004F7EBB"/>
    <w:rsid w:val="00500DD3"/>
    <w:rsid w:val="00505950"/>
    <w:rsid w:val="005105A3"/>
    <w:rsid w:val="00510DE8"/>
    <w:rsid w:val="00512E91"/>
    <w:rsid w:val="00515C3C"/>
    <w:rsid w:val="00517494"/>
    <w:rsid w:val="00517748"/>
    <w:rsid w:val="00517BEC"/>
    <w:rsid w:val="005206C2"/>
    <w:rsid w:val="00524FE0"/>
    <w:rsid w:val="00525AFD"/>
    <w:rsid w:val="00530F7C"/>
    <w:rsid w:val="00533C8D"/>
    <w:rsid w:val="00535DDD"/>
    <w:rsid w:val="00542202"/>
    <w:rsid w:val="005439C1"/>
    <w:rsid w:val="00546749"/>
    <w:rsid w:val="005467D6"/>
    <w:rsid w:val="005513E8"/>
    <w:rsid w:val="00557972"/>
    <w:rsid w:val="00557B81"/>
    <w:rsid w:val="005601C2"/>
    <w:rsid w:val="00560BEF"/>
    <w:rsid w:val="00561046"/>
    <w:rsid w:val="0056548F"/>
    <w:rsid w:val="00565893"/>
    <w:rsid w:val="00574489"/>
    <w:rsid w:val="005747DB"/>
    <w:rsid w:val="0058013B"/>
    <w:rsid w:val="005813AD"/>
    <w:rsid w:val="005847EE"/>
    <w:rsid w:val="00584D11"/>
    <w:rsid w:val="0058539A"/>
    <w:rsid w:val="00587518"/>
    <w:rsid w:val="00587D13"/>
    <w:rsid w:val="005A6A02"/>
    <w:rsid w:val="005A753B"/>
    <w:rsid w:val="005B070C"/>
    <w:rsid w:val="005B554B"/>
    <w:rsid w:val="005B6CDA"/>
    <w:rsid w:val="005B75DA"/>
    <w:rsid w:val="005C1120"/>
    <w:rsid w:val="005C5BE2"/>
    <w:rsid w:val="005D25FB"/>
    <w:rsid w:val="005D411C"/>
    <w:rsid w:val="005D49F0"/>
    <w:rsid w:val="005D4F3F"/>
    <w:rsid w:val="005D6E1C"/>
    <w:rsid w:val="005D6E6A"/>
    <w:rsid w:val="005E50C1"/>
    <w:rsid w:val="005F5D8B"/>
    <w:rsid w:val="005F7ACC"/>
    <w:rsid w:val="00600028"/>
    <w:rsid w:val="00601D65"/>
    <w:rsid w:val="00603E88"/>
    <w:rsid w:val="006048E9"/>
    <w:rsid w:val="00607380"/>
    <w:rsid w:val="00610670"/>
    <w:rsid w:val="006125CD"/>
    <w:rsid w:val="00613A75"/>
    <w:rsid w:val="00615681"/>
    <w:rsid w:val="00615F25"/>
    <w:rsid w:val="006160AF"/>
    <w:rsid w:val="00616EDC"/>
    <w:rsid w:val="006218F7"/>
    <w:rsid w:val="0062537D"/>
    <w:rsid w:val="00630FE7"/>
    <w:rsid w:val="0063272F"/>
    <w:rsid w:val="006351DD"/>
    <w:rsid w:val="006403A2"/>
    <w:rsid w:val="006460BD"/>
    <w:rsid w:val="00650902"/>
    <w:rsid w:val="006558B9"/>
    <w:rsid w:val="00655C95"/>
    <w:rsid w:val="00662A2C"/>
    <w:rsid w:val="00666ECE"/>
    <w:rsid w:val="00670213"/>
    <w:rsid w:val="0067021D"/>
    <w:rsid w:val="006706C3"/>
    <w:rsid w:val="0067122F"/>
    <w:rsid w:val="0067198E"/>
    <w:rsid w:val="0067271C"/>
    <w:rsid w:val="006730D2"/>
    <w:rsid w:val="00673DDE"/>
    <w:rsid w:val="00674813"/>
    <w:rsid w:val="006827AF"/>
    <w:rsid w:val="00682DC0"/>
    <w:rsid w:val="00687024"/>
    <w:rsid w:val="00687C88"/>
    <w:rsid w:val="00695896"/>
    <w:rsid w:val="00696F38"/>
    <w:rsid w:val="006A0078"/>
    <w:rsid w:val="006A2241"/>
    <w:rsid w:val="006A36C1"/>
    <w:rsid w:val="006A5FD2"/>
    <w:rsid w:val="006A6710"/>
    <w:rsid w:val="006A779D"/>
    <w:rsid w:val="006A780A"/>
    <w:rsid w:val="006B00C0"/>
    <w:rsid w:val="006B17C7"/>
    <w:rsid w:val="006B3D09"/>
    <w:rsid w:val="006B5FC3"/>
    <w:rsid w:val="006B6AC8"/>
    <w:rsid w:val="006C0954"/>
    <w:rsid w:val="006C0DFD"/>
    <w:rsid w:val="006C17F0"/>
    <w:rsid w:val="006C1F0D"/>
    <w:rsid w:val="006C4B63"/>
    <w:rsid w:val="006C552D"/>
    <w:rsid w:val="006C6959"/>
    <w:rsid w:val="006D39BC"/>
    <w:rsid w:val="006D47DB"/>
    <w:rsid w:val="006D582C"/>
    <w:rsid w:val="006D5E9F"/>
    <w:rsid w:val="006D61F2"/>
    <w:rsid w:val="006E4E6A"/>
    <w:rsid w:val="006F706E"/>
    <w:rsid w:val="0070209D"/>
    <w:rsid w:val="0070239A"/>
    <w:rsid w:val="007038CF"/>
    <w:rsid w:val="007067E4"/>
    <w:rsid w:val="00710233"/>
    <w:rsid w:val="00712FA4"/>
    <w:rsid w:val="00713B71"/>
    <w:rsid w:val="00715381"/>
    <w:rsid w:val="00726402"/>
    <w:rsid w:val="00726B47"/>
    <w:rsid w:val="00740072"/>
    <w:rsid w:val="00742C0F"/>
    <w:rsid w:val="00745E9C"/>
    <w:rsid w:val="00747747"/>
    <w:rsid w:val="00750C30"/>
    <w:rsid w:val="007511AD"/>
    <w:rsid w:val="00753B3D"/>
    <w:rsid w:val="00756A77"/>
    <w:rsid w:val="00770EBE"/>
    <w:rsid w:val="00774E3F"/>
    <w:rsid w:val="00776DC4"/>
    <w:rsid w:val="0078108F"/>
    <w:rsid w:val="00785CCA"/>
    <w:rsid w:val="00793735"/>
    <w:rsid w:val="00793CB5"/>
    <w:rsid w:val="00793CE5"/>
    <w:rsid w:val="00793F77"/>
    <w:rsid w:val="007958D4"/>
    <w:rsid w:val="00796431"/>
    <w:rsid w:val="00796924"/>
    <w:rsid w:val="0079755C"/>
    <w:rsid w:val="007A183C"/>
    <w:rsid w:val="007A2723"/>
    <w:rsid w:val="007A2D9C"/>
    <w:rsid w:val="007A4CDF"/>
    <w:rsid w:val="007A7B28"/>
    <w:rsid w:val="007B4ADA"/>
    <w:rsid w:val="007B4AE3"/>
    <w:rsid w:val="007C10CD"/>
    <w:rsid w:val="007C2D13"/>
    <w:rsid w:val="007C3102"/>
    <w:rsid w:val="007C494D"/>
    <w:rsid w:val="007C5E7E"/>
    <w:rsid w:val="007D0C0D"/>
    <w:rsid w:val="007E04BF"/>
    <w:rsid w:val="007E2634"/>
    <w:rsid w:val="007E2849"/>
    <w:rsid w:val="007E4C6A"/>
    <w:rsid w:val="007E5841"/>
    <w:rsid w:val="007F1A71"/>
    <w:rsid w:val="007F209D"/>
    <w:rsid w:val="007F42B6"/>
    <w:rsid w:val="007F579D"/>
    <w:rsid w:val="0080170E"/>
    <w:rsid w:val="008040E2"/>
    <w:rsid w:val="008056A3"/>
    <w:rsid w:val="008071A0"/>
    <w:rsid w:val="008104CA"/>
    <w:rsid w:val="0081111D"/>
    <w:rsid w:val="00811E7C"/>
    <w:rsid w:val="008166FD"/>
    <w:rsid w:val="00822983"/>
    <w:rsid w:val="00824ABC"/>
    <w:rsid w:val="00825DAE"/>
    <w:rsid w:val="0083139E"/>
    <w:rsid w:val="00832D29"/>
    <w:rsid w:val="00833AAC"/>
    <w:rsid w:val="0083586C"/>
    <w:rsid w:val="00854042"/>
    <w:rsid w:val="0085646E"/>
    <w:rsid w:val="008623A1"/>
    <w:rsid w:val="008651C6"/>
    <w:rsid w:val="0087024A"/>
    <w:rsid w:val="0087035F"/>
    <w:rsid w:val="00871892"/>
    <w:rsid w:val="00871E25"/>
    <w:rsid w:val="00871EFA"/>
    <w:rsid w:val="008723DA"/>
    <w:rsid w:val="0087470F"/>
    <w:rsid w:val="0087540D"/>
    <w:rsid w:val="00882E02"/>
    <w:rsid w:val="008921D9"/>
    <w:rsid w:val="00894AEA"/>
    <w:rsid w:val="00895DAA"/>
    <w:rsid w:val="008962D1"/>
    <w:rsid w:val="0089687A"/>
    <w:rsid w:val="008A3A8C"/>
    <w:rsid w:val="008A3B22"/>
    <w:rsid w:val="008A7A62"/>
    <w:rsid w:val="008B4309"/>
    <w:rsid w:val="008B69F4"/>
    <w:rsid w:val="008C1BBB"/>
    <w:rsid w:val="008C3C49"/>
    <w:rsid w:val="008D2071"/>
    <w:rsid w:val="008D3114"/>
    <w:rsid w:val="008D3568"/>
    <w:rsid w:val="008D3F34"/>
    <w:rsid w:val="008D4334"/>
    <w:rsid w:val="008D4536"/>
    <w:rsid w:val="008E2D5E"/>
    <w:rsid w:val="008E3493"/>
    <w:rsid w:val="008E3A5F"/>
    <w:rsid w:val="008E6F73"/>
    <w:rsid w:val="008F3F30"/>
    <w:rsid w:val="008F5C91"/>
    <w:rsid w:val="0090009A"/>
    <w:rsid w:val="0090118E"/>
    <w:rsid w:val="009039D7"/>
    <w:rsid w:val="009061AF"/>
    <w:rsid w:val="009204FA"/>
    <w:rsid w:val="00924F24"/>
    <w:rsid w:val="00925276"/>
    <w:rsid w:val="00930075"/>
    <w:rsid w:val="009313D7"/>
    <w:rsid w:val="00932540"/>
    <w:rsid w:val="00933413"/>
    <w:rsid w:val="00937D82"/>
    <w:rsid w:val="009401FE"/>
    <w:rsid w:val="0094392F"/>
    <w:rsid w:val="00943C55"/>
    <w:rsid w:val="00945F2C"/>
    <w:rsid w:val="0095326E"/>
    <w:rsid w:val="00954E69"/>
    <w:rsid w:val="00955B58"/>
    <w:rsid w:val="00960EDC"/>
    <w:rsid w:val="0096195B"/>
    <w:rsid w:val="00961CC8"/>
    <w:rsid w:val="0096450D"/>
    <w:rsid w:val="00971CE6"/>
    <w:rsid w:val="00972040"/>
    <w:rsid w:val="009758E0"/>
    <w:rsid w:val="00977AAE"/>
    <w:rsid w:val="009806BA"/>
    <w:rsid w:val="00981077"/>
    <w:rsid w:val="00982554"/>
    <w:rsid w:val="00985881"/>
    <w:rsid w:val="00991341"/>
    <w:rsid w:val="00991566"/>
    <w:rsid w:val="009927D2"/>
    <w:rsid w:val="0099633B"/>
    <w:rsid w:val="009A2E02"/>
    <w:rsid w:val="009A2E32"/>
    <w:rsid w:val="009B4D07"/>
    <w:rsid w:val="009B60C6"/>
    <w:rsid w:val="009C098E"/>
    <w:rsid w:val="009D10D0"/>
    <w:rsid w:val="009D176F"/>
    <w:rsid w:val="009D4791"/>
    <w:rsid w:val="009D666E"/>
    <w:rsid w:val="009E0D1C"/>
    <w:rsid w:val="009E40DE"/>
    <w:rsid w:val="009E51B6"/>
    <w:rsid w:val="009F16B9"/>
    <w:rsid w:val="009F38DD"/>
    <w:rsid w:val="00A032CF"/>
    <w:rsid w:val="00A172B2"/>
    <w:rsid w:val="00A20604"/>
    <w:rsid w:val="00A23093"/>
    <w:rsid w:val="00A24983"/>
    <w:rsid w:val="00A24FEA"/>
    <w:rsid w:val="00A32BD7"/>
    <w:rsid w:val="00A42B5D"/>
    <w:rsid w:val="00A4504B"/>
    <w:rsid w:val="00A4686B"/>
    <w:rsid w:val="00A51D10"/>
    <w:rsid w:val="00A5327E"/>
    <w:rsid w:val="00A65190"/>
    <w:rsid w:val="00A72B7A"/>
    <w:rsid w:val="00A75C78"/>
    <w:rsid w:val="00A778E9"/>
    <w:rsid w:val="00A82A18"/>
    <w:rsid w:val="00A87E9E"/>
    <w:rsid w:val="00A9009E"/>
    <w:rsid w:val="00A95338"/>
    <w:rsid w:val="00AA3412"/>
    <w:rsid w:val="00AA7EF3"/>
    <w:rsid w:val="00AB1335"/>
    <w:rsid w:val="00AB2464"/>
    <w:rsid w:val="00AB35D6"/>
    <w:rsid w:val="00AC5264"/>
    <w:rsid w:val="00AC56E5"/>
    <w:rsid w:val="00AC68BF"/>
    <w:rsid w:val="00AC7693"/>
    <w:rsid w:val="00AC7AC5"/>
    <w:rsid w:val="00AD0F58"/>
    <w:rsid w:val="00AD20A8"/>
    <w:rsid w:val="00AD24D7"/>
    <w:rsid w:val="00AD38CF"/>
    <w:rsid w:val="00AD4E2A"/>
    <w:rsid w:val="00AD7D31"/>
    <w:rsid w:val="00AE06A5"/>
    <w:rsid w:val="00AE5DD6"/>
    <w:rsid w:val="00AE65C9"/>
    <w:rsid w:val="00AE7FBE"/>
    <w:rsid w:val="00AF2DAE"/>
    <w:rsid w:val="00AF7CBD"/>
    <w:rsid w:val="00B005C3"/>
    <w:rsid w:val="00B0486B"/>
    <w:rsid w:val="00B0489A"/>
    <w:rsid w:val="00B0653A"/>
    <w:rsid w:val="00B12B84"/>
    <w:rsid w:val="00B220F9"/>
    <w:rsid w:val="00B22793"/>
    <w:rsid w:val="00B245D7"/>
    <w:rsid w:val="00B25943"/>
    <w:rsid w:val="00B26B5F"/>
    <w:rsid w:val="00B26CBC"/>
    <w:rsid w:val="00B302CB"/>
    <w:rsid w:val="00B3123C"/>
    <w:rsid w:val="00B33BA8"/>
    <w:rsid w:val="00B33C24"/>
    <w:rsid w:val="00B35B97"/>
    <w:rsid w:val="00B3765B"/>
    <w:rsid w:val="00B41862"/>
    <w:rsid w:val="00B4244E"/>
    <w:rsid w:val="00B50AF5"/>
    <w:rsid w:val="00B57B11"/>
    <w:rsid w:val="00B606F7"/>
    <w:rsid w:val="00B60D0F"/>
    <w:rsid w:val="00B615BF"/>
    <w:rsid w:val="00B620FF"/>
    <w:rsid w:val="00B6447C"/>
    <w:rsid w:val="00B6702D"/>
    <w:rsid w:val="00B67BC5"/>
    <w:rsid w:val="00B722EB"/>
    <w:rsid w:val="00B72A68"/>
    <w:rsid w:val="00B76437"/>
    <w:rsid w:val="00B76572"/>
    <w:rsid w:val="00B76921"/>
    <w:rsid w:val="00B8314D"/>
    <w:rsid w:val="00B8509E"/>
    <w:rsid w:val="00B86224"/>
    <w:rsid w:val="00B93A14"/>
    <w:rsid w:val="00B94616"/>
    <w:rsid w:val="00BA11C2"/>
    <w:rsid w:val="00BA1CBB"/>
    <w:rsid w:val="00BA6FB4"/>
    <w:rsid w:val="00BB08A3"/>
    <w:rsid w:val="00BB21FF"/>
    <w:rsid w:val="00BB3A4C"/>
    <w:rsid w:val="00BC28D6"/>
    <w:rsid w:val="00BC5408"/>
    <w:rsid w:val="00BC6FC3"/>
    <w:rsid w:val="00BD2F4F"/>
    <w:rsid w:val="00BD4C95"/>
    <w:rsid w:val="00BD61F0"/>
    <w:rsid w:val="00BE1EEE"/>
    <w:rsid w:val="00BE2C3F"/>
    <w:rsid w:val="00BE4164"/>
    <w:rsid w:val="00BE51A7"/>
    <w:rsid w:val="00BE524B"/>
    <w:rsid w:val="00BE55C4"/>
    <w:rsid w:val="00BE776F"/>
    <w:rsid w:val="00BF09E0"/>
    <w:rsid w:val="00BF28F5"/>
    <w:rsid w:val="00BF3139"/>
    <w:rsid w:val="00BF4F56"/>
    <w:rsid w:val="00C002BE"/>
    <w:rsid w:val="00C03147"/>
    <w:rsid w:val="00C03C0F"/>
    <w:rsid w:val="00C07C9E"/>
    <w:rsid w:val="00C10B12"/>
    <w:rsid w:val="00C1201F"/>
    <w:rsid w:val="00C20201"/>
    <w:rsid w:val="00C3277A"/>
    <w:rsid w:val="00C345A5"/>
    <w:rsid w:val="00C35D03"/>
    <w:rsid w:val="00C36DE0"/>
    <w:rsid w:val="00C4005E"/>
    <w:rsid w:val="00C431A2"/>
    <w:rsid w:val="00C50036"/>
    <w:rsid w:val="00C51301"/>
    <w:rsid w:val="00C51356"/>
    <w:rsid w:val="00C55A94"/>
    <w:rsid w:val="00C66CCD"/>
    <w:rsid w:val="00C7053A"/>
    <w:rsid w:val="00C7124D"/>
    <w:rsid w:val="00C77819"/>
    <w:rsid w:val="00C82AE0"/>
    <w:rsid w:val="00C83020"/>
    <w:rsid w:val="00C8668B"/>
    <w:rsid w:val="00C90908"/>
    <w:rsid w:val="00C9282B"/>
    <w:rsid w:val="00C93225"/>
    <w:rsid w:val="00C93FDE"/>
    <w:rsid w:val="00CA1002"/>
    <w:rsid w:val="00CA28AB"/>
    <w:rsid w:val="00CA582B"/>
    <w:rsid w:val="00CB06FE"/>
    <w:rsid w:val="00CB29D8"/>
    <w:rsid w:val="00CB2CA2"/>
    <w:rsid w:val="00CB50BC"/>
    <w:rsid w:val="00CB7D78"/>
    <w:rsid w:val="00CC4002"/>
    <w:rsid w:val="00CC476C"/>
    <w:rsid w:val="00CC52CD"/>
    <w:rsid w:val="00CD05C0"/>
    <w:rsid w:val="00CD5102"/>
    <w:rsid w:val="00CD5635"/>
    <w:rsid w:val="00CD57A9"/>
    <w:rsid w:val="00CD5E3F"/>
    <w:rsid w:val="00CE0379"/>
    <w:rsid w:val="00CE092A"/>
    <w:rsid w:val="00CE3B27"/>
    <w:rsid w:val="00CE4DF8"/>
    <w:rsid w:val="00CE61B5"/>
    <w:rsid w:val="00CF0DDE"/>
    <w:rsid w:val="00CF4997"/>
    <w:rsid w:val="00CF4A8C"/>
    <w:rsid w:val="00CF4EAD"/>
    <w:rsid w:val="00CF56E5"/>
    <w:rsid w:val="00D0020E"/>
    <w:rsid w:val="00D06A8B"/>
    <w:rsid w:val="00D072F6"/>
    <w:rsid w:val="00D077BA"/>
    <w:rsid w:val="00D10E36"/>
    <w:rsid w:val="00D122F0"/>
    <w:rsid w:val="00D12511"/>
    <w:rsid w:val="00D16AF7"/>
    <w:rsid w:val="00D17F7E"/>
    <w:rsid w:val="00D20379"/>
    <w:rsid w:val="00D22E0E"/>
    <w:rsid w:val="00D22F47"/>
    <w:rsid w:val="00D27441"/>
    <w:rsid w:val="00D27997"/>
    <w:rsid w:val="00D3015D"/>
    <w:rsid w:val="00D31995"/>
    <w:rsid w:val="00D326B7"/>
    <w:rsid w:val="00D5070B"/>
    <w:rsid w:val="00D51618"/>
    <w:rsid w:val="00D5180F"/>
    <w:rsid w:val="00D53B68"/>
    <w:rsid w:val="00D56D4D"/>
    <w:rsid w:val="00D602DD"/>
    <w:rsid w:val="00D61297"/>
    <w:rsid w:val="00D65856"/>
    <w:rsid w:val="00D72998"/>
    <w:rsid w:val="00D738D9"/>
    <w:rsid w:val="00D74AD6"/>
    <w:rsid w:val="00D74C40"/>
    <w:rsid w:val="00D7654A"/>
    <w:rsid w:val="00D76737"/>
    <w:rsid w:val="00D80F7E"/>
    <w:rsid w:val="00D82C3E"/>
    <w:rsid w:val="00D839AE"/>
    <w:rsid w:val="00D86218"/>
    <w:rsid w:val="00D8624F"/>
    <w:rsid w:val="00D918DA"/>
    <w:rsid w:val="00D938D8"/>
    <w:rsid w:val="00D94331"/>
    <w:rsid w:val="00D952D0"/>
    <w:rsid w:val="00D956C8"/>
    <w:rsid w:val="00D961E8"/>
    <w:rsid w:val="00DA4FD9"/>
    <w:rsid w:val="00DA51FE"/>
    <w:rsid w:val="00DA61D8"/>
    <w:rsid w:val="00DA7DF2"/>
    <w:rsid w:val="00DB7418"/>
    <w:rsid w:val="00DC3C77"/>
    <w:rsid w:val="00DC54F2"/>
    <w:rsid w:val="00DC6DAC"/>
    <w:rsid w:val="00DD4C15"/>
    <w:rsid w:val="00DD7896"/>
    <w:rsid w:val="00DE3621"/>
    <w:rsid w:val="00DF04B1"/>
    <w:rsid w:val="00DF19C0"/>
    <w:rsid w:val="00DF20C7"/>
    <w:rsid w:val="00DF508B"/>
    <w:rsid w:val="00DF66ED"/>
    <w:rsid w:val="00E003F4"/>
    <w:rsid w:val="00E058C6"/>
    <w:rsid w:val="00E11768"/>
    <w:rsid w:val="00E12843"/>
    <w:rsid w:val="00E128B1"/>
    <w:rsid w:val="00E14289"/>
    <w:rsid w:val="00E16E26"/>
    <w:rsid w:val="00E17C26"/>
    <w:rsid w:val="00E20EC0"/>
    <w:rsid w:val="00E21D7C"/>
    <w:rsid w:val="00E31ED3"/>
    <w:rsid w:val="00E3252E"/>
    <w:rsid w:val="00E32AEF"/>
    <w:rsid w:val="00E32C38"/>
    <w:rsid w:val="00E32FC8"/>
    <w:rsid w:val="00E33590"/>
    <w:rsid w:val="00E341F2"/>
    <w:rsid w:val="00E372D0"/>
    <w:rsid w:val="00E374FC"/>
    <w:rsid w:val="00E415F1"/>
    <w:rsid w:val="00E42237"/>
    <w:rsid w:val="00E47027"/>
    <w:rsid w:val="00E508FE"/>
    <w:rsid w:val="00E52B14"/>
    <w:rsid w:val="00E53B52"/>
    <w:rsid w:val="00E5638D"/>
    <w:rsid w:val="00E60AE7"/>
    <w:rsid w:val="00E61A6E"/>
    <w:rsid w:val="00E63054"/>
    <w:rsid w:val="00E63806"/>
    <w:rsid w:val="00E63D4A"/>
    <w:rsid w:val="00E64E15"/>
    <w:rsid w:val="00E65C6A"/>
    <w:rsid w:val="00E73455"/>
    <w:rsid w:val="00E73FD1"/>
    <w:rsid w:val="00E773FB"/>
    <w:rsid w:val="00E81AA0"/>
    <w:rsid w:val="00E86595"/>
    <w:rsid w:val="00E9584D"/>
    <w:rsid w:val="00EA11CE"/>
    <w:rsid w:val="00EA1571"/>
    <w:rsid w:val="00EA2981"/>
    <w:rsid w:val="00EB2363"/>
    <w:rsid w:val="00EB260C"/>
    <w:rsid w:val="00EC1030"/>
    <w:rsid w:val="00EC3845"/>
    <w:rsid w:val="00EC6D26"/>
    <w:rsid w:val="00ED3AE6"/>
    <w:rsid w:val="00ED64E8"/>
    <w:rsid w:val="00ED7129"/>
    <w:rsid w:val="00EE1980"/>
    <w:rsid w:val="00EE36AB"/>
    <w:rsid w:val="00EE3C32"/>
    <w:rsid w:val="00EE78B3"/>
    <w:rsid w:val="00EF1D57"/>
    <w:rsid w:val="00EF4308"/>
    <w:rsid w:val="00EF742B"/>
    <w:rsid w:val="00F028A7"/>
    <w:rsid w:val="00F05AB1"/>
    <w:rsid w:val="00F0692B"/>
    <w:rsid w:val="00F07267"/>
    <w:rsid w:val="00F120AC"/>
    <w:rsid w:val="00F120D1"/>
    <w:rsid w:val="00F131C6"/>
    <w:rsid w:val="00F131CC"/>
    <w:rsid w:val="00F14B30"/>
    <w:rsid w:val="00F14FC0"/>
    <w:rsid w:val="00F1544D"/>
    <w:rsid w:val="00F2222C"/>
    <w:rsid w:val="00F30540"/>
    <w:rsid w:val="00F3163B"/>
    <w:rsid w:val="00F42A02"/>
    <w:rsid w:val="00F451DE"/>
    <w:rsid w:val="00F45B53"/>
    <w:rsid w:val="00F514CC"/>
    <w:rsid w:val="00F5196A"/>
    <w:rsid w:val="00F64CA6"/>
    <w:rsid w:val="00F668BF"/>
    <w:rsid w:val="00F6735B"/>
    <w:rsid w:val="00F7029D"/>
    <w:rsid w:val="00F72510"/>
    <w:rsid w:val="00F74D59"/>
    <w:rsid w:val="00F77580"/>
    <w:rsid w:val="00F84232"/>
    <w:rsid w:val="00F84B27"/>
    <w:rsid w:val="00F85ECC"/>
    <w:rsid w:val="00F86B2D"/>
    <w:rsid w:val="00F90A70"/>
    <w:rsid w:val="00F923A0"/>
    <w:rsid w:val="00F92813"/>
    <w:rsid w:val="00F93C24"/>
    <w:rsid w:val="00F96A7E"/>
    <w:rsid w:val="00FA73DF"/>
    <w:rsid w:val="00FB1D75"/>
    <w:rsid w:val="00FB3413"/>
    <w:rsid w:val="00FB4E38"/>
    <w:rsid w:val="00FB58E3"/>
    <w:rsid w:val="00FB6F57"/>
    <w:rsid w:val="00FC0888"/>
    <w:rsid w:val="00FC1AD7"/>
    <w:rsid w:val="00FC76A0"/>
    <w:rsid w:val="00FD12B6"/>
    <w:rsid w:val="00FD343B"/>
    <w:rsid w:val="00FD6956"/>
    <w:rsid w:val="00FE19BF"/>
    <w:rsid w:val="00FE5AC6"/>
    <w:rsid w:val="00FE5EB5"/>
    <w:rsid w:val="00FE65FD"/>
    <w:rsid w:val="00FF45C6"/>
    <w:rsid w:val="00FF77A4"/>
    <w:rsid w:val="00FF7FE5"/>
    <w:rsid w:val="07295B8F"/>
    <w:rsid w:val="09CA2010"/>
    <w:rsid w:val="1381548D"/>
    <w:rsid w:val="1E8B12BA"/>
    <w:rsid w:val="21494FAC"/>
    <w:rsid w:val="344D77D8"/>
    <w:rsid w:val="3ECE6D3B"/>
    <w:rsid w:val="42A9268E"/>
    <w:rsid w:val="43307211"/>
    <w:rsid w:val="771F779A"/>
    <w:rsid w:val="7E17465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21E4"/>
  <w15:docId w15:val="{DFDA08E7-8D4B-4EBE-9040-7E3925BC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zh-CN" w:eastAsia="en-US"/>
    </w:rPr>
  </w:style>
  <w:style w:type="paragraph" w:styleId="Titlu4">
    <w:name w:val="heading 4"/>
    <w:basedOn w:val="Normal"/>
    <w:link w:val="Titlu4Caracte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character" w:styleId="Accentuat">
    <w:name w:val="Emphasis"/>
    <w:basedOn w:val="Fontdeparagrafimplicit"/>
    <w:uiPriority w:val="20"/>
    <w:qFormat/>
    <w:rPr>
      <w:i/>
      <w:iCs/>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Textcomentariu">
    <w:name w:val="annotation text"/>
    <w:basedOn w:val="Normal"/>
    <w:link w:val="TextcomentariuCaracter"/>
    <w:uiPriority w:val="99"/>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customStyle="1" w:styleId="Titlu4Caracter">
    <w:name w:val="Titlu 4 Caracter"/>
    <w:basedOn w:val="Fontdeparagrafimplicit"/>
    <w:link w:val="Titlu4"/>
    <w:uiPriority w:val="9"/>
    <w:semiHidden/>
    <w:qFormat/>
    <w:rPr>
      <w:rFonts w:ascii="Times New Roman" w:eastAsia="Times New Roman" w:hAnsi="Times New Roman" w:cs="Times New Roman"/>
      <w:b/>
      <w:bCs/>
      <w:sz w:val="24"/>
      <w:szCs w:val="24"/>
      <w:lang w:val="ro-RO"/>
    </w:rPr>
  </w:style>
  <w:style w:type="character" w:customStyle="1" w:styleId="ListparagrafCaracter">
    <w:name w:val="Listă paragraf Caracter"/>
    <w:link w:val="Listparagraf"/>
    <w:uiPriority w:val="34"/>
    <w:locked/>
  </w:style>
  <w:style w:type="paragraph" w:styleId="Listparagraf">
    <w:name w:val="List Paragraph"/>
    <w:basedOn w:val="Normal"/>
    <w:link w:val="ListparagrafCaracter"/>
    <w:uiPriority w:val="34"/>
    <w:qFormat/>
    <w:pPr>
      <w:ind w:left="720"/>
      <w:contextualSpacing/>
    </w:pPr>
  </w:style>
  <w:style w:type="character" w:customStyle="1" w:styleId="TextcomentariuCaracter">
    <w:name w:val="Text comentariu Caracter"/>
    <w:basedOn w:val="Fontdeparagrafimplicit"/>
    <w:link w:val="Textcomentariu"/>
    <w:uiPriority w:val="99"/>
    <w:qFormat/>
    <w:rPr>
      <w:sz w:val="20"/>
      <w:szCs w:val="20"/>
      <w:lang w:val="ro-RO"/>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lang w:val="ro-RO"/>
    </w:rPr>
  </w:style>
  <w:style w:type="character" w:customStyle="1" w:styleId="SubiectComentariuCaracter">
    <w:name w:val="Subiect Comentariu Caracter"/>
    <w:basedOn w:val="TextcomentariuCaracter"/>
    <w:link w:val="SubiectComentariu"/>
    <w:uiPriority w:val="99"/>
    <w:semiHidden/>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42BE1-0008-4AA5-A0C1-4007842E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4465</Words>
  <Characters>25897</Characters>
  <Application>Microsoft Office Word</Application>
  <DocSecurity>0</DocSecurity>
  <Lines>215</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Chichioi</dc:creator>
  <cp:lastModifiedBy>MAI STI</cp:lastModifiedBy>
  <cp:revision>20</cp:revision>
  <cp:lastPrinted>2024-12-17T08:34:00Z</cp:lastPrinted>
  <dcterms:created xsi:type="dcterms:W3CDTF">2025-10-03T08:34:00Z</dcterms:created>
  <dcterms:modified xsi:type="dcterms:W3CDTF">2025-12-16T11:20:00Z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4C94CDF5E6184C20A3C82F591E010CE3_13</vt:lpwstr>
  </property>
</Properties>
</file>