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55B7A" w14:textId="77777777" w:rsidR="008B4BE6" w:rsidRPr="006D0F0C" w:rsidRDefault="006933C3" w:rsidP="009D4C0F">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2"/>
          <w:szCs w:val="22"/>
          <w:lang w:val="ro-MD"/>
        </w:rPr>
      </w:pPr>
      <w:r w:rsidRPr="006D0F0C">
        <w:rPr>
          <w:b/>
          <w:sz w:val="22"/>
          <w:szCs w:val="22"/>
          <w:lang w:val="ro-MD"/>
        </w:rPr>
        <w:t>SINTEZA</w:t>
      </w:r>
    </w:p>
    <w:p w14:paraId="0EC292F5" w14:textId="53777F15" w:rsidR="009A475E" w:rsidRPr="006D0F0C" w:rsidRDefault="006933C3" w:rsidP="0004615A">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8"/>
          <w:szCs w:val="28"/>
          <w:lang w:val="ro-MD"/>
        </w:rPr>
      </w:pPr>
      <w:r w:rsidRPr="006D0F0C">
        <w:rPr>
          <w:b/>
          <w:sz w:val="22"/>
          <w:szCs w:val="22"/>
          <w:lang w:val="ro-MD"/>
        </w:rPr>
        <w:t>la</w:t>
      </w:r>
      <w:r w:rsidR="00032B46" w:rsidRPr="006D0F0C">
        <w:rPr>
          <w:b/>
          <w:sz w:val="22"/>
          <w:szCs w:val="22"/>
          <w:lang w:val="ro-MD"/>
        </w:rPr>
        <w:t xml:space="preserve"> </w:t>
      </w:r>
      <w:r w:rsidRPr="006D0F0C">
        <w:rPr>
          <w:b/>
          <w:sz w:val="22"/>
          <w:szCs w:val="22"/>
          <w:lang w:val="ro-MD"/>
        </w:rPr>
        <w:t>proiectul</w:t>
      </w:r>
      <w:r w:rsidR="005F0EF8" w:rsidRPr="006D0F0C">
        <w:rPr>
          <w:b/>
          <w:sz w:val="24"/>
          <w:lang w:val="pt-PT"/>
        </w:rPr>
        <w:t xml:space="preserve"> hotărâ</w:t>
      </w:r>
      <w:r w:rsidR="00D942D4" w:rsidRPr="006D0F0C">
        <w:rPr>
          <w:b/>
          <w:sz w:val="24"/>
          <w:lang w:val="pt-PT"/>
        </w:rPr>
        <w:t>rii</w:t>
      </w:r>
      <w:r w:rsidR="005F0EF8" w:rsidRPr="006D0F0C">
        <w:rPr>
          <w:b/>
          <w:sz w:val="24"/>
          <w:lang w:val="pt-PT"/>
        </w:rPr>
        <w:t xml:space="preserve"> de</w:t>
      </w:r>
      <w:r w:rsidR="00D942D4" w:rsidRPr="006D0F0C">
        <w:rPr>
          <w:b/>
          <w:sz w:val="24"/>
          <w:lang w:val="pt-PT"/>
        </w:rPr>
        <w:t xml:space="preserve"> </w:t>
      </w:r>
      <w:r w:rsidR="005F0EF8" w:rsidRPr="006D0F0C">
        <w:rPr>
          <w:b/>
          <w:sz w:val="24"/>
          <w:lang w:val="pt-PT"/>
        </w:rPr>
        <w:t xml:space="preserve">Guvern </w:t>
      </w:r>
      <w:r w:rsidR="00CE4F7E" w:rsidRPr="006D0F0C">
        <w:rPr>
          <w:b/>
          <w:sz w:val="24"/>
          <w:lang w:val="pt-PT"/>
        </w:rPr>
        <w:t>cu</w:t>
      </w:r>
      <w:r w:rsidR="00CE4F7E" w:rsidRPr="006D0F0C">
        <w:rPr>
          <w:b/>
          <w:bCs/>
          <w:sz w:val="24"/>
        </w:rPr>
        <w:t xml:space="preserve"> </w:t>
      </w:r>
      <w:proofErr w:type="spellStart"/>
      <w:r w:rsidR="00CE4F7E" w:rsidRPr="006D0F0C">
        <w:rPr>
          <w:b/>
          <w:bCs/>
          <w:sz w:val="24"/>
        </w:rPr>
        <w:t>privire</w:t>
      </w:r>
      <w:proofErr w:type="spellEnd"/>
      <w:r w:rsidR="00CE4F7E" w:rsidRPr="006D0F0C">
        <w:rPr>
          <w:b/>
          <w:bCs/>
          <w:sz w:val="24"/>
        </w:rPr>
        <w:t xml:space="preserve"> la </w:t>
      </w:r>
      <w:proofErr w:type="spellStart"/>
      <w:r w:rsidR="00CE4F7E" w:rsidRPr="006D0F0C">
        <w:rPr>
          <w:b/>
          <w:bCs/>
          <w:sz w:val="24"/>
        </w:rPr>
        <w:t>aprobarea</w:t>
      </w:r>
      <w:proofErr w:type="spellEnd"/>
      <w:r w:rsidR="00CE4F7E" w:rsidRPr="006D0F0C">
        <w:rPr>
          <w:b/>
          <w:bCs/>
          <w:sz w:val="24"/>
        </w:rPr>
        <w:t xml:space="preserve"> </w:t>
      </w:r>
      <w:proofErr w:type="spellStart"/>
      <w:r w:rsidR="00CE4F7E" w:rsidRPr="006D0F0C">
        <w:rPr>
          <w:b/>
          <w:bCs/>
          <w:sz w:val="24"/>
        </w:rPr>
        <w:t>Regulamentului</w:t>
      </w:r>
      <w:proofErr w:type="spellEnd"/>
      <w:r w:rsidR="00CE4F7E" w:rsidRPr="006D0F0C">
        <w:rPr>
          <w:b/>
          <w:bCs/>
          <w:sz w:val="24"/>
        </w:rPr>
        <w:t xml:space="preserve"> </w:t>
      </w:r>
      <w:proofErr w:type="spellStart"/>
      <w:r w:rsidR="00CE4F7E" w:rsidRPr="006D0F0C">
        <w:rPr>
          <w:b/>
          <w:bCs/>
          <w:sz w:val="24"/>
        </w:rPr>
        <w:t>sanitar</w:t>
      </w:r>
      <w:proofErr w:type="spellEnd"/>
      <w:r w:rsidR="00CE4F7E" w:rsidRPr="006D0F0C">
        <w:rPr>
          <w:b/>
          <w:bCs/>
          <w:sz w:val="24"/>
        </w:rPr>
        <w:t xml:space="preserve"> </w:t>
      </w:r>
      <w:proofErr w:type="spellStart"/>
      <w:r w:rsidR="00CE4F7E" w:rsidRPr="006D0F0C">
        <w:rPr>
          <w:b/>
          <w:bCs/>
          <w:sz w:val="24"/>
        </w:rPr>
        <w:t>privind</w:t>
      </w:r>
      <w:proofErr w:type="spellEnd"/>
      <w:r w:rsidR="00CE4F7E" w:rsidRPr="006D0F0C">
        <w:rPr>
          <w:b/>
          <w:bCs/>
          <w:sz w:val="24"/>
        </w:rPr>
        <w:t xml:space="preserve"> </w:t>
      </w:r>
      <w:proofErr w:type="spellStart"/>
      <w:r w:rsidR="00CE4F7E" w:rsidRPr="006D0F0C">
        <w:rPr>
          <w:b/>
          <w:bCs/>
          <w:sz w:val="24"/>
        </w:rPr>
        <w:t>gestionarea</w:t>
      </w:r>
      <w:proofErr w:type="spellEnd"/>
      <w:r w:rsidR="00CE4F7E" w:rsidRPr="006D0F0C">
        <w:rPr>
          <w:b/>
          <w:bCs/>
          <w:sz w:val="24"/>
        </w:rPr>
        <w:t xml:space="preserve"> </w:t>
      </w:r>
      <w:proofErr w:type="spellStart"/>
      <w:r w:rsidR="00CE4F7E" w:rsidRPr="006D0F0C">
        <w:rPr>
          <w:b/>
          <w:bCs/>
          <w:sz w:val="24"/>
        </w:rPr>
        <w:t>calității</w:t>
      </w:r>
      <w:proofErr w:type="spellEnd"/>
      <w:r w:rsidR="00CE4F7E" w:rsidRPr="006D0F0C">
        <w:rPr>
          <w:b/>
          <w:bCs/>
          <w:sz w:val="24"/>
        </w:rPr>
        <w:t xml:space="preserve"> </w:t>
      </w:r>
      <w:proofErr w:type="spellStart"/>
      <w:r w:rsidR="00CE4F7E" w:rsidRPr="006D0F0C">
        <w:rPr>
          <w:b/>
          <w:bCs/>
          <w:sz w:val="24"/>
        </w:rPr>
        <w:t>apei</w:t>
      </w:r>
      <w:proofErr w:type="spellEnd"/>
      <w:r w:rsidR="00CE4F7E" w:rsidRPr="006D0F0C">
        <w:rPr>
          <w:b/>
          <w:bCs/>
          <w:sz w:val="24"/>
        </w:rPr>
        <w:t xml:space="preserve"> de </w:t>
      </w:r>
      <w:proofErr w:type="spellStart"/>
      <w:r w:rsidR="00CE4F7E" w:rsidRPr="006D0F0C">
        <w:rPr>
          <w:b/>
          <w:bCs/>
          <w:sz w:val="24"/>
        </w:rPr>
        <w:t>îmbăiere</w:t>
      </w:r>
      <w:proofErr w:type="spellEnd"/>
    </w:p>
    <w:p w14:paraId="109F7811" w14:textId="598C6ABD" w:rsidR="00C91B15" w:rsidRPr="006D0F0C" w:rsidRDefault="00C91B15" w:rsidP="00C91B15">
      <w:pPr>
        <w:spacing w:line="276" w:lineRule="auto"/>
        <w:jc w:val="center"/>
        <w:rPr>
          <w:b/>
          <w:bCs/>
          <w:i/>
          <w:sz w:val="2"/>
          <w:szCs w:val="2"/>
          <w:lang w:val="ro-MD"/>
        </w:rPr>
      </w:pPr>
    </w:p>
    <w:p w14:paraId="2265058B" w14:textId="311D1067" w:rsidR="008B4BE6" w:rsidRPr="006D0F0C" w:rsidRDefault="008B4BE6" w:rsidP="00D942D4">
      <w:pPr>
        <w:pBdr>
          <w:top w:val="none" w:sz="4" w:space="0" w:color="000000"/>
          <w:left w:val="none" w:sz="4" w:space="0" w:color="000000"/>
          <w:bottom w:val="none" w:sz="4" w:space="0" w:color="000000"/>
          <w:right w:val="none" w:sz="4" w:space="0" w:color="000000"/>
        </w:pBdr>
        <w:tabs>
          <w:tab w:val="left" w:pos="884"/>
          <w:tab w:val="left" w:pos="1196"/>
        </w:tabs>
        <w:ind w:firstLine="0"/>
        <w:rPr>
          <w:sz w:val="22"/>
          <w:szCs w:val="22"/>
          <w:lang w:val="ro-MD"/>
        </w:rPr>
      </w:pPr>
    </w:p>
    <w:tbl>
      <w:tblPr>
        <w:tblStyle w:val="Tabelgril"/>
        <w:tblpPr w:leftFromText="180" w:rightFromText="180" w:vertAnchor="text" w:tblpX="-456" w:tblpY="1"/>
        <w:tblOverlap w:val="never"/>
        <w:tblW w:w="5422" w:type="pct"/>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700"/>
        <w:gridCol w:w="1550"/>
        <w:gridCol w:w="1553"/>
        <w:gridCol w:w="7597"/>
        <w:gridCol w:w="3764"/>
      </w:tblGrid>
      <w:tr w:rsidR="006D0F0C" w:rsidRPr="006D0F0C" w14:paraId="165C98F0" w14:textId="77777777" w:rsidTr="006D0F0C">
        <w:trPr>
          <w:trHeight w:val="960"/>
        </w:trPr>
        <w:tc>
          <w:tcPr>
            <w:tcW w:w="231" w:type="pct"/>
            <w:tcBorders>
              <w:top w:val="single" w:sz="8" w:space="0" w:color="000000"/>
              <w:left w:val="single" w:sz="8" w:space="0" w:color="000000"/>
              <w:bottom w:val="single" w:sz="8" w:space="0" w:color="000000"/>
              <w:right w:val="single" w:sz="8" w:space="0" w:color="000000"/>
            </w:tcBorders>
          </w:tcPr>
          <w:p w14:paraId="6DECDC9B" w14:textId="2CDA8BC5" w:rsidR="006C3EBD" w:rsidRPr="006D0F0C" w:rsidRDefault="006C3EBD" w:rsidP="00E558F6">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2"/>
                <w:szCs w:val="22"/>
                <w:lang w:val="ro-MD"/>
              </w:rPr>
            </w:pPr>
            <w:r w:rsidRPr="006D0F0C">
              <w:rPr>
                <w:rFonts w:ascii="Times New Roman" w:hAnsi="Times New Roman"/>
                <w:b/>
                <w:sz w:val="22"/>
                <w:szCs w:val="22"/>
                <w:lang w:val="ro-MD"/>
              </w:rPr>
              <w:t>Nr. ord.</w:t>
            </w:r>
          </w:p>
        </w:tc>
        <w:tc>
          <w:tcPr>
            <w:tcW w:w="511"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89260EB" w14:textId="789B03C7" w:rsidR="006C3EBD" w:rsidRPr="006D0F0C" w:rsidRDefault="006C3EBD" w:rsidP="00E558F6">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2"/>
                <w:szCs w:val="22"/>
                <w:lang w:val="ro-MD"/>
              </w:rPr>
            </w:pPr>
            <w:r w:rsidRPr="006D0F0C">
              <w:rPr>
                <w:rFonts w:ascii="Times New Roman" w:hAnsi="Times New Roman"/>
                <w:b/>
                <w:sz w:val="22"/>
                <w:szCs w:val="22"/>
                <w:lang w:val="ro-MD"/>
              </w:rPr>
              <w:t>Participantul la avizare, consultare publică, expertizare</w:t>
            </w:r>
          </w:p>
        </w:tc>
        <w:tc>
          <w:tcPr>
            <w:tcW w:w="512" w:type="pct"/>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429CCC6C" w14:textId="0ADC1BF2" w:rsidR="006C3EBD" w:rsidRPr="006D0F0C" w:rsidRDefault="006C3EBD" w:rsidP="00E558F6">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2"/>
                <w:szCs w:val="22"/>
                <w:lang w:val="ro-MD"/>
              </w:rPr>
            </w:pPr>
            <w:r w:rsidRPr="006D0F0C">
              <w:rPr>
                <w:rFonts w:ascii="Times New Roman" w:hAnsi="Times New Roman"/>
                <w:b/>
                <w:sz w:val="22"/>
                <w:szCs w:val="22"/>
                <w:lang w:val="ro-MD"/>
              </w:rPr>
              <w:t>Nr. crt.</w:t>
            </w:r>
          </w:p>
        </w:tc>
        <w:tc>
          <w:tcPr>
            <w:tcW w:w="2505" w:type="pct"/>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145B15CB" w14:textId="6F43B9FC" w:rsidR="006C3EBD" w:rsidRPr="006D0F0C" w:rsidRDefault="006C3EBD" w:rsidP="00E558F6">
            <w:pPr>
              <w:pBdr>
                <w:top w:val="none" w:sz="4" w:space="0" w:color="000000"/>
                <w:left w:val="none" w:sz="4" w:space="0" w:color="000000"/>
                <w:bottom w:val="none" w:sz="4" w:space="0" w:color="000000"/>
                <w:right w:val="none" w:sz="4" w:space="0" w:color="000000"/>
              </w:pBdr>
              <w:tabs>
                <w:tab w:val="left" w:pos="884"/>
                <w:tab w:val="left" w:pos="1196"/>
              </w:tabs>
              <w:ind w:firstLine="0"/>
              <w:jc w:val="center"/>
              <w:rPr>
                <w:rFonts w:ascii="Times New Roman" w:hAnsi="Times New Roman"/>
                <w:sz w:val="22"/>
                <w:szCs w:val="22"/>
                <w:lang w:val="ro-MD"/>
              </w:rPr>
            </w:pPr>
            <w:r w:rsidRPr="006D0F0C">
              <w:rPr>
                <w:rFonts w:ascii="Times New Roman" w:hAnsi="Times New Roman"/>
                <w:b/>
                <w:sz w:val="22"/>
                <w:szCs w:val="22"/>
                <w:lang w:val="ro-MD"/>
              </w:rPr>
              <w:t>Conținutul obiecției,</w:t>
            </w:r>
          </w:p>
          <w:p w14:paraId="055FB5F6" w14:textId="56D3CBFA" w:rsidR="006C3EBD" w:rsidRPr="006D0F0C" w:rsidRDefault="006C3EBD" w:rsidP="00E558F6">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MD"/>
              </w:rPr>
            </w:pPr>
            <w:r w:rsidRPr="006D0F0C">
              <w:rPr>
                <w:rFonts w:ascii="Times New Roman" w:hAnsi="Times New Roman"/>
                <w:b/>
                <w:sz w:val="22"/>
                <w:szCs w:val="22"/>
                <w:lang w:val="ro-MD"/>
              </w:rPr>
              <w:t>propunerii, recomandării, concluziei</w:t>
            </w:r>
          </w:p>
        </w:tc>
        <w:tc>
          <w:tcPr>
            <w:tcW w:w="1241" w:type="pct"/>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43D44E19" w14:textId="04D0A080" w:rsidR="006C3EBD" w:rsidRPr="006D0F0C" w:rsidRDefault="006C3EBD" w:rsidP="00E558F6">
            <w:pPr>
              <w:pBdr>
                <w:top w:val="none" w:sz="4" w:space="0" w:color="000000"/>
                <w:left w:val="none" w:sz="4" w:space="0" w:color="000000"/>
                <w:bottom w:val="none" w:sz="4" w:space="0" w:color="000000"/>
                <w:right w:val="none" w:sz="4" w:space="0" w:color="000000"/>
              </w:pBdr>
              <w:tabs>
                <w:tab w:val="left" w:pos="884"/>
                <w:tab w:val="left" w:pos="1196"/>
              </w:tabs>
              <w:ind w:firstLine="0"/>
              <w:jc w:val="center"/>
              <w:rPr>
                <w:rFonts w:ascii="Times New Roman" w:hAnsi="Times New Roman"/>
                <w:sz w:val="22"/>
                <w:szCs w:val="22"/>
                <w:lang w:val="ro-MD"/>
              </w:rPr>
            </w:pPr>
            <w:r w:rsidRPr="006D0F0C">
              <w:rPr>
                <w:rFonts w:ascii="Times New Roman" w:hAnsi="Times New Roman"/>
                <w:b/>
                <w:sz w:val="22"/>
                <w:szCs w:val="22"/>
                <w:lang w:val="ro-MD"/>
              </w:rPr>
              <w:t>Argumentarea</w:t>
            </w:r>
          </w:p>
          <w:p w14:paraId="42C4E39B" w14:textId="729BF662" w:rsidR="006C3EBD" w:rsidRPr="006D0F0C" w:rsidRDefault="006C3EBD" w:rsidP="00E558F6">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MD"/>
              </w:rPr>
            </w:pPr>
            <w:r w:rsidRPr="006D0F0C">
              <w:rPr>
                <w:rFonts w:ascii="Times New Roman" w:hAnsi="Times New Roman"/>
                <w:b/>
                <w:sz w:val="22"/>
                <w:szCs w:val="22"/>
                <w:lang w:val="ro-MD"/>
              </w:rPr>
              <w:t>autorului proiectului</w:t>
            </w:r>
          </w:p>
        </w:tc>
      </w:tr>
      <w:tr w:rsidR="006D0F0C" w:rsidRPr="006D0F0C" w14:paraId="28860D7F" w14:textId="77777777" w:rsidTr="006D0F0C">
        <w:trPr>
          <w:trHeight w:val="198"/>
        </w:trPr>
        <w:tc>
          <w:tcPr>
            <w:tcW w:w="231" w:type="pct"/>
            <w:tcBorders>
              <w:top w:val="single" w:sz="8" w:space="0" w:color="000000"/>
              <w:left w:val="single" w:sz="8" w:space="0" w:color="000000"/>
              <w:bottom w:val="single" w:sz="8" w:space="0" w:color="000000"/>
              <w:right w:val="single" w:sz="8" w:space="0" w:color="000000"/>
            </w:tcBorders>
          </w:tcPr>
          <w:p w14:paraId="2A5BB94F" w14:textId="39C090C9" w:rsidR="009F4A8C" w:rsidRPr="006D0F0C" w:rsidRDefault="009F4A8C" w:rsidP="00E558F6">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2"/>
                <w:szCs w:val="22"/>
                <w:lang w:val="ro-MD"/>
              </w:rPr>
            </w:pPr>
            <w:r w:rsidRPr="006D0F0C">
              <w:rPr>
                <w:rFonts w:ascii="Times New Roman" w:hAnsi="Times New Roman"/>
                <w:b/>
                <w:sz w:val="22"/>
                <w:szCs w:val="22"/>
                <w:lang w:val="ro-MD"/>
              </w:rPr>
              <w:t>1</w:t>
            </w:r>
          </w:p>
        </w:tc>
        <w:tc>
          <w:tcPr>
            <w:tcW w:w="511"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BE0E252" w14:textId="2B7F4C15" w:rsidR="009F4A8C" w:rsidRPr="006D0F0C" w:rsidRDefault="009F4A8C" w:rsidP="00E558F6">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2"/>
                <w:szCs w:val="22"/>
                <w:lang w:val="ro-MD"/>
              </w:rPr>
            </w:pPr>
            <w:r w:rsidRPr="006D0F0C">
              <w:rPr>
                <w:rFonts w:ascii="Times New Roman" w:hAnsi="Times New Roman"/>
                <w:b/>
                <w:sz w:val="22"/>
                <w:szCs w:val="22"/>
                <w:lang w:val="ro-MD"/>
              </w:rPr>
              <w:t>2</w:t>
            </w:r>
          </w:p>
        </w:tc>
        <w:tc>
          <w:tcPr>
            <w:tcW w:w="512" w:type="pct"/>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1D57165E" w14:textId="4D968C08" w:rsidR="009F4A8C" w:rsidRPr="006D0F0C" w:rsidRDefault="009F4A8C" w:rsidP="00E558F6">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2"/>
                <w:szCs w:val="22"/>
                <w:lang w:val="ro-MD"/>
              </w:rPr>
            </w:pPr>
            <w:r w:rsidRPr="006D0F0C">
              <w:rPr>
                <w:rFonts w:ascii="Times New Roman" w:hAnsi="Times New Roman"/>
                <w:b/>
                <w:sz w:val="22"/>
                <w:szCs w:val="22"/>
                <w:lang w:val="ro-MD"/>
              </w:rPr>
              <w:t>3</w:t>
            </w:r>
          </w:p>
        </w:tc>
        <w:tc>
          <w:tcPr>
            <w:tcW w:w="2505" w:type="pct"/>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101DEEE" w14:textId="2386F6E9" w:rsidR="009F4A8C" w:rsidRPr="006D0F0C" w:rsidRDefault="009F4A8C" w:rsidP="00E558F6">
            <w:pPr>
              <w:pBdr>
                <w:top w:val="none" w:sz="4" w:space="0" w:color="000000"/>
                <w:left w:val="none" w:sz="4" w:space="0" w:color="000000"/>
                <w:bottom w:val="none" w:sz="4" w:space="0" w:color="000000"/>
                <w:right w:val="none" w:sz="4" w:space="0" w:color="000000"/>
              </w:pBdr>
              <w:tabs>
                <w:tab w:val="left" w:pos="884"/>
                <w:tab w:val="left" w:pos="1196"/>
              </w:tabs>
              <w:ind w:firstLine="0"/>
              <w:jc w:val="center"/>
              <w:rPr>
                <w:rFonts w:ascii="Times New Roman" w:hAnsi="Times New Roman"/>
                <w:b/>
                <w:sz w:val="22"/>
                <w:szCs w:val="22"/>
                <w:lang w:val="ro-MD"/>
              </w:rPr>
            </w:pPr>
            <w:r w:rsidRPr="006D0F0C">
              <w:rPr>
                <w:rFonts w:ascii="Times New Roman" w:hAnsi="Times New Roman"/>
                <w:b/>
                <w:sz w:val="22"/>
                <w:szCs w:val="22"/>
                <w:lang w:val="ro-MD"/>
              </w:rPr>
              <w:t>4</w:t>
            </w:r>
          </w:p>
        </w:tc>
        <w:tc>
          <w:tcPr>
            <w:tcW w:w="1241" w:type="pct"/>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2FD20E94" w14:textId="0BBB009F" w:rsidR="009F4A8C" w:rsidRPr="006D0F0C" w:rsidRDefault="009F4A8C" w:rsidP="00E558F6">
            <w:pPr>
              <w:pBdr>
                <w:top w:val="none" w:sz="4" w:space="0" w:color="000000"/>
                <w:left w:val="none" w:sz="4" w:space="0" w:color="000000"/>
                <w:bottom w:val="none" w:sz="4" w:space="0" w:color="000000"/>
                <w:right w:val="none" w:sz="4" w:space="0" w:color="000000"/>
              </w:pBdr>
              <w:tabs>
                <w:tab w:val="left" w:pos="884"/>
                <w:tab w:val="left" w:pos="1196"/>
              </w:tabs>
              <w:ind w:firstLine="0"/>
              <w:jc w:val="center"/>
              <w:rPr>
                <w:rFonts w:ascii="Times New Roman" w:hAnsi="Times New Roman"/>
                <w:b/>
                <w:sz w:val="22"/>
                <w:szCs w:val="22"/>
                <w:lang w:val="ro-MD"/>
              </w:rPr>
            </w:pPr>
            <w:r w:rsidRPr="006D0F0C">
              <w:rPr>
                <w:rFonts w:ascii="Times New Roman" w:hAnsi="Times New Roman"/>
                <w:b/>
                <w:sz w:val="22"/>
                <w:szCs w:val="22"/>
                <w:lang w:val="ro-MD"/>
              </w:rPr>
              <w:t>5</w:t>
            </w:r>
          </w:p>
        </w:tc>
      </w:tr>
      <w:tr w:rsidR="006D0F0C" w:rsidRPr="006D0F0C" w14:paraId="092EF798" w14:textId="77777777" w:rsidTr="005D14D7">
        <w:trPr>
          <w:trHeight w:val="190"/>
        </w:trPr>
        <w:tc>
          <w:tcPr>
            <w:tcW w:w="231" w:type="pct"/>
            <w:tcBorders>
              <w:top w:val="none" w:sz="4" w:space="0" w:color="000000"/>
              <w:left w:val="single" w:sz="8" w:space="0" w:color="000000"/>
              <w:bottom w:val="single" w:sz="8" w:space="0" w:color="000000"/>
              <w:right w:val="single" w:sz="8" w:space="0" w:color="000000"/>
            </w:tcBorders>
          </w:tcPr>
          <w:p w14:paraId="26AF5F58" w14:textId="77777777" w:rsidR="006C3EBD" w:rsidRPr="006D0F0C" w:rsidRDefault="006C3EBD" w:rsidP="00E558F6">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MD"/>
              </w:rPr>
            </w:pPr>
          </w:p>
        </w:tc>
        <w:tc>
          <w:tcPr>
            <w:tcW w:w="4769" w:type="pct"/>
            <w:gridSpan w:val="4"/>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963EAAD" w14:textId="32D81521" w:rsidR="006C3EBD" w:rsidRPr="006D0F0C" w:rsidRDefault="006C3EBD" w:rsidP="00E558F6">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2"/>
                <w:szCs w:val="22"/>
                <w:lang w:val="ro-MD"/>
              </w:rPr>
            </w:pPr>
            <w:r w:rsidRPr="006D0F0C">
              <w:rPr>
                <w:rFonts w:ascii="Times New Roman" w:eastAsia="Times New Roman" w:hAnsi="Times New Roman"/>
                <w:b/>
                <w:sz w:val="22"/>
                <w:szCs w:val="22"/>
                <w:lang w:val="ro-MD"/>
              </w:rPr>
              <w:t xml:space="preserve">Avizare </w:t>
            </w:r>
            <w:r w:rsidRPr="006D0F0C">
              <w:rPr>
                <w:rFonts w:ascii="Times New Roman" w:hAnsi="Times New Roman"/>
                <w:b/>
                <w:sz w:val="22"/>
                <w:szCs w:val="22"/>
                <w:lang w:val="ro-MD"/>
              </w:rPr>
              <w:t>și consultare publică</w:t>
            </w:r>
          </w:p>
        </w:tc>
      </w:tr>
      <w:tr w:rsidR="006D0F0C" w:rsidRPr="006D0F0C" w14:paraId="302F1172" w14:textId="77777777" w:rsidTr="005D14D7">
        <w:trPr>
          <w:trHeight w:val="639"/>
        </w:trPr>
        <w:tc>
          <w:tcPr>
            <w:tcW w:w="231" w:type="pct"/>
            <w:tcBorders>
              <w:top w:val="none" w:sz="4" w:space="0" w:color="000000"/>
              <w:left w:val="single" w:sz="8" w:space="0" w:color="000000"/>
              <w:bottom w:val="single" w:sz="8" w:space="0" w:color="000000"/>
              <w:right w:val="single" w:sz="8" w:space="0" w:color="000000"/>
            </w:tcBorders>
          </w:tcPr>
          <w:p w14:paraId="0CDF1082" w14:textId="77777777" w:rsidR="006A20AE" w:rsidRPr="006D0F0C" w:rsidRDefault="006A20AE">
            <w:pPr>
              <w:pStyle w:val="Listparagraf"/>
              <w:numPr>
                <w:ilvl w:val="0"/>
                <w:numId w:val="1"/>
              </w:numPr>
              <w:pBdr>
                <w:top w:val="none" w:sz="4" w:space="0" w:color="000000"/>
                <w:left w:val="none" w:sz="4" w:space="0" w:color="000000"/>
                <w:bottom w:val="none" w:sz="4" w:space="0" w:color="000000"/>
                <w:right w:val="none" w:sz="4" w:space="0" w:color="000000"/>
              </w:pBdr>
              <w:ind w:hanging="660"/>
              <w:rPr>
                <w:rFonts w:ascii="Times New Roman" w:hAnsi="Times New Roman"/>
                <w:sz w:val="22"/>
                <w:szCs w:val="22"/>
                <w:lang w:val="ro-MD"/>
              </w:rPr>
            </w:pPr>
          </w:p>
        </w:tc>
        <w:tc>
          <w:tcPr>
            <w:tcW w:w="511" w:type="pct"/>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48909DE" w14:textId="19C80294" w:rsidR="006A20AE" w:rsidRPr="006D0F0C" w:rsidRDefault="006A20AE" w:rsidP="00E558F6">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MD"/>
              </w:rPr>
            </w:pPr>
            <w:r w:rsidRPr="006D0F0C">
              <w:rPr>
                <w:rFonts w:ascii="Times New Roman" w:hAnsi="Times New Roman"/>
                <w:b/>
                <w:sz w:val="24"/>
                <w:szCs w:val="24"/>
                <w:lang w:val="ro-MD"/>
              </w:rPr>
              <w:t>Ministerul Infrastructurii și Dezvoltării Regionale</w:t>
            </w:r>
          </w:p>
        </w:tc>
        <w:tc>
          <w:tcPr>
            <w:tcW w:w="512"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84C694B" w14:textId="1566FAE7" w:rsidR="006A20AE" w:rsidRPr="006D0F0C" w:rsidRDefault="006A20AE" w:rsidP="00E558F6">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sidRPr="006D0F0C">
              <w:rPr>
                <w:rFonts w:ascii="Times New Roman" w:hAnsi="Times New Roman"/>
                <w:b/>
                <w:sz w:val="24"/>
                <w:szCs w:val="24"/>
                <w:lang w:val="ro-MD"/>
              </w:rPr>
              <w:t>Nr. 19-6445 din 08.12.2025</w:t>
            </w:r>
          </w:p>
        </w:tc>
        <w:tc>
          <w:tcPr>
            <w:tcW w:w="2505"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bottom"/>
          </w:tcPr>
          <w:p w14:paraId="57E603AE" w14:textId="2FCC3FDF" w:rsidR="006A20AE" w:rsidRPr="006D0F0C" w:rsidRDefault="006A20AE" w:rsidP="00E558F6">
            <w:pPr>
              <w:widowControl w:val="0"/>
              <w:tabs>
                <w:tab w:val="left" w:pos="423"/>
                <w:tab w:val="left" w:pos="573"/>
                <w:tab w:val="left" w:pos="1471"/>
              </w:tabs>
              <w:autoSpaceDE w:val="0"/>
              <w:autoSpaceDN w:val="0"/>
              <w:ind w:right="538" w:firstLine="0"/>
              <w:jc w:val="left"/>
              <w:rPr>
                <w:rFonts w:ascii="Times New Roman" w:hAnsi="Times New Roman"/>
                <w:sz w:val="24"/>
                <w:szCs w:val="24"/>
                <w:lang w:val="ro-RO"/>
              </w:rPr>
            </w:pPr>
            <w:r w:rsidRPr="006D0F0C">
              <w:rPr>
                <w:rFonts w:ascii="Times New Roman" w:hAnsi="Times New Roman"/>
                <w:sz w:val="24"/>
                <w:szCs w:val="24"/>
                <w:lang w:val="ro-RO"/>
              </w:rPr>
              <w:t xml:space="preserve">       Ca urmare a examinării proiectului de hotărâre a Guvernului cu privire la aprobarea Regulamentului sanitar privind gestionarea calității apei de îmbăiere (număr unic 952/MS/2025), autor – Ministerul Sănătății, în limitele competențelor funcționale, comunicăm lipsa de obiecții și propuneri conceptuale.</w:t>
            </w:r>
          </w:p>
          <w:p w14:paraId="2E280999" w14:textId="3F81FDC2" w:rsidR="006A20AE" w:rsidRPr="006D0F0C" w:rsidRDefault="006A20AE" w:rsidP="00E558F6">
            <w:pPr>
              <w:widowControl w:val="0"/>
              <w:tabs>
                <w:tab w:val="left" w:pos="423"/>
                <w:tab w:val="left" w:pos="573"/>
                <w:tab w:val="left" w:pos="1471"/>
              </w:tabs>
              <w:autoSpaceDE w:val="0"/>
              <w:autoSpaceDN w:val="0"/>
              <w:ind w:right="538" w:firstLine="0"/>
              <w:jc w:val="left"/>
              <w:rPr>
                <w:rFonts w:ascii="Times New Roman" w:hAnsi="Times New Roman"/>
                <w:sz w:val="24"/>
                <w:szCs w:val="24"/>
                <w:lang w:val="ro-RO"/>
              </w:rPr>
            </w:pPr>
            <w:r w:rsidRPr="006D0F0C">
              <w:rPr>
                <w:rFonts w:ascii="Times New Roman" w:hAnsi="Times New Roman"/>
                <w:sz w:val="24"/>
                <w:szCs w:val="24"/>
                <w:lang w:val="ro-RO"/>
              </w:rPr>
              <w:t xml:space="preserve">      De ordin </w:t>
            </w:r>
            <w:proofErr w:type="spellStart"/>
            <w:r w:rsidRPr="006D0F0C">
              <w:rPr>
                <w:rFonts w:ascii="Times New Roman" w:hAnsi="Times New Roman"/>
                <w:sz w:val="24"/>
                <w:szCs w:val="24"/>
                <w:lang w:val="ro-RO"/>
              </w:rPr>
              <w:t>tehnico</w:t>
            </w:r>
            <w:proofErr w:type="spellEnd"/>
            <w:r w:rsidRPr="006D0F0C">
              <w:rPr>
                <w:rFonts w:ascii="Times New Roman" w:hAnsi="Times New Roman"/>
                <w:sz w:val="24"/>
                <w:szCs w:val="24"/>
                <w:lang w:val="ro-RO"/>
              </w:rPr>
              <w:t xml:space="preserve">-normativ, la Capitolul II, Secțiunea a 2-a, propunem excluderea </w:t>
            </w:r>
            <w:proofErr w:type="spellStart"/>
            <w:r w:rsidRPr="006D0F0C">
              <w:rPr>
                <w:rFonts w:ascii="Times New Roman" w:hAnsi="Times New Roman"/>
                <w:sz w:val="24"/>
                <w:szCs w:val="24"/>
                <w:lang w:val="ro-RO"/>
              </w:rPr>
              <w:t>subpct</w:t>
            </w:r>
            <w:proofErr w:type="spellEnd"/>
            <w:r w:rsidRPr="006D0F0C">
              <w:rPr>
                <w:rFonts w:ascii="Times New Roman" w:hAnsi="Times New Roman"/>
                <w:sz w:val="24"/>
                <w:szCs w:val="24"/>
                <w:lang w:val="ro-RO"/>
              </w:rPr>
              <w:t>. 22.4, deoarece, nu conține nici un text.</w:t>
            </w:r>
          </w:p>
          <w:p w14:paraId="16B01FA7" w14:textId="77777777" w:rsidR="006A20AE" w:rsidRPr="006D0F0C" w:rsidRDefault="006A20AE" w:rsidP="00E558F6">
            <w:pPr>
              <w:widowControl w:val="0"/>
              <w:tabs>
                <w:tab w:val="left" w:pos="423"/>
                <w:tab w:val="left" w:pos="573"/>
                <w:tab w:val="left" w:pos="1471"/>
              </w:tabs>
              <w:autoSpaceDE w:val="0"/>
              <w:autoSpaceDN w:val="0"/>
              <w:ind w:right="538" w:firstLine="0"/>
              <w:jc w:val="left"/>
              <w:rPr>
                <w:rFonts w:ascii="Times New Roman" w:hAnsi="Times New Roman"/>
                <w:sz w:val="24"/>
                <w:szCs w:val="24"/>
                <w:lang w:val="ro-RO"/>
              </w:rPr>
            </w:pPr>
            <w:r w:rsidRPr="006D0F0C">
              <w:rPr>
                <w:rFonts w:ascii="Times New Roman" w:hAnsi="Times New Roman"/>
                <w:sz w:val="24"/>
                <w:szCs w:val="24"/>
                <w:lang w:val="ro-RO"/>
              </w:rPr>
              <w:t xml:space="preserve">     După Capitolul III ar trebui să urmeze capitolul IV. Propunem substituirea capitolului V cu capitolul IV.</w:t>
            </w:r>
          </w:p>
          <w:p w14:paraId="26704A19" w14:textId="4DAE3364" w:rsidR="006A20AE" w:rsidRPr="006D0F0C" w:rsidRDefault="006A20AE" w:rsidP="00E558F6">
            <w:pPr>
              <w:widowControl w:val="0"/>
              <w:tabs>
                <w:tab w:val="left" w:pos="423"/>
                <w:tab w:val="left" w:pos="573"/>
                <w:tab w:val="left" w:pos="1471"/>
              </w:tabs>
              <w:autoSpaceDE w:val="0"/>
              <w:autoSpaceDN w:val="0"/>
              <w:ind w:right="538" w:firstLine="0"/>
              <w:jc w:val="left"/>
              <w:rPr>
                <w:rFonts w:ascii="Times New Roman" w:hAnsi="Times New Roman"/>
                <w:sz w:val="24"/>
                <w:szCs w:val="24"/>
                <w:lang w:val="ro-RO"/>
              </w:rPr>
            </w:pPr>
            <w:r w:rsidRPr="006D0F0C">
              <w:rPr>
                <w:rFonts w:ascii="Times New Roman" w:hAnsi="Times New Roman"/>
                <w:sz w:val="24"/>
                <w:szCs w:val="24"/>
                <w:lang w:val="ro-RO"/>
              </w:rPr>
              <w:t xml:space="preserve">     Menționăm că, odată operate modificările de ordin tehnic propuse, susținem promovarea proiectului de hotărâre.</w:t>
            </w:r>
          </w:p>
        </w:tc>
        <w:tc>
          <w:tcPr>
            <w:tcW w:w="1241"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2C6C186" w14:textId="77777777" w:rsidR="007D36EA" w:rsidRPr="006D0F0C" w:rsidRDefault="007D36EA" w:rsidP="007D36EA">
            <w:pPr>
              <w:pBdr>
                <w:top w:val="none" w:sz="4" w:space="0" w:color="000000"/>
                <w:left w:val="none" w:sz="4" w:space="0" w:color="000000"/>
                <w:bottom w:val="none" w:sz="4" w:space="0" w:color="000000"/>
                <w:right w:val="none" w:sz="4" w:space="0" w:color="000000"/>
              </w:pBdr>
              <w:tabs>
                <w:tab w:val="left" w:pos="313"/>
              </w:tabs>
              <w:ind w:firstLine="0"/>
              <w:rPr>
                <w:rFonts w:ascii="Times New Roman" w:hAnsi="Times New Roman"/>
                <w:b/>
                <w:bCs/>
                <w:sz w:val="22"/>
                <w:szCs w:val="22"/>
                <w:lang w:val="ro-MD"/>
              </w:rPr>
            </w:pPr>
          </w:p>
          <w:p w14:paraId="2490CC7F" w14:textId="77777777" w:rsidR="007D36EA" w:rsidRPr="006D0F0C" w:rsidRDefault="007D36EA" w:rsidP="007D36EA">
            <w:pPr>
              <w:pBdr>
                <w:top w:val="none" w:sz="4" w:space="0" w:color="000000"/>
                <w:left w:val="none" w:sz="4" w:space="0" w:color="000000"/>
                <w:bottom w:val="none" w:sz="4" w:space="0" w:color="000000"/>
                <w:right w:val="none" w:sz="4" w:space="0" w:color="000000"/>
              </w:pBdr>
              <w:tabs>
                <w:tab w:val="left" w:pos="313"/>
              </w:tabs>
              <w:ind w:firstLine="0"/>
              <w:rPr>
                <w:rFonts w:ascii="Times New Roman" w:hAnsi="Times New Roman"/>
                <w:b/>
                <w:bCs/>
                <w:sz w:val="22"/>
                <w:szCs w:val="22"/>
                <w:lang w:val="ro-MD"/>
              </w:rPr>
            </w:pPr>
          </w:p>
          <w:p w14:paraId="7F570A0F" w14:textId="77777777" w:rsidR="007D36EA" w:rsidRPr="006D0F0C" w:rsidRDefault="007D36EA" w:rsidP="007D36EA">
            <w:pPr>
              <w:pBdr>
                <w:top w:val="none" w:sz="4" w:space="0" w:color="000000"/>
                <w:left w:val="none" w:sz="4" w:space="0" w:color="000000"/>
                <w:bottom w:val="none" w:sz="4" w:space="0" w:color="000000"/>
                <w:right w:val="none" w:sz="4" w:space="0" w:color="000000"/>
              </w:pBdr>
              <w:tabs>
                <w:tab w:val="left" w:pos="313"/>
              </w:tabs>
              <w:ind w:firstLine="0"/>
              <w:rPr>
                <w:rFonts w:ascii="Times New Roman" w:hAnsi="Times New Roman"/>
                <w:b/>
                <w:bCs/>
                <w:sz w:val="22"/>
                <w:szCs w:val="22"/>
                <w:lang w:val="ro-MD"/>
              </w:rPr>
            </w:pPr>
          </w:p>
          <w:p w14:paraId="690CFB08" w14:textId="77777777" w:rsidR="007D36EA" w:rsidRPr="006D0F0C" w:rsidRDefault="007D36EA" w:rsidP="007D36EA">
            <w:pPr>
              <w:pBdr>
                <w:top w:val="none" w:sz="4" w:space="0" w:color="000000"/>
                <w:left w:val="none" w:sz="4" w:space="0" w:color="000000"/>
                <w:bottom w:val="none" w:sz="4" w:space="0" w:color="000000"/>
                <w:right w:val="none" w:sz="4" w:space="0" w:color="000000"/>
              </w:pBdr>
              <w:tabs>
                <w:tab w:val="left" w:pos="313"/>
              </w:tabs>
              <w:ind w:firstLine="0"/>
              <w:rPr>
                <w:rFonts w:ascii="Times New Roman" w:hAnsi="Times New Roman"/>
                <w:b/>
                <w:bCs/>
                <w:sz w:val="22"/>
                <w:szCs w:val="22"/>
                <w:lang w:val="ro-MD"/>
              </w:rPr>
            </w:pPr>
          </w:p>
          <w:p w14:paraId="08F229A6" w14:textId="4929F0F0" w:rsidR="007D36EA" w:rsidRPr="006D0F0C" w:rsidRDefault="007D36EA" w:rsidP="007D36EA">
            <w:pPr>
              <w:pBdr>
                <w:top w:val="none" w:sz="4" w:space="0" w:color="000000"/>
                <w:left w:val="none" w:sz="4" w:space="0" w:color="000000"/>
                <w:bottom w:val="none" w:sz="4" w:space="0" w:color="000000"/>
                <w:right w:val="none" w:sz="4" w:space="0" w:color="000000"/>
              </w:pBdr>
              <w:tabs>
                <w:tab w:val="left" w:pos="313"/>
              </w:tabs>
              <w:ind w:firstLine="0"/>
              <w:rPr>
                <w:rFonts w:ascii="Times New Roman" w:hAnsi="Times New Roman"/>
                <w:b/>
                <w:bCs/>
                <w:sz w:val="22"/>
                <w:szCs w:val="22"/>
                <w:lang w:val="ro-MD"/>
              </w:rPr>
            </w:pPr>
            <w:r w:rsidRPr="006D0F0C">
              <w:rPr>
                <w:rFonts w:ascii="Times New Roman" w:hAnsi="Times New Roman"/>
                <w:b/>
                <w:bCs/>
                <w:sz w:val="22"/>
                <w:szCs w:val="22"/>
                <w:lang w:val="ro-MD"/>
              </w:rPr>
              <w:t>Se acceptă.</w:t>
            </w:r>
          </w:p>
          <w:p w14:paraId="4D348225" w14:textId="77777777" w:rsidR="007D36EA" w:rsidRPr="006D0F0C" w:rsidRDefault="007D36EA" w:rsidP="007D36E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6D0F0C">
              <w:rPr>
                <w:rFonts w:ascii="Times New Roman" w:hAnsi="Times New Roman"/>
                <w:sz w:val="24"/>
                <w:szCs w:val="24"/>
                <w:lang w:val="ro-MD"/>
              </w:rPr>
              <w:t>Proiectul a fost modificat</w:t>
            </w:r>
          </w:p>
          <w:p w14:paraId="7271B229" w14:textId="77777777" w:rsidR="007D36EA" w:rsidRPr="006D0F0C" w:rsidRDefault="007D36EA" w:rsidP="007D36E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14:paraId="3CD771A1" w14:textId="23999F36" w:rsidR="006A20AE" w:rsidRPr="006D0F0C" w:rsidRDefault="006A20AE" w:rsidP="00E558F6">
            <w:pPr>
              <w:pBdr>
                <w:top w:val="none" w:sz="4" w:space="0" w:color="000000"/>
                <w:left w:val="none" w:sz="4" w:space="0" w:color="000000"/>
                <w:bottom w:val="none" w:sz="4" w:space="0" w:color="000000"/>
                <w:right w:val="none" w:sz="4" w:space="0" w:color="000000"/>
              </w:pBdr>
              <w:ind w:left="73" w:firstLine="0"/>
              <w:rPr>
                <w:rFonts w:ascii="Times New Roman" w:hAnsi="Times New Roman"/>
                <w:sz w:val="22"/>
                <w:szCs w:val="22"/>
                <w:lang w:val="ro-MD"/>
              </w:rPr>
            </w:pPr>
          </w:p>
        </w:tc>
      </w:tr>
      <w:tr w:rsidR="006D0F0C" w:rsidRPr="006D0F0C" w14:paraId="451CD60F" w14:textId="77777777" w:rsidTr="005D14D7">
        <w:trPr>
          <w:trHeight w:val="960"/>
        </w:trPr>
        <w:tc>
          <w:tcPr>
            <w:tcW w:w="231" w:type="pct"/>
            <w:tcBorders>
              <w:top w:val="none" w:sz="4" w:space="0" w:color="000000"/>
              <w:left w:val="single" w:sz="8" w:space="0" w:color="000000"/>
              <w:bottom w:val="single" w:sz="4" w:space="0" w:color="auto"/>
              <w:right w:val="single" w:sz="8" w:space="0" w:color="000000"/>
            </w:tcBorders>
          </w:tcPr>
          <w:p w14:paraId="07716448" w14:textId="77777777" w:rsidR="006A20AE" w:rsidRPr="006D0F0C" w:rsidRDefault="006A20AE">
            <w:pPr>
              <w:pStyle w:val="Listparagraf"/>
              <w:numPr>
                <w:ilvl w:val="0"/>
                <w:numId w:val="1"/>
              </w:numPr>
              <w:pBdr>
                <w:top w:val="none" w:sz="4" w:space="0" w:color="000000"/>
                <w:left w:val="none" w:sz="4" w:space="0" w:color="000000"/>
                <w:bottom w:val="none" w:sz="4" w:space="0" w:color="000000"/>
                <w:right w:val="none" w:sz="4" w:space="0" w:color="000000"/>
              </w:pBdr>
              <w:ind w:hanging="660"/>
              <w:rPr>
                <w:rFonts w:ascii="Times New Roman" w:hAnsi="Times New Roman"/>
                <w:sz w:val="22"/>
                <w:szCs w:val="22"/>
                <w:lang w:val="ro-MD"/>
              </w:rPr>
            </w:pPr>
          </w:p>
        </w:tc>
        <w:tc>
          <w:tcPr>
            <w:tcW w:w="511" w:type="pct"/>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179E95FA" w14:textId="191E7272" w:rsidR="006A20AE" w:rsidRPr="006D0F0C" w:rsidRDefault="006A20AE" w:rsidP="00E558F6">
            <w:pPr>
              <w:ind w:firstLine="0"/>
              <w:rPr>
                <w:rFonts w:ascii="Times New Roman" w:hAnsi="Times New Roman"/>
                <w:b/>
                <w:bCs/>
                <w:sz w:val="24"/>
                <w:szCs w:val="24"/>
                <w:lang w:val="ro-MD"/>
              </w:rPr>
            </w:pPr>
            <w:r w:rsidRPr="006D0F0C">
              <w:rPr>
                <w:rFonts w:ascii="Times New Roman" w:hAnsi="Times New Roman"/>
                <w:b/>
                <w:bCs/>
                <w:sz w:val="24"/>
                <w:szCs w:val="24"/>
                <w:lang w:val="ro-MD"/>
              </w:rPr>
              <w:t>Agenția de Mediu</w:t>
            </w:r>
          </w:p>
          <w:p w14:paraId="2420C3D9" w14:textId="42B7B14E" w:rsidR="006A20AE" w:rsidRPr="006D0F0C" w:rsidRDefault="006A20AE" w:rsidP="00E558F6">
            <w:pPr>
              <w:pBdr>
                <w:top w:val="none" w:sz="4" w:space="0" w:color="000000"/>
                <w:left w:val="none" w:sz="4" w:space="0" w:color="000000"/>
                <w:bottom w:val="none" w:sz="4" w:space="0" w:color="000000"/>
                <w:right w:val="none" w:sz="4" w:space="0" w:color="000000"/>
              </w:pBdr>
              <w:ind w:firstLine="0"/>
              <w:rPr>
                <w:rFonts w:ascii="Times New Roman" w:hAnsi="Times New Roman"/>
                <w:b/>
                <w:sz w:val="22"/>
                <w:szCs w:val="22"/>
                <w:lang w:val="ro-MD"/>
              </w:rPr>
            </w:pPr>
          </w:p>
        </w:tc>
        <w:tc>
          <w:tcPr>
            <w:tcW w:w="512" w:type="pct"/>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18061D52" w14:textId="7AF14730" w:rsidR="006A20AE" w:rsidRPr="006D0F0C" w:rsidRDefault="006A20AE" w:rsidP="00E558F6">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2"/>
                <w:szCs w:val="22"/>
                <w:lang w:val="ro-MD"/>
              </w:rPr>
            </w:pPr>
            <w:r w:rsidRPr="006D0F0C">
              <w:rPr>
                <w:rFonts w:ascii="Times New Roman" w:hAnsi="Times New Roman"/>
                <w:b/>
                <w:sz w:val="24"/>
                <w:szCs w:val="24"/>
                <w:lang w:val="ro-MD"/>
              </w:rPr>
              <w:t>Nr.08/2172/2025 din 08.12.2025</w:t>
            </w:r>
          </w:p>
        </w:tc>
        <w:tc>
          <w:tcPr>
            <w:tcW w:w="2505" w:type="pct"/>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3D9FA330" w14:textId="489EC05F" w:rsidR="006A20AE" w:rsidRPr="006D0F0C" w:rsidRDefault="006A20AE" w:rsidP="00783D37">
            <w:pPr>
              <w:pBdr>
                <w:top w:val="none" w:sz="4" w:space="0" w:color="000000"/>
                <w:left w:val="none" w:sz="4" w:space="0" w:color="000000"/>
                <w:bottom w:val="none" w:sz="4" w:space="0" w:color="000000"/>
                <w:right w:val="none" w:sz="4" w:space="0" w:color="000000"/>
              </w:pBdr>
              <w:tabs>
                <w:tab w:val="left" w:pos="0"/>
              </w:tabs>
              <w:ind w:left="-39" w:firstLine="45"/>
              <w:rPr>
                <w:rFonts w:ascii="Times New Roman" w:hAnsi="Times New Roman"/>
                <w:sz w:val="24"/>
                <w:szCs w:val="24"/>
                <w:lang w:val="ro-MD"/>
              </w:rPr>
            </w:pPr>
            <w:r w:rsidRPr="006D0F0C">
              <w:rPr>
                <w:rFonts w:ascii="Times New Roman" w:hAnsi="Times New Roman"/>
                <w:sz w:val="24"/>
                <w:szCs w:val="24"/>
                <w:lang w:val="ro-MD"/>
              </w:rPr>
              <w:t>Lipsa de propuneri și obiecții</w:t>
            </w:r>
          </w:p>
        </w:tc>
        <w:tc>
          <w:tcPr>
            <w:tcW w:w="1241" w:type="pct"/>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71EA150B" w14:textId="77777777" w:rsidR="007D4831" w:rsidRPr="006D0F0C" w:rsidRDefault="007D4831" w:rsidP="00EB649F">
            <w:pPr>
              <w:pBdr>
                <w:top w:val="none" w:sz="4" w:space="0" w:color="000000"/>
                <w:left w:val="none" w:sz="4" w:space="0" w:color="000000"/>
                <w:bottom w:val="none" w:sz="4" w:space="0" w:color="000000"/>
                <w:right w:val="none" w:sz="4" w:space="0" w:color="000000"/>
              </w:pBdr>
              <w:ind w:firstLine="0"/>
              <w:rPr>
                <w:rFonts w:ascii="Times New Roman" w:hAnsi="Times New Roman"/>
                <w:b/>
                <w:bCs/>
                <w:sz w:val="22"/>
                <w:szCs w:val="22"/>
              </w:rPr>
            </w:pPr>
          </w:p>
          <w:p w14:paraId="6455D2A2" w14:textId="30BA30AC" w:rsidR="00EB649F" w:rsidRPr="006D0F0C" w:rsidRDefault="00EB649F" w:rsidP="00EB649F">
            <w:pPr>
              <w:pBdr>
                <w:top w:val="none" w:sz="4" w:space="0" w:color="000000"/>
                <w:left w:val="none" w:sz="4" w:space="0" w:color="000000"/>
                <w:bottom w:val="none" w:sz="4" w:space="0" w:color="000000"/>
                <w:right w:val="none" w:sz="4" w:space="0" w:color="000000"/>
              </w:pBdr>
              <w:ind w:firstLine="0"/>
              <w:rPr>
                <w:rFonts w:ascii="Times New Roman" w:hAnsi="Times New Roman"/>
                <w:b/>
                <w:bCs/>
                <w:sz w:val="22"/>
                <w:szCs w:val="22"/>
                <w:lang w:val="ro-MD"/>
              </w:rPr>
            </w:pPr>
            <w:r w:rsidRPr="006D0F0C">
              <w:rPr>
                <w:rFonts w:ascii="Times New Roman" w:hAnsi="Times New Roman"/>
                <w:b/>
                <w:bCs/>
                <w:sz w:val="22"/>
                <w:szCs w:val="22"/>
                <w:lang w:val="ro-MD"/>
              </w:rPr>
              <w:t>Se acceptă.</w:t>
            </w:r>
          </w:p>
          <w:p w14:paraId="4B7E77CD" w14:textId="1292B0D0" w:rsidR="00EB649F" w:rsidRPr="006D0F0C" w:rsidRDefault="00EB649F" w:rsidP="00EB649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u-RU"/>
              </w:rPr>
            </w:pPr>
          </w:p>
          <w:p w14:paraId="30443E75" w14:textId="7F687B43" w:rsidR="006A20AE" w:rsidRPr="006D0F0C" w:rsidRDefault="006A20AE" w:rsidP="00E558F6">
            <w:pPr>
              <w:tabs>
                <w:tab w:val="left" w:pos="142"/>
              </w:tabs>
              <w:ind w:right="-1" w:firstLine="0"/>
              <w:rPr>
                <w:rFonts w:ascii="Times New Roman" w:hAnsi="Times New Roman"/>
                <w:sz w:val="22"/>
                <w:szCs w:val="22"/>
                <w:lang w:val="ro-MD"/>
              </w:rPr>
            </w:pPr>
          </w:p>
        </w:tc>
      </w:tr>
      <w:tr w:rsidR="006D0F0C" w:rsidRPr="006D0F0C" w14:paraId="27AD1893" w14:textId="77777777" w:rsidTr="005D14D7">
        <w:trPr>
          <w:trHeight w:val="1712"/>
        </w:trPr>
        <w:tc>
          <w:tcPr>
            <w:tcW w:w="231" w:type="pct"/>
            <w:tcBorders>
              <w:top w:val="single" w:sz="4" w:space="0" w:color="auto"/>
              <w:left w:val="single" w:sz="8" w:space="0" w:color="000000"/>
              <w:bottom w:val="single" w:sz="4" w:space="0" w:color="auto"/>
              <w:right w:val="single" w:sz="8" w:space="0" w:color="000000"/>
            </w:tcBorders>
          </w:tcPr>
          <w:p w14:paraId="17066B57" w14:textId="77777777" w:rsidR="006A20AE" w:rsidRPr="006D0F0C" w:rsidRDefault="006A20AE">
            <w:pPr>
              <w:pStyle w:val="Listparagraf"/>
              <w:numPr>
                <w:ilvl w:val="0"/>
                <w:numId w:val="1"/>
              </w:numPr>
              <w:pBdr>
                <w:top w:val="none" w:sz="4" w:space="0" w:color="000000"/>
                <w:left w:val="none" w:sz="4" w:space="0" w:color="000000"/>
                <w:bottom w:val="none" w:sz="4" w:space="0" w:color="000000"/>
                <w:right w:val="none" w:sz="4" w:space="0" w:color="000000"/>
              </w:pBdr>
              <w:ind w:hanging="660"/>
              <w:rPr>
                <w:rFonts w:ascii="Times New Roman" w:hAnsi="Times New Roman"/>
                <w:sz w:val="22"/>
                <w:szCs w:val="22"/>
                <w:lang w:val="ro-MD"/>
              </w:rPr>
            </w:pPr>
          </w:p>
        </w:tc>
        <w:tc>
          <w:tcPr>
            <w:tcW w:w="511"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6C50B40E" w14:textId="085D8D84" w:rsidR="006A20AE" w:rsidRPr="006D0F0C" w:rsidRDefault="006A20AE" w:rsidP="00E558F6">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MD"/>
              </w:rPr>
            </w:pPr>
            <w:r w:rsidRPr="006D0F0C">
              <w:rPr>
                <w:rFonts w:ascii="Times New Roman" w:hAnsi="Times New Roman"/>
                <w:b/>
                <w:bCs/>
                <w:sz w:val="24"/>
                <w:szCs w:val="24"/>
                <w:lang w:val="ro-MD"/>
              </w:rPr>
              <w:t>Agenția Națională pentru Siguranța Alimentelor</w:t>
            </w:r>
          </w:p>
        </w:tc>
        <w:tc>
          <w:tcPr>
            <w:tcW w:w="512"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F1879EA" w14:textId="7AD440E8" w:rsidR="006A20AE" w:rsidRPr="006D0F0C" w:rsidRDefault="006A20AE" w:rsidP="00E558F6">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sidRPr="006D0F0C">
              <w:rPr>
                <w:rFonts w:ascii="Times New Roman" w:hAnsi="Times New Roman"/>
                <w:b/>
                <w:sz w:val="24"/>
                <w:szCs w:val="24"/>
                <w:lang w:val="ro-MD"/>
              </w:rPr>
              <w:t>Nr. 08-18-6727 din data aplicării semnăturii electronice</w:t>
            </w:r>
          </w:p>
        </w:tc>
        <w:tc>
          <w:tcPr>
            <w:tcW w:w="2505"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7299E6A" w14:textId="0D46EA23" w:rsidR="006A20AE" w:rsidRPr="006D0F0C" w:rsidRDefault="006A20AE" w:rsidP="00E558F6">
            <w:pPr>
              <w:pBdr>
                <w:top w:val="none" w:sz="4" w:space="0" w:color="000000"/>
                <w:left w:val="none" w:sz="4" w:space="0" w:color="000000"/>
                <w:bottom w:val="none" w:sz="4" w:space="0" w:color="000000"/>
                <w:right w:val="none" w:sz="4" w:space="0" w:color="000000"/>
              </w:pBdr>
              <w:tabs>
                <w:tab w:val="left" w:pos="0"/>
              </w:tabs>
              <w:ind w:left="-39" w:firstLine="45"/>
              <w:rPr>
                <w:rFonts w:ascii="Times New Roman" w:hAnsi="Times New Roman"/>
                <w:sz w:val="24"/>
                <w:szCs w:val="24"/>
                <w:lang w:val="ro-MD"/>
              </w:rPr>
            </w:pPr>
            <w:r w:rsidRPr="006D0F0C">
              <w:rPr>
                <w:rFonts w:ascii="Times New Roman" w:hAnsi="Times New Roman"/>
                <w:sz w:val="24"/>
                <w:szCs w:val="24"/>
                <w:lang w:val="ro-MD"/>
              </w:rPr>
              <w:t>Lipsa de propuneri și obiecții</w:t>
            </w:r>
          </w:p>
          <w:p w14:paraId="6F3CFAB3" w14:textId="77777777" w:rsidR="006A20AE" w:rsidRPr="006D0F0C" w:rsidRDefault="006A20AE" w:rsidP="00E558F6">
            <w:pPr>
              <w:pBdr>
                <w:top w:val="none" w:sz="4" w:space="0" w:color="000000"/>
                <w:left w:val="none" w:sz="4" w:space="0" w:color="000000"/>
                <w:bottom w:val="none" w:sz="4" w:space="0" w:color="000000"/>
                <w:right w:val="none" w:sz="4" w:space="0" w:color="000000"/>
              </w:pBdr>
              <w:tabs>
                <w:tab w:val="left" w:pos="0"/>
              </w:tabs>
              <w:ind w:left="-39" w:firstLine="45"/>
              <w:rPr>
                <w:rFonts w:ascii="Times New Roman" w:hAnsi="Times New Roman"/>
                <w:sz w:val="24"/>
                <w:szCs w:val="24"/>
                <w:lang w:val="ro-MD"/>
              </w:rPr>
            </w:pPr>
          </w:p>
          <w:p w14:paraId="116AA83B" w14:textId="77777777" w:rsidR="006A20AE" w:rsidRPr="006D0F0C" w:rsidRDefault="006A20AE" w:rsidP="00E558F6">
            <w:pPr>
              <w:pBdr>
                <w:top w:val="none" w:sz="4" w:space="0" w:color="000000"/>
                <w:left w:val="none" w:sz="4" w:space="0" w:color="000000"/>
                <w:bottom w:val="none" w:sz="4" w:space="0" w:color="000000"/>
                <w:right w:val="none" w:sz="4" w:space="0" w:color="000000"/>
              </w:pBdr>
              <w:tabs>
                <w:tab w:val="left" w:pos="0"/>
              </w:tabs>
              <w:ind w:left="-39" w:firstLine="45"/>
              <w:rPr>
                <w:rFonts w:ascii="Times New Roman" w:hAnsi="Times New Roman"/>
                <w:sz w:val="24"/>
                <w:szCs w:val="24"/>
                <w:lang w:val="ro-MD"/>
              </w:rPr>
            </w:pPr>
          </w:p>
          <w:p w14:paraId="76B4B579" w14:textId="77777777" w:rsidR="006A20AE" w:rsidRPr="006D0F0C" w:rsidRDefault="006A20AE" w:rsidP="00C06DBC">
            <w:pPr>
              <w:pBdr>
                <w:top w:val="none" w:sz="4" w:space="0" w:color="000000"/>
                <w:left w:val="none" w:sz="4" w:space="0" w:color="000000"/>
                <w:bottom w:val="none" w:sz="4" w:space="0" w:color="000000"/>
                <w:right w:val="none" w:sz="4" w:space="0" w:color="000000"/>
              </w:pBdr>
              <w:tabs>
                <w:tab w:val="left" w:pos="0"/>
              </w:tabs>
              <w:ind w:firstLine="0"/>
              <w:rPr>
                <w:rFonts w:ascii="Times New Roman" w:hAnsi="Times New Roman"/>
                <w:sz w:val="24"/>
                <w:szCs w:val="24"/>
                <w:lang w:val="ro-MD"/>
              </w:rPr>
            </w:pPr>
          </w:p>
          <w:p w14:paraId="0DA2CB1C" w14:textId="77777777" w:rsidR="006A20AE" w:rsidRPr="006D0F0C" w:rsidRDefault="006A20AE" w:rsidP="00E558F6">
            <w:pPr>
              <w:pBdr>
                <w:top w:val="none" w:sz="4" w:space="0" w:color="000000"/>
                <w:left w:val="none" w:sz="4" w:space="0" w:color="000000"/>
                <w:bottom w:val="none" w:sz="4" w:space="0" w:color="000000"/>
                <w:right w:val="none" w:sz="4" w:space="0" w:color="000000"/>
              </w:pBdr>
              <w:tabs>
                <w:tab w:val="left" w:pos="0"/>
              </w:tabs>
              <w:ind w:left="-39" w:firstLine="45"/>
              <w:rPr>
                <w:rFonts w:ascii="Times New Roman" w:hAnsi="Times New Roman"/>
                <w:sz w:val="24"/>
                <w:szCs w:val="24"/>
                <w:lang w:val="ro-MD"/>
              </w:rPr>
            </w:pPr>
          </w:p>
          <w:p w14:paraId="1909F787" w14:textId="77777777" w:rsidR="006A20AE" w:rsidRPr="006D0F0C" w:rsidRDefault="006A20AE" w:rsidP="00E558F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tc>
        <w:tc>
          <w:tcPr>
            <w:tcW w:w="1241"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88E4565" w14:textId="77777777" w:rsidR="007D4831" w:rsidRPr="006D0F0C" w:rsidRDefault="007D4831" w:rsidP="00EB649F">
            <w:pPr>
              <w:pBdr>
                <w:top w:val="none" w:sz="4" w:space="0" w:color="000000"/>
                <w:left w:val="none" w:sz="4" w:space="0" w:color="000000"/>
                <w:bottom w:val="none" w:sz="4" w:space="0" w:color="000000"/>
                <w:right w:val="none" w:sz="4" w:space="0" w:color="000000"/>
              </w:pBdr>
              <w:ind w:firstLine="0"/>
              <w:rPr>
                <w:rFonts w:ascii="Times New Roman" w:hAnsi="Times New Roman"/>
                <w:b/>
                <w:bCs/>
                <w:sz w:val="22"/>
                <w:szCs w:val="22"/>
              </w:rPr>
            </w:pPr>
          </w:p>
          <w:p w14:paraId="633CDB69" w14:textId="77777777" w:rsidR="007D4831" w:rsidRPr="006D0F0C" w:rsidRDefault="007D4831" w:rsidP="00EB649F">
            <w:pPr>
              <w:pBdr>
                <w:top w:val="none" w:sz="4" w:space="0" w:color="000000"/>
                <w:left w:val="none" w:sz="4" w:space="0" w:color="000000"/>
                <w:bottom w:val="none" w:sz="4" w:space="0" w:color="000000"/>
                <w:right w:val="none" w:sz="4" w:space="0" w:color="000000"/>
              </w:pBdr>
              <w:ind w:firstLine="0"/>
              <w:rPr>
                <w:rFonts w:ascii="Times New Roman" w:hAnsi="Times New Roman"/>
                <w:b/>
                <w:bCs/>
                <w:sz w:val="22"/>
                <w:szCs w:val="22"/>
              </w:rPr>
            </w:pPr>
          </w:p>
          <w:p w14:paraId="5CEEEB5C" w14:textId="2508F21C" w:rsidR="00EB649F" w:rsidRPr="006D0F0C" w:rsidRDefault="00EB649F" w:rsidP="00EB649F">
            <w:pPr>
              <w:pBdr>
                <w:top w:val="none" w:sz="4" w:space="0" w:color="000000"/>
                <w:left w:val="none" w:sz="4" w:space="0" w:color="000000"/>
                <w:bottom w:val="none" w:sz="4" w:space="0" w:color="000000"/>
                <w:right w:val="none" w:sz="4" w:space="0" w:color="000000"/>
              </w:pBdr>
              <w:ind w:firstLine="0"/>
              <w:rPr>
                <w:rFonts w:ascii="Times New Roman" w:hAnsi="Times New Roman"/>
                <w:b/>
                <w:bCs/>
                <w:sz w:val="22"/>
                <w:szCs w:val="22"/>
                <w:lang w:val="ro-MD"/>
              </w:rPr>
            </w:pPr>
            <w:r w:rsidRPr="006D0F0C">
              <w:rPr>
                <w:rFonts w:ascii="Times New Roman" w:hAnsi="Times New Roman"/>
                <w:b/>
                <w:bCs/>
                <w:sz w:val="22"/>
                <w:szCs w:val="22"/>
                <w:lang w:val="ro-MD"/>
              </w:rPr>
              <w:t>Se acceptă.</w:t>
            </w:r>
          </w:p>
          <w:p w14:paraId="54C81358" w14:textId="46573A69" w:rsidR="00EB649F" w:rsidRPr="006D0F0C" w:rsidRDefault="00EB649F" w:rsidP="00EB649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u-RU"/>
              </w:rPr>
            </w:pPr>
          </w:p>
          <w:p w14:paraId="2E69B0B7" w14:textId="77777777" w:rsidR="006A20AE" w:rsidRPr="006D0F0C" w:rsidRDefault="006A20AE" w:rsidP="00E558F6">
            <w:pPr>
              <w:tabs>
                <w:tab w:val="left" w:pos="142"/>
              </w:tabs>
              <w:ind w:right="-1" w:firstLine="0"/>
              <w:rPr>
                <w:rFonts w:ascii="Times New Roman" w:hAnsi="Times New Roman"/>
                <w:sz w:val="22"/>
                <w:szCs w:val="22"/>
                <w:lang w:val="ro-MD"/>
              </w:rPr>
            </w:pPr>
          </w:p>
        </w:tc>
      </w:tr>
      <w:tr w:rsidR="006D0F0C" w:rsidRPr="006D0F0C" w14:paraId="23CF3F1B" w14:textId="77777777" w:rsidTr="0052021D">
        <w:trPr>
          <w:trHeight w:val="80"/>
        </w:trPr>
        <w:tc>
          <w:tcPr>
            <w:tcW w:w="231" w:type="pct"/>
            <w:tcBorders>
              <w:top w:val="single" w:sz="4" w:space="0" w:color="auto"/>
              <w:left w:val="single" w:sz="8" w:space="0" w:color="000000"/>
              <w:bottom w:val="single" w:sz="4" w:space="0" w:color="auto"/>
              <w:right w:val="single" w:sz="8" w:space="0" w:color="000000"/>
            </w:tcBorders>
          </w:tcPr>
          <w:p w14:paraId="4A69AA3B" w14:textId="77777777" w:rsidR="006A20AE" w:rsidRPr="006D0F0C" w:rsidRDefault="006A20AE">
            <w:pPr>
              <w:pStyle w:val="Listparagraf"/>
              <w:numPr>
                <w:ilvl w:val="0"/>
                <w:numId w:val="1"/>
              </w:numPr>
              <w:pBdr>
                <w:top w:val="none" w:sz="4" w:space="0" w:color="000000"/>
                <w:left w:val="none" w:sz="4" w:space="0" w:color="000000"/>
                <w:bottom w:val="none" w:sz="4" w:space="0" w:color="000000"/>
                <w:right w:val="none" w:sz="4" w:space="0" w:color="000000"/>
              </w:pBdr>
              <w:ind w:hanging="660"/>
              <w:rPr>
                <w:rFonts w:ascii="Times New Roman" w:hAnsi="Times New Roman"/>
                <w:sz w:val="22"/>
                <w:szCs w:val="22"/>
                <w:lang w:val="ro-MD"/>
              </w:rPr>
            </w:pPr>
          </w:p>
        </w:tc>
        <w:tc>
          <w:tcPr>
            <w:tcW w:w="511"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52B46B68" w14:textId="34C8CAEA" w:rsidR="006A20AE" w:rsidRPr="006D0F0C" w:rsidRDefault="006A20AE" w:rsidP="00E558F6">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MD"/>
              </w:rPr>
            </w:pPr>
            <w:r w:rsidRPr="006D0F0C">
              <w:rPr>
                <w:rFonts w:ascii="Times New Roman" w:hAnsi="Times New Roman"/>
                <w:b/>
                <w:bCs/>
                <w:sz w:val="24"/>
                <w:szCs w:val="24"/>
                <w:lang w:val="ro-MD"/>
              </w:rPr>
              <w:t>Congresul Autorităților Locale din Moldova</w:t>
            </w:r>
          </w:p>
        </w:tc>
        <w:tc>
          <w:tcPr>
            <w:tcW w:w="512"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E8943AE" w14:textId="6E0F269B" w:rsidR="006A20AE" w:rsidRPr="006D0F0C" w:rsidRDefault="006A20AE" w:rsidP="00E558F6">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sidRPr="006D0F0C">
              <w:rPr>
                <w:rFonts w:ascii="Times New Roman" w:hAnsi="Times New Roman"/>
                <w:b/>
                <w:sz w:val="24"/>
                <w:szCs w:val="24"/>
                <w:lang w:val="ro-MD"/>
              </w:rPr>
              <w:t>Nr. 370 din 09 decembrie 2025</w:t>
            </w:r>
          </w:p>
        </w:tc>
        <w:tc>
          <w:tcPr>
            <w:tcW w:w="2505"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3C0F61F" w14:textId="3C04F0D9" w:rsidR="006A20AE" w:rsidRPr="006D0F0C" w:rsidRDefault="006A20AE" w:rsidP="00C06DBC">
            <w:pPr>
              <w:pBdr>
                <w:top w:val="none" w:sz="4" w:space="0" w:color="000000"/>
                <w:left w:val="none" w:sz="4" w:space="0" w:color="000000"/>
                <w:bottom w:val="none" w:sz="4" w:space="0" w:color="000000"/>
                <w:right w:val="none" w:sz="4" w:space="0" w:color="000000"/>
              </w:pBdr>
              <w:tabs>
                <w:tab w:val="left" w:pos="0"/>
              </w:tabs>
              <w:ind w:left="-39" w:firstLine="45"/>
              <w:rPr>
                <w:rFonts w:ascii="Times New Roman" w:hAnsi="Times New Roman"/>
                <w:i/>
                <w:iCs/>
                <w:sz w:val="24"/>
                <w:szCs w:val="24"/>
                <w:lang w:val="ro-RO"/>
              </w:rPr>
            </w:pPr>
            <w:r w:rsidRPr="006D0F0C">
              <w:rPr>
                <w:rFonts w:ascii="Times New Roman" w:hAnsi="Times New Roman"/>
                <w:b/>
                <w:bCs/>
                <w:sz w:val="24"/>
                <w:szCs w:val="24"/>
                <w:lang w:val="ro-RO"/>
              </w:rPr>
              <w:t xml:space="preserve">1. Referitor la pct. 25 </w:t>
            </w:r>
            <w:r w:rsidRPr="006D0F0C">
              <w:rPr>
                <w:rFonts w:ascii="Times New Roman" w:hAnsi="Times New Roman"/>
                <w:sz w:val="24"/>
                <w:szCs w:val="24"/>
                <w:lang w:val="ro-RO"/>
              </w:rPr>
              <w:t>(</w:t>
            </w:r>
            <w:r w:rsidRPr="006D0F0C">
              <w:rPr>
                <w:rFonts w:ascii="Times New Roman" w:hAnsi="Times New Roman"/>
                <w:i/>
                <w:iCs/>
                <w:sz w:val="24"/>
                <w:szCs w:val="24"/>
                <w:lang w:val="ro-RO"/>
              </w:rPr>
              <w:t>Până la începutul sezonului de îmbăiere 2030, toate apele de îmbăiere sunt cel puțin de calitate „satisfăcătoare”, autoritățile competente iau măsurile potrivite în vederea creșterii numărului de ape de îmbăiere a căror calitate este „excelentă” sau „bună”</w:t>
            </w:r>
            <w:r w:rsidRPr="006D0F0C">
              <w:rPr>
                <w:rFonts w:ascii="Times New Roman" w:hAnsi="Times New Roman"/>
                <w:sz w:val="24"/>
                <w:szCs w:val="24"/>
                <w:lang w:val="ro-RO"/>
              </w:rPr>
              <w:t xml:space="preserve">): menționăm că </w:t>
            </w:r>
            <w:r w:rsidRPr="006D0F0C">
              <w:rPr>
                <w:rFonts w:ascii="Times New Roman" w:hAnsi="Times New Roman"/>
                <w:b/>
                <w:bCs/>
                <w:sz w:val="24"/>
                <w:szCs w:val="24"/>
                <w:lang w:val="ro-RO"/>
              </w:rPr>
              <w:t xml:space="preserve">sarcinile impuse autorităților administrației publice locale </w:t>
            </w:r>
            <w:r w:rsidRPr="006D0F0C">
              <w:rPr>
                <w:rFonts w:ascii="Times New Roman" w:hAnsi="Times New Roman"/>
                <w:sz w:val="24"/>
                <w:szCs w:val="24"/>
                <w:lang w:val="ro-RO"/>
              </w:rPr>
              <w:t xml:space="preserve">de asigurare a calității cel puțin „satisfăcătoare” a apei de îmbăiere, precum și confecționarea </w:t>
            </w:r>
            <w:r w:rsidRPr="006D0F0C">
              <w:rPr>
                <w:rFonts w:ascii="Times New Roman" w:hAnsi="Times New Roman"/>
                <w:sz w:val="24"/>
                <w:szCs w:val="24"/>
                <w:lang w:val="ro-RO"/>
              </w:rPr>
              <w:lastRenderedPageBreak/>
              <w:t xml:space="preserve">și instalarea panourilor informative și altor mijloace de comunicare în zona bazinelor </w:t>
            </w:r>
            <w:proofErr w:type="spellStart"/>
            <w:r w:rsidRPr="006D0F0C">
              <w:rPr>
                <w:rFonts w:ascii="Times New Roman" w:hAnsi="Times New Roman"/>
                <w:sz w:val="24"/>
                <w:szCs w:val="24"/>
                <w:lang w:val="ro-RO"/>
              </w:rPr>
              <w:t>acvative</w:t>
            </w:r>
            <w:proofErr w:type="spellEnd"/>
            <w:r w:rsidRPr="006D0F0C">
              <w:rPr>
                <w:rFonts w:ascii="Times New Roman" w:hAnsi="Times New Roman"/>
                <w:sz w:val="24"/>
                <w:szCs w:val="24"/>
                <w:lang w:val="ro-RO"/>
              </w:rPr>
              <w:t xml:space="preserve"> - </w:t>
            </w:r>
            <w:r w:rsidRPr="006D0F0C">
              <w:rPr>
                <w:rFonts w:ascii="Times New Roman" w:hAnsi="Times New Roman"/>
                <w:b/>
                <w:bCs/>
                <w:sz w:val="24"/>
                <w:szCs w:val="24"/>
                <w:lang w:val="ro-RO"/>
              </w:rPr>
              <w:t>necesită acoperire financiară, pe care proiectul nu le asigură</w:t>
            </w:r>
            <w:r w:rsidRPr="006D0F0C">
              <w:rPr>
                <w:rFonts w:ascii="Times New Roman" w:hAnsi="Times New Roman"/>
                <w:sz w:val="24"/>
                <w:szCs w:val="24"/>
                <w:lang w:val="ro-RO"/>
              </w:rPr>
              <w:t>.</w:t>
            </w:r>
          </w:p>
          <w:p w14:paraId="156AB020" w14:textId="26B4250C" w:rsidR="006A20AE" w:rsidRPr="006D0F0C" w:rsidRDefault="006A20AE" w:rsidP="00C06DBC">
            <w:pPr>
              <w:pBdr>
                <w:top w:val="none" w:sz="4" w:space="0" w:color="000000"/>
                <w:left w:val="none" w:sz="4" w:space="0" w:color="000000"/>
                <w:bottom w:val="none" w:sz="4" w:space="0" w:color="000000"/>
                <w:right w:val="none" w:sz="4" w:space="0" w:color="000000"/>
              </w:pBdr>
              <w:tabs>
                <w:tab w:val="left" w:pos="0"/>
              </w:tabs>
              <w:ind w:left="-39" w:firstLine="45"/>
              <w:rPr>
                <w:rFonts w:ascii="Times New Roman" w:hAnsi="Times New Roman"/>
                <w:sz w:val="24"/>
                <w:szCs w:val="24"/>
                <w:lang w:val="ro-RO"/>
              </w:rPr>
            </w:pPr>
            <w:r w:rsidRPr="006D0F0C">
              <w:rPr>
                <w:rFonts w:ascii="Times New Roman" w:hAnsi="Times New Roman"/>
                <w:sz w:val="24"/>
                <w:szCs w:val="24"/>
                <w:lang w:val="ro-RO"/>
              </w:rPr>
              <w:t xml:space="preserve">      Delegarea de competențe, conform prevederilor art. 6 alin. (4) și alin. (6) din Legea nr. 435/2006 privind descentralizarea administrativă, aceasta este </w:t>
            </w:r>
            <w:proofErr w:type="spellStart"/>
            <w:r w:rsidRPr="006D0F0C">
              <w:rPr>
                <w:rFonts w:ascii="Times New Roman" w:hAnsi="Times New Roman"/>
                <w:sz w:val="24"/>
                <w:szCs w:val="24"/>
                <w:lang w:val="ro-RO"/>
              </w:rPr>
              <w:t>însoţită</w:t>
            </w:r>
            <w:proofErr w:type="spellEnd"/>
            <w:r w:rsidRPr="006D0F0C">
              <w:rPr>
                <w:rFonts w:ascii="Times New Roman" w:hAnsi="Times New Roman"/>
                <w:sz w:val="24"/>
                <w:szCs w:val="24"/>
                <w:lang w:val="ro-RO"/>
              </w:rPr>
              <w:t xml:space="preserve"> obligatoriu de asigurarea resurselor financiare necesare </w:t>
            </w:r>
            <w:proofErr w:type="spellStart"/>
            <w:r w:rsidRPr="006D0F0C">
              <w:rPr>
                <w:rFonts w:ascii="Times New Roman" w:hAnsi="Times New Roman"/>
                <w:sz w:val="24"/>
                <w:szCs w:val="24"/>
                <w:lang w:val="ro-RO"/>
              </w:rPr>
              <w:t>şi</w:t>
            </w:r>
            <w:proofErr w:type="spellEnd"/>
            <w:r w:rsidRPr="006D0F0C">
              <w:rPr>
                <w:rFonts w:ascii="Times New Roman" w:hAnsi="Times New Roman"/>
                <w:sz w:val="24"/>
                <w:szCs w:val="24"/>
                <w:lang w:val="ro-RO"/>
              </w:rPr>
              <w:t xml:space="preserve"> suficiente realizării acestora și este efectivă (obligatorie) - doar din momentul în care a avut loc transferul resurselor financiare </w:t>
            </w:r>
            <w:proofErr w:type="spellStart"/>
            <w:r w:rsidRPr="006D0F0C">
              <w:rPr>
                <w:rFonts w:ascii="Times New Roman" w:hAnsi="Times New Roman"/>
                <w:sz w:val="24"/>
                <w:szCs w:val="24"/>
                <w:lang w:val="ro-RO"/>
              </w:rPr>
              <w:t>şi</w:t>
            </w:r>
            <w:proofErr w:type="spellEnd"/>
            <w:r w:rsidRPr="006D0F0C">
              <w:rPr>
                <w:rFonts w:ascii="Times New Roman" w:hAnsi="Times New Roman"/>
                <w:sz w:val="24"/>
                <w:szCs w:val="24"/>
                <w:lang w:val="ro-RO"/>
              </w:rPr>
              <w:t xml:space="preserve"> materiale necesare </w:t>
            </w:r>
            <w:proofErr w:type="spellStart"/>
            <w:r w:rsidRPr="006D0F0C">
              <w:rPr>
                <w:rFonts w:ascii="Times New Roman" w:hAnsi="Times New Roman"/>
                <w:sz w:val="24"/>
                <w:szCs w:val="24"/>
                <w:lang w:val="ro-RO"/>
              </w:rPr>
              <w:t>şi</w:t>
            </w:r>
            <w:proofErr w:type="spellEnd"/>
            <w:r w:rsidRPr="006D0F0C">
              <w:rPr>
                <w:rFonts w:ascii="Times New Roman" w:hAnsi="Times New Roman"/>
                <w:sz w:val="24"/>
                <w:szCs w:val="24"/>
                <w:lang w:val="ro-RO"/>
              </w:rPr>
              <w:t xml:space="preserve"> suficiente.</w:t>
            </w:r>
          </w:p>
          <w:p w14:paraId="0CF659DE" w14:textId="2FF32CD5" w:rsidR="006A20AE" w:rsidRPr="006D0F0C" w:rsidRDefault="006A20AE" w:rsidP="00C06DBC">
            <w:pPr>
              <w:pBdr>
                <w:top w:val="none" w:sz="4" w:space="0" w:color="000000"/>
                <w:left w:val="none" w:sz="4" w:space="0" w:color="000000"/>
                <w:bottom w:val="none" w:sz="4" w:space="0" w:color="000000"/>
                <w:right w:val="none" w:sz="4" w:space="0" w:color="000000"/>
              </w:pBdr>
              <w:tabs>
                <w:tab w:val="left" w:pos="0"/>
              </w:tabs>
              <w:ind w:left="-39" w:firstLine="45"/>
              <w:rPr>
                <w:rFonts w:ascii="Times New Roman" w:hAnsi="Times New Roman"/>
                <w:b/>
                <w:bCs/>
                <w:sz w:val="24"/>
                <w:szCs w:val="24"/>
                <w:lang w:val="ro-RO"/>
              </w:rPr>
            </w:pPr>
            <w:r w:rsidRPr="006D0F0C">
              <w:rPr>
                <w:rFonts w:ascii="Times New Roman" w:hAnsi="Times New Roman"/>
                <w:sz w:val="24"/>
                <w:szCs w:val="24"/>
                <w:lang w:val="ro-RO"/>
              </w:rPr>
              <w:t xml:space="preserve">Prin urmare, </w:t>
            </w:r>
            <w:r w:rsidRPr="006D0F0C">
              <w:rPr>
                <w:rFonts w:ascii="Times New Roman" w:hAnsi="Times New Roman"/>
                <w:b/>
                <w:bCs/>
                <w:sz w:val="24"/>
                <w:szCs w:val="24"/>
                <w:lang w:val="ro-RO"/>
              </w:rPr>
              <w:t>este necesară completarea proiectului cu normele care să asigure acoperirea financiară a măsurilor necesare de întreprins pentru a se asigura realizarea scopurilor</w:t>
            </w:r>
            <w:r w:rsidRPr="006D0F0C">
              <w:rPr>
                <w:rFonts w:ascii="Times New Roman" w:hAnsi="Times New Roman"/>
                <w:sz w:val="24"/>
                <w:szCs w:val="24"/>
                <w:lang w:val="ro-RO"/>
              </w:rPr>
              <w:t>.</w:t>
            </w:r>
          </w:p>
          <w:p w14:paraId="61E24F38" w14:textId="77777777" w:rsidR="006A20AE" w:rsidRPr="006D0F0C" w:rsidRDefault="006A20AE" w:rsidP="00E558F6">
            <w:pPr>
              <w:pBdr>
                <w:top w:val="none" w:sz="4" w:space="0" w:color="000000"/>
                <w:left w:val="none" w:sz="4" w:space="0" w:color="000000"/>
                <w:bottom w:val="none" w:sz="4" w:space="0" w:color="000000"/>
                <w:right w:val="none" w:sz="4" w:space="0" w:color="000000"/>
              </w:pBdr>
              <w:tabs>
                <w:tab w:val="left" w:pos="0"/>
              </w:tabs>
              <w:ind w:left="-39" w:firstLine="45"/>
              <w:rPr>
                <w:rFonts w:ascii="Times New Roman" w:hAnsi="Times New Roman"/>
                <w:sz w:val="24"/>
                <w:szCs w:val="24"/>
                <w:lang w:val="ro-MD"/>
              </w:rPr>
            </w:pPr>
          </w:p>
          <w:p w14:paraId="420612AD" w14:textId="77777777" w:rsidR="006A20AE" w:rsidRPr="006D0F0C" w:rsidRDefault="006A20AE" w:rsidP="00E558F6">
            <w:pPr>
              <w:pBdr>
                <w:top w:val="none" w:sz="4" w:space="0" w:color="000000"/>
                <w:left w:val="none" w:sz="4" w:space="0" w:color="000000"/>
                <w:bottom w:val="none" w:sz="4" w:space="0" w:color="000000"/>
                <w:right w:val="none" w:sz="4" w:space="0" w:color="000000"/>
              </w:pBdr>
              <w:tabs>
                <w:tab w:val="left" w:pos="0"/>
              </w:tabs>
              <w:ind w:left="-39" w:firstLine="45"/>
              <w:rPr>
                <w:rFonts w:ascii="Times New Roman" w:hAnsi="Times New Roman"/>
                <w:sz w:val="24"/>
                <w:szCs w:val="24"/>
                <w:lang w:val="ro-MD"/>
              </w:rPr>
            </w:pPr>
          </w:p>
          <w:p w14:paraId="5FC1766E" w14:textId="77777777" w:rsidR="006601BB" w:rsidRPr="006D0F0C" w:rsidRDefault="006601BB" w:rsidP="00E558F6">
            <w:pPr>
              <w:pBdr>
                <w:top w:val="none" w:sz="4" w:space="0" w:color="000000"/>
                <w:left w:val="none" w:sz="4" w:space="0" w:color="000000"/>
                <w:bottom w:val="none" w:sz="4" w:space="0" w:color="000000"/>
                <w:right w:val="none" w:sz="4" w:space="0" w:color="000000"/>
              </w:pBdr>
              <w:tabs>
                <w:tab w:val="left" w:pos="0"/>
              </w:tabs>
              <w:ind w:left="-39" w:firstLine="45"/>
              <w:rPr>
                <w:rFonts w:ascii="Times New Roman" w:hAnsi="Times New Roman"/>
                <w:sz w:val="24"/>
                <w:szCs w:val="24"/>
                <w:lang w:val="ro-MD"/>
              </w:rPr>
            </w:pPr>
          </w:p>
          <w:p w14:paraId="60016847" w14:textId="77777777" w:rsidR="006601BB" w:rsidRPr="006D0F0C" w:rsidRDefault="006601BB" w:rsidP="00E558F6">
            <w:pPr>
              <w:pBdr>
                <w:top w:val="none" w:sz="4" w:space="0" w:color="000000"/>
                <w:left w:val="none" w:sz="4" w:space="0" w:color="000000"/>
                <w:bottom w:val="none" w:sz="4" w:space="0" w:color="000000"/>
                <w:right w:val="none" w:sz="4" w:space="0" w:color="000000"/>
              </w:pBdr>
              <w:tabs>
                <w:tab w:val="left" w:pos="0"/>
              </w:tabs>
              <w:ind w:left="-39" w:firstLine="45"/>
              <w:rPr>
                <w:rFonts w:ascii="Times New Roman" w:hAnsi="Times New Roman"/>
                <w:sz w:val="24"/>
                <w:szCs w:val="24"/>
                <w:lang w:val="ro-MD"/>
              </w:rPr>
            </w:pPr>
          </w:p>
          <w:p w14:paraId="725D66AD" w14:textId="77777777" w:rsidR="006601BB" w:rsidRPr="006D0F0C" w:rsidRDefault="006601BB" w:rsidP="00E558F6">
            <w:pPr>
              <w:pBdr>
                <w:top w:val="none" w:sz="4" w:space="0" w:color="000000"/>
                <w:left w:val="none" w:sz="4" w:space="0" w:color="000000"/>
                <w:bottom w:val="none" w:sz="4" w:space="0" w:color="000000"/>
                <w:right w:val="none" w:sz="4" w:space="0" w:color="000000"/>
              </w:pBdr>
              <w:tabs>
                <w:tab w:val="left" w:pos="0"/>
              </w:tabs>
              <w:ind w:left="-39" w:firstLine="45"/>
              <w:rPr>
                <w:rFonts w:ascii="Times New Roman" w:hAnsi="Times New Roman"/>
                <w:sz w:val="24"/>
                <w:szCs w:val="24"/>
                <w:lang w:val="ro-MD"/>
              </w:rPr>
            </w:pPr>
          </w:p>
          <w:p w14:paraId="16DC0C4E" w14:textId="77777777" w:rsidR="006601BB" w:rsidRPr="006D0F0C" w:rsidRDefault="006601BB" w:rsidP="00E558F6">
            <w:pPr>
              <w:pBdr>
                <w:top w:val="none" w:sz="4" w:space="0" w:color="000000"/>
                <w:left w:val="none" w:sz="4" w:space="0" w:color="000000"/>
                <w:bottom w:val="none" w:sz="4" w:space="0" w:color="000000"/>
                <w:right w:val="none" w:sz="4" w:space="0" w:color="000000"/>
              </w:pBdr>
              <w:tabs>
                <w:tab w:val="left" w:pos="0"/>
              </w:tabs>
              <w:ind w:left="-39" w:firstLine="45"/>
              <w:rPr>
                <w:rFonts w:ascii="Times New Roman" w:hAnsi="Times New Roman"/>
                <w:sz w:val="24"/>
                <w:szCs w:val="24"/>
                <w:lang w:val="ro-MD"/>
              </w:rPr>
            </w:pPr>
          </w:p>
          <w:p w14:paraId="6C2D8DD0" w14:textId="77777777" w:rsidR="006601BB" w:rsidRPr="006D0F0C" w:rsidRDefault="006601BB" w:rsidP="00E558F6">
            <w:pPr>
              <w:pBdr>
                <w:top w:val="none" w:sz="4" w:space="0" w:color="000000"/>
                <w:left w:val="none" w:sz="4" w:space="0" w:color="000000"/>
                <w:bottom w:val="none" w:sz="4" w:space="0" w:color="000000"/>
                <w:right w:val="none" w:sz="4" w:space="0" w:color="000000"/>
              </w:pBdr>
              <w:tabs>
                <w:tab w:val="left" w:pos="0"/>
              </w:tabs>
              <w:ind w:left="-39" w:firstLine="45"/>
              <w:rPr>
                <w:rFonts w:ascii="Times New Roman" w:hAnsi="Times New Roman"/>
                <w:sz w:val="24"/>
                <w:szCs w:val="24"/>
                <w:lang w:val="ro-MD"/>
              </w:rPr>
            </w:pPr>
          </w:p>
          <w:p w14:paraId="483E955F" w14:textId="77777777" w:rsidR="006601BB" w:rsidRPr="006D0F0C" w:rsidRDefault="006601BB" w:rsidP="00E558F6">
            <w:pPr>
              <w:pBdr>
                <w:top w:val="none" w:sz="4" w:space="0" w:color="000000"/>
                <w:left w:val="none" w:sz="4" w:space="0" w:color="000000"/>
                <w:bottom w:val="none" w:sz="4" w:space="0" w:color="000000"/>
                <w:right w:val="none" w:sz="4" w:space="0" w:color="000000"/>
              </w:pBdr>
              <w:tabs>
                <w:tab w:val="left" w:pos="0"/>
              </w:tabs>
              <w:ind w:left="-39" w:firstLine="45"/>
              <w:rPr>
                <w:rFonts w:ascii="Times New Roman" w:hAnsi="Times New Roman"/>
                <w:sz w:val="24"/>
                <w:szCs w:val="24"/>
                <w:lang w:val="ro-MD"/>
              </w:rPr>
            </w:pPr>
          </w:p>
          <w:p w14:paraId="4A507EDB" w14:textId="77777777" w:rsidR="006A20AE" w:rsidRPr="006D0F0C" w:rsidRDefault="006A20AE" w:rsidP="00C06DBC">
            <w:pPr>
              <w:pBdr>
                <w:top w:val="none" w:sz="4" w:space="0" w:color="000000"/>
                <w:left w:val="none" w:sz="4" w:space="0" w:color="000000"/>
                <w:bottom w:val="none" w:sz="4" w:space="0" w:color="000000"/>
                <w:right w:val="none" w:sz="4" w:space="0" w:color="000000"/>
              </w:pBdr>
              <w:tabs>
                <w:tab w:val="left" w:pos="0"/>
              </w:tabs>
              <w:ind w:left="-39" w:firstLine="45"/>
              <w:rPr>
                <w:rFonts w:ascii="Times New Roman" w:hAnsi="Times New Roman"/>
                <w:i/>
                <w:iCs/>
                <w:sz w:val="24"/>
                <w:szCs w:val="24"/>
                <w:lang w:val="ro-RO"/>
              </w:rPr>
            </w:pPr>
            <w:r w:rsidRPr="006D0F0C">
              <w:rPr>
                <w:rFonts w:ascii="Times New Roman" w:hAnsi="Times New Roman"/>
                <w:b/>
                <w:bCs/>
                <w:sz w:val="24"/>
                <w:szCs w:val="24"/>
                <w:lang w:val="ro-RO"/>
              </w:rPr>
              <w:t xml:space="preserve">2. În pct. 34 </w:t>
            </w:r>
            <w:r w:rsidRPr="006D0F0C">
              <w:rPr>
                <w:rFonts w:ascii="Times New Roman" w:hAnsi="Times New Roman"/>
                <w:sz w:val="24"/>
                <w:szCs w:val="24"/>
                <w:lang w:val="ro-RO"/>
              </w:rPr>
              <w:t>(</w:t>
            </w:r>
            <w:r w:rsidRPr="006D0F0C">
              <w:rPr>
                <w:rFonts w:ascii="Times New Roman" w:hAnsi="Times New Roman"/>
                <w:i/>
                <w:iCs/>
                <w:sz w:val="24"/>
                <w:szCs w:val="24"/>
                <w:lang w:val="ro-RO"/>
              </w:rPr>
              <w:t>În situațiile prevăzute la pct. 35 ANSP, Ministerul Mediului și</w:t>
            </w:r>
          </w:p>
          <w:p w14:paraId="0800E23E" w14:textId="1D9061DA" w:rsidR="006A20AE" w:rsidRPr="006D0F0C" w:rsidRDefault="006A20AE" w:rsidP="00C06DBC">
            <w:pPr>
              <w:pBdr>
                <w:top w:val="none" w:sz="4" w:space="0" w:color="000000"/>
                <w:left w:val="none" w:sz="4" w:space="0" w:color="000000"/>
                <w:bottom w:val="none" w:sz="4" w:space="0" w:color="000000"/>
                <w:right w:val="none" w:sz="4" w:space="0" w:color="000000"/>
              </w:pBdr>
              <w:tabs>
                <w:tab w:val="left" w:pos="0"/>
              </w:tabs>
              <w:ind w:left="-39" w:firstLine="45"/>
              <w:rPr>
                <w:rFonts w:ascii="Times New Roman" w:hAnsi="Times New Roman"/>
                <w:i/>
                <w:iCs/>
                <w:sz w:val="24"/>
                <w:szCs w:val="24"/>
                <w:lang w:val="ro-RO"/>
              </w:rPr>
            </w:pPr>
            <w:r w:rsidRPr="006D0F0C">
              <w:rPr>
                <w:rFonts w:ascii="Times New Roman" w:hAnsi="Times New Roman"/>
                <w:b/>
                <w:bCs/>
                <w:i/>
                <w:iCs/>
                <w:sz w:val="24"/>
                <w:szCs w:val="24"/>
                <w:lang w:val="ro-RO"/>
              </w:rPr>
              <w:t xml:space="preserve">autorităților </w:t>
            </w:r>
            <w:r w:rsidRPr="006D0F0C">
              <w:rPr>
                <w:rFonts w:ascii="Times New Roman" w:hAnsi="Times New Roman"/>
                <w:i/>
                <w:iCs/>
                <w:sz w:val="24"/>
                <w:szCs w:val="24"/>
                <w:lang w:val="ro-RO"/>
              </w:rPr>
              <w:t xml:space="preserve">publice locale asigură informarea publicului și, după caz </w:t>
            </w:r>
            <w:r w:rsidRPr="006D0F0C">
              <w:rPr>
                <w:rFonts w:ascii="Times New Roman" w:hAnsi="Times New Roman"/>
                <w:b/>
                <w:bCs/>
                <w:i/>
                <w:iCs/>
                <w:sz w:val="24"/>
                <w:szCs w:val="24"/>
                <w:lang w:val="ro-RO"/>
              </w:rPr>
              <w:t xml:space="preserve">o </w:t>
            </w:r>
            <w:r w:rsidRPr="006D0F0C">
              <w:rPr>
                <w:rFonts w:ascii="Times New Roman" w:hAnsi="Times New Roman"/>
                <w:i/>
                <w:iCs/>
                <w:sz w:val="24"/>
                <w:szCs w:val="24"/>
                <w:lang w:val="ro-RO"/>
              </w:rPr>
              <w:t>interdicția temporară a îmbăierii</w:t>
            </w:r>
            <w:r w:rsidRPr="006D0F0C">
              <w:rPr>
                <w:rFonts w:ascii="Times New Roman" w:hAnsi="Times New Roman"/>
                <w:sz w:val="24"/>
                <w:szCs w:val="24"/>
                <w:lang w:val="ro-RO"/>
              </w:rPr>
              <w:t>):</w:t>
            </w:r>
          </w:p>
          <w:p w14:paraId="22F64E51" w14:textId="7491013A" w:rsidR="006A20AE" w:rsidRPr="006D0F0C" w:rsidRDefault="006A20AE" w:rsidP="00783D37">
            <w:pPr>
              <w:pBdr>
                <w:top w:val="none" w:sz="4" w:space="0" w:color="000000"/>
                <w:left w:val="none" w:sz="4" w:space="0" w:color="000000"/>
                <w:bottom w:val="none" w:sz="4" w:space="0" w:color="000000"/>
                <w:right w:val="none" w:sz="4" w:space="0" w:color="000000"/>
              </w:pBdr>
              <w:tabs>
                <w:tab w:val="left" w:pos="0"/>
              </w:tabs>
              <w:ind w:left="-39" w:firstLine="45"/>
              <w:rPr>
                <w:rFonts w:ascii="Times New Roman" w:hAnsi="Times New Roman"/>
                <w:b/>
                <w:bCs/>
                <w:sz w:val="24"/>
                <w:szCs w:val="24"/>
                <w:lang w:val="ro-RO"/>
              </w:rPr>
            </w:pPr>
            <w:r w:rsidRPr="006D0F0C">
              <w:rPr>
                <w:rFonts w:ascii="Times New Roman" w:hAnsi="Times New Roman"/>
                <w:b/>
                <w:bCs/>
                <w:sz w:val="24"/>
                <w:szCs w:val="24"/>
                <w:lang w:val="ro-RO"/>
              </w:rPr>
              <w:t>cuvântul „</w:t>
            </w:r>
            <w:r w:rsidRPr="006D0F0C">
              <w:rPr>
                <w:rFonts w:ascii="Times New Roman" w:hAnsi="Times New Roman"/>
                <w:b/>
                <w:bCs/>
                <w:i/>
                <w:iCs/>
                <w:sz w:val="24"/>
                <w:szCs w:val="24"/>
                <w:lang w:val="ro-RO"/>
              </w:rPr>
              <w:t>autorităților</w:t>
            </w:r>
            <w:r w:rsidRPr="006D0F0C">
              <w:rPr>
                <w:rFonts w:ascii="Times New Roman" w:hAnsi="Times New Roman"/>
                <w:b/>
                <w:bCs/>
                <w:sz w:val="24"/>
                <w:szCs w:val="24"/>
                <w:lang w:val="ro-RO"/>
              </w:rPr>
              <w:t>” este necesar a se substitui cu cuvântul „autoritățile”, iar prepoziția „</w:t>
            </w:r>
            <w:r w:rsidRPr="006D0F0C">
              <w:rPr>
                <w:rFonts w:ascii="Times New Roman" w:hAnsi="Times New Roman"/>
                <w:b/>
                <w:bCs/>
                <w:i/>
                <w:iCs/>
                <w:sz w:val="24"/>
                <w:szCs w:val="24"/>
                <w:lang w:val="ro-RO"/>
              </w:rPr>
              <w:t>o</w:t>
            </w:r>
            <w:r w:rsidRPr="006D0F0C">
              <w:rPr>
                <w:rFonts w:ascii="Times New Roman" w:hAnsi="Times New Roman"/>
                <w:b/>
                <w:bCs/>
                <w:sz w:val="24"/>
                <w:szCs w:val="24"/>
                <w:lang w:val="ro-RO"/>
              </w:rPr>
              <w:t xml:space="preserve">” este necesară a se substitui cu cuvântul „despre” </w:t>
            </w:r>
            <w:r w:rsidRPr="006D0F0C">
              <w:rPr>
                <w:rFonts w:ascii="Times New Roman" w:hAnsi="Times New Roman"/>
                <w:sz w:val="24"/>
                <w:szCs w:val="24"/>
                <w:lang w:val="ro-RO"/>
              </w:rPr>
              <w:t>(corectarea erorilor gramaticale).</w:t>
            </w:r>
          </w:p>
        </w:tc>
        <w:tc>
          <w:tcPr>
            <w:tcW w:w="1241"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B78D571" w14:textId="7E8197D2" w:rsidR="001106E4" w:rsidRPr="006D0F0C" w:rsidRDefault="001106E4" w:rsidP="00416B54">
            <w:pPr>
              <w:pBdr>
                <w:top w:val="none" w:sz="4" w:space="0" w:color="000000"/>
                <w:left w:val="none" w:sz="4" w:space="0" w:color="000000"/>
                <w:bottom w:val="none" w:sz="4" w:space="0" w:color="000000"/>
                <w:right w:val="none" w:sz="4" w:space="0" w:color="000000"/>
              </w:pBdr>
              <w:ind w:firstLine="0"/>
              <w:rPr>
                <w:rFonts w:ascii="Times New Roman" w:hAnsi="Times New Roman"/>
                <w:b/>
                <w:bCs/>
                <w:sz w:val="22"/>
                <w:szCs w:val="22"/>
                <w:lang w:val="ro-MD"/>
              </w:rPr>
            </w:pPr>
            <w:r w:rsidRPr="006D0F0C">
              <w:rPr>
                <w:rFonts w:ascii="Times New Roman" w:hAnsi="Times New Roman"/>
                <w:b/>
                <w:bCs/>
                <w:sz w:val="22"/>
                <w:szCs w:val="22"/>
                <w:lang w:val="ro-MD"/>
              </w:rPr>
              <w:lastRenderedPageBreak/>
              <w:t xml:space="preserve">Se acceptă </w:t>
            </w:r>
          </w:p>
          <w:p w14:paraId="32490682" w14:textId="64A693D1" w:rsidR="00E1477E" w:rsidRPr="006D0F0C" w:rsidRDefault="00E1477E" w:rsidP="00416B54">
            <w:pPr>
              <w:tabs>
                <w:tab w:val="left" w:pos="142"/>
              </w:tabs>
              <w:ind w:right="-1" w:firstLine="0"/>
              <w:rPr>
                <w:rFonts w:ascii="Times New Roman" w:hAnsi="Times New Roman"/>
                <w:sz w:val="22"/>
                <w:szCs w:val="22"/>
                <w:lang w:val="ro-MD"/>
              </w:rPr>
            </w:pPr>
            <w:r w:rsidRPr="006D0F0C">
              <w:rPr>
                <w:rFonts w:ascii="Times New Roman" w:hAnsi="Times New Roman"/>
                <w:sz w:val="22"/>
                <w:szCs w:val="22"/>
                <w:lang w:val="ro-MD"/>
              </w:rPr>
              <w:t>Punctul 25 a fost reformulat, fiind prevăzută o perioadă de tranziție pentru realizarea graduală a măsurilor stabilite.</w:t>
            </w:r>
          </w:p>
          <w:p w14:paraId="368B7D26" w14:textId="42CC3483" w:rsidR="00E1477E" w:rsidRPr="006D0F0C" w:rsidRDefault="00E1477E" w:rsidP="00416B54">
            <w:pPr>
              <w:tabs>
                <w:tab w:val="left" w:pos="142"/>
              </w:tabs>
              <w:ind w:right="-1" w:firstLine="0"/>
              <w:rPr>
                <w:rFonts w:ascii="Times New Roman" w:hAnsi="Times New Roman"/>
                <w:sz w:val="22"/>
                <w:szCs w:val="22"/>
                <w:lang w:val="ro-MD"/>
              </w:rPr>
            </w:pPr>
            <w:r w:rsidRPr="006D0F0C">
              <w:rPr>
                <w:rFonts w:ascii="Times New Roman" w:hAnsi="Times New Roman"/>
                <w:sz w:val="22"/>
                <w:szCs w:val="22"/>
                <w:lang w:val="ro-MD"/>
              </w:rPr>
              <w:t xml:space="preserve">Totodată, se menționează că autoritățile competente, în sensul proiectului, nu se limitează exclusiv la autoritățile </w:t>
            </w:r>
            <w:r w:rsidRPr="006D0F0C">
              <w:rPr>
                <w:rFonts w:ascii="Times New Roman" w:hAnsi="Times New Roman"/>
                <w:sz w:val="22"/>
                <w:szCs w:val="22"/>
                <w:lang w:val="ro-MD"/>
              </w:rPr>
              <w:lastRenderedPageBreak/>
              <w:t>administrației publice locale, ci includ și alte autorități publice cu atribuții în domeniu, conform competențelor legale.</w:t>
            </w:r>
            <w:r w:rsidR="00416B54" w:rsidRPr="006D0F0C">
              <w:rPr>
                <w:rFonts w:ascii="Times New Roman" w:hAnsi="Times New Roman"/>
                <w:sz w:val="22"/>
                <w:szCs w:val="22"/>
                <w:lang w:val="ro-MD"/>
              </w:rPr>
              <w:t xml:space="preserve"> </w:t>
            </w:r>
          </w:p>
          <w:p w14:paraId="4B4BF4F5" w14:textId="026D1F07" w:rsidR="00416B54" w:rsidRPr="006D0F0C" w:rsidRDefault="00416B54" w:rsidP="00416B54">
            <w:pPr>
              <w:tabs>
                <w:tab w:val="left" w:pos="142"/>
              </w:tabs>
              <w:ind w:right="-1" w:firstLine="0"/>
              <w:rPr>
                <w:rFonts w:ascii="Times New Roman" w:hAnsi="Times New Roman"/>
                <w:sz w:val="22"/>
                <w:szCs w:val="22"/>
                <w:lang w:val="ro-MD"/>
              </w:rPr>
            </w:pPr>
            <w:r w:rsidRPr="006D0F0C">
              <w:rPr>
                <w:rFonts w:ascii="Times New Roman" w:hAnsi="Times New Roman"/>
                <w:sz w:val="22"/>
                <w:szCs w:val="22"/>
                <w:lang w:val="ro-MD"/>
              </w:rPr>
              <w:t>Totodată, potrivit art. 3 alin. (2) din Legea nr. 100/2017 privind actele normative, actele normative se elaborează cu respectarea ierarhiei actelor normative și a competenței autorității emitente. În acest sens, regulamentul sanitar, aprobat prin hotărâre de Guvern, este un act normativ subordonat legii și nu poate reglementa aspecte ce țin de bugetare sau de stabilirea liniilor bugetare.</w:t>
            </w:r>
          </w:p>
          <w:p w14:paraId="107BDB3F" w14:textId="59EB6565" w:rsidR="00416B54" w:rsidRPr="006D0F0C" w:rsidRDefault="00416B54" w:rsidP="00416B54">
            <w:pPr>
              <w:tabs>
                <w:tab w:val="left" w:pos="142"/>
              </w:tabs>
              <w:ind w:right="-1" w:firstLine="0"/>
              <w:rPr>
                <w:rFonts w:ascii="Times New Roman" w:hAnsi="Times New Roman"/>
                <w:sz w:val="22"/>
                <w:szCs w:val="22"/>
                <w:lang w:val="ro-MD"/>
              </w:rPr>
            </w:pPr>
            <w:r w:rsidRPr="006D0F0C">
              <w:rPr>
                <w:rFonts w:ascii="Times New Roman" w:hAnsi="Times New Roman"/>
                <w:sz w:val="22"/>
                <w:szCs w:val="22"/>
                <w:lang w:val="ro-MD"/>
              </w:rPr>
              <w:t>În același timp, Nota de fundamentare a fost completată cu informații privind costurile estimative pentru confecționarea și instalarea plăcuțelor/ panourilor informative în zonele de îmbăiere, prezentate cu titlu orientativ.</w:t>
            </w:r>
          </w:p>
          <w:p w14:paraId="39467D89" w14:textId="77777777" w:rsidR="0052021D" w:rsidRPr="006D0F0C" w:rsidRDefault="0052021D" w:rsidP="00416B54">
            <w:pPr>
              <w:pBdr>
                <w:top w:val="none" w:sz="4" w:space="0" w:color="000000"/>
                <w:left w:val="none" w:sz="4" w:space="0" w:color="000000"/>
                <w:bottom w:val="none" w:sz="4" w:space="0" w:color="000000"/>
                <w:right w:val="none" w:sz="4" w:space="0" w:color="000000"/>
              </w:pBdr>
              <w:tabs>
                <w:tab w:val="left" w:pos="313"/>
              </w:tabs>
              <w:ind w:firstLine="0"/>
              <w:rPr>
                <w:rFonts w:ascii="Times New Roman" w:hAnsi="Times New Roman"/>
                <w:b/>
                <w:bCs/>
                <w:sz w:val="22"/>
                <w:szCs w:val="22"/>
                <w:lang w:val="ro-MD"/>
              </w:rPr>
            </w:pPr>
          </w:p>
          <w:p w14:paraId="32074590" w14:textId="462FF7E9" w:rsidR="007D36EA" w:rsidRPr="006D0F0C" w:rsidRDefault="007D36EA" w:rsidP="00416B54">
            <w:pPr>
              <w:pBdr>
                <w:top w:val="none" w:sz="4" w:space="0" w:color="000000"/>
                <w:left w:val="none" w:sz="4" w:space="0" w:color="000000"/>
                <w:bottom w:val="none" w:sz="4" w:space="0" w:color="000000"/>
                <w:right w:val="none" w:sz="4" w:space="0" w:color="000000"/>
              </w:pBdr>
              <w:tabs>
                <w:tab w:val="left" w:pos="313"/>
              </w:tabs>
              <w:ind w:firstLine="0"/>
              <w:rPr>
                <w:rFonts w:ascii="Times New Roman" w:hAnsi="Times New Roman"/>
                <w:b/>
                <w:bCs/>
                <w:sz w:val="22"/>
                <w:szCs w:val="22"/>
                <w:lang w:val="ro-MD"/>
              </w:rPr>
            </w:pPr>
            <w:r w:rsidRPr="006D0F0C">
              <w:rPr>
                <w:rFonts w:ascii="Times New Roman" w:hAnsi="Times New Roman"/>
                <w:b/>
                <w:bCs/>
                <w:sz w:val="22"/>
                <w:szCs w:val="22"/>
                <w:lang w:val="ro-MD"/>
              </w:rPr>
              <w:t>Se acceptă.</w:t>
            </w:r>
          </w:p>
          <w:p w14:paraId="5C046F1E" w14:textId="77777777" w:rsidR="007D36EA" w:rsidRPr="006D0F0C" w:rsidRDefault="007D36EA" w:rsidP="00416B5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6D0F0C">
              <w:rPr>
                <w:rFonts w:ascii="Times New Roman" w:hAnsi="Times New Roman"/>
                <w:sz w:val="24"/>
                <w:szCs w:val="24"/>
                <w:lang w:val="ro-MD"/>
              </w:rPr>
              <w:t>Proiectul a fost modificat</w:t>
            </w:r>
          </w:p>
          <w:p w14:paraId="3127A884" w14:textId="77777777" w:rsidR="007D36EA" w:rsidRPr="006D0F0C" w:rsidRDefault="007D36EA" w:rsidP="00416B5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14:paraId="54410CFB" w14:textId="77777777" w:rsidR="002F5907" w:rsidRPr="006D0F0C" w:rsidRDefault="002F5907" w:rsidP="00416B54">
            <w:pPr>
              <w:tabs>
                <w:tab w:val="left" w:pos="142"/>
              </w:tabs>
              <w:ind w:right="-1" w:firstLine="0"/>
              <w:rPr>
                <w:rFonts w:ascii="Times New Roman" w:hAnsi="Times New Roman"/>
                <w:sz w:val="22"/>
                <w:szCs w:val="22"/>
                <w:lang w:val="ro-MD"/>
              </w:rPr>
            </w:pPr>
          </w:p>
          <w:p w14:paraId="1CF827F7" w14:textId="77777777" w:rsidR="002F5907" w:rsidRPr="006D0F0C" w:rsidRDefault="002F5907" w:rsidP="00416B54">
            <w:pPr>
              <w:tabs>
                <w:tab w:val="left" w:pos="142"/>
              </w:tabs>
              <w:ind w:right="-1" w:firstLine="0"/>
              <w:rPr>
                <w:rFonts w:ascii="Times New Roman" w:hAnsi="Times New Roman"/>
                <w:sz w:val="22"/>
                <w:szCs w:val="22"/>
                <w:lang w:val="ro-MD"/>
              </w:rPr>
            </w:pPr>
          </w:p>
          <w:p w14:paraId="69CA7E9B" w14:textId="77777777" w:rsidR="002F5907" w:rsidRPr="006D0F0C" w:rsidRDefault="002F5907" w:rsidP="00416B54">
            <w:pPr>
              <w:tabs>
                <w:tab w:val="left" w:pos="142"/>
              </w:tabs>
              <w:ind w:right="-1" w:firstLine="0"/>
              <w:rPr>
                <w:rFonts w:ascii="Times New Roman" w:hAnsi="Times New Roman"/>
                <w:sz w:val="22"/>
                <w:szCs w:val="22"/>
                <w:lang w:val="ro-MD"/>
              </w:rPr>
            </w:pPr>
          </w:p>
          <w:p w14:paraId="6561DBDE" w14:textId="77777777" w:rsidR="002F5907" w:rsidRPr="006D0F0C" w:rsidRDefault="002F5907" w:rsidP="00416B54">
            <w:pPr>
              <w:tabs>
                <w:tab w:val="left" w:pos="142"/>
              </w:tabs>
              <w:ind w:right="-1" w:firstLine="0"/>
              <w:rPr>
                <w:rFonts w:ascii="Times New Roman" w:hAnsi="Times New Roman"/>
                <w:sz w:val="22"/>
                <w:szCs w:val="22"/>
                <w:lang w:val="ro-MD"/>
              </w:rPr>
            </w:pPr>
          </w:p>
          <w:p w14:paraId="5E2746AD" w14:textId="77777777" w:rsidR="002F5907" w:rsidRPr="006D0F0C" w:rsidRDefault="002F5907" w:rsidP="00416B54">
            <w:pPr>
              <w:tabs>
                <w:tab w:val="left" w:pos="142"/>
              </w:tabs>
              <w:ind w:right="-1" w:firstLine="0"/>
              <w:rPr>
                <w:rFonts w:ascii="Times New Roman" w:hAnsi="Times New Roman"/>
                <w:sz w:val="22"/>
                <w:szCs w:val="22"/>
                <w:lang w:val="ro-MD"/>
              </w:rPr>
            </w:pPr>
          </w:p>
        </w:tc>
      </w:tr>
      <w:tr w:rsidR="006D0F0C" w:rsidRPr="006D0F0C" w14:paraId="5D62095B" w14:textId="77777777" w:rsidTr="008E62E7">
        <w:trPr>
          <w:trHeight w:val="5930"/>
        </w:trPr>
        <w:tc>
          <w:tcPr>
            <w:tcW w:w="231" w:type="pct"/>
            <w:tcBorders>
              <w:top w:val="single" w:sz="4" w:space="0" w:color="auto"/>
              <w:left w:val="single" w:sz="8" w:space="0" w:color="000000"/>
              <w:bottom w:val="single" w:sz="4" w:space="0" w:color="auto"/>
              <w:right w:val="single" w:sz="8" w:space="0" w:color="000000"/>
            </w:tcBorders>
          </w:tcPr>
          <w:p w14:paraId="57850600" w14:textId="77777777" w:rsidR="00783D37" w:rsidRPr="006D0F0C" w:rsidRDefault="00783D37" w:rsidP="00783D37">
            <w:pPr>
              <w:pStyle w:val="Listparagraf"/>
              <w:numPr>
                <w:ilvl w:val="0"/>
                <w:numId w:val="1"/>
              </w:numPr>
              <w:pBdr>
                <w:top w:val="none" w:sz="4" w:space="0" w:color="000000"/>
                <w:left w:val="none" w:sz="4" w:space="0" w:color="000000"/>
                <w:bottom w:val="none" w:sz="4" w:space="0" w:color="000000"/>
                <w:right w:val="none" w:sz="4" w:space="0" w:color="000000"/>
              </w:pBdr>
              <w:ind w:hanging="660"/>
              <w:rPr>
                <w:rFonts w:ascii="Times New Roman" w:hAnsi="Times New Roman"/>
                <w:sz w:val="22"/>
                <w:szCs w:val="22"/>
                <w:lang w:val="ro-MD"/>
              </w:rPr>
            </w:pPr>
          </w:p>
        </w:tc>
        <w:tc>
          <w:tcPr>
            <w:tcW w:w="511"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2544049E" w14:textId="7A2DAE3F" w:rsidR="00783D37" w:rsidRPr="006D0F0C" w:rsidRDefault="00783D37" w:rsidP="00783D37">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MD"/>
              </w:rPr>
            </w:pPr>
            <w:r w:rsidRPr="006D0F0C">
              <w:rPr>
                <w:rFonts w:ascii="Times New Roman" w:hAnsi="Times New Roman"/>
                <w:b/>
                <w:bCs/>
                <w:sz w:val="24"/>
                <w:szCs w:val="24"/>
                <w:lang w:val="ro-MD"/>
              </w:rPr>
              <w:t>Ministerul Dezvoltării Economice și Digitalizării al Republicii Moldova</w:t>
            </w:r>
          </w:p>
        </w:tc>
        <w:tc>
          <w:tcPr>
            <w:tcW w:w="512"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58290C3" w14:textId="77777777" w:rsidR="00783D37" w:rsidRPr="006D0F0C" w:rsidRDefault="00783D37" w:rsidP="00783D37">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sidRPr="006D0F0C">
              <w:rPr>
                <w:rFonts w:ascii="Times New Roman" w:hAnsi="Times New Roman"/>
                <w:b/>
                <w:sz w:val="24"/>
                <w:szCs w:val="24"/>
                <w:lang w:val="ro-MD"/>
              </w:rPr>
              <w:t>Nr. 03-3538 din 11 decembrie</w:t>
            </w:r>
          </w:p>
          <w:p w14:paraId="3D71FA57" w14:textId="3CF855A4" w:rsidR="00783D37" w:rsidRPr="006D0F0C" w:rsidRDefault="00783D37" w:rsidP="00783D37">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sidRPr="006D0F0C">
              <w:rPr>
                <w:rFonts w:ascii="Times New Roman" w:hAnsi="Times New Roman"/>
                <w:b/>
                <w:sz w:val="24"/>
                <w:szCs w:val="24"/>
                <w:lang w:val="ro-MD"/>
              </w:rPr>
              <w:t>2025</w:t>
            </w:r>
          </w:p>
        </w:tc>
        <w:tc>
          <w:tcPr>
            <w:tcW w:w="2505"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DFA5563" w14:textId="77777777" w:rsidR="00783D37" w:rsidRPr="006D0F0C" w:rsidRDefault="00783D37" w:rsidP="00783D37">
            <w:pPr>
              <w:pBdr>
                <w:top w:val="none" w:sz="4" w:space="0" w:color="000000"/>
                <w:left w:val="none" w:sz="4" w:space="0" w:color="000000"/>
                <w:bottom w:val="none" w:sz="4" w:space="0" w:color="000000"/>
                <w:right w:val="none" w:sz="4" w:space="0" w:color="000000"/>
              </w:pBdr>
              <w:tabs>
                <w:tab w:val="left" w:pos="0"/>
              </w:tabs>
              <w:ind w:left="-39" w:firstLine="45"/>
              <w:rPr>
                <w:rFonts w:ascii="Times New Roman" w:hAnsi="Times New Roman"/>
                <w:b/>
                <w:bCs/>
                <w:sz w:val="24"/>
                <w:szCs w:val="24"/>
                <w:lang w:val="ro-RO"/>
              </w:rPr>
            </w:pPr>
          </w:p>
          <w:p w14:paraId="27AA8484" w14:textId="77777777" w:rsidR="00783D37" w:rsidRPr="006D0F0C" w:rsidRDefault="00783D37" w:rsidP="00783D37">
            <w:pPr>
              <w:pBdr>
                <w:top w:val="none" w:sz="4" w:space="0" w:color="000000"/>
                <w:left w:val="none" w:sz="4" w:space="0" w:color="000000"/>
                <w:bottom w:val="none" w:sz="4" w:space="0" w:color="000000"/>
                <w:right w:val="none" w:sz="4" w:space="0" w:color="000000"/>
              </w:pBdr>
              <w:tabs>
                <w:tab w:val="left" w:pos="0"/>
              </w:tabs>
              <w:ind w:firstLine="0"/>
              <w:rPr>
                <w:rFonts w:ascii="Times New Roman" w:hAnsi="Times New Roman"/>
                <w:sz w:val="24"/>
                <w:szCs w:val="24"/>
                <w:lang w:val="ro-RO"/>
              </w:rPr>
            </w:pPr>
            <w:r w:rsidRPr="006D0F0C">
              <w:rPr>
                <w:rFonts w:ascii="Times New Roman" w:hAnsi="Times New Roman"/>
                <w:sz w:val="24"/>
                <w:szCs w:val="24"/>
                <w:lang w:val="ro-RO"/>
              </w:rPr>
              <w:t xml:space="preserve">    La pct. 14 și 19, cu titlu de recomandare, considerăm oportun de specificat denumirea completă a „Comisiei Europene” ca să fie clar în adresa cărei instituții vor fi transmise informațiile cu privire la activitățile de îmbăiere.</w:t>
            </w:r>
          </w:p>
          <w:p w14:paraId="53AA95B7" w14:textId="77777777" w:rsidR="00783D37" w:rsidRPr="006D0F0C" w:rsidRDefault="00783D37" w:rsidP="00783D37">
            <w:pPr>
              <w:pBdr>
                <w:top w:val="none" w:sz="4" w:space="0" w:color="000000"/>
                <w:left w:val="none" w:sz="4" w:space="0" w:color="000000"/>
                <w:bottom w:val="none" w:sz="4" w:space="0" w:color="000000"/>
                <w:right w:val="none" w:sz="4" w:space="0" w:color="000000"/>
              </w:pBdr>
              <w:tabs>
                <w:tab w:val="left" w:pos="0"/>
              </w:tabs>
              <w:ind w:firstLine="0"/>
              <w:rPr>
                <w:rFonts w:ascii="Times New Roman" w:hAnsi="Times New Roman"/>
                <w:sz w:val="24"/>
                <w:szCs w:val="24"/>
                <w:lang w:val="ro-RO"/>
              </w:rPr>
            </w:pPr>
          </w:p>
          <w:p w14:paraId="523E7E8C" w14:textId="77777777" w:rsidR="00783D37" w:rsidRPr="006D0F0C" w:rsidRDefault="00783D37" w:rsidP="00783D37">
            <w:pPr>
              <w:pBdr>
                <w:top w:val="none" w:sz="4" w:space="0" w:color="000000"/>
                <w:left w:val="none" w:sz="4" w:space="0" w:color="000000"/>
                <w:bottom w:val="none" w:sz="4" w:space="0" w:color="000000"/>
                <w:right w:val="none" w:sz="4" w:space="0" w:color="000000"/>
              </w:pBdr>
              <w:tabs>
                <w:tab w:val="left" w:pos="0"/>
              </w:tabs>
              <w:ind w:firstLine="0"/>
              <w:rPr>
                <w:rFonts w:ascii="Times New Roman" w:hAnsi="Times New Roman"/>
                <w:sz w:val="24"/>
                <w:szCs w:val="24"/>
                <w:lang w:val="ro-RO"/>
              </w:rPr>
            </w:pPr>
          </w:p>
          <w:p w14:paraId="42899E5F" w14:textId="77777777" w:rsidR="00783D37" w:rsidRPr="006D0F0C" w:rsidRDefault="00783D37" w:rsidP="00783D37">
            <w:pPr>
              <w:pBdr>
                <w:top w:val="none" w:sz="4" w:space="0" w:color="000000"/>
                <w:left w:val="none" w:sz="4" w:space="0" w:color="000000"/>
                <w:bottom w:val="none" w:sz="4" w:space="0" w:color="000000"/>
                <w:right w:val="none" w:sz="4" w:space="0" w:color="000000"/>
              </w:pBdr>
              <w:tabs>
                <w:tab w:val="left" w:pos="0"/>
              </w:tabs>
              <w:ind w:firstLine="0"/>
              <w:rPr>
                <w:rFonts w:ascii="Times New Roman" w:hAnsi="Times New Roman"/>
                <w:sz w:val="24"/>
                <w:szCs w:val="24"/>
                <w:lang w:val="ro-RO"/>
              </w:rPr>
            </w:pPr>
            <w:r w:rsidRPr="006D0F0C">
              <w:rPr>
                <w:rFonts w:ascii="Times New Roman" w:hAnsi="Times New Roman"/>
                <w:sz w:val="24"/>
                <w:szCs w:val="24"/>
                <w:lang w:val="ro-RO"/>
              </w:rPr>
              <w:t xml:space="preserve"> </w:t>
            </w:r>
            <w:r w:rsidRPr="006D0F0C">
              <w:rPr>
                <w:rFonts w:ascii="Times New Roman" w:hAnsi="Times New Roman"/>
                <w:b/>
                <w:bCs/>
                <w:sz w:val="24"/>
                <w:szCs w:val="24"/>
                <w:lang w:val="ro-RO"/>
              </w:rPr>
              <w:t>La pct. 43</w:t>
            </w:r>
            <w:r w:rsidRPr="006D0F0C">
              <w:rPr>
                <w:rFonts w:ascii="Times New Roman" w:hAnsi="Times New Roman"/>
                <w:sz w:val="24"/>
                <w:szCs w:val="24"/>
                <w:lang w:val="ro-RO"/>
              </w:rPr>
              <w:t xml:space="preserve">, este specificat că </w:t>
            </w:r>
            <w:r w:rsidRPr="006D0F0C">
              <w:rPr>
                <w:rFonts w:ascii="Times New Roman" w:hAnsi="Times New Roman"/>
                <w:i/>
                <w:iCs/>
                <w:sz w:val="24"/>
                <w:szCs w:val="24"/>
                <w:lang w:val="ro-RO"/>
              </w:rPr>
              <w:t xml:space="preserve">„Listele apelor de îmbăiere, inclusiv profilurile de apă, calitatea și cartografierea apelor de îmbăiere se înregistrează </w:t>
            </w:r>
            <w:r w:rsidRPr="006D0F0C">
              <w:rPr>
                <w:rFonts w:ascii="Times New Roman" w:hAnsi="Times New Roman"/>
                <w:b/>
                <w:bCs/>
                <w:i/>
                <w:iCs/>
                <w:sz w:val="24"/>
                <w:szCs w:val="24"/>
                <w:lang w:val="ro-RO"/>
              </w:rPr>
              <w:t xml:space="preserve">într-un sistem informațional </w:t>
            </w:r>
            <w:r w:rsidRPr="006D0F0C">
              <w:rPr>
                <w:rFonts w:ascii="Times New Roman" w:hAnsi="Times New Roman"/>
                <w:i/>
                <w:iCs/>
                <w:sz w:val="24"/>
                <w:szCs w:val="24"/>
                <w:lang w:val="ro-RO"/>
              </w:rPr>
              <w:t>deținut de ANSP cu oferirea accesului publicului larg”</w:t>
            </w:r>
            <w:r w:rsidRPr="006D0F0C">
              <w:rPr>
                <w:rFonts w:ascii="Times New Roman" w:hAnsi="Times New Roman"/>
                <w:sz w:val="24"/>
                <w:szCs w:val="24"/>
                <w:lang w:val="ro-RO"/>
              </w:rPr>
              <w:t>, astfel, considerăm necesar de precizat dacă există, la moment, un Sistem informațional care poate să asigure înregistrarea și operarea informației cu privire la activitățile de îmbăiere, cu menționarea acestuia, sau este necesar crearea unui Sistem informațional nou, care va necesita costurile aferente creării acestuia.</w:t>
            </w:r>
          </w:p>
          <w:p w14:paraId="311C6F0F" w14:textId="77777777" w:rsidR="00783D37" w:rsidRPr="006D0F0C" w:rsidRDefault="00783D37" w:rsidP="00783D37">
            <w:pPr>
              <w:pBdr>
                <w:top w:val="none" w:sz="4" w:space="0" w:color="000000"/>
                <w:left w:val="none" w:sz="4" w:space="0" w:color="000000"/>
                <w:bottom w:val="none" w:sz="4" w:space="0" w:color="000000"/>
                <w:right w:val="none" w:sz="4" w:space="0" w:color="000000"/>
              </w:pBdr>
              <w:tabs>
                <w:tab w:val="left" w:pos="0"/>
              </w:tabs>
              <w:ind w:firstLine="0"/>
              <w:rPr>
                <w:rFonts w:ascii="Times New Roman" w:hAnsi="Times New Roman"/>
                <w:sz w:val="24"/>
                <w:szCs w:val="24"/>
              </w:rPr>
            </w:pPr>
          </w:p>
          <w:p w14:paraId="2ADD7309" w14:textId="77777777" w:rsidR="00783D37" w:rsidRPr="006D0F0C" w:rsidRDefault="00783D37" w:rsidP="00783D37">
            <w:pPr>
              <w:pBdr>
                <w:top w:val="none" w:sz="4" w:space="0" w:color="000000"/>
                <w:left w:val="none" w:sz="4" w:space="0" w:color="000000"/>
                <w:bottom w:val="none" w:sz="4" w:space="0" w:color="000000"/>
                <w:right w:val="none" w:sz="4" w:space="0" w:color="000000"/>
              </w:pBdr>
              <w:tabs>
                <w:tab w:val="left" w:pos="0"/>
              </w:tabs>
              <w:ind w:firstLine="0"/>
              <w:rPr>
                <w:rFonts w:ascii="Times New Roman" w:hAnsi="Times New Roman"/>
                <w:sz w:val="24"/>
                <w:szCs w:val="24"/>
                <w:lang w:val="ro-RO"/>
              </w:rPr>
            </w:pPr>
            <w:r w:rsidRPr="006D0F0C">
              <w:rPr>
                <w:rFonts w:ascii="Times New Roman" w:hAnsi="Times New Roman"/>
                <w:sz w:val="24"/>
                <w:szCs w:val="24"/>
                <w:lang w:val="ro-RO"/>
              </w:rPr>
              <w:t xml:space="preserve"> </w:t>
            </w:r>
            <w:r w:rsidRPr="006D0F0C">
              <w:rPr>
                <w:rFonts w:ascii="Times New Roman" w:hAnsi="Times New Roman"/>
                <w:b/>
                <w:bCs/>
                <w:sz w:val="24"/>
                <w:szCs w:val="24"/>
                <w:lang w:val="ro-RO"/>
              </w:rPr>
              <w:t xml:space="preserve">La anexa 4 de la proiectul Regulamentului sanitar: </w:t>
            </w:r>
          </w:p>
          <w:p w14:paraId="589DA662" w14:textId="0C92D8EB" w:rsidR="00783D37" w:rsidRPr="006D0F0C" w:rsidRDefault="00783D37" w:rsidP="00783D37">
            <w:pPr>
              <w:pBdr>
                <w:top w:val="none" w:sz="4" w:space="0" w:color="000000"/>
                <w:left w:val="none" w:sz="4" w:space="0" w:color="000000"/>
                <w:bottom w:val="none" w:sz="4" w:space="0" w:color="000000"/>
                <w:right w:val="none" w:sz="4" w:space="0" w:color="000000"/>
              </w:pBdr>
              <w:tabs>
                <w:tab w:val="left" w:pos="0"/>
              </w:tabs>
              <w:ind w:left="-39" w:firstLine="45"/>
              <w:rPr>
                <w:rFonts w:ascii="Times New Roman" w:hAnsi="Times New Roman"/>
                <w:b/>
                <w:bCs/>
                <w:sz w:val="24"/>
                <w:szCs w:val="24"/>
                <w:lang w:val="ro-RO"/>
              </w:rPr>
            </w:pPr>
            <w:r w:rsidRPr="006D0F0C">
              <w:rPr>
                <w:rFonts w:ascii="Times New Roman" w:hAnsi="Times New Roman"/>
                <w:sz w:val="24"/>
                <w:szCs w:val="24"/>
                <w:lang w:val="ro-RO"/>
              </w:rPr>
              <w:t>Conform art. 15 alin.(3) al Legii nr. 20/2016 privind standardizarea națională, în actele normative pot fi făcute referințe directe numai la standardele moldovenești, astfel, la „Reguli de prelevare a probelor în scopul analizelor microbiologice” (pag.15) se va face referire la standardul moldovenesc SM EN ISO 19458.</w:t>
            </w:r>
          </w:p>
        </w:tc>
        <w:tc>
          <w:tcPr>
            <w:tcW w:w="1241"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8986F22" w14:textId="77777777" w:rsidR="00783D37" w:rsidRPr="006D0F0C" w:rsidRDefault="00783D37" w:rsidP="00783D37">
            <w:pPr>
              <w:tabs>
                <w:tab w:val="left" w:pos="142"/>
              </w:tabs>
              <w:ind w:right="-1" w:firstLine="0"/>
              <w:rPr>
                <w:rFonts w:ascii="Times New Roman" w:hAnsi="Times New Roman"/>
                <w:sz w:val="22"/>
                <w:szCs w:val="22"/>
                <w:lang w:val="ro-MD"/>
              </w:rPr>
            </w:pPr>
          </w:p>
          <w:p w14:paraId="0AEC5B4C" w14:textId="77777777" w:rsidR="00783D37" w:rsidRPr="006D0F0C" w:rsidRDefault="00783D37" w:rsidP="00783D37">
            <w:pPr>
              <w:tabs>
                <w:tab w:val="left" w:pos="142"/>
              </w:tabs>
              <w:ind w:right="-1" w:firstLine="0"/>
              <w:rPr>
                <w:rFonts w:ascii="Times New Roman" w:hAnsi="Times New Roman"/>
                <w:sz w:val="22"/>
                <w:szCs w:val="22"/>
                <w:lang w:val="ro-MD"/>
              </w:rPr>
            </w:pPr>
          </w:p>
          <w:p w14:paraId="28773479" w14:textId="77777777" w:rsidR="00783D37" w:rsidRPr="006D0F0C" w:rsidRDefault="00783D37" w:rsidP="00783D37">
            <w:pPr>
              <w:pBdr>
                <w:top w:val="none" w:sz="4" w:space="0" w:color="000000"/>
                <w:left w:val="none" w:sz="4" w:space="0" w:color="000000"/>
                <w:bottom w:val="none" w:sz="4" w:space="0" w:color="000000"/>
                <w:right w:val="none" w:sz="4" w:space="0" w:color="000000"/>
              </w:pBdr>
              <w:tabs>
                <w:tab w:val="left" w:pos="313"/>
              </w:tabs>
              <w:ind w:firstLine="0"/>
              <w:rPr>
                <w:rFonts w:ascii="Times New Roman" w:hAnsi="Times New Roman"/>
                <w:b/>
                <w:bCs/>
                <w:sz w:val="22"/>
                <w:szCs w:val="22"/>
                <w:lang w:val="ro-MD"/>
              </w:rPr>
            </w:pPr>
            <w:r w:rsidRPr="006D0F0C">
              <w:rPr>
                <w:rFonts w:ascii="Times New Roman" w:hAnsi="Times New Roman"/>
                <w:b/>
                <w:bCs/>
                <w:sz w:val="22"/>
                <w:szCs w:val="22"/>
                <w:lang w:val="ro-MD"/>
              </w:rPr>
              <w:t>Se acceptă.</w:t>
            </w:r>
          </w:p>
          <w:p w14:paraId="0024D2D6" w14:textId="77777777" w:rsidR="00783D37" w:rsidRPr="006D0F0C" w:rsidRDefault="00783D37" w:rsidP="00783D3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6D0F0C">
              <w:rPr>
                <w:rFonts w:ascii="Times New Roman" w:hAnsi="Times New Roman"/>
                <w:sz w:val="24"/>
                <w:szCs w:val="24"/>
                <w:lang w:val="ro-MD"/>
              </w:rPr>
              <w:t>Proiectul a fost modificat</w:t>
            </w:r>
          </w:p>
          <w:p w14:paraId="1FB91D28" w14:textId="77777777" w:rsidR="00783D37" w:rsidRPr="006D0F0C" w:rsidRDefault="00783D37" w:rsidP="00783D3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14:paraId="704ED5E4" w14:textId="77777777" w:rsidR="00783D37" w:rsidRPr="006D0F0C" w:rsidRDefault="00783D37" w:rsidP="00783D37">
            <w:pPr>
              <w:tabs>
                <w:tab w:val="left" w:pos="142"/>
              </w:tabs>
              <w:ind w:right="-1" w:firstLine="0"/>
              <w:rPr>
                <w:rFonts w:ascii="Times New Roman" w:hAnsi="Times New Roman"/>
                <w:b/>
                <w:bCs/>
                <w:sz w:val="22"/>
                <w:szCs w:val="22"/>
                <w:lang w:val="ro-MD"/>
              </w:rPr>
            </w:pPr>
          </w:p>
          <w:p w14:paraId="1B707495" w14:textId="32AD9153" w:rsidR="00783D37" w:rsidRPr="006D0F0C" w:rsidRDefault="0052021D" w:rsidP="00783D37">
            <w:pPr>
              <w:tabs>
                <w:tab w:val="left" w:pos="142"/>
              </w:tabs>
              <w:ind w:right="-1" w:firstLine="0"/>
              <w:rPr>
                <w:rFonts w:ascii="Times New Roman" w:hAnsi="Times New Roman"/>
                <w:sz w:val="22"/>
                <w:szCs w:val="22"/>
                <w:lang w:val="ro-MD"/>
              </w:rPr>
            </w:pPr>
            <w:r w:rsidRPr="006D0F0C">
              <w:rPr>
                <w:rFonts w:ascii="Times New Roman" w:hAnsi="Times New Roman"/>
                <w:b/>
                <w:bCs/>
                <w:sz w:val="22"/>
                <w:szCs w:val="22"/>
                <w:lang w:val="ro-MD"/>
              </w:rPr>
              <w:t>Se acceptă</w:t>
            </w:r>
          </w:p>
          <w:p w14:paraId="467AAF1E" w14:textId="0475F824" w:rsidR="00783D37" w:rsidRPr="006D0F0C" w:rsidRDefault="008E62E7" w:rsidP="00783D37">
            <w:pPr>
              <w:tabs>
                <w:tab w:val="left" w:pos="142"/>
              </w:tabs>
              <w:ind w:right="-1" w:firstLine="0"/>
              <w:rPr>
                <w:rFonts w:ascii="Times New Roman" w:hAnsi="Times New Roman"/>
                <w:sz w:val="22"/>
                <w:szCs w:val="22"/>
                <w:lang w:val="ro-MD"/>
              </w:rPr>
            </w:pPr>
            <w:r w:rsidRPr="006D0F0C">
              <w:rPr>
                <w:rFonts w:ascii="Times New Roman" w:hAnsi="Times New Roman"/>
                <w:sz w:val="22"/>
                <w:szCs w:val="22"/>
                <w:lang w:val="ro-MD"/>
              </w:rPr>
              <w:t>La momentul actual nu există un sistem informațional dedicat activităților de îmbăiere, însă ANSP se află în proces de dezvoltare a unui sistem informațional integrat, în cadrul căruia va fi creat un modul specific pentru gestionarea datelor privind apele de îmbăiere, fără instituirea unui sistem separat și fără necesitatea identificării unor surse de finanțare distincte.</w:t>
            </w:r>
          </w:p>
          <w:p w14:paraId="1090876C" w14:textId="77777777" w:rsidR="00783D37" w:rsidRPr="006D0F0C" w:rsidRDefault="00783D37" w:rsidP="00783D37">
            <w:pPr>
              <w:pBdr>
                <w:top w:val="none" w:sz="4" w:space="0" w:color="000000"/>
                <w:left w:val="none" w:sz="4" w:space="0" w:color="000000"/>
                <w:bottom w:val="none" w:sz="4" w:space="0" w:color="000000"/>
                <w:right w:val="none" w:sz="4" w:space="0" w:color="000000"/>
              </w:pBdr>
              <w:tabs>
                <w:tab w:val="left" w:pos="313"/>
              </w:tabs>
              <w:ind w:firstLine="0"/>
              <w:rPr>
                <w:rFonts w:ascii="Times New Roman" w:hAnsi="Times New Roman"/>
                <w:b/>
                <w:bCs/>
                <w:sz w:val="22"/>
                <w:szCs w:val="22"/>
                <w:lang w:val="ro-MD"/>
              </w:rPr>
            </w:pPr>
            <w:r w:rsidRPr="006D0F0C">
              <w:rPr>
                <w:rFonts w:ascii="Times New Roman" w:hAnsi="Times New Roman"/>
                <w:b/>
                <w:bCs/>
                <w:sz w:val="22"/>
                <w:szCs w:val="22"/>
                <w:lang w:val="ro-MD"/>
              </w:rPr>
              <w:t>Se acceptă.</w:t>
            </w:r>
          </w:p>
          <w:p w14:paraId="13A7E492" w14:textId="77777777" w:rsidR="00783D37" w:rsidRPr="006D0F0C" w:rsidRDefault="00783D37" w:rsidP="00783D3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6D0F0C">
              <w:rPr>
                <w:rFonts w:ascii="Times New Roman" w:hAnsi="Times New Roman"/>
                <w:sz w:val="24"/>
                <w:szCs w:val="24"/>
                <w:lang w:val="ro-MD"/>
              </w:rPr>
              <w:t>Proiectul a fost modificat</w:t>
            </w:r>
          </w:p>
          <w:p w14:paraId="2AF88092" w14:textId="77777777" w:rsidR="00783D37" w:rsidRPr="006D0F0C" w:rsidRDefault="00783D37" w:rsidP="00783D37">
            <w:pPr>
              <w:tabs>
                <w:tab w:val="left" w:pos="142"/>
              </w:tabs>
              <w:ind w:right="-1" w:firstLine="0"/>
              <w:rPr>
                <w:rFonts w:ascii="Times New Roman" w:hAnsi="Times New Roman"/>
                <w:sz w:val="22"/>
                <w:szCs w:val="22"/>
                <w:lang w:val="ro-MD"/>
              </w:rPr>
            </w:pPr>
          </w:p>
          <w:p w14:paraId="4CCED76B" w14:textId="77777777" w:rsidR="00783D37" w:rsidRPr="006D0F0C" w:rsidRDefault="00783D37" w:rsidP="00783D37">
            <w:pPr>
              <w:tabs>
                <w:tab w:val="left" w:pos="142"/>
              </w:tabs>
              <w:ind w:right="-1" w:firstLine="0"/>
              <w:rPr>
                <w:rFonts w:ascii="Times New Roman" w:hAnsi="Times New Roman"/>
                <w:sz w:val="22"/>
                <w:szCs w:val="22"/>
                <w:lang w:val="ro-MD"/>
              </w:rPr>
            </w:pPr>
          </w:p>
          <w:p w14:paraId="3304E215" w14:textId="77777777" w:rsidR="00783D37" w:rsidRPr="006D0F0C" w:rsidRDefault="00783D37" w:rsidP="00783D37">
            <w:pPr>
              <w:pBdr>
                <w:top w:val="none" w:sz="4" w:space="0" w:color="000000"/>
                <w:left w:val="none" w:sz="4" w:space="0" w:color="000000"/>
                <w:bottom w:val="none" w:sz="4" w:space="0" w:color="000000"/>
                <w:right w:val="none" w:sz="4" w:space="0" w:color="000000"/>
              </w:pBdr>
              <w:ind w:firstLine="0"/>
              <w:rPr>
                <w:rFonts w:ascii="Times New Roman" w:hAnsi="Times New Roman"/>
                <w:b/>
                <w:bCs/>
                <w:sz w:val="22"/>
                <w:szCs w:val="22"/>
                <w:lang w:val="ro-MD"/>
              </w:rPr>
            </w:pPr>
          </w:p>
        </w:tc>
      </w:tr>
      <w:tr w:rsidR="006D0F0C" w:rsidRPr="006D0F0C" w14:paraId="60825A66" w14:textId="77777777" w:rsidTr="008E62E7">
        <w:trPr>
          <w:trHeight w:val="2060"/>
        </w:trPr>
        <w:tc>
          <w:tcPr>
            <w:tcW w:w="231" w:type="pct"/>
            <w:tcBorders>
              <w:top w:val="single" w:sz="4" w:space="0" w:color="auto"/>
              <w:left w:val="single" w:sz="8" w:space="0" w:color="000000"/>
              <w:bottom w:val="single" w:sz="4" w:space="0" w:color="auto"/>
              <w:right w:val="single" w:sz="8" w:space="0" w:color="000000"/>
            </w:tcBorders>
          </w:tcPr>
          <w:p w14:paraId="2131A080" w14:textId="77777777" w:rsidR="00E42DAF" w:rsidRPr="006D0F0C" w:rsidRDefault="00E42DAF">
            <w:pPr>
              <w:pStyle w:val="Listparagraf"/>
              <w:numPr>
                <w:ilvl w:val="0"/>
                <w:numId w:val="1"/>
              </w:numPr>
              <w:pBdr>
                <w:top w:val="none" w:sz="4" w:space="0" w:color="000000"/>
                <w:left w:val="none" w:sz="4" w:space="0" w:color="000000"/>
                <w:bottom w:val="none" w:sz="4" w:space="0" w:color="000000"/>
                <w:right w:val="none" w:sz="4" w:space="0" w:color="000000"/>
              </w:pBdr>
              <w:ind w:hanging="660"/>
              <w:rPr>
                <w:rFonts w:ascii="Times New Roman" w:hAnsi="Times New Roman"/>
                <w:sz w:val="22"/>
                <w:szCs w:val="22"/>
                <w:lang w:val="ro-MD"/>
              </w:rPr>
            </w:pPr>
          </w:p>
        </w:tc>
        <w:tc>
          <w:tcPr>
            <w:tcW w:w="511"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07E719A8" w14:textId="7A3E6016" w:rsidR="00E42DAF" w:rsidRPr="006D0F0C" w:rsidRDefault="00E42DAF" w:rsidP="00E42DAF">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r w:rsidRPr="006D0F0C">
              <w:rPr>
                <w:rFonts w:ascii="Times New Roman" w:hAnsi="Times New Roman"/>
                <w:b/>
                <w:bCs/>
                <w:sz w:val="24"/>
                <w:szCs w:val="24"/>
                <w:lang w:val="ro-MD"/>
              </w:rPr>
              <w:t>C</w:t>
            </w:r>
            <w:r w:rsidR="00F96AD6">
              <w:rPr>
                <w:rFonts w:ascii="Times New Roman" w:hAnsi="Times New Roman"/>
                <w:b/>
                <w:bCs/>
                <w:sz w:val="24"/>
                <w:szCs w:val="24"/>
                <w:lang w:val="ro-MD"/>
              </w:rPr>
              <w:t>entrul de armonizare a legislației</w:t>
            </w:r>
          </w:p>
        </w:tc>
        <w:tc>
          <w:tcPr>
            <w:tcW w:w="512"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7CFFCA0" w14:textId="2ADB1135" w:rsidR="00E42DAF" w:rsidRPr="006D0F0C" w:rsidRDefault="00E42DAF" w:rsidP="00E558F6">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r w:rsidRPr="006D0F0C">
              <w:rPr>
                <w:rFonts w:ascii="Times New Roman" w:hAnsi="Times New Roman"/>
                <w:b/>
                <w:sz w:val="24"/>
                <w:szCs w:val="24"/>
                <w:lang w:val="ro-MD"/>
              </w:rPr>
              <w:t>Nr.31/02-126-12650 din 11 decembrie 2025</w:t>
            </w:r>
          </w:p>
        </w:tc>
        <w:tc>
          <w:tcPr>
            <w:tcW w:w="2505"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11B619E" w14:textId="3C5DEFF5" w:rsidR="00E42DAF" w:rsidRPr="006D0F0C" w:rsidRDefault="00A64619" w:rsidP="00436D4B">
            <w:pPr>
              <w:pBdr>
                <w:top w:val="none" w:sz="4" w:space="0" w:color="000000"/>
                <w:left w:val="none" w:sz="4" w:space="0" w:color="000000"/>
                <w:bottom w:val="none" w:sz="4" w:space="0" w:color="000000"/>
                <w:right w:val="none" w:sz="4" w:space="0" w:color="000000"/>
              </w:pBdr>
              <w:tabs>
                <w:tab w:val="left" w:pos="0"/>
              </w:tabs>
              <w:ind w:left="-39" w:firstLine="45"/>
              <w:rPr>
                <w:rFonts w:ascii="Times New Roman" w:hAnsi="Times New Roman"/>
                <w:b/>
                <w:bCs/>
                <w:sz w:val="24"/>
                <w:szCs w:val="24"/>
                <w:lang w:val="ro-RO"/>
              </w:rPr>
            </w:pPr>
            <w:r w:rsidRPr="006D0F0C">
              <w:rPr>
                <w:rFonts w:ascii="Times New Roman" w:hAnsi="Times New Roman"/>
                <w:b/>
                <w:bCs/>
                <w:sz w:val="24"/>
                <w:szCs w:val="24"/>
                <w:lang w:val="ro-MD"/>
              </w:rPr>
              <w:t>1.</w:t>
            </w:r>
            <w:r w:rsidRPr="006D0F0C">
              <w:rPr>
                <w:rFonts w:ascii="Times New Roman" w:hAnsi="Times New Roman"/>
                <w:sz w:val="24"/>
                <w:szCs w:val="24"/>
                <w:lang w:val="ro-MD"/>
              </w:rPr>
              <w:t xml:space="preserve"> </w:t>
            </w:r>
            <w:r w:rsidRPr="006D0F0C">
              <w:rPr>
                <w:rFonts w:ascii="Times New Roman" w:hAnsi="Times New Roman"/>
                <w:sz w:val="24"/>
                <w:szCs w:val="24"/>
                <w:lang w:val="ro-RO"/>
              </w:rPr>
              <w:t xml:space="preserve">În urma examinării prevederilor proiectului național în raport cu dispozițiile Directivei 2006/7/CE, s-a constatat că proiectul a aplicat o tehnică de transpunere bazată pe reformulare și substituire a unor termeni din actul UE (de exemplu: scăldat/îmbăiere; oameni la scăldat sau amatorilor de scăldat/utilizatori de scăldat; create artificial/în bazine amenajate; împrejurare/eveniment; concurs/combinație; măsuri de gestionare/măsuri de management; adecvată/suplimentară; acumulare/dezvoltare în masă; mai mari/mai bune; mai puțin bune/mai rele; rămase/posibile; </w:t>
            </w:r>
            <w:proofErr w:type="spellStart"/>
            <w:r w:rsidRPr="006D0F0C">
              <w:rPr>
                <w:rFonts w:ascii="Times New Roman" w:hAnsi="Times New Roman"/>
                <w:sz w:val="24"/>
                <w:szCs w:val="24"/>
                <w:lang w:val="ro-RO"/>
              </w:rPr>
              <w:t>ș.a</w:t>
            </w:r>
            <w:proofErr w:type="spellEnd"/>
            <w:r w:rsidRPr="006D0F0C">
              <w:rPr>
                <w:rFonts w:ascii="Times New Roman" w:hAnsi="Times New Roman"/>
                <w:sz w:val="24"/>
                <w:szCs w:val="24"/>
                <w:lang w:val="ro-RO"/>
              </w:rPr>
              <w:t>), iar această abordare reduce claritatea textului și generează neconcordanțe între prevederile naționale și prevederile specifice ale Directivei. În acest context, se recomandă ajustarea terminologiei și a formulărilor din proiect, astfel încât să se asigure o transpunere cât mai fidelă și clară a dispozițiilor Directivei 2006/7/CE</w:t>
            </w:r>
            <w:r w:rsidRPr="006D0F0C">
              <w:rPr>
                <w:rFonts w:ascii="Times New Roman" w:hAnsi="Times New Roman"/>
                <w:b/>
                <w:bCs/>
                <w:sz w:val="24"/>
                <w:szCs w:val="24"/>
                <w:lang w:val="ro-RO"/>
              </w:rPr>
              <w:t>.</w:t>
            </w:r>
          </w:p>
        </w:tc>
        <w:tc>
          <w:tcPr>
            <w:tcW w:w="1241"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24A318A" w14:textId="75179EA8" w:rsidR="00FD2074" w:rsidRPr="006D0F0C" w:rsidRDefault="00FD2074" w:rsidP="00FD2074">
            <w:pPr>
              <w:pBdr>
                <w:top w:val="none" w:sz="4" w:space="0" w:color="000000"/>
                <w:left w:val="none" w:sz="4" w:space="0" w:color="000000"/>
                <w:bottom w:val="none" w:sz="4" w:space="0" w:color="000000"/>
                <w:right w:val="none" w:sz="4" w:space="0" w:color="000000"/>
              </w:pBdr>
              <w:tabs>
                <w:tab w:val="left" w:pos="313"/>
              </w:tabs>
              <w:ind w:firstLine="0"/>
              <w:rPr>
                <w:rFonts w:ascii="Times New Roman" w:hAnsi="Times New Roman"/>
                <w:b/>
                <w:bCs/>
                <w:sz w:val="22"/>
                <w:szCs w:val="22"/>
                <w:lang w:val="ro-MD"/>
              </w:rPr>
            </w:pPr>
            <w:r w:rsidRPr="006D0F0C">
              <w:rPr>
                <w:rFonts w:ascii="Times New Roman" w:hAnsi="Times New Roman"/>
                <w:b/>
                <w:bCs/>
                <w:sz w:val="22"/>
                <w:szCs w:val="22"/>
                <w:lang w:val="ro-MD"/>
              </w:rPr>
              <w:t>Se acceptă</w:t>
            </w:r>
          </w:p>
          <w:p w14:paraId="62E0F777" w14:textId="6B615547" w:rsidR="009A4CDB" w:rsidRPr="006D0F0C" w:rsidRDefault="009A4CDB" w:rsidP="009A4CDB">
            <w:pPr>
              <w:pBdr>
                <w:top w:val="none" w:sz="4" w:space="0" w:color="000000"/>
                <w:left w:val="none" w:sz="4" w:space="0" w:color="000000"/>
                <w:bottom w:val="none" w:sz="4" w:space="0" w:color="000000"/>
                <w:right w:val="none" w:sz="4" w:space="0" w:color="000000"/>
              </w:pBdr>
              <w:tabs>
                <w:tab w:val="left" w:pos="313"/>
              </w:tabs>
              <w:ind w:firstLine="0"/>
              <w:rPr>
                <w:rFonts w:ascii="Times New Roman" w:hAnsi="Times New Roman"/>
                <w:sz w:val="22"/>
                <w:szCs w:val="22"/>
                <w:lang w:val="ro-MD"/>
              </w:rPr>
            </w:pPr>
            <w:r w:rsidRPr="006D0F0C">
              <w:rPr>
                <w:rFonts w:ascii="Times New Roman" w:hAnsi="Times New Roman"/>
                <w:sz w:val="22"/>
                <w:szCs w:val="22"/>
                <w:lang w:val="ro-MD"/>
              </w:rPr>
              <w:t xml:space="preserve">Utilizarea termenului „apă de îmbăiere”, în locul sintagmei „apă pentru scăldat” </w:t>
            </w:r>
            <w:r w:rsidR="004B2991" w:rsidRPr="006D0F0C">
              <w:rPr>
                <w:rFonts w:ascii="Times New Roman" w:hAnsi="Times New Roman"/>
                <w:sz w:val="22"/>
                <w:szCs w:val="22"/>
                <w:lang w:val="ro-MD"/>
              </w:rPr>
              <w:t xml:space="preserve">cât și substituirea unor termeni </w:t>
            </w:r>
            <w:r w:rsidRPr="006D0F0C">
              <w:rPr>
                <w:rFonts w:ascii="Times New Roman" w:hAnsi="Times New Roman"/>
                <w:sz w:val="22"/>
                <w:szCs w:val="22"/>
                <w:lang w:val="ro-MD"/>
              </w:rPr>
              <w:t>prevăzu</w:t>
            </w:r>
            <w:r w:rsidR="004B2991" w:rsidRPr="006D0F0C">
              <w:rPr>
                <w:rFonts w:ascii="Times New Roman" w:hAnsi="Times New Roman"/>
                <w:sz w:val="22"/>
                <w:szCs w:val="22"/>
                <w:lang w:val="ro-MD"/>
              </w:rPr>
              <w:t xml:space="preserve">ți </w:t>
            </w:r>
            <w:r w:rsidRPr="006D0F0C">
              <w:rPr>
                <w:rFonts w:ascii="Times New Roman" w:hAnsi="Times New Roman"/>
                <w:sz w:val="22"/>
                <w:szCs w:val="22"/>
                <w:lang w:val="ro-MD"/>
              </w:rPr>
              <w:t>în Directivă, a</w:t>
            </w:r>
            <w:r w:rsidR="004B2991" w:rsidRPr="006D0F0C">
              <w:rPr>
                <w:rFonts w:ascii="Times New Roman" w:hAnsi="Times New Roman"/>
                <w:sz w:val="22"/>
                <w:szCs w:val="22"/>
                <w:lang w:val="ro-MD"/>
              </w:rPr>
              <w:t>u</w:t>
            </w:r>
            <w:r w:rsidRPr="006D0F0C">
              <w:rPr>
                <w:rFonts w:ascii="Times New Roman" w:hAnsi="Times New Roman"/>
                <w:sz w:val="22"/>
                <w:szCs w:val="22"/>
                <w:lang w:val="ro-MD"/>
              </w:rPr>
              <w:t xml:space="preserve"> fost adopta</w:t>
            </w:r>
            <w:r w:rsidR="004B2991" w:rsidRPr="006D0F0C">
              <w:rPr>
                <w:rFonts w:ascii="Times New Roman" w:hAnsi="Times New Roman"/>
                <w:sz w:val="22"/>
                <w:szCs w:val="22"/>
                <w:lang w:val="ro-MD"/>
              </w:rPr>
              <w:t>ți</w:t>
            </w:r>
            <w:r w:rsidRPr="006D0F0C">
              <w:rPr>
                <w:rFonts w:ascii="Times New Roman" w:hAnsi="Times New Roman"/>
                <w:sz w:val="22"/>
                <w:szCs w:val="22"/>
                <w:lang w:val="ro-MD"/>
              </w:rPr>
              <w:t xml:space="preserve"> în urma vizitei de lucru și consultărilor cu experții Institutului Național de Sănătate Publică (INSP) din România.</w:t>
            </w:r>
          </w:p>
          <w:p w14:paraId="6B827CCD" w14:textId="0D46F4F1" w:rsidR="009A4CDB" w:rsidRPr="006D0F0C" w:rsidRDefault="009A4CDB" w:rsidP="009A4CDB">
            <w:pPr>
              <w:pBdr>
                <w:top w:val="none" w:sz="4" w:space="0" w:color="000000"/>
                <w:left w:val="none" w:sz="4" w:space="0" w:color="000000"/>
                <w:bottom w:val="none" w:sz="4" w:space="0" w:color="000000"/>
                <w:right w:val="none" w:sz="4" w:space="0" w:color="000000"/>
              </w:pBdr>
              <w:tabs>
                <w:tab w:val="left" w:pos="313"/>
              </w:tabs>
              <w:ind w:firstLine="0"/>
              <w:rPr>
                <w:rFonts w:ascii="Times New Roman" w:hAnsi="Times New Roman"/>
                <w:sz w:val="22"/>
                <w:szCs w:val="22"/>
                <w:lang w:val="ro-MD"/>
              </w:rPr>
            </w:pPr>
            <w:r w:rsidRPr="006D0F0C">
              <w:rPr>
                <w:rFonts w:ascii="Times New Roman" w:hAnsi="Times New Roman"/>
                <w:sz w:val="22"/>
                <w:szCs w:val="22"/>
                <w:lang w:val="ro-MD"/>
              </w:rPr>
              <w:t>Experții au recomandat utilizarea unei terminologii armonizate cu cea aplicată în România, stat membru al Uniunii Europene care a transpus și implementează deja prevederile respectivei directive, având o experiență practică consolidată în domeniu</w:t>
            </w:r>
            <w:r w:rsidR="006D0F0C" w:rsidRPr="006D0F0C">
              <w:rPr>
                <w:rFonts w:ascii="Times New Roman" w:hAnsi="Times New Roman"/>
                <w:sz w:val="22"/>
                <w:szCs w:val="22"/>
                <w:lang w:val="ro-MD"/>
              </w:rPr>
              <w:t xml:space="preserve"> și din țări precum  Franța și Belgia</w:t>
            </w:r>
            <w:r w:rsidRPr="006D0F0C">
              <w:rPr>
                <w:rFonts w:ascii="Times New Roman" w:hAnsi="Times New Roman"/>
                <w:sz w:val="22"/>
                <w:szCs w:val="22"/>
                <w:lang w:val="ro-MD"/>
              </w:rPr>
              <w:t>.</w:t>
            </w:r>
          </w:p>
          <w:p w14:paraId="627C958E" w14:textId="38B2073B" w:rsidR="00E42DAF" w:rsidRPr="006D0F0C" w:rsidRDefault="009A4CDB" w:rsidP="008E62E7">
            <w:pPr>
              <w:pBdr>
                <w:top w:val="none" w:sz="4" w:space="0" w:color="000000"/>
                <w:left w:val="none" w:sz="4" w:space="0" w:color="000000"/>
                <w:bottom w:val="none" w:sz="4" w:space="0" w:color="000000"/>
                <w:right w:val="none" w:sz="4" w:space="0" w:color="000000"/>
              </w:pBdr>
              <w:tabs>
                <w:tab w:val="left" w:pos="313"/>
              </w:tabs>
              <w:ind w:firstLine="0"/>
              <w:rPr>
                <w:rFonts w:ascii="Times New Roman" w:hAnsi="Times New Roman"/>
                <w:sz w:val="22"/>
                <w:szCs w:val="22"/>
                <w:lang w:val="ro-MD"/>
              </w:rPr>
            </w:pPr>
            <w:r w:rsidRPr="006D0F0C">
              <w:rPr>
                <w:rFonts w:ascii="Times New Roman" w:hAnsi="Times New Roman"/>
                <w:sz w:val="22"/>
                <w:szCs w:val="22"/>
                <w:lang w:val="ro-MD"/>
              </w:rPr>
              <w:lastRenderedPageBreak/>
              <w:t>Având în vedere că Republica Moldova și România utilizează aceeași limbă oficială, s-a optat pentru unificarea terminologiei, prin preluarea noțiunilor consacrate în practica românească, în vederea asigurării coerenței, clarității și comparabilității aplicării prevederilor directivei, precum și a unei interpretări unitare de către autoritățile competente și public.</w:t>
            </w:r>
          </w:p>
        </w:tc>
      </w:tr>
      <w:tr w:rsidR="006D0F0C" w:rsidRPr="006D0F0C" w14:paraId="49AAF829" w14:textId="77777777" w:rsidTr="00783D37">
        <w:trPr>
          <w:trHeight w:val="418"/>
        </w:trPr>
        <w:tc>
          <w:tcPr>
            <w:tcW w:w="231" w:type="pct"/>
            <w:tcBorders>
              <w:top w:val="single" w:sz="4" w:space="0" w:color="auto"/>
              <w:left w:val="single" w:sz="8" w:space="0" w:color="000000"/>
              <w:bottom w:val="single" w:sz="4" w:space="0" w:color="auto"/>
              <w:right w:val="single" w:sz="8" w:space="0" w:color="000000"/>
            </w:tcBorders>
          </w:tcPr>
          <w:p w14:paraId="6C386C03" w14:textId="77777777" w:rsidR="00783D37" w:rsidRPr="006D0F0C" w:rsidRDefault="00783D37" w:rsidP="00783D37">
            <w:pPr>
              <w:pStyle w:val="Listparagraf"/>
              <w:numPr>
                <w:ilvl w:val="0"/>
                <w:numId w:val="1"/>
              </w:numPr>
              <w:pBdr>
                <w:top w:val="none" w:sz="4" w:space="0" w:color="000000"/>
                <w:left w:val="none" w:sz="4" w:space="0" w:color="000000"/>
                <w:bottom w:val="none" w:sz="4" w:space="0" w:color="000000"/>
                <w:right w:val="none" w:sz="4" w:space="0" w:color="000000"/>
              </w:pBdr>
              <w:ind w:hanging="660"/>
              <w:rPr>
                <w:rFonts w:ascii="Times New Roman" w:hAnsi="Times New Roman"/>
                <w:sz w:val="22"/>
                <w:szCs w:val="22"/>
                <w:lang w:val="ro-MD"/>
              </w:rPr>
            </w:pPr>
          </w:p>
        </w:tc>
        <w:tc>
          <w:tcPr>
            <w:tcW w:w="511"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4B94A999" w14:textId="77777777" w:rsidR="00783D37" w:rsidRPr="006D0F0C" w:rsidRDefault="00783D37" w:rsidP="00783D37">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p>
        </w:tc>
        <w:tc>
          <w:tcPr>
            <w:tcW w:w="512"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13B2BD3" w14:textId="77777777" w:rsidR="00783D37" w:rsidRPr="006D0F0C" w:rsidRDefault="00783D37" w:rsidP="00783D37">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p>
        </w:tc>
        <w:tc>
          <w:tcPr>
            <w:tcW w:w="2505"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60CFDF0" w14:textId="32C1775F" w:rsidR="00783D37" w:rsidRPr="006D0F0C" w:rsidRDefault="00783D37" w:rsidP="00783D37">
            <w:pPr>
              <w:pBdr>
                <w:top w:val="none" w:sz="4" w:space="0" w:color="000000"/>
                <w:left w:val="none" w:sz="4" w:space="0" w:color="000000"/>
                <w:bottom w:val="none" w:sz="4" w:space="0" w:color="000000"/>
                <w:right w:val="none" w:sz="4" w:space="0" w:color="000000"/>
              </w:pBdr>
              <w:tabs>
                <w:tab w:val="left" w:pos="0"/>
              </w:tabs>
              <w:ind w:left="-39" w:firstLine="45"/>
              <w:rPr>
                <w:rFonts w:ascii="Times New Roman" w:hAnsi="Times New Roman"/>
                <w:b/>
                <w:bCs/>
                <w:sz w:val="24"/>
                <w:szCs w:val="24"/>
                <w:lang w:val="ro-MD"/>
              </w:rPr>
            </w:pPr>
            <w:r w:rsidRPr="006D0F0C">
              <w:rPr>
                <w:rFonts w:ascii="Times New Roman" w:hAnsi="Times New Roman"/>
                <w:b/>
                <w:bCs/>
                <w:sz w:val="24"/>
                <w:szCs w:val="24"/>
                <w:lang w:val="ro-MD"/>
              </w:rPr>
              <w:t xml:space="preserve">2.  </w:t>
            </w:r>
            <w:r w:rsidRPr="006D0F0C">
              <w:rPr>
                <w:rFonts w:ascii="Times New Roman" w:hAnsi="Times New Roman"/>
                <w:sz w:val="24"/>
                <w:szCs w:val="24"/>
                <w:lang w:val="ro-RO"/>
              </w:rPr>
              <w:t>Cu referire la transpunerea art. 2 din Directiva 2006/7/CE, care definește o serie de noțiuni specifice domeniului gestionării calității apei pentru scăldat, menționăm că, alin. (1) al articolului respectiv prevede că termenii „ape de suprafață”, „ape subterane”, „ape interioare”, „ape de tranziție”, „ape costiere” și „bazin hidrografic” au același înțeles ca în Directiva 2000/60/CE. Astfel, chiar dacă aceste noțiuni sunt definite corespunzător în legislația națională prin Legea apelor nr. 272/2011 (cu excepția termenilor „ape de tranziție” și „ape costiere”, care nu sunt preluate și definite deoarece în Republica Moldova nu există astfel de categorii de ape), proiectul național urmează să identifice în mod expres termenii respectivi, cu referința la actul normativ care îi definește — Legea apelor nr. 272/2011. Aceeași abordare va fi aplicată și pentru noțiunea de „public vizat”, prin indicarea expresă a Legii nr. 86/2014 privind evaluarea impactului asupra mediului, care conține o definiție echivalentă celei prevăzute de Directiva UE.</w:t>
            </w:r>
          </w:p>
        </w:tc>
        <w:tc>
          <w:tcPr>
            <w:tcW w:w="1241"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30D3DA5" w14:textId="77777777" w:rsidR="00783D37" w:rsidRPr="006D0F0C" w:rsidRDefault="00783D37" w:rsidP="00783D37">
            <w:pPr>
              <w:pBdr>
                <w:top w:val="none" w:sz="4" w:space="0" w:color="000000"/>
                <w:left w:val="none" w:sz="4" w:space="0" w:color="000000"/>
                <w:bottom w:val="none" w:sz="4" w:space="0" w:color="000000"/>
                <w:right w:val="none" w:sz="4" w:space="0" w:color="000000"/>
              </w:pBdr>
              <w:tabs>
                <w:tab w:val="left" w:pos="313"/>
              </w:tabs>
              <w:ind w:firstLine="0"/>
              <w:rPr>
                <w:rFonts w:ascii="Times New Roman" w:hAnsi="Times New Roman"/>
                <w:b/>
                <w:bCs/>
                <w:sz w:val="22"/>
                <w:szCs w:val="22"/>
                <w:lang w:val="ro-MD"/>
              </w:rPr>
            </w:pPr>
            <w:r w:rsidRPr="006D0F0C">
              <w:rPr>
                <w:rFonts w:ascii="Times New Roman" w:hAnsi="Times New Roman"/>
                <w:b/>
                <w:bCs/>
                <w:sz w:val="22"/>
                <w:szCs w:val="22"/>
                <w:lang w:val="ro-MD"/>
              </w:rPr>
              <w:t>Se acceptă.</w:t>
            </w:r>
          </w:p>
          <w:p w14:paraId="6E02C8E1" w14:textId="77777777" w:rsidR="00783D37" w:rsidRPr="006D0F0C" w:rsidRDefault="00783D37" w:rsidP="00783D3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6D0F0C">
              <w:rPr>
                <w:rFonts w:ascii="Times New Roman" w:hAnsi="Times New Roman"/>
                <w:sz w:val="24"/>
                <w:szCs w:val="24"/>
                <w:lang w:val="ro-MD"/>
              </w:rPr>
              <w:t>Proiectul a fost modificat</w:t>
            </w:r>
          </w:p>
          <w:p w14:paraId="6B76DA8B" w14:textId="77777777" w:rsidR="00783D37" w:rsidRPr="006D0F0C" w:rsidRDefault="00783D37" w:rsidP="00783D37">
            <w:pPr>
              <w:pBdr>
                <w:top w:val="none" w:sz="4" w:space="0" w:color="000000"/>
                <w:left w:val="none" w:sz="4" w:space="0" w:color="000000"/>
                <w:bottom w:val="none" w:sz="4" w:space="0" w:color="000000"/>
                <w:right w:val="none" w:sz="4" w:space="0" w:color="000000"/>
              </w:pBdr>
              <w:tabs>
                <w:tab w:val="left" w:pos="313"/>
              </w:tabs>
              <w:ind w:firstLine="0"/>
              <w:rPr>
                <w:rFonts w:ascii="Times New Roman" w:hAnsi="Times New Roman"/>
                <w:b/>
                <w:bCs/>
                <w:sz w:val="22"/>
                <w:szCs w:val="22"/>
                <w:lang w:val="ro-MD"/>
              </w:rPr>
            </w:pPr>
          </w:p>
        </w:tc>
      </w:tr>
      <w:tr w:rsidR="006D0F0C" w:rsidRPr="006D0F0C" w14:paraId="30FCDE64" w14:textId="77777777" w:rsidTr="00783D37">
        <w:trPr>
          <w:trHeight w:val="3529"/>
        </w:trPr>
        <w:tc>
          <w:tcPr>
            <w:tcW w:w="231" w:type="pct"/>
            <w:tcBorders>
              <w:top w:val="single" w:sz="4" w:space="0" w:color="auto"/>
              <w:left w:val="single" w:sz="8" w:space="0" w:color="000000"/>
              <w:bottom w:val="single" w:sz="4" w:space="0" w:color="auto"/>
              <w:right w:val="single" w:sz="8" w:space="0" w:color="000000"/>
            </w:tcBorders>
          </w:tcPr>
          <w:p w14:paraId="221A6E79" w14:textId="77777777" w:rsidR="00783D37" w:rsidRPr="006D0F0C" w:rsidRDefault="00783D37" w:rsidP="00783D37">
            <w:pPr>
              <w:pBdr>
                <w:top w:val="none" w:sz="4" w:space="0" w:color="000000"/>
                <w:left w:val="none" w:sz="4" w:space="0" w:color="000000"/>
                <w:bottom w:val="none" w:sz="4" w:space="0" w:color="000000"/>
                <w:right w:val="none" w:sz="4" w:space="0" w:color="000000"/>
              </w:pBdr>
              <w:ind w:left="567" w:firstLine="0"/>
              <w:rPr>
                <w:rFonts w:ascii="Times New Roman" w:hAnsi="Times New Roman"/>
                <w:sz w:val="22"/>
                <w:szCs w:val="22"/>
                <w:lang w:val="ro-MD"/>
              </w:rPr>
            </w:pPr>
          </w:p>
        </w:tc>
        <w:tc>
          <w:tcPr>
            <w:tcW w:w="511"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6B0CE9ED" w14:textId="77777777" w:rsidR="00783D37" w:rsidRPr="006D0F0C" w:rsidRDefault="00783D37" w:rsidP="00783D37">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p>
        </w:tc>
        <w:tc>
          <w:tcPr>
            <w:tcW w:w="512"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9771E5C" w14:textId="77777777" w:rsidR="00783D37" w:rsidRPr="006D0F0C" w:rsidRDefault="00783D37" w:rsidP="00783D37">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p>
        </w:tc>
        <w:tc>
          <w:tcPr>
            <w:tcW w:w="2505"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9D4939B" w14:textId="30AE7809" w:rsidR="00783D37" w:rsidRPr="006D0F0C" w:rsidRDefault="00783D37" w:rsidP="00783D37">
            <w:pPr>
              <w:pBdr>
                <w:top w:val="none" w:sz="4" w:space="0" w:color="000000"/>
                <w:left w:val="none" w:sz="4" w:space="0" w:color="000000"/>
                <w:bottom w:val="none" w:sz="4" w:space="0" w:color="000000"/>
                <w:right w:val="none" w:sz="4" w:space="0" w:color="000000"/>
              </w:pBdr>
              <w:tabs>
                <w:tab w:val="left" w:pos="0"/>
              </w:tabs>
              <w:ind w:left="-39" w:firstLine="45"/>
              <w:rPr>
                <w:rFonts w:ascii="Times New Roman" w:hAnsi="Times New Roman"/>
                <w:b/>
                <w:bCs/>
                <w:sz w:val="24"/>
                <w:szCs w:val="24"/>
                <w:lang w:val="ro-MD"/>
              </w:rPr>
            </w:pPr>
            <w:r w:rsidRPr="006D0F0C">
              <w:rPr>
                <w:rFonts w:ascii="Times New Roman" w:hAnsi="Times New Roman"/>
                <w:b/>
                <w:bCs/>
                <w:sz w:val="24"/>
                <w:szCs w:val="24"/>
                <w:lang w:val="ro-MD"/>
              </w:rPr>
              <w:t>3</w:t>
            </w:r>
            <w:r w:rsidRPr="006D0F0C">
              <w:rPr>
                <w:rFonts w:ascii="Times New Roman" w:hAnsi="Times New Roman"/>
                <w:sz w:val="24"/>
                <w:szCs w:val="24"/>
                <w:lang w:val="ro-MD"/>
              </w:rPr>
              <w:t xml:space="preserve">. </w:t>
            </w:r>
            <w:r w:rsidRPr="006D0F0C">
              <w:rPr>
                <w:rFonts w:ascii="Times New Roman" w:eastAsia="Times New Roman" w:hAnsi="Times New Roman"/>
                <w:sz w:val="23"/>
                <w:szCs w:val="23"/>
                <w:lang w:val="ro-RO" w:eastAsia="ru-RU"/>
              </w:rPr>
              <w:t xml:space="preserve"> </w:t>
            </w:r>
            <w:r w:rsidRPr="006D0F0C">
              <w:rPr>
                <w:rFonts w:ascii="Times New Roman" w:hAnsi="Times New Roman"/>
                <w:sz w:val="24"/>
                <w:szCs w:val="24"/>
                <w:lang w:val="ro-RO"/>
              </w:rPr>
              <w:t>În partea ce ține de noțiunea de „sezon de îmbăiere”, menționăm că Anexa nr. 1 din proiectul național, la pct. 5.9, definește acest termen conform art. 2 (6) din actul UE, stabilind suplimentar și durata sa, respectiv 1 iunie – 15 septembrie ale fiecărui an. În mod consecvent, pct. 6 din proiect prevede atribuirea Agenției Naționale pentru Sănătate Publică și Administrației Naționale „Apele Moldovei” responsabilitatea de a identifica anual, până la 24 martie, toate apele de îmbăiere și de a stabili durata sezonului de îmbăiere, în conformitate cu obligația prevăzută la art. 3 (1) din actul UE, care impune statelor să identifice anual toate apele pentru scăldat și durata sezonului acestora. În acest context, conform normei europene menționate, stabilirea sezonului de scăldat reprezintă o obligație anuală a statelor, ceea ce face ca fixarea unui termen strict să fie, în principiu, excesivă.</w:t>
            </w:r>
          </w:p>
        </w:tc>
        <w:tc>
          <w:tcPr>
            <w:tcW w:w="1241"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03FBB86" w14:textId="77777777" w:rsidR="00783D37" w:rsidRPr="006D0F0C" w:rsidRDefault="00783D37" w:rsidP="00783D37">
            <w:pPr>
              <w:pBdr>
                <w:top w:val="none" w:sz="4" w:space="0" w:color="000000"/>
                <w:left w:val="none" w:sz="4" w:space="0" w:color="000000"/>
                <w:bottom w:val="none" w:sz="4" w:space="0" w:color="000000"/>
                <w:right w:val="none" w:sz="4" w:space="0" w:color="000000"/>
              </w:pBdr>
              <w:tabs>
                <w:tab w:val="left" w:pos="313"/>
              </w:tabs>
              <w:ind w:firstLine="0"/>
              <w:rPr>
                <w:rFonts w:ascii="Times New Roman" w:hAnsi="Times New Roman"/>
                <w:b/>
                <w:bCs/>
                <w:sz w:val="22"/>
                <w:szCs w:val="22"/>
                <w:lang w:val="ro-MD"/>
              </w:rPr>
            </w:pPr>
            <w:r w:rsidRPr="006D0F0C">
              <w:rPr>
                <w:rFonts w:ascii="Times New Roman" w:hAnsi="Times New Roman"/>
                <w:b/>
                <w:bCs/>
                <w:sz w:val="22"/>
                <w:szCs w:val="22"/>
                <w:lang w:val="ro-MD"/>
              </w:rPr>
              <w:t>Se acceptă.</w:t>
            </w:r>
          </w:p>
          <w:p w14:paraId="1809DDBF" w14:textId="77777777" w:rsidR="00783D37" w:rsidRPr="006D0F0C" w:rsidRDefault="00783D37" w:rsidP="00783D3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6D0F0C">
              <w:rPr>
                <w:rFonts w:ascii="Times New Roman" w:hAnsi="Times New Roman"/>
                <w:sz w:val="24"/>
                <w:szCs w:val="24"/>
                <w:lang w:val="ro-MD"/>
              </w:rPr>
              <w:t>Proiectul a fost modificat</w:t>
            </w:r>
          </w:p>
          <w:p w14:paraId="0B2F4F2B" w14:textId="77777777" w:rsidR="00783D37" w:rsidRPr="006D0F0C" w:rsidRDefault="00783D37" w:rsidP="00783D37">
            <w:pPr>
              <w:tabs>
                <w:tab w:val="left" w:pos="142"/>
              </w:tabs>
              <w:ind w:right="-1" w:firstLine="0"/>
              <w:rPr>
                <w:rFonts w:ascii="Times New Roman" w:hAnsi="Times New Roman"/>
                <w:sz w:val="22"/>
                <w:szCs w:val="22"/>
                <w:lang w:val="ro-MD"/>
              </w:rPr>
            </w:pPr>
          </w:p>
        </w:tc>
      </w:tr>
      <w:tr w:rsidR="006D0F0C" w:rsidRPr="006D0F0C" w14:paraId="520D8099" w14:textId="77777777" w:rsidTr="008E62E7">
        <w:trPr>
          <w:trHeight w:val="1250"/>
        </w:trPr>
        <w:tc>
          <w:tcPr>
            <w:tcW w:w="231" w:type="pct"/>
            <w:tcBorders>
              <w:top w:val="single" w:sz="4" w:space="0" w:color="auto"/>
              <w:left w:val="single" w:sz="8" w:space="0" w:color="000000"/>
              <w:bottom w:val="single" w:sz="4" w:space="0" w:color="auto"/>
              <w:right w:val="single" w:sz="8" w:space="0" w:color="000000"/>
            </w:tcBorders>
          </w:tcPr>
          <w:p w14:paraId="1EDB6F4C" w14:textId="77777777" w:rsidR="00783D37" w:rsidRPr="006D0F0C" w:rsidRDefault="00783D37" w:rsidP="00783D37">
            <w:pPr>
              <w:pBdr>
                <w:top w:val="none" w:sz="4" w:space="0" w:color="000000"/>
                <w:left w:val="none" w:sz="4" w:space="0" w:color="000000"/>
                <w:bottom w:val="none" w:sz="4" w:space="0" w:color="000000"/>
                <w:right w:val="none" w:sz="4" w:space="0" w:color="000000"/>
              </w:pBdr>
              <w:ind w:left="567" w:firstLine="0"/>
              <w:rPr>
                <w:rFonts w:ascii="Times New Roman" w:hAnsi="Times New Roman"/>
                <w:sz w:val="22"/>
                <w:szCs w:val="22"/>
                <w:lang w:val="ro-MD"/>
              </w:rPr>
            </w:pPr>
          </w:p>
        </w:tc>
        <w:tc>
          <w:tcPr>
            <w:tcW w:w="511"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63497D91" w14:textId="77777777" w:rsidR="00783D37" w:rsidRPr="006D0F0C" w:rsidRDefault="00783D37" w:rsidP="00783D37">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p>
        </w:tc>
        <w:tc>
          <w:tcPr>
            <w:tcW w:w="512"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562FE0B" w14:textId="77777777" w:rsidR="00783D37" w:rsidRPr="006D0F0C" w:rsidRDefault="00783D37" w:rsidP="00783D37">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p>
        </w:tc>
        <w:tc>
          <w:tcPr>
            <w:tcW w:w="2505"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1B8A1B9" w14:textId="601DE8A5" w:rsidR="00783D37" w:rsidRPr="006D0F0C" w:rsidRDefault="00783D37" w:rsidP="00783D37">
            <w:pPr>
              <w:pBdr>
                <w:top w:val="none" w:sz="4" w:space="0" w:color="000000"/>
                <w:left w:val="none" w:sz="4" w:space="0" w:color="000000"/>
                <w:bottom w:val="none" w:sz="4" w:space="0" w:color="000000"/>
                <w:right w:val="none" w:sz="4" w:space="0" w:color="000000"/>
              </w:pBdr>
              <w:tabs>
                <w:tab w:val="left" w:pos="0"/>
              </w:tabs>
              <w:ind w:left="-39" w:firstLine="45"/>
              <w:rPr>
                <w:rFonts w:ascii="Times New Roman" w:hAnsi="Times New Roman"/>
                <w:sz w:val="24"/>
                <w:szCs w:val="24"/>
                <w:lang w:val="ro-MD"/>
              </w:rPr>
            </w:pPr>
            <w:r w:rsidRPr="006D0F0C">
              <w:rPr>
                <w:rFonts w:ascii="Times New Roman" w:hAnsi="Times New Roman"/>
                <w:b/>
                <w:bCs/>
                <w:sz w:val="24"/>
                <w:szCs w:val="24"/>
                <w:lang w:val="ro-MD"/>
              </w:rPr>
              <w:t xml:space="preserve">4. </w:t>
            </w:r>
            <w:r w:rsidRPr="006D0F0C">
              <w:rPr>
                <w:rFonts w:ascii="Times New Roman" w:hAnsi="Times New Roman"/>
                <w:sz w:val="24"/>
                <w:szCs w:val="24"/>
                <w:lang w:val="ro-RO"/>
              </w:rPr>
              <w:t>De asemenea, în partea ce ține de noțiunea de „număr mare”, compartimentul 9 din tabelul de concordanță va fi completat cu mențiunea și argumentele care justifică stabilirea pragului „de peste 70 de utilizatori zilnic”, în vederea definirii precise a acestui termen.</w:t>
            </w:r>
          </w:p>
        </w:tc>
        <w:tc>
          <w:tcPr>
            <w:tcW w:w="1241"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320F2BF" w14:textId="2F96C745" w:rsidR="00783D37" w:rsidRPr="006D0F0C" w:rsidRDefault="00783D37" w:rsidP="00783D37">
            <w:pPr>
              <w:pBdr>
                <w:top w:val="none" w:sz="4" w:space="0" w:color="000000"/>
                <w:left w:val="none" w:sz="4" w:space="0" w:color="000000"/>
                <w:bottom w:val="none" w:sz="4" w:space="0" w:color="000000"/>
                <w:right w:val="none" w:sz="4" w:space="0" w:color="000000"/>
              </w:pBdr>
              <w:tabs>
                <w:tab w:val="left" w:pos="313"/>
              </w:tabs>
              <w:ind w:firstLine="0"/>
              <w:rPr>
                <w:rFonts w:ascii="Times New Roman" w:hAnsi="Times New Roman"/>
                <w:b/>
                <w:bCs/>
                <w:sz w:val="22"/>
                <w:szCs w:val="22"/>
                <w:lang w:val="ro-MD"/>
              </w:rPr>
            </w:pPr>
            <w:r w:rsidRPr="006D0F0C">
              <w:rPr>
                <w:rFonts w:ascii="Times New Roman" w:hAnsi="Times New Roman"/>
                <w:b/>
                <w:bCs/>
                <w:sz w:val="22"/>
                <w:szCs w:val="22"/>
                <w:lang w:val="ro-MD"/>
              </w:rPr>
              <w:t>Se acceptă.</w:t>
            </w:r>
          </w:p>
        </w:tc>
      </w:tr>
      <w:tr w:rsidR="006D0F0C" w:rsidRPr="006D0F0C" w14:paraId="1115579C" w14:textId="77777777" w:rsidTr="005D14D7">
        <w:trPr>
          <w:trHeight w:val="3810"/>
        </w:trPr>
        <w:tc>
          <w:tcPr>
            <w:tcW w:w="231" w:type="pct"/>
            <w:tcBorders>
              <w:top w:val="single" w:sz="4" w:space="0" w:color="auto"/>
              <w:left w:val="single" w:sz="8" w:space="0" w:color="000000"/>
              <w:bottom w:val="single" w:sz="4" w:space="0" w:color="auto"/>
              <w:right w:val="single" w:sz="8" w:space="0" w:color="000000"/>
            </w:tcBorders>
          </w:tcPr>
          <w:p w14:paraId="7ACE2E0A" w14:textId="77777777" w:rsidR="00783D37" w:rsidRPr="006D0F0C" w:rsidRDefault="00783D37" w:rsidP="00783D37">
            <w:pPr>
              <w:pBdr>
                <w:top w:val="none" w:sz="4" w:space="0" w:color="000000"/>
                <w:left w:val="none" w:sz="4" w:space="0" w:color="000000"/>
                <w:bottom w:val="none" w:sz="4" w:space="0" w:color="000000"/>
                <w:right w:val="none" w:sz="4" w:space="0" w:color="000000"/>
              </w:pBdr>
              <w:ind w:left="567" w:firstLine="0"/>
              <w:rPr>
                <w:rFonts w:ascii="Times New Roman" w:hAnsi="Times New Roman"/>
                <w:sz w:val="24"/>
                <w:szCs w:val="24"/>
                <w:lang w:val="ro-MD"/>
              </w:rPr>
            </w:pPr>
          </w:p>
        </w:tc>
        <w:tc>
          <w:tcPr>
            <w:tcW w:w="511"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52C93C21" w14:textId="77777777" w:rsidR="00783D37" w:rsidRPr="006D0F0C" w:rsidRDefault="00783D37" w:rsidP="00783D37">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p>
        </w:tc>
        <w:tc>
          <w:tcPr>
            <w:tcW w:w="512"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D1499A1" w14:textId="77777777" w:rsidR="00783D37" w:rsidRPr="006D0F0C" w:rsidRDefault="00783D37" w:rsidP="00783D37">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p>
        </w:tc>
        <w:tc>
          <w:tcPr>
            <w:tcW w:w="2505"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A566E95" w14:textId="44BF9879" w:rsidR="00783D37" w:rsidRPr="006D0F0C" w:rsidRDefault="00783D37" w:rsidP="00783D37">
            <w:pPr>
              <w:pBdr>
                <w:top w:val="none" w:sz="4" w:space="0" w:color="000000"/>
                <w:left w:val="none" w:sz="4" w:space="0" w:color="000000"/>
                <w:bottom w:val="none" w:sz="4" w:space="0" w:color="000000"/>
                <w:right w:val="none" w:sz="4" w:space="0" w:color="000000"/>
              </w:pBdr>
              <w:tabs>
                <w:tab w:val="left" w:pos="0"/>
              </w:tabs>
              <w:ind w:left="-39" w:firstLine="45"/>
              <w:rPr>
                <w:rFonts w:ascii="Times New Roman" w:hAnsi="Times New Roman"/>
                <w:b/>
                <w:bCs/>
                <w:sz w:val="24"/>
                <w:szCs w:val="24"/>
                <w:lang w:val="ro-MD"/>
              </w:rPr>
            </w:pPr>
            <w:r w:rsidRPr="006D0F0C">
              <w:rPr>
                <w:rFonts w:ascii="Times New Roman" w:hAnsi="Times New Roman"/>
                <w:b/>
                <w:bCs/>
                <w:sz w:val="24"/>
                <w:szCs w:val="24"/>
                <w:lang w:val="ro-MD"/>
              </w:rPr>
              <w:t xml:space="preserve">5. </w:t>
            </w:r>
            <w:r w:rsidRPr="006D0F0C">
              <w:rPr>
                <w:rFonts w:ascii="Times New Roman" w:eastAsia="Times New Roman" w:hAnsi="Times New Roman"/>
                <w:sz w:val="23"/>
                <w:szCs w:val="23"/>
                <w:lang w:val="ro-RO" w:eastAsia="ru-RU"/>
              </w:rPr>
              <w:t xml:space="preserve"> </w:t>
            </w:r>
            <w:r w:rsidRPr="006D0F0C">
              <w:rPr>
                <w:rFonts w:ascii="Times New Roman" w:hAnsi="Times New Roman"/>
                <w:sz w:val="24"/>
                <w:szCs w:val="24"/>
                <w:lang w:val="ro-RO"/>
              </w:rPr>
              <w:t>Pct. 15 din Anexa nr. 1 din proiectul de hotărâre stabilește că analiza calității apei de îmbăiere se va efectua atât conform cerințelor proiectului, cât și pe baza standardelor echivalente recunoscute la nivel internațional. Totodată, Anexa nr. 1 a proiectului Regulamentului indică drept metodă de referință pentru analiza apelor de îmbăiere standardele ISO prevăzute în Anexa I a actului UE, iar Anexa nr. 4 impune respectarea unui alt standard internațional pentru prelevarea apei de îmbăiere, suplimentar cerințelor din Anexa IV a directivei. În acest context, se recomandă reformularea pct. 15, precum și a celorlalte prevederi naționale care fac referire la standardele ISO, astfel încât să fie identificate exclusiv standardele naționale aprobate sau adoptate de organismul național de standardizare din Republica Moldova potrivit art. 15, alin. (3) din Legea nr. 20/2016 privind standardizarea națională, actele normative pot face referire directă numai la standardele moldovenești.</w:t>
            </w:r>
          </w:p>
        </w:tc>
        <w:tc>
          <w:tcPr>
            <w:tcW w:w="1241"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182314B" w14:textId="77777777" w:rsidR="00783D37" w:rsidRPr="006D0F0C" w:rsidRDefault="00783D37" w:rsidP="00783D37">
            <w:pPr>
              <w:pBdr>
                <w:top w:val="none" w:sz="4" w:space="0" w:color="000000"/>
                <w:left w:val="none" w:sz="4" w:space="0" w:color="000000"/>
                <w:bottom w:val="none" w:sz="4" w:space="0" w:color="000000"/>
                <w:right w:val="none" w:sz="4" w:space="0" w:color="000000"/>
              </w:pBdr>
              <w:tabs>
                <w:tab w:val="left" w:pos="313"/>
              </w:tabs>
              <w:ind w:firstLine="0"/>
              <w:rPr>
                <w:rFonts w:ascii="Times New Roman" w:hAnsi="Times New Roman"/>
                <w:b/>
                <w:bCs/>
                <w:sz w:val="22"/>
                <w:szCs w:val="22"/>
                <w:lang w:val="ro-MD"/>
              </w:rPr>
            </w:pPr>
            <w:r w:rsidRPr="006D0F0C">
              <w:rPr>
                <w:rFonts w:ascii="Times New Roman" w:hAnsi="Times New Roman"/>
                <w:b/>
                <w:bCs/>
                <w:sz w:val="22"/>
                <w:szCs w:val="22"/>
                <w:lang w:val="ro-MD"/>
              </w:rPr>
              <w:t>Se acceptă.</w:t>
            </w:r>
          </w:p>
          <w:p w14:paraId="2AAA04AE" w14:textId="77777777" w:rsidR="00783D37" w:rsidRPr="006D0F0C" w:rsidRDefault="00783D37" w:rsidP="00783D3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6D0F0C">
              <w:rPr>
                <w:rFonts w:ascii="Times New Roman" w:hAnsi="Times New Roman"/>
                <w:sz w:val="24"/>
                <w:szCs w:val="24"/>
                <w:lang w:val="ro-MD"/>
              </w:rPr>
              <w:t>Proiectul a fost modificat</w:t>
            </w:r>
          </w:p>
          <w:p w14:paraId="10DD33B5" w14:textId="77777777" w:rsidR="00783D37" w:rsidRPr="006D0F0C" w:rsidRDefault="00783D37" w:rsidP="00783D37">
            <w:pPr>
              <w:pBdr>
                <w:top w:val="none" w:sz="4" w:space="0" w:color="000000"/>
                <w:left w:val="none" w:sz="4" w:space="0" w:color="000000"/>
                <w:bottom w:val="none" w:sz="4" w:space="0" w:color="000000"/>
                <w:right w:val="none" w:sz="4" w:space="0" w:color="000000"/>
              </w:pBdr>
              <w:tabs>
                <w:tab w:val="left" w:pos="313"/>
              </w:tabs>
              <w:ind w:firstLine="0"/>
              <w:rPr>
                <w:rFonts w:ascii="Times New Roman" w:hAnsi="Times New Roman"/>
                <w:b/>
                <w:bCs/>
                <w:sz w:val="24"/>
                <w:szCs w:val="24"/>
                <w:lang w:val="ro-MD"/>
              </w:rPr>
            </w:pPr>
          </w:p>
        </w:tc>
      </w:tr>
      <w:tr w:rsidR="006D0F0C" w:rsidRPr="006D0F0C" w14:paraId="65310741" w14:textId="77777777" w:rsidTr="00783D37">
        <w:trPr>
          <w:trHeight w:val="2686"/>
        </w:trPr>
        <w:tc>
          <w:tcPr>
            <w:tcW w:w="231" w:type="pct"/>
            <w:tcBorders>
              <w:top w:val="single" w:sz="4" w:space="0" w:color="auto"/>
              <w:left w:val="single" w:sz="8" w:space="0" w:color="000000"/>
              <w:bottom w:val="single" w:sz="4" w:space="0" w:color="auto"/>
              <w:right w:val="single" w:sz="8" w:space="0" w:color="000000"/>
            </w:tcBorders>
          </w:tcPr>
          <w:p w14:paraId="4BEE1DDD" w14:textId="77777777" w:rsidR="00783D37" w:rsidRPr="006D0F0C" w:rsidRDefault="00783D37" w:rsidP="00783D37">
            <w:pPr>
              <w:pBdr>
                <w:top w:val="none" w:sz="4" w:space="0" w:color="000000"/>
                <w:left w:val="none" w:sz="4" w:space="0" w:color="000000"/>
                <w:bottom w:val="none" w:sz="4" w:space="0" w:color="000000"/>
                <w:right w:val="none" w:sz="4" w:space="0" w:color="000000"/>
              </w:pBdr>
              <w:ind w:left="567" w:firstLine="0"/>
              <w:rPr>
                <w:rFonts w:ascii="Times New Roman" w:hAnsi="Times New Roman"/>
                <w:sz w:val="24"/>
                <w:szCs w:val="24"/>
                <w:lang w:val="ro-MD"/>
              </w:rPr>
            </w:pPr>
          </w:p>
        </w:tc>
        <w:tc>
          <w:tcPr>
            <w:tcW w:w="511"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08FC7BBC" w14:textId="77777777" w:rsidR="00783D37" w:rsidRPr="006D0F0C" w:rsidRDefault="00783D37" w:rsidP="00783D37">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p>
        </w:tc>
        <w:tc>
          <w:tcPr>
            <w:tcW w:w="512"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923839B" w14:textId="77777777" w:rsidR="00783D37" w:rsidRPr="006D0F0C" w:rsidRDefault="00783D37" w:rsidP="00783D37">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p>
        </w:tc>
        <w:tc>
          <w:tcPr>
            <w:tcW w:w="2505"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27CC6DF" w14:textId="3355F4AE" w:rsidR="00783D37" w:rsidRPr="006D0F0C" w:rsidRDefault="00783D37" w:rsidP="00783D37">
            <w:pPr>
              <w:pBdr>
                <w:top w:val="none" w:sz="4" w:space="0" w:color="000000"/>
                <w:left w:val="none" w:sz="4" w:space="0" w:color="000000"/>
                <w:bottom w:val="none" w:sz="4" w:space="0" w:color="000000"/>
                <w:right w:val="none" w:sz="4" w:space="0" w:color="000000"/>
              </w:pBdr>
              <w:tabs>
                <w:tab w:val="left" w:pos="0"/>
              </w:tabs>
              <w:ind w:firstLine="0"/>
              <w:rPr>
                <w:rFonts w:ascii="Times New Roman" w:hAnsi="Times New Roman"/>
                <w:b/>
                <w:bCs/>
                <w:sz w:val="24"/>
                <w:szCs w:val="24"/>
                <w:lang w:val="ro-MD"/>
              </w:rPr>
            </w:pPr>
            <w:r w:rsidRPr="006D0F0C">
              <w:rPr>
                <w:rFonts w:ascii="Times New Roman" w:hAnsi="Times New Roman"/>
                <w:b/>
                <w:bCs/>
                <w:sz w:val="24"/>
                <w:szCs w:val="24"/>
                <w:lang w:val="ro-MD"/>
              </w:rPr>
              <w:t>6</w:t>
            </w:r>
            <w:r w:rsidRPr="006D0F0C">
              <w:rPr>
                <w:rFonts w:ascii="Times New Roman" w:hAnsi="Times New Roman"/>
                <w:sz w:val="24"/>
                <w:szCs w:val="24"/>
                <w:lang w:val="ro-MD"/>
              </w:rPr>
              <w:t xml:space="preserve">. </w:t>
            </w:r>
            <w:r w:rsidRPr="006D0F0C">
              <w:rPr>
                <w:rFonts w:ascii="Times New Roman" w:eastAsia="Times New Roman" w:hAnsi="Times New Roman"/>
                <w:sz w:val="23"/>
                <w:szCs w:val="23"/>
                <w:lang w:val="ro-RO" w:eastAsia="ru-RU"/>
              </w:rPr>
              <w:t xml:space="preserve"> </w:t>
            </w:r>
            <w:r w:rsidRPr="006D0F0C">
              <w:rPr>
                <w:rFonts w:ascii="Times New Roman" w:hAnsi="Times New Roman"/>
                <w:sz w:val="24"/>
                <w:szCs w:val="24"/>
                <w:lang w:val="ro-RO"/>
              </w:rPr>
              <w:t>Totodată, se va analiza posibilitatea inserării unei referințe la standardul național aprobat/adoptat pe baza ISO 17994:2014 „Calitatea apei – cerințe pentru compararea recuperării relative a microorganismelor prin două metode cantitative”, întrucât Decizia (UE) 2017/1583 a Comisiei din 1 septembrie 2017, emisă în conformitate cu Directiva 2006/7/CE a Parlamentului European și a Consiliului, specifică standardul EN ISO 17994:2014 drept standard pentru echivalența metodelor de analiză microbiologică, ceea ce îl desemnează ca referință aplicabilă în contextul art. 3 (9) din Directiva 2006/7/CE și al pct. 15 din proiectul de hotărâre.</w:t>
            </w:r>
          </w:p>
        </w:tc>
        <w:tc>
          <w:tcPr>
            <w:tcW w:w="1241"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0806D18" w14:textId="77777777" w:rsidR="00783D37" w:rsidRPr="006D0F0C" w:rsidRDefault="00783D37" w:rsidP="00783D37">
            <w:pPr>
              <w:pBdr>
                <w:top w:val="none" w:sz="4" w:space="0" w:color="000000"/>
                <w:left w:val="none" w:sz="4" w:space="0" w:color="000000"/>
                <w:bottom w:val="none" w:sz="4" w:space="0" w:color="000000"/>
                <w:right w:val="none" w:sz="4" w:space="0" w:color="000000"/>
              </w:pBdr>
              <w:tabs>
                <w:tab w:val="left" w:pos="313"/>
              </w:tabs>
              <w:ind w:firstLine="0"/>
              <w:rPr>
                <w:rFonts w:ascii="Times New Roman" w:hAnsi="Times New Roman"/>
                <w:b/>
                <w:bCs/>
                <w:sz w:val="22"/>
                <w:szCs w:val="22"/>
                <w:lang w:val="ro-MD"/>
              </w:rPr>
            </w:pPr>
            <w:r w:rsidRPr="006D0F0C">
              <w:rPr>
                <w:rFonts w:ascii="Times New Roman" w:hAnsi="Times New Roman"/>
                <w:b/>
                <w:bCs/>
                <w:sz w:val="22"/>
                <w:szCs w:val="22"/>
                <w:lang w:val="ro-MD"/>
              </w:rPr>
              <w:t>Se acceptă.</w:t>
            </w:r>
          </w:p>
          <w:p w14:paraId="47E632A0" w14:textId="39E60D48" w:rsidR="00783D37" w:rsidRPr="006D0F0C" w:rsidRDefault="00783D37" w:rsidP="00783D37">
            <w:pPr>
              <w:pBdr>
                <w:top w:val="none" w:sz="4" w:space="0" w:color="000000"/>
                <w:left w:val="none" w:sz="4" w:space="0" w:color="000000"/>
                <w:bottom w:val="none" w:sz="4" w:space="0" w:color="000000"/>
                <w:right w:val="none" w:sz="4" w:space="0" w:color="000000"/>
              </w:pBdr>
              <w:tabs>
                <w:tab w:val="left" w:pos="313"/>
              </w:tabs>
              <w:ind w:firstLine="0"/>
              <w:rPr>
                <w:rFonts w:ascii="Times New Roman" w:hAnsi="Times New Roman"/>
                <w:b/>
                <w:bCs/>
                <w:sz w:val="22"/>
                <w:szCs w:val="22"/>
                <w:lang w:val="ro-MD"/>
              </w:rPr>
            </w:pPr>
            <w:r w:rsidRPr="006D0F0C">
              <w:rPr>
                <w:rFonts w:ascii="Times New Roman" w:hAnsi="Times New Roman"/>
                <w:sz w:val="24"/>
                <w:szCs w:val="24"/>
                <w:lang w:val="ro-MD"/>
              </w:rPr>
              <w:t>Proiectul a fost modificat</w:t>
            </w:r>
          </w:p>
        </w:tc>
      </w:tr>
      <w:tr w:rsidR="006D0F0C" w:rsidRPr="006D0F0C" w14:paraId="1B64440B" w14:textId="77777777" w:rsidTr="00783D37">
        <w:trPr>
          <w:trHeight w:val="2398"/>
        </w:trPr>
        <w:tc>
          <w:tcPr>
            <w:tcW w:w="231" w:type="pct"/>
            <w:tcBorders>
              <w:top w:val="single" w:sz="4" w:space="0" w:color="auto"/>
              <w:left w:val="single" w:sz="8" w:space="0" w:color="000000"/>
              <w:bottom w:val="single" w:sz="4" w:space="0" w:color="auto"/>
              <w:right w:val="single" w:sz="8" w:space="0" w:color="000000"/>
            </w:tcBorders>
          </w:tcPr>
          <w:p w14:paraId="2DE60267" w14:textId="77777777" w:rsidR="00783D37" w:rsidRPr="006D0F0C" w:rsidRDefault="00783D37" w:rsidP="00783D37">
            <w:pPr>
              <w:pBdr>
                <w:top w:val="none" w:sz="4" w:space="0" w:color="000000"/>
                <w:left w:val="none" w:sz="4" w:space="0" w:color="000000"/>
                <w:bottom w:val="none" w:sz="4" w:space="0" w:color="000000"/>
                <w:right w:val="none" w:sz="4" w:space="0" w:color="000000"/>
              </w:pBdr>
              <w:ind w:left="567" w:firstLine="0"/>
              <w:rPr>
                <w:rFonts w:ascii="Times New Roman" w:hAnsi="Times New Roman"/>
                <w:sz w:val="24"/>
                <w:szCs w:val="24"/>
                <w:lang w:val="ro-MD"/>
              </w:rPr>
            </w:pPr>
          </w:p>
        </w:tc>
        <w:tc>
          <w:tcPr>
            <w:tcW w:w="511"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6BF6E762" w14:textId="77777777" w:rsidR="00783D37" w:rsidRPr="006D0F0C" w:rsidRDefault="00783D37" w:rsidP="00783D37">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p>
        </w:tc>
        <w:tc>
          <w:tcPr>
            <w:tcW w:w="512"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A177CC1" w14:textId="77777777" w:rsidR="00783D37" w:rsidRPr="006D0F0C" w:rsidRDefault="00783D37" w:rsidP="00783D37">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p>
        </w:tc>
        <w:tc>
          <w:tcPr>
            <w:tcW w:w="2505"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219F684" w14:textId="668F1129" w:rsidR="00783D37" w:rsidRPr="006D0F0C" w:rsidRDefault="00783D37" w:rsidP="00783D37">
            <w:pPr>
              <w:pBdr>
                <w:top w:val="none" w:sz="4" w:space="0" w:color="000000"/>
                <w:left w:val="none" w:sz="4" w:space="0" w:color="000000"/>
                <w:bottom w:val="none" w:sz="4" w:space="0" w:color="000000"/>
                <w:right w:val="none" w:sz="4" w:space="0" w:color="000000"/>
              </w:pBdr>
              <w:tabs>
                <w:tab w:val="left" w:pos="0"/>
              </w:tabs>
              <w:ind w:firstLine="0"/>
              <w:rPr>
                <w:rFonts w:ascii="Times New Roman" w:hAnsi="Times New Roman"/>
                <w:b/>
                <w:bCs/>
                <w:sz w:val="24"/>
                <w:szCs w:val="24"/>
                <w:lang w:val="ro-MD"/>
              </w:rPr>
            </w:pPr>
            <w:r w:rsidRPr="006D0F0C">
              <w:rPr>
                <w:rFonts w:ascii="Times New Roman" w:hAnsi="Times New Roman"/>
                <w:b/>
                <w:bCs/>
                <w:sz w:val="24"/>
                <w:szCs w:val="24"/>
                <w:lang w:val="ro-MD"/>
              </w:rPr>
              <w:t xml:space="preserve">7. </w:t>
            </w:r>
            <w:r w:rsidRPr="006D0F0C">
              <w:rPr>
                <w:rFonts w:ascii="Times New Roman" w:eastAsia="Times New Roman" w:hAnsi="Times New Roman"/>
                <w:sz w:val="23"/>
                <w:szCs w:val="23"/>
                <w:lang w:val="ro-RO" w:eastAsia="ru-RU"/>
              </w:rPr>
              <w:t xml:space="preserve"> </w:t>
            </w:r>
            <w:r w:rsidRPr="006D0F0C">
              <w:rPr>
                <w:rFonts w:ascii="Times New Roman" w:hAnsi="Times New Roman"/>
                <w:sz w:val="24"/>
                <w:szCs w:val="24"/>
                <w:lang w:val="ro-RO"/>
              </w:rPr>
              <w:t>Cu referire la prevederile proiectului național care stabilesc obligații de informare și raportare către Comisia Europeană, conform art. 3 (8), art. 4 (2) și art. 13 din actul UE, astfel identificate în pct. 14, pct. 19, pct. 50 și pct. 52 din Anexa nr. 1 la proiectul de hotărâre, menționăm că aceste obligații urmează a fi condiționate de o perioadă de tranziție, respectiv, de momentul propriu-zis al aderării la Uniunea Europeană, potrivit pct. 27 din HG nr. 1171/2018 pentru aprobarea Regulamentului privind armonizarea legislației Republicii Moldova cu legislația Uniunii Europene.</w:t>
            </w:r>
          </w:p>
        </w:tc>
        <w:tc>
          <w:tcPr>
            <w:tcW w:w="1241"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BCEE13C" w14:textId="77777777" w:rsidR="00783D37" w:rsidRPr="006D0F0C" w:rsidRDefault="00783D37" w:rsidP="00783D37">
            <w:pPr>
              <w:pBdr>
                <w:top w:val="none" w:sz="4" w:space="0" w:color="000000"/>
                <w:left w:val="none" w:sz="4" w:space="0" w:color="000000"/>
                <w:bottom w:val="none" w:sz="4" w:space="0" w:color="000000"/>
                <w:right w:val="none" w:sz="4" w:space="0" w:color="000000"/>
              </w:pBdr>
              <w:tabs>
                <w:tab w:val="left" w:pos="313"/>
              </w:tabs>
              <w:ind w:firstLine="0"/>
              <w:rPr>
                <w:rFonts w:ascii="Times New Roman" w:hAnsi="Times New Roman"/>
                <w:b/>
                <w:bCs/>
                <w:sz w:val="22"/>
                <w:szCs w:val="22"/>
                <w:lang w:val="ro-MD"/>
              </w:rPr>
            </w:pPr>
            <w:r w:rsidRPr="006D0F0C">
              <w:rPr>
                <w:rFonts w:ascii="Times New Roman" w:hAnsi="Times New Roman"/>
                <w:b/>
                <w:bCs/>
                <w:sz w:val="22"/>
                <w:szCs w:val="22"/>
                <w:lang w:val="ro-MD"/>
              </w:rPr>
              <w:t>Se acceptă.</w:t>
            </w:r>
          </w:p>
          <w:p w14:paraId="69131046" w14:textId="7AA39DD9" w:rsidR="00783D37" w:rsidRPr="006D0F0C" w:rsidRDefault="00783D37" w:rsidP="00783D37">
            <w:pPr>
              <w:pBdr>
                <w:top w:val="none" w:sz="4" w:space="0" w:color="000000"/>
                <w:left w:val="none" w:sz="4" w:space="0" w:color="000000"/>
                <w:bottom w:val="none" w:sz="4" w:space="0" w:color="000000"/>
                <w:right w:val="none" w:sz="4" w:space="0" w:color="000000"/>
              </w:pBdr>
              <w:tabs>
                <w:tab w:val="left" w:pos="313"/>
              </w:tabs>
              <w:ind w:firstLine="0"/>
              <w:rPr>
                <w:rFonts w:ascii="Times New Roman" w:hAnsi="Times New Roman"/>
                <w:b/>
                <w:bCs/>
                <w:sz w:val="22"/>
                <w:szCs w:val="22"/>
                <w:lang w:val="ro-MD"/>
              </w:rPr>
            </w:pPr>
            <w:r w:rsidRPr="006D0F0C">
              <w:rPr>
                <w:rFonts w:ascii="Times New Roman" w:hAnsi="Times New Roman"/>
                <w:sz w:val="24"/>
                <w:szCs w:val="24"/>
                <w:lang w:val="ro-MD"/>
              </w:rPr>
              <w:t>Proiectul a fost modificat</w:t>
            </w:r>
          </w:p>
        </w:tc>
      </w:tr>
      <w:tr w:rsidR="006D0F0C" w:rsidRPr="006D0F0C" w14:paraId="458D0074" w14:textId="77777777" w:rsidTr="00783D37">
        <w:trPr>
          <w:trHeight w:val="2403"/>
        </w:trPr>
        <w:tc>
          <w:tcPr>
            <w:tcW w:w="231" w:type="pct"/>
            <w:tcBorders>
              <w:top w:val="single" w:sz="4" w:space="0" w:color="auto"/>
              <w:left w:val="single" w:sz="8" w:space="0" w:color="000000"/>
              <w:bottom w:val="single" w:sz="4" w:space="0" w:color="auto"/>
              <w:right w:val="single" w:sz="8" w:space="0" w:color="000000"/>
            </w:tcBorders>
          </w:tcPr>
          <w:p w14:paraId="7E128653" w14:textId="77777777" w:rsidR="00783D37" w:rsidRPr="006D0F0C" w:rsidRDefault="00783D37" w:rsidP="00783D37">
            <w:pPr>
              <w:pBdr>
                <w:top w:val="none" w:sz="4" w:space="0" w:color="000000"/>
                <w:left w:val="none" w:sz="4" w:space="0" w:color="000000"/>
                <w:bottom w:val="none" w:sz="4" w:space="0" w:color="000000"/>
                <w:right w:val="none" w:sz="4" w:space="0" w:color="000000"/>
              </w:pBdr>
              <w:ind w:left="567" w:firstLine="0"/>
              <w:rPr>
                <w:rFonts w:ascii="Times New Roman" w:hAnsi="Times New Roman"/>
                <w:sz w:val="24"/>
                <w:szCs w:val="24"/>
                <w:lang w:val="ro-MD"/>
              </w:rPr>
            </w:pPr>
          </w:p>
        </w:tc>
        <w:tc>
          <w:tcPr>
            <w:tcW w:w="511"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27B82480" w14:textId="77777777" w:rsidR="00783D37" w:rsidRPr="006D0F0C" w:rsidRDefault="00783D37" w:rsidP="00783D37">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p>
        </w:tc>
        <w:tc>
          <w:tcPr>
            <w:tcW w:w="512"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E5D1033" w14:textId="77777777" w:rsidR="00783D37" w:rsidRPr="006D0F0C" w:rsidRDefault="00783D37" w:rsidP="00783D37">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p>
        </w:tc>
        <w:tc>
          <w:tcPr>
            <w:tcW w:w="2505"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3435C3B" w14:textId="29937C4D" w:rsidR="00783D37" w:rsidRPr="006D0F0C" w:rsidRDefault="00783D37" w:rsidP="00783D37">
            <w:pPr>
              <w:pBdr>
                <w:top w:val="none" w:sz="4" w:space="0" w:color="000000"/>
                <w:left w:val="none" w:sz="4" w:space="0" w:color="000000"/>
                <w:bottom w:val="none" w:sz="4" w:space="0" w:color="000000"/>
                <w:right w:val="none" w:sz="4" w:space="0" w:color="000000"/>
              </w:pBdr>
              <w:tabs>
                <w:tab w:val="left" w:pos="0"/>
              </w:tabs>
              <w:ind w:firstLine="0"/>
              <w:rPr>
                <w:rFonts w:ascii="Times New Roman" w:hAnsi="Times New Roman"/>
                <w:b/>
                <w:bCs/>
                <w:sz w:val="24"/>
                <w:szCs w:val="24"/>
                <w:lang w:val="ro-MD"/>
              </w:rPr>
            </w:pPr>
            <w:r w:rsidRPr="006D0F0C">
              <w:rPr>
                <w:rFonts w:ascii="Times New Roman" w:hAnsi="Times New Roman"/>
                <w:b/>
                <w:bCs/>
                <w:sz w:val="24"/>
                <w:szCs w:val="24"/>
                <w:lang w:val="ro-MD"/>
              </w:rPr>
              <w:t xml:space="preserve">8. </w:t>
            </w:r>
            <w:r w:rsidRPr="006D0F0C">
              <w:rPr>
                <w:rFonts w:ascii="Times New Roman" w:hAnsi="Times New Roman"/>
                <w:sz w:val="24"/>
                <w:szCs w:val="24"/>
                <w:lang w:val="ro-RO"/>
              </w:rPr>
              <w:t>Evaluarea calității apei de îmbăiere prevăzută la pct. 21.3 din Anexa nr. 1 la proiectul de hotărâre urmează a fi revizuită din perspectiva aplicabilității acesteia. Art. 4 (4) lit. (c) din Directiva 2006/7/CE se referă la situația în care apa pentru scăldat a fost deja evaluată pe baza parametrilor stabiliți de vechea Directivă 76/160/CEE privind calitatea apei pentru scăldat. Întrucât la nivel național nu există un act normativ care să fi transpus directiva abrogată, rezultă neclară modalitatea de identificare a parametrilor specifici vechiului act, în vederea îndeplinirii cerinței de transpunere a lit. (c) a normei europene.</w:t>
            </w:r>
          </w:p>
        </w:tc>
        <w:tc>
          <w:tcPr>
            <w:tcW w:w="1241"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E9EDB50" w14:textId="77777777" w:rsidR="00783D37" w:rsidRPr="006D0F0C" w:rsidRDefault="00783D37" w:rsidP="00783D37">
            <w:pPr>
              <w:pBdr>
                <w:top w:val="none" w:sz="4" w:space="0" w:color="000000"/>
                <w:left w:val="none" w:sz="4" w:space="0" w:color="000000"/>
                <w:bottom w:val="none" w:sz="4" w:space="0" w:color="000000"/>
                <w:right w:val="none" w:sz="4" w:space="0" w:color="000000"/>
              </w:pBdr>
              <w:tabs>
                <w:tab w:val="left" w:pos="313"/>
              </w:tabs>
              <w:ind w:firstLine="0"/>
              <w:rPr>
                <w:rFonts w:ascii="Times New Roman" w:hAnsi="Times New Roman"/>
                <w:b/>
                <w:bCs/>
                <w:sz w:val="22"/>
                <w:szCs w:val="22"/>
                <w:lang w:val="ro-MD"/>
              </w:rPr>
            </w:pPr>
            <w:r w:rsidRPr="006D0F0C">
              <w:rPr>
                <w:rFonts w:ascii="Times New Roman" w:hAnsi="Times New Roman"/>
                <w:b/>
                <w:bCs/>
                <w:sz w:val="22"/>
                <w:szCs w:val="22"/>
                <w:lang w:val="ro-MD"/>
              </w:rPr>
              <w:t>Se acceptă.</w:t>
            </w:r>
          </w:p>
          <w:p w14:paraId="3A3605E5" w14:textId="7F504800" w:rsidR="00783D37" w:rsidRPr="006D0F0C" w:rsidRDefault="00783D37" w:rsidP="00783D37">
            <w:pPr>
              <w:pBdr>
                <w:top w:val="none" w:sz="4" w:space="0" w:color="000000"/>
                <w:left w:val="none" w:sz="4" w:space="0" w:color="000000"/>
                <w:bottom w:val="none" w:sz="4" w:space="0" w:color="000000"/>
                <w:right w:val="none" w:sz="4" w:space="0" w:color="000000"/>
              </w:pBdr>
              <w:tabs>
                <w:tab w:val="left" w:pos="313"/>
              </w:tabs>
              <w:ind w:firstLine="0"/>
              <w:rPr>
                <w:rFonts w:ascii="Times New Roman" w:hAnsi="Times New Roman"/>
                <w:b/>
                <w:bCs/>
                <w:sz w:val="22"/>
                <w:szCs w:val="22"/>
                <w:lang w:val="ro-MD"/>
              </w:rPr>
            </w:pPr>
            <w:r w:rsidRPr="006D0F0C">
              <w:rPr>
                <w:rFonts w:ascii="Times New Roman" w:hAnsi="Times New Roman"/>
                <w:sz w:val="24"/>
                <w:szCs w:val="24"/>
                <w:lang w:val="ro-MD"/>
              </w:rPr>
              <w:t>Proiectul a fost modificat</w:t>
            </w:r>
          </w:p>
        </w:tc>
      </w:tr>
      <w:tr w:rsidR="006D0F0C" w:rsidRPr="006D0F0C" w14:paraId="16BDC07F" w14:textId="77777777" w:rsidTr="00783D37">
        <w:trPr>
          <w:trHeight w:val="1127"/>
        </w:trPr>
        <w:tc>
          <w:tcPr>
            <w:tcW w:w="231" w:type="pct"/>
            <w:tcBorders>
              <w:top w:val="single" w:sz="4" w:space="0" w:color="auto"/>
              <w:left w:val="single" w:sz="8" w:space="0" w:color="000000"/>
              <w:bottom w:val="single" w:sz="4" w:space="0" w:color="auto"/>
              <w:right w:val="single" w:sz="8" w:space="0" w:color="000000"/>
            </w:tcBorders>
          </w:tcPr>
          <w:p w14:paraId="48756564" w14:textId="77777777" w:rsidR="00783D37" w:rsidRPr="006D0F0C" w:rsidRDefault="00783D37" w:rsidP="00783D37">
            <w:pPr>
              <w:pBdr>
                <w:top w:val="none" w:sz="4" w:space="0" w:color="000000"/>
                <w:left w:val="none" w:sz="4" w:space="0" w:color="000000"/>
                <w:bottom w:val="none" w:sz="4" w:space="0" w:color="000000"/>
                <w:right w:val="none" w:sz="4" w:space="0" w:color="000000"/>
              </w:pBdr>
              <w:ind w:left="567" w:firstLine="0"/>
              <w:rPr>
                <w:rFonts w:ascii="Times New Roman" w:hAnsi="Times New Roman"/>
                <w:sz w:val="24"/>
                <w:szCs w:val="24"/>
                <w:lang w:val="ro-MD"/>
              </w:rPr>
            </w:pPr>
          </w:p>
        </w:tc>
        <w:tc>
          <w:tcPr>
            <w:tcW w:w="511"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5ABF76AE" w14:textId="77777777" w:rsidR="00783D37" w:rsidRPr="006D0F0C" w:rsidRDefault="00783D37" w:rsidP="00783D37">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p>
        </w:tc>
        <w:tc>
          <w:tcPr>
            <w:tcW w:w="512"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E38EABE" w14:textId="77777777" w:rsidR="00783D37" w:rsidRPr="006D0F0C" w:rsidRDefault="00783D37" w:rsidP="00783D37">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p>
        </w:tc>
        <w:tc>
          <w:tcPr>
            <w:tcW w:w="2505"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8926CB0" w14:textId="0CE29E48" w:rsidR="00783D37" w:rsidRPr="006D0F0C" w:rsidRDefault="00783D37" w:rsidP="00783D37">
            <w:pPr>
              <w:pBdr>
                <w:top w:val="none" w:sz="4" w:space="0" w:color="000000"/>
                <w:left w:val="none" w:sz="4" w:space="0" w:color="000000"/>
                <w:bottom w:val="none" w:sz="4" w:space="0" w:color="000000"/>
                <w:right w:val="none" w:sz="4" w:space="0" w:color="000000"/>
              </w:pBdr>
              <w:tabs>
                <w:tab w:val="left" w:pos="0"/>
              </w:tabs>
              <w:ind w:firstLine="0"/>
              <w:rPr>
                <w:rFonts w:ascii="Times New Roman" w:hAnsi="Times New Roman"/>
                <w:b/>
                <w:bCs/>
                <w:sz w:val="24"/>
                <w:szCs w:val="24"/>
                <w:lang w:val="ro-MD"/>
              </w:rPr>
            </w:pPr>
            <w:r w:rsidRPr="006D0F0C">
              <w:rPr>
                <w:rFonts w:ascii="Times New Roman" w:hAnsi="Times New Roman"/>
                <w:b/>
                <w:bCs/>
                <w:sz w:val="24"/>
                <w:szCs w:val="24"/>
                <w:lang w:val="ro-MD"/>
              </w:rPr>
              <w:t xml:space="preserve">9. </w:t>
            </w:r>
            <w:r w:rsidRPr="006D0F0C">
              <w:rPr>
                <w:rFonts w:ascii="Times New Roman" w:eastAsia="Times New Roman" w:hAnsi="Times New Roman"/>
                <w:sz w:val="23"/>
                <w:szCs w:val="23"/>
                <w:lang w:val="ro-RO" w:eastAsia="ru-RU"/>
              </w:rPr>
              <w:t xml:space="preserve"> </w:t>
            </w:r>
            <w:r w:rsidRPr="006D0F0C">
              <w:rPr>
                <w:rFonts w:ascii="Times New Roman" w:hAnsi="Times New Roman"/>
                <w:sz w:val="24"/>
                <w:szCs w:val="24"/>
                <w:lang w:val="ro-RO"/>
              </w:rPr>
              <w:t>Totodată, nu este transpusă condiția prevăzută la art. 4 (5) lit. (c) din actul UE, întrucât proiectul național transpune doar condițiile de la lit. (a) și (b), prin pct. 22.2 și 22.3, în timp ce pct. 22.4 rămâne necompletat.</w:t>
            </w:r>
          </w:p>
        </w:tc>
        <w:tc>
          <w:tcPr>
            <w:tcW w:w="1241"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CDED8C4" w14:textId="77777777" w:rsidR="00783D37" w:rsidRPr="006D0F0C" w:rsidRDefault="00783D37" w:rsidP="00783D37">
            <w:pPr>
              <w:pBdr>
                <w:top w:val="none" w:sz="4" w:space="0" w:color="000000"/>
                <w:left w:val="none" w:sz="4" w:space="0" w:color="000000"/>
                <w:bottom w:val="none" w:sz="4" w:space="0" w:color="000000"/>
                <w:right w:val="none" w:sz="4" w:space="0" w:color="000000"/>
              </w:pBdr>
              <w:tabs>
                <w:tab w:val="left" w:pos="313"/>
              </w:tabs>
              <w:ind w:firstLine="0"/>
              <w:rPr>
                <w:rFonts w:ascii="Times New Roman" w:hAnsi="Times New Roman"/>
                <w:b/>
                <w:bCs/>
                <w:sz w:val="22"/>
                <w:szCs w:val="22"/>
                <w:lang w:val="ro-MD"/>
              </w:rPr>
            </w:pPr>
            <w:r w:rsidRPr="006D0F0C">
              <w:rPr>
                <w:rFonts w:ascii="Times New Roman" w:hAnsi="Times New Roman"/>
                <w:b/>
                <w:bCs/>
                <w:sz w:val="22"/>
                <w:szCs w:val="22"/>
                <w:lang w:val="ro-MD"/>
              </w:rPr>
              <w:t>Se acceptă parțial</w:t>
            </w:r>
          </w:p>
          <w:p w14:paraId="54608AE8" w14:textId="3C2ECDC7" w:rsidR="00783D37" w:rsidRPr="006D0F0C" w:rsidRDefault="00783D37" w:rsidP="00783D37">
            <w:pPr>
              <w:pBdr>
                <w:top w:val="none" w:sz="4" w:space="0" w:color="000000"/>
                <w:left w:val="none" w:sz="4" w:space="0" w:color="000000"/>
                <w:bottom w:val="none" w:sz="4" w:space="0" w:color="000000"/>
                <w:right w:val="none" w:sz="4" w:space="0" w:color="000000"/>
              </w:pBdr>
              <w:tabs>
                <w:tab w:val="left" w:pos="313"/>
              </w:tabs>
              <w:ind w:firstLine="0"/>
              <w:rPr>
                <w:rFonts w:ascii="Times New Roman" w:hAnsi="Times New Roman"/>
                <w:b/>
                <w:bCs/>
                <w:sz w:val="22"/>
                <w:szCs w:val="22"/>
                <w:lang w:val="ro-MD"/>
              </w:rPr>
            </w:pPr>
            <w:proofErr w:type="spellStart"/>
            <w:r w:rsidRPr="006D0F0C">
              <w:rPr>
                <w:rFonts w:ascii="Times New Roman" w:hAnsi="Times New Roman"/>
                <w:sz w:val="22"/>
                <w:szCs w:val="22"/>
              </w:rPr>
              <w:t>Condiția</w:t>
            </w:r>
            <w:proofErr w:type="spellEnd"/>
            <w:r w:rsidRPr="006D0F0C">
              <w:rPr>
                <w:rFonts w:ascii="Times New Roman" w:hAnsi="Times New Roman"/>
                <w:sz w:val="22"/>
                <w:szCs w:val="22"/>
              </w:rPr>
              <w:t xml:space="preserve"> </w:t>
            </w:r>
            <w:proofErr w:type="spellStart"/>
            <w:r w:rsidRPr="006D0F0C">
              <w:rPr>
                <w:rFonts w:ascii="Times New Roman" w:hAnsi="Times New Roman"/>
                <w:sz w:val="22"/>
                <w:szCs w:val="22"/>
              </w:rPr>
              <w:t>prevăzută</w:t>
            </w:r>
            <w:proofErr w:type="spellEnd"/>
            <w:r w:rsidRPr="006D0F0C">
              <w:rPr>
                <w:rFonts w:ascii="Times New Roman" w:hAnsi="Times New Roman"/>
                <w:sz w:val="22"/>
                <w:szCs w:val="22"/>
              </w:rPr>
              <w:t xml:space="preserve"> la art. 4 </w:t>
            </w:r>
            <w:proofErr w:type="spellStart"/>
            <w:r w:rsidRPr="006D0F0C">
              <w:rPr>
                <w:rFonts w:ascii="Times New Roman" w:hAnsi="Times New Roman"/>
                <w:sz w:val="22"/>
                <w:szCs w:val="22"/>
              </w:rPr>
              <w:t>alin</w:t>
            </w:r>
            <w:proofErr w:type="spellEnd"/>
            <w:r w:rsidRPr="006D0F0C">
              <w:rPr>
                <w:rFonts w:ascii="Times New Roman" w:hAnsi="Times New Roman"/>
                <w:sz w:val="22"/>
                <w:szCs w:val="22"/>
              </w:rPr>
              <w:t xml:space="preserve">. (5) lit. (c) din </w:t>
            </w:r>
            <w:proofErr w:type="spellStart"/>
            <w:r w:rsidRPr="006D0F0C">
              <w:rPr>
                <w:rFonts w:ascii="Times New Roman" w:hAnsi="Times New Roman"/>
                <w:sz w:val="22"/>
                <w:szCs w:val="22"/>
              </w:rPr>
              <w:t>actul</w:t>
            </w:r>
            <w:proofErr w:type="spellEnd"/>
            <w:r w:rsidRPr="006D0F0C">
              <w:rPr>
                <w:rFonts w:ascii="Times New Roman" w:hAnsi="Times New Roman"/>
                <w:sz w:val="22"/>
                <w:szCs w:val="22"/>
              </w:rPr>
              <w:t xml:space="preserve"> </w:t>
            </w:r>
            <w:proofErr w:type="spellStart"/>
            <w:r w:rsidRPr="006D0F0C">
              <w:rPr>
                <w:rFonts w:ascii="Times New Roman" w:hAnsi="Times New Roman"/>
                <w:sz w:val="22"/>
                <w:szCs w:val="22"/>
              </w:rPr>
              <w:t>Uniunii</w:t>
            </w:r>
            <w:proofErr w:type="spellEnd"/>
            <w:r w:rsidRPr="006D0F0C">
              <w:rPr>
                <w:rFonts w:ascii="Times New Roman" w:hAnsi="Times New Roman"/>
                <w:sz w:val="22"/>
                <w:szCs w:val="22"/>
              </w:rPr>
              <w:t xml:space="preserve"> </w:t>
            </w:r>
            <w:proofErr w:type="spellStart"/>
            <w:r w:rsidRPr="006D0F0C">
              <w:rPr>
                <w:rFonts w:ascii="Times New Roman" w:hAnsi="Times New Roman"/>
                <w:sz w:val="22"/>
                <w:szCs w:val="22"/>
              </w:rPr>
              <w:t>Europene</w:t>
            </w:r>
            <w:proofErr w:type="spellEnd"/>
            <w:r w:rsidRPr="006D0F0C">
              <w:rPr>
                <w:rFonts w:ascii="Times New Roman" w:hAnsi="Times New Roman"/>
                <w:sz w:val="22"/>
                <w:szCs w:val="22"/>
              </w:rPr>
              <w:t xml:space="preserve"> </w:t>
            </w:r>
            <w:proofErr w:type="spellStart"/>
            <w:r w:rsidRPr="006D0F0C">
              <w:rPr>
                <w:rFonts w:ascii="Times New Roman" w:hAnsi="Times New Roman"/>
                <w:sz w:val="22"/>
                <w:szCs w:val="22"/>
              </w:rPr>
              <w:t>este</w:t>
            </w:r>
            <w:proofErr w:type="spellEnd"/>
            <w:r w:rsidRPr="006D0F0C">
              <w:rPr>
                <w:rFonts w:ascii="Times New Roman" w:hAnsi="Times New Roman"/>
                <w:sz w:val="22"/>
                <w:szCs w:val="22"/>
              </w:rPr>
              <w:t xml:space="preserve"> </w:t>
            </w:r>
            <w:proofErr w:type="spellStart"/>
            <w:r w:rsidRPr="006D0F0C">
              <w:rPr>
                <w:rFonts w:ascii="Times New Roman" w:hAnsi="Times New Roman"/>
                <w:sz w:val="22"/>
                <w:szCs w:val="22"/>
              </w:rPr>
              <w:t>transpusă</w:t>
            </w:r>
            <w:proofErr w:type="spellEnd"/>
            <w:r w:rsidRPr="006D0F0C">
              <w:rPr>
                <w:rFonts w:ascii="Times New Roman" w:hAnsi="Times New Roman"/>
                <w:sz w:val="22"/>
                <w:szCs w:val="22"/>
              </w:rPr>
              <w:t xml:space="preserve"> </w:t>
            </w:r>
            <w:proofErr w:type="spellStart"/>
            <w:r w:rsidRPr="006D0F0C">
              <w:rPr>
                <w:rFonts w:ascii="Times New Roman" w:hAnsi="Times New Roman"/>
                <w:sz w:val="22"/>
                <w:szCs w:val="22"/>
              </w:rPr>
              <w:t>prin</w:t>
            </w:r>
            <w:proofErr w:type="spellEnd"/>
            <w:r w:rsidRPr="006D0F0C">
              <w:rPr>
                <w:rFonts w:ascii="Times New Roman" w:hAnsi="Times New Roman"/>
                <w:sz w:val="22"/>
                <w:szCs w:val="22"/>
              </w:rPr>
              <w:t xml:space="preserve"> pct. 22.3 din </w:t>
            </w:r>
            <w:proofErr w:type="spellStart"/>
            <w:r w:rsidRPr="006D0F0C">
              <w:rPr>
                <w:rFonts w:ascii="Times New Roman" w:hAnsi="Times New Roman"/>
                <w:sz w:val="22"/>
                <w:szCs w:val="22"/>
              </w:rPr>
              <w:t>prezentul</w:t>
            </w:r>
            <w:proofErr w:type="spellEnd"/>
            <w:r w:rsidRPr="006D0F0C">
              <w:rPr>
                <w:rFonts w:ascii="Times New Roman" w:hAnsi="Times New Roman"/>
                <w:sz w:val="22"/>
                <w:szCs w:val="22"/>
              </w:rPr>
              <w:t xml:space="preserve"> </w:t>
            </w:r>
            <w:proofErr w:type="spellStart"/>
            <w:r w:rsidRPr="006D0F0C">
              <w:rPr>
                <w:rFonts w:ascii="Times New Roman" w:hAnsi="Times New Roman"/>
                <w:sz w:val="22"/>
                <w:szCs w:val="22"/>
              </w:rPr>
              <w:t>regulament</w:t>
            </w:r>
            <w:proofErr w:type="spellEnd"/>
            <w:r w:rsidRPr="006D0F0C">
              <w:rPr>
                <w:rFonts w:ascii="Times New Roman" w:hAnsi="Times New Roman"/>
                <w:sz w:val="22"/>
                <w:szCs w:val="22"/>
              </w:rPr>
              <w:t>.</w:t>
            </w:r>
          </w:p>
        </w:tc>
      </w:tr>
      <w:tr w:rsidR="006D0F0C" w:rsidRPr="006D0F0C" w14:paraId="5C4D249A" w14:textId="77777777" w:rsidTr="00783D37">
        <w:trPr>
          <w:trHeight w:val="1127"/>
        </w:trPr>
        <w:tc>
          <w:tcPr>
            <w:tcW w:w="231" w:type="pct"/>
            <w:tcBorders>
              <w:top w:val="single" w:sz="4" w:space="0" w:color="auto"/>
              <w:left w:val="single" w:sz="8" w:space="0" w:color="000000"/>
              <w:bottom w:val="single" w:sz="4" w:space="0" w:color="auto"/>
              <w:right w:val="single" w:sz="8" w:space="0" w:color="000000"/>
            </w:tcBorders>
          </w:tcPr>
          <w:p w14:paraId="324F1F3E" w14:textId="77777777" w:rsidR="00783D37" w:rsidRPr="006D0F0C" w:rsidRDefault="00783D37" w:rsidP="00783D37">
            <w:pPr>
              <w:pBdr>
                <w:top w:val="none" w:sz="4" w:space="0" w:color="000000"/>
                <w:left w:val="none" w:sz="4" w:space="0" w:color="000000"/>
                <w:bottom w:val="none" w:sz="4" w:space="0" w:color="000000"/>
                <w:right w:val="none" w:sz="4" w:space="0" w:color="000000"/>
              </w:pBdr>
              <w:ind w:left="567" w:firstLine="0"/>
              <w:rPr>
                <w:rFonts w:ascii="Times New Roman" w:hAnsi="Times New Roman"/>
                <w:sz w:val="24"/>
                <w:szCs w:val="24"/>
                <w:lang w:val="ro-MD"/>
              </w:rPr>
            </w:pPr>
          </w:p>
        </w:tc>
        <w:tc>
          <w:tcPr>
            <w:tcW w:w="511"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206E6484" w14:textId="77777777" w:rsidR="00783D37" w:rsidRPr="006D0F0C" w:rsidRDefault="00783D37" w:rsidP="00783D37">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p>
        </w:tc>
        <w:tc>
          <w:tcPr>
            <w:tcW w:w="512"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612F15F" w14:textId="77777777" w:rsidR="00783D37" w:rsidRPr="006D0F0C" w:rsidRDefault="00783D37" w:rsidP="00783D37">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p>
        </w:tc>
        <w:tc>
          <w:tcPr>
            <w:tcW w:w="2505"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FC2A60C" w14:textId="1D819A01" w:rsidR="00783D37" w:rsidRPr="006D0F0C" w:rsidRDefault="00783D37" w:rsidP="00783D37">
            <w:pPr>
              <w:pBdr>
                <w:top w:val="none" w:sz="4" w:space="0" w:color="000000"/>
                <w:left w:val="none" w:sz="4" w:space="0" w:color="000000"/>
                <w:bottom w:val="none" w:sz="4" w:space="0" w:color="000000"/>
                <w:right w:val="none" w:sz="4" w:space="0" w:color="000000"/>
              </w:pBdr>
              <w:tabs>
                <w:tab w:val="left" w:pos="0"/>
              </w:tabs>
              <w:ind w:firstLine="0"/>
              <w:rPr>
                <w:rFonts w:ascii="Times New Roman" w:hAnsi="Times New Roman"/>
                <w:b/>
                <w:bCs/>
                <w:sz w:val="24"/>
                <w:szCs w:val="24"/>
                <w:lang w:val="ro-MD"/>
              </w:rPr>
            </w:pPr>
            <w:r w:rsidRPr="006D0F0C">
              <w:rPr>
                <w:rFonts w:ascii="Times New Roman" w:hAnsi="Times New Roman"/>
                <w:b/>
                <w:bCs/>
                <w:sz w:val="24"/>
                <w:szCs w:val="24"/>
                <w:lang w:val="ro-MD"/>
              </w:rPr>
              <w:t>10.</w:t>
            </w:r>
            <w:r w:rsidRPr="006D0F0C">
              <w:rPr>
                <w:rFonts w:ascii="Times New Roman" w:hAnsi="Times New Roman"/>
                <w:sz w:val="24"/>
                <w:szCs w:val="24"/>
                <w:lang w:val="ro-MD"/>
              </w:rPr>
              <w:t xml:space="preserve"> Pct. 26 din Anexa nr. 1 la proiectul de hotărâre necesită completări suplimentare pentru a transpune în mod fidel prevederile art. 5 (4) din directivă privind clasificarea temporară a unei ape pentru scăldat ca fiind de calitate „nesatisfăcătoare”. În acest sens, prevederea națională trebuie să includă expres cerința ca această clasificare să nu aducă atingere obligației generale prevăzute la pct. 25 din proiect, corespunzător alin. (3) din actul UE, precum și faptul că o astfel de clasificare temporară nu generează neconformitatea cu prevederile actului UE, în caz, Regulamentului sanitar.</w:t>
            </w:r>
          </w:p>
        </w:tc>
        <w:tc>
          <w:tcPr>
            <w:tcW w:w="1241"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FFDE53E" w14:textId="77777777" w:rsidR="00783D37" w:rsidRPr="006D0F0C" w:rsidRDefault="00783D37" w:rsidP="00783D37">
            <w:pPr>
              <w:pBdr>
                <w:top w:val="none" w:sz="4" w:space="0" w:color="000000"/>
                <w:left w:val="none" w:sz="4" w:space="0" w:color="000000"/>
                <w:bottom w:val="none" w:sz="4" w:space="0" w:color="000000"/>
                <w:right w:val="none" w:sz="4" w:space="0" w:color="000000"/>
              </w:pBdr>
              <w:tabs>
                <w:tab w:val="left" w:pos="313"/>
              </w:tabs>
              <w:ind w:firstLine="0"/>
              <w:rPr>
                <w:rFonts w:ascii="Times New Roman" w:hAnsi="Times New Roman"/>
                <w:b/>
                <w:bCs/>
                <w:sz w:val="22"/>
                <w:szCs w:val="22"/>
                <w:lang w:val="ro-MD"/>
              </w:rPr>
            </w:pPr>
            <w:r w:rsidRPr="006D0F0C">
              <w:rPr>
                <w:rFonts w:ascii="Times New Roman" w:hAnsi="Times New Roman"/>
                <w:b/>
                <w:bCs/>
                <w:sz w:val="22"/>
                <w:szCs w:val="22"/>
                <w:lang w:val="ro-MD"/>
              </w:rPr>
              <w:t>Se acceptă.</w:t>
            </w:r>
          </w:p>
          <w:p w14:paraId="496900B6" w14:textId="1A503CF0" w:rsidR="00783D37" w:rsidRPr="006D0F0C" w:rsidRDefault="00783D37" w:rsidP="00783D37">
            <w:pPr>
              <w:pBdr>
                <w:top w:val="none" w:sz="4" w:space="0" w:color="000000"/>
                <w:left w:val="none" w:sz="4" w:space="0" w:color="000000"/>
                <w:bottom w:val="none" w:sz="4" w:space="0" w:color="000000"/>
                <w:right w:val="none" w:sz="4" w:space="0" w:color="000000"/>
              </w:pBdr>
              <w:tabs>
                <w:tab w:val="left" w:pos="313"/>
              </w:tabs>
              <w:ind w:firstLine="0"/>
              <w:rPr>
                <w:rFonts w:ascii="Times New Roman" w:hAnsi="Times New Roman"/>
                <w:b/>
                <w:bCs/>
                <w:sz w:val="22"/>
                <w:szCs w:val="22"/>
                <w:lang w:val="ro-MD"/>
              </w:rPr>
            </w:pPr>
            <w:r w:rsidRPr="006D0F0C">
              <w:rPr>
                <w:rFonts w:ascii="Times New Roman" w:hAnsi="Times New Roman"/>
                <w:sz w:val="24"/>
                <w:szCs w:val="24"/>
                <w:lang w:val="ro-MD"/>
              </w:rPr>
              <w:t>Proiectul a fost modificat</w:t>
            </w:r>
          </w:p>
        </w:tc>
      </w:tr>
      <w:tr w:rsidR="006D0F0C" w:rsidRPr="006D0F0C" w14:paraId="3E7D4675" w14:textId="77777777" w:rsidTr="00783D37">
        <w:trPr>
          <w:trHeight w:val="3240"/>
        </w:trPr>
        <w:tc>
          <w:tcPr>
            <w:tcW w:w="231" w:type="pct"/>
            <w:tcBorders>
              <w:top w:val="single" w:sz="4" w:space="0" w:color="auto"/>
              <w:left w:val="single" w:sz="8" w:space="0" w:color="000000"/>
              <w:bottom w:val="single" w:sz="4" w:space="0" w:color="auto"/>
              <w:right w:val="single" w:sz="8" w:space="0" w:color="000000"/>
            </w:tcBorders>
          </w:tcPr>
          <w:p w14:paraId="3489526C" w14:textId="77777777" w:rsidR="00783D37" w:rsidRPr="006D0F0C" w:rsidRDefault="00783D37" w:rsidP="00783D37">
            <w:pPr>
              <w:pBdr>
                <w:top w:val="none" w:sz="4" w:space="0" w:color="000000"/>
                <w:left w:val="none" w:sz="4" w:space="0" w:color="000000"/>
                <w:bottom w:val="none" w:sz="4" w:space="0" w:color="000000"/>
                <w:right w:val="none" w:sz="4" w:space="0" w:color="000000"/>
              </w:pBdr>
              <w:ind w:left="567" w:firstLine="0"/>
              <w:rPr>
                <w:rFonts w:ascii="Times New Roman" w:hAnsi="Times New Roman"/>
                <w:sz w:val="24"/>
                <w:szCs w:val="24"/>
                <w:lang w:val="ro-MD"/>
              </w:rPr>
            </w:pPr>
          </w:p>
        </w:tc>
        <w:tc>
          <w:tcPr>
            <w:tcW w:w="511"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132BD7CC" w14:textId="77777777" w:rsidR="00783D37" w:rsidRPr="006D0F0C" w:rsidRDefault="00783D37" w:rsidP="00783D37">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MD"/>
              </w:rPr>
            </w:pPr>
          </w:p>
        </w:tc>
        <w:tc>
          <w:tcPr>
            <w:tcW w:w="512"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402696E" w14:textId="77777777" w:rsidR="00783D37" w:rsidRPr="006D0F0C" w:rsidRDefault="00783D37" w:rsidP="00783D3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MD"/>
              </w:rPr>
            </w:pPr>
          </w:p>
        </w:tc>
        <w:tc>
          <w:tcPr>
            <w:tcW w:w="2505"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B935CE7" w14:textId="4853B300" w:rsidR="00783D37" w:rsidRPr="006D0F0C" w:rsidRDefault="00783D37" w:rsidP="00783D37">
            <w:pPr>
              <w:pBdr>
                <w:top w:val="none" w:sz="4" w:space="0" w:color="000000"/>
                <w:left w:val="none" w:sz="4" w:space="0" w:color="000000"/>
                <w:bottom w:val="none" w:sz="4" w:space="0" w:color="000000"/>
                <w:right w:val="none" w:sz="4" w:space="0" w:color="000000"/>
              </w:pBdr>
              <w:tabs>
                <w:tab w:val="left" w:pos="0"/>
              </w:tabs>
              <w:ind w:firstLine="0"/>
              <w:rPr>
                <w:rFonts w:ascii="Times New Roman" w:hAnsi="Times New Roman"/>
                <w:b/>
                <w:bCs/>
                <w:sz w:val="24"/>
                <w:szCs w:val="24"/>
                <w:lang w:val="ro-MD"/>
              </w:rPr>
            </w:pPr>
            <w:r w:rsidRPr="006D0F0C">
              <w:rPr>
                <w:rFonts w:ascii="Times New Roman" w:hAnsi="Times New Roman"/>
                <w:b/>
                <w:bCs/>
                <w:sz w:val="24"/>
                <w:szCs w:val="24"/>
                <w:lang w:val="ro-MD"/>
              </w:rPr>
              <w:t>11</w:t>
            </w:r>
            <w:r w:rsidRPr="006D0F0C">
              <w:rPr>
                <w:rFonts w:ascii="Times New Roman" w:hAnsi="Times New Roman"/>
                <w:sz w:val="24"/>
                <w:szCs w:val="24"/>
                <w:lang w:val="ro-MD"/>
              </w:rPr>
              <w:t xml:space="preserve">. </w:t>
            </w:r>
            <w:r w:rsidRPr="006D0F0C">
              <w:rPr>
                <w:rFonts w:ascii="Times New Roman" w:eastAsia="Times New Roman" w:hAnsi="Times New Roman"/>
                <w:lang w:val="ro-MD"/>
              </w:rPr>
              <w:t xml:space="preserve"> </w:t>
            </w:r>
            <w:r w:rsidRPr="006D0F0C">
              <w:rPr>
                <w:rFonts w:ascii="Times New Roman" w:hAnsi="Times New Roman"/>
                <w:sz w:val="24"/>
                <w:szCs w:val="24"/>
                <w:lang w:val="ro-MD"/>
              </w:rPr>
              <w:t xml:space="preserve">Pct. 35 din Anexa nr. 1 la proiectul de hotărâre prevede că, atunci când profilul apei de îmbăiere indică un risc potențial de proliferare a </w:t>
            </w:r>
            <w:proofErr w:type="spellStart"/>
            <w:r w:rsidRPr="006D0F0C">
              <w:rPr>
                <w:rFonts w:ascii="Times New Roman" w:hAnsi="Times New Roman"/>
                <w:sz w:val="24"/>
                <w:szCs w:val="24"/>
                <w:lang w:val="ro-MD"/>
              </w:rPr>
              <w:t>cianobacteriilor</w:t>
            </w:r>
            <w:proofErr w:type="spellEnd"/>
            <w:r w:rsidRPr="006D0F0C">
              <w:rPr>
                <w:rFonts w:ascii="Times New Roman" w:hAnsi="Times New Roman"/>
                <w:sz w:val="24"/>
                <w:szCs w:val="24"/>
                <w:lang w:val="ro-MD"/>
              </w:rPr>
              <w:t>, prin control vizual, se efectuează o monitorizare suplimentară pentru a permite identificarea în timp util a riscurilor pentru sănătate. Totuși, art. 8 alin. (1) din actul UE stabilește doar obligația efectuării unei monitorizări „adecvate” atunci când profilul apei indică un risc potențial, fără a condiționa această constatare de un control vizual sau a introduce noțiunea de monitorizare suplimentară. În acest context, pct. 35 din proiect necesită revizuire, pentru a evita o transpunere care ar restrânge domeniul de aplicare al obligației europene și ar introduce condiții suplimentare neprevăzute de actul UE.</w:t>
            </w:r>
          </w:p>
        </w:tc>
        <w:tc>
          <w:tcPr>
            <w:tcW w:w="1241"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B46FA51" w14:textId="77777777" w:rsidR="00783D37" w:rsidRPr="006D0F0C" w:rsidRDefault="00783D37" w:rsidP="00783D37">
            <w:pPr>
              <w:pBdr>
                <w:top w:val="none" w:sz="4" w:space="0" w:color="000000"/>
                <w:left w:val="none" w:sz="4" w:space="0" w:color="000000"/>
                <w:bottom w:val="none" w:sz="4" w:space="0" w:color="000000"/>
                <w:right w:val="none" w:sz="4" w:space="0" w:color="000000"/>
              </w:pBdr>
              <w:tabs>
                <w:tab w:val="left" w:pos="313"/>
              </w:tabs>
              <w:ind w:firstLine="0"/>
              <w:rPr>
                <w:rFonts w:ascii="Times New Roman" w:hAnsi="Times New Roman"/>
                <w:b/>
                <w:bCs/>
                <w:sz w:val="22"/>
                <w:szCs w:val="22"/>
                <w:lang w:val="ro-MD"/>
              </w:rPr>
            </w:pPr>
            <w:r w:rsidRPr="006D0F0C">
              <w:rPr>
                <w:rFonts w:ascii="Times New Roman" w:hAnsi="Times New Roman"/>
                <w:b/>
                <w:bCs/>
                <w:sz w:val="22"/>
                <w:szCs w:val="22"/>
                <w:lang w:val="ro-MD"/>
              </w:rPr>
              <w:t>Se acceptă.</w:t>
            </w:r>
          </w:p>
          <w:p w14:paraId="1F5FEFBF" w14:textId="1CFDEA77" w:rsidR="00783D37" w:rsidRPr="006D0F0C" w:rsidRDefault="00783D37" w:rsidP="00783D37">
            <w:pPr>
              <w:pBdr>
                <w:top w:val="none" w:sz="4" w:space="0" w:color="000000"/>
                <w:left w:val="none" w:sz="4" w:space="0" w:color="000000"/>
                <w:bottom w:val="none" w:sz="4" w:space="0" w:color="000000"/>
                <w:right w:val="none" w:sz="4" w:space="0" w:color="000000"/>
              </w:pBdr>
              <w:tabs>
                <w:tab w:val="left" w:pos="313"/>
              </w:tabs>
              <w:ind w:firstLine="0"/>
              <w:rPr>
                <w:rFonts w:ascii="Times New Roman" w:hAnsi="Times New Roman"/>
                <w:b/>
                <w:bCs/>
                <w:sz w:val="22"/>
                <w:szCs w:val="22"/>
                <w:lang w:val="ro-MD"/>
              </w:rPr>
            </w:pPr>
            <w:r w:rsidRPr="006D0F0C">
              <w:rPr>
                <w:rFonts w:ascii="Times New Roman" w:hAnsi="Times New Roman"/>
                <w:sz w:val="24"/>
                <w:szCs w:val="24"/>
                <w:lang w:val="ro-MD"/>
              </w:rPr>
              <w:t>Proiectul a fost modificat</w:t>
            </w:r>
          </w:p>
        </w:tc>
      </w:tr>
      <w:tr w:rsidR="006D0F0C" w:rsidRPr="006D0F0C" w14:paraId="6A5F29EF" w14:textId="77777777" w:rsidTr="00783D37">
        <w:trPr>
          <w:trHeight w:val="1982"/>
        </w:trPr>
        <w:tc>
          <w:tcPr>
            <w:tcW w:w="231" w:type="pct"/>
            <w:tcBorders>
              <w:top w:val="single" w:sz="4" w:space="0" w:color="auto"/>
              <w:left w:val="single" w:sz="8" w:space="0" w:color="000000"/>
              <w:bottom w:val="single" w:sz="4" w:space="0" w:color="auto"/>
              <w:right w:val="single" w:sz="8" w:space="0" w:color="000000"/>
            </w:tcBorders>
          </w:tcPr>
          <w:p w14:paraId="5C06C1E2" w14:textId="77777777" w:rsidR="00783D37" w:rsidRPr="006D0F0C" w:rsidRDefault="00783D37" w:rsidP="00783D37">
            <w:pPr>
              <w:pBdr>
                <w:top w:val="none" w:sz="4" w:space="0" w:color="000000"/>
                <w:left w:val="none" w:sz="4" w:space="0" w:color="000000"/>
                <w:bottom w:val="none" w:sz="4" w:space="0" w:color="000000"/>
                <w:right w:val="none" w:sz="4" w:space="0" w:color="000000"/>
              </w:pBdr>
              <w:ind w:left="567" w:firstLine="0"/>
              <w:rPr>
                <w:rFonts w:ascii="Times New Roman" w:hAnsi="Times New Roman"/>
                <w:sz w:val="24"/>
                <w:szCs w:val="24"/>
                <w:lang w:val="ro-MD"/>
              </w:rPr>
            </w:pPr>
          </w:p>
        </w:tc>
        <w:tc>
          <w:tcPr>
            <w:tcW w:w="511"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0A48F4A4" w14:textId="77777777" w:rsidR="00783D37" w:rsidRPr="006D0F0C" w:rsidRDefault="00783D37" w:rsidP="00783D37">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MD"/>
              </w:rPr>
            </w:pPr>
          </w:p>
        </w:tc>
        <w:tc>
          <w:tcPr>
            <w:tcW w:w="512"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BDDF386" w14:textId="77777777" w:rsidR="00783D37" w:rsidRPr="006D0F0C" w:rsidRDefault="00783D37" w:rsidP="00783D3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MD"/>
              </w:rPr>
            </w:pPr>
          </w:p>
        </w:tc>
        <w:tc>
          <w:tcPr>
            <w:tcW w:w="2505"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CD41B24" w14:textId="71224E57" w:rsidR="00783D37" w:rsidRPr="006D0F0C" w:rsidRDefault="00783D37" w:rsidP="00783D37">
            <w:pPr>
              <w:pBdr>
                <w:top w:val="none" w:sz="4" w:space="0" w:color="000000"/>
                <w:left w:val="none" w:sz="4" w:space="0" w:color="000000"/>
                <w:bottom w:val="none" w:sz="4" w:space="0" w:color="000000"/>
                <w:right w:val="none" w:sz="4" w:space="0" w:color="000000"/>
              </w:pBdr>
              <w:tabs>
                <w:tab w:val="left" w:pos="0"/>
              </w:tabs>
              <w:ind w:firstLine="0"/>
              <w:rPr>
                <w:rFonts w:ascii="Times New Roman" w:hAnsi="Times New Roman"/>
                <w:b/>
                <w:bCs/>
                <w:sz w:val="24"/>
                <w:szCs w:val="24"/>
                <w:lang w:val="ro-MD"/>
              </w:rPr>
            </w:pPr>
            <w:r w:rsidRPr="006D0F0C">
              <w:rPr>
                <w:rFonts w:ascii="Times New Roman" w:hAnsi="Times New Roman"/>
                <w:b/>
                <w:bCs/>
                <w:sz w:val="24"/>
                <w:szCs w:val="24"/>
                <w:lang w:val="ro-MD"/>
              </w:rPr>
              <w:t xml:space="preserve">12. </w:t>
            </w:r>
            <w:r w:rsidRPr="006D0F0C">
              <w:rPr>
                <w:rFonts w:ascii="Times New Roman" w:eastAsia="Times New Roman" w:hAnsi="Times New Roman"/>
                <w:lang w:val="ro-MD"/>
              </w:rPr>
              <w:t xml:space="preserve"> </w:t>
            </w:r>
            <w:r w:rsidRPr="006D0F0C">
              <w:rPr>
                <w:rFonts w:ascii="Times New Roman" w:hAnsi="Times New Roman"/>
                <w:sz w:val="24"/>
                <w:szCs w:val="24"/>
                <w:lang w:val="ro-MD"/>
              </w:rPr>
              <w:t>Pct. 41 și 42 din Anexa nr. 1 la proiectul de hotărâre stabilesc condițiile de participare a publicului la implementarea prevederilor proiectului, pentru a asigura realizarea obligației prevăzute la art. 11 din actul UE. Totodată, nu este transpusă în mod expres obligația din ultima teză a articolului, conform căreia „Autoritățile competente iau în considerare în mod corespunzător orice informație obținută.” Prin urmare, pentru a asigura transpunerea integrală a art. 11 din actul UE, proiectul național trebuie completat cu această cerință.</w:t>
            </w:r>
          </w:p>
        </w:tc>
        <w:tc>
          <w:tcPr>
            <w:tcW w:w="1241"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F195691" w14:textId="77777777" w:rsidR="00783D37" w:rsidRPr="006D0F0C" w:rsidRDefault="00783D37" w:rsidP="00783D37">
            <w:pPr>
              <w:pBdr>
                <w:top w:val="none" w:sz="4" w:space="0" w:color="000000"/>
                <w:left w:val="none" w:sz="4" w:space="0" w:color="000000"/>
                <w:bottom w:val="none" w:sz="4" w:space="0" w:color="000000"/>
                <w:right w:val="none" w:sz="4" w:space="0" w:color="000000"/>
              </w:pBdr>
              <w:tabs>
                <w:tab w:val="left" w:pos="313"/>
              </w:tabs>
              <w:ind w:firstLine="0"/>
              <w:rPr>
                <w:rFonts w:ascii="Times New Roman" w:hAnsi="Times New Roman"/>
                <w:b/>
                <w:bCs/>
                <w:sz w:val="22"/>
                <w:szCs w:val="22"/>
                <w:lang w:val="ro-MD"/>
              </w:rPr>
            </w:pPr>
            <w:r w:rsidRPr="006D0F0C">
              <w:rPr>
                <w:rFonts w:ascii="Times New Roman" w:hAnsi="Times New Roman"/>
                <w:b/>
                <w:bCs/>
                <w:sz w:val="22"/>
                <w:szCs w:val="22"/>
                <w:lang w:val="ro-MD"/>
              </w:rPr>
              <w:t>Se acceptă.</w:t>
            </w:r>
          </w:p>
          <w:p w14:paraId="70222E82" w14:textId="5A1ABFDB" w:rsidR="00783D37" w:rsidRPr="006D0F0C" w:rsidRDefault="00783D37" w:rsidP="00783D37">
            <w:pPr>
              <w:pBdr>
                <w:top w:val="none" w:sz="4" w:space="0" w:color="000000"/>
                <w:left w:val="none" w:sz="4" w:space="0" w:color="000000"/>
                <w:bottom w:val="none" w:sz="4" w:space="0" w:color="000000"/>
                <w:right w:val="none" w:sz="4" w:space="0" w:color="000000"/>
              </w:pBdr>
              <w:tabs>
                <w:tab w:val="left" w:pos="313"/>
              </w:tabs>
              <w:ind w:firstLine="0"/>
              <w:rPr>
                <w:rFonts w:ascii="Times New Roman" w:hAnsi="Times New Roman"/>
                <w:b/>
                <w:bCs/>
                <w:sz w:val="22"/>
                <w:szCs w:val="22"/>
                <w:lang w:val="ro-MD"/>
              </w:rPr>
            </w:pPr>
            <w:r w:rsidRPr="006D0F0C">
              <w:rPr>
                <w:rFonts w:ascii="Times New Roman" w:hAnsi="Times New Roman"/>
                <w:sz w:val="24"/>
                <w:szCs w:val="24"/>
                <w:lang w:val="ro-MD"/>
              </w:rPr>
              <w:t>Proiectul a fost modificat</w:t>
            </w:r>
          </w:p>
        </w:tc>
      </w:tr>
      <w:tr w:rsidR="006D0F0C" w:rsidRPr="006D0F0C" w14:paraId="6656CC12" w14:textId="77777777" w:rsidTr="00783D37">
        <w:trPr>
          <w:trHeight w:val="1127"/>
        </w:trPr>
        <w:tc>
          <w:tcPr>
            <w:tcW w:w="231" w:type="pct"/>
            <w:tcBorders>
              <w:top w:val="single" w:sz="4" w:space="0" w:color="auto"/>
              <w:left w:val="single" w:sz="8" w:space="0" w:color="000000"/>
              <w:bottom w:val="single" w:sz="4" w:space="0" w:color="auto"/>
              <w:right w:val="single" w:sz="8" w:space="0" w:color="000000"/>
            </w:tcBorders>
          </w:tcPr>
          <w:p w14:paraId="57AA7FD8" w14:textId="77777777" w:rsidR="00783D37" w:rsidRPr="006D0F0C" w:rsidRDefault="00783D37" w:rsidP="00783D37">
            <w:pPr>
              <w:pBdr>
                <w:top w:val="none" w:sz="4" w:space="0" w:color="000000"/>
                <w:left w:val="none" w:sz="4" w:space="0" w:color="000000"/>
                <w:bottom w:val="none" w:sz="4" w:space="0" w:color="000000"/>
                <w:right w:val="none" w:sz="4" w:space="0" w:color="000000"/>
              </w:pBdr>
              <w:ind w:left="567" w:firstLine="0"/>
              <w:rPr>
                <w:rFonts w:ascii="Times New Roman" w:hAnsi="Times New Roman"/>
                <w:sz w:val="24"/>
                <w:szCs w:val="24"/>
                <w:lang w:val="ro-MD"/>
              </w:rPr>
            </w:pPr>
          </w:p>
        </w:tc>
        <w:tc>
          <w:tcPr>
            <w:tcW w:w="511"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42F75FF4" w14:textId="77777777" w:rsidR="00783D37" w:rsidRPr="006D0F0C" w:rsidRDefault="00783D37" w:rsidP="00783D37">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MD"/>
              </w:rPr>
            </w:pPr>
          </w:p>
        </w:tc>
        <w:tc>
          <w:tcPr>
            <w:tcW w:w="512"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728EF5B" w14:textId="77777777" w:rsidR="00783D37" w:rsidRPr="006D0F0C" w:rsidRDefault="00783D37" w:rsidP="00783D3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MD"/>
              </w:rPr>
            </w:pPr>
          </w:p>
        </w:tc>
        <w:tc>
          <w:tcPr>
            <w:tcW w:w="2505"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873361F" w14:textId="730781D7" w:rsidR="00783D37" w:rsidRPr="006D0F0C" w:rsidRDefault="00783D37" w:rsidP="00783D37">
            <w:pPr>
              <w:pBdr>
                <w:top w:val="none" w:sz="4" w:space="0" w:color="000000"/>
                <w:left w:val="none" w:sz="4" w:space="0" w:color="000000"/>
                <w:bottom w:val="none" w:sz="4" w:space="0" w:color="000000"/>
                <w:right w:val="none" w:sz="4" w:space="0" w:color="000000"/>
              </w:pBdr>
              <w:tabs>
                <w:tab w:val="left" w:pos="0"/>
              </w:tabs>
              <w:ind w:firstLine="0"/>
              <w:rPr>
                <w:rFonts w:ascii="Times New Roman" w:hAnsi="Times New Roman"/>
                <w:b/>
                <w:bCs/>
                <w:sz w:val="24"/>
                <w:szCs w:val="24"/>
                <w:lang w:val="ro-MD"/>
              </w:rPr>
            </w:pPr>
            <w:r w:rsidRPr="006D0F0C">
              <w:rPr>
                <w:rFonts w:ascii="Times New Roman" w:hAnsi="Times New Roman"/>
                <w:b/>
                <w:bCs/>
                <w:sz w:val="24"/>
                <w:szCs w:val="24"/>
                <w:lang w:val="ro-MD"/>
              </w:rPr>
              <w:t xml:space="preserve">13. </w:t>
            </w:r>
            <w:r w:rsidRPr="006D0F0C">
              <w:rPr>
                <w:rFonts w:ascii="Times New Roman" w:eastAsia="Times New Roman" w:hAnsi="Times New Roman"/>
                <w:lang w:val="ro-MD"/>
              </w:rPr>
              <w:t xml:space="preserve"> </w:t>
            </w:r>
            <w:r w:rsidRPr="006D0F0C">
              <w:rPr>
                <w:rFonts w:ascii="Times New Roman" w:hAnsi="Times New Roman"/>
                <w:sz w:val="24"/>
                <w:szCs w:val="24"/>
                <w:lang w:val="ro-MD"/>
              </w:rPr>
              <w:t>Anexa nr. 4 „Monitorizarea apelor de îmbăiere” din proiectul Regulamentului nu transpune prevederile lit. (b) din pct. 2 al Anexei IV a Directivei 2006/7/CE, respectiv, obligația de a preleva și analiza doar trei probe pe sezon pentru apele de scăldat situate în regiuni cu 5 constrângeri geografice speciale. Deși, această condiție nu este inclusă în textul proiectului, ea este menționată în tabelul de concordanță, fiind declarată o transpunere integrală a punctului dat.</w:t>
            </w:r>
          </w:p>
        </w:tc>
        <w:tc>
          <w:tcPr>
            <w:tcW w:w="1241"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20D1337" w14:textId="77777777" w:rsidR="00783D37" w:rsidRPr="006D0F0C" w:rsidRDefault="00783D37" w:rsidP="00783D37">
            <w:pPr>
              <w:pBdr>
                <w:top w:val="none" w:sz="4" w:space="0" w:color="000000"/>
                <w:left w:val="none" w:sz="4" w:space="0" w:color="000000"/>
                <w:bottom w:val="none" w:sz="4" w:space="0" w:color="000000"/>
                <w:right w:val="none" w:sz="4" w:space="0" w:color="000000"/>
              </w:pBdr>
              <w:tabs>
                <w:tab w:val="left" w:pos="313"/>
              </w:tabs>
              <w:ind w:firstLine="0"/>
              <w:rPr>
                <w:rFonts w:ascii="Times New Roman" w:hAnsi="Times New Roman"/>
                <w:b/>
                <w:bCs/>
                <w:sz w:val="22"/>
                <w:szCs w:val="22"/>
                <w:lang w:val="ro-MD"/>
              </w:rPr>
            </w:pPr>
            <w:r w:rsidRPr="006D0F0C">
              <w:rPr>
                <w:rFonts w:ascii="Times New Roman" w:hAnsi="Times New Roman"/>
                <w:b/>
                <w:bCs/>
                <w:sz w:val="22"/>
                <w:szCs w:val="22"/>
                <w:lang w:val="ro-MD"/>
              </w:rPr>
              <w:t>Se acceptă.</w:t>
            </w:r>
          </w:p>
          <w:p w14:paraId="26F028B7" w14:textId="4AA6CD11" w:rsidR="00783D37" w:rsidRPr="006D0F0C" w:rsidRDefault="00783D37" w:rsidP="00783D37">
            <w:pPr>
              <w:pBdr>
                <w:top w:val="none" w:sz="4" w:space="0" w:color="000000"/>
                <w:left w:val="none" w:sz="4" w:space="0" w:color="000000"/>
                <w:bottom w:val="none" w:sz="4" w:space="0" w:color="000000"/>
                <w:right w:val="none" w:sz="4" w:space="0" w:color="000000"/>
              </w:pBdr>
              <w:tabs>
                <w:tab w:val="left" w:pos="313"/>
              </w:tabs>
              <w:ind w:firstLine="0"/>
              <w:rPr>
                <w:rFonts w:ascii="Times New Roman" w:hAnsi="Times New Roman"/>
                <w:b/>
                <w:bCs/>
                <w:sz w:val="22"/>
                <w:szCs w:val="22"/>
                <w:lang w:val="ro-MD"/>
              </w:rPr>
            </w:pPr>
            <w:r w:rsidRPr="006D0F0C">
              <w:rPr>
                <w:rFonts w:ascii="Times New Roman" w:hAnsi="Times New Roman"/>
                <w:sz w:val="24"/>
                <w:szCs w:val="24"/>
                <w:lang w:val="ro-MD"/>
              </w:rPr>
              <w:t>Proiectul a fost modificat</w:t>
            </w:r>
          </w:p>
        </w:tc>
      </w:tr>
      <w:tr w:rsidR="006D0F0C" w:rsidRPr="006D0F0C" w14:paraId="65824A63" w14:textId="77777777" w:rsidTr="00783D37">
        <w:trPr>
          <w:trHeight w:val="1127"/>
        </w:trPr>
        <w:tc>
          <w:tcPr>
            <w:tcW w:w="231" w:type="pct"/>
            <w:tcBorders>
              <w:top w:val="single" w:sz="4" w:space="0" w:color="auto"/>
              <w:left w:val="single" w:sz="8" w:space="0" w:color="000000"/>
              <w:bottom w:val="single" w:sz="4" w:space="0" w:color="auto"/>
              <w:right w:val="single" w:sz="8" w:space="0" w:color="000000"/>
            </w:tcBorders>
          </w:tcPr>
          <w:p w14:paraId="4A30C762" w14:textId="77777777" w:rsidR="00783D37" w:rsidRPr="006D0F0C" w:rsidRDefault="00783D37" w:rsidP="00783D37">
            <w:pPr>
              <w:pBdr>
                <w:top w:val="none" w:sz="4" w:space="0" w:color="000000"/>
                <w:left w:val="none" w:sz="4" w:space="0" w:color="000000"/>
                <w:bottom w:val="none" w:sz="4" w:space="0" w:color="000000"/>
                <w:right w:val="none" w:sz="4" w:space="0" w:color="000000"/>
              </w:pBdr>
              <w:ind w:left="567" w:firstLine="0"/>
              <w:rPr>
                <w:rFonts w:ascii="Times New Roman" w:hAnsi="Times New Roman"/>
                <w:sz w:val="24"/>
                <w:szCs w:val="24"/>
                <w:lang w:val="ro-MD"/>
              </w:rPr>
            </w:pPr>
          </w:p>
        </w:tc>
        <w:tc>
          <w:tcPr>
            <w:tcW w:w="511"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4C5DD6C3" w14:textId="77777777" w:rsidR="00783D37" w:rsidRPr="006D0F0C" w:rsidRDefault="00783D37" w:rsidP="00783D37">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MD"/>
              </w:rPr>
            </w:pPr>
          </w:p>
        </w:tc>
        <w:tc>
          <w:tcPr>
            <w:tcW w:w="512"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704E0B7" w14:textId="77777777" w:rsidR="00783D37" w:rsidRPr="006D0F0C" w:rsidRDefault="00783D37" w:rsidP="00783D3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MD"/>
              </w:rPr>
            </w:pPr>
          </w:p>
        </w:tc>
        <w:tc>
          <w:tcPr>
            <w:tcW w:w="2505"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12D9936" w14:textId="27B778BA" w:rsidR="00783D37" w:rsidRPr="006D0F0C" w:rsidRDefault="00783D37" w:rsidP="00783D37">
            <w:pPr>
              <w:pBdr>
                <w:top w:val="none" w:sz="4" w:space="0" w:color="000000"/>
                <w:left w:val="none" w:sz="4" w:space="0" w:color="000000"/>
                <w:bottom w:val="none" w:sz="4" w:space="0" w:color="000000"/>
                <w:right w:val="none" w:sz="4" w:space="0" w:color="000000"/>
              </w:pBdr>
              <w:tabs>
                <w:tab w:val="left" w:pos="0"/>
              </w:tabs>
              <w:ind w:firstLine="0"/>
              <w:rPr>
                <w:rFonts w:ascii="Times New Roman" w:hAnsi="Times New Roman"/>
                <w:b/>
                <w:bCs/>
                <w:sz w:val="24"/>
                <w:szCs w:val="24"/>
                <w:lang w:val="ro-MD"/>
              </w:rPr>
            </w:pPr>
            <w:r w:rsidRPr="006D0F0C">
              <w:rPr>
                <w:rFonts w:ascii="Times New Roman" w:hAnsi="Times New Roman"/>
                <w:b/>
                <w:bCs/>
                <w:sz w:val="24"/>
                <w:szCs w:val="24"/>
                <w:lang w:val="ro-MD"/>
              </w:rPr>
              <w:t xml:space="preserve">14. </w:t>
            </w:r>
            <w:r w:rsidRPr="006D0F0C">
              <w:rPr>
                <w:rFonts w:ascii="Times New Roman" w:eastAsia="Times New Roman" w:hAnsi="Times New Roman"/>
                <w:lang w:val="ro-MD"/>
              </w:rPr>
              <w:t xml:space="preserve"> </w:t>
            </w:r>
            <w:r w:rsidRPr="006D0F0C">
              <w:rPr>
                <w:rFonts w:ascii="Times New Roman" w:hAnsi="Times New Roman"/>
                <w:sz w:val="24"/>
                <w:szCs w:val="24"/>
                <w:lang w:val="ro-MD"/>
              </w:rPr>
              <w:t>Cu referire la conținutul Anexei nr. 4 „Reguli de prelevare a probelor în scopul analizelor microbiologice” din proiectul Regulamentului, se constată că aceasta include unele cerințe suplimentare care nu sunt prevăzute de Anexa V a actului UE. În mod specific, proiectul național impune respectarea obligatorie a cerințelor ISO 19458, completând regulile privind punctul de prelevare cu cerințe care fie nu sunt stabilite în actul UE, fie diferă de prevederile normei europene. Astfel, norma UE prevede că „prelevările urmează a fi efectuate la 30 cm sub suprafața apei și în ape cu o adâncime de cel puțin un metru”, pe când proiectul prevede „prelevările trebuie efectuate la 20-30 cm sub suprafața apei, în ape cu adâncimea cuprinsă între 1 m și 1,5 m”. Totodată, este necesară asigurarea coerenței redacției formulei de temperatură stabilită de norma europeană. În consecință, prevederile naționale trebuie revizuite pentru a se armoniza cu norma europeană, evitând introducerea de cerințe suplimentare sau divergente care ar putea genera neconcordanțe în aplicarea regulilor de prelevare a probelor.</w:t>
            </w:r>
          </w:p>
        </w:tc>
        <w:tc>
          <w:tcPr>
            <w:tcW w:w="1241"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49F469F" w14:textId="77777777" w:rsidR="00783D37" w:rsidRPr="006D0F0C" w:rsidRDefault="00783D37" w:rsidP="00783D37">
            <w:pPr>
              <w:pBdr>
                <w:top w:val="none" w:sz="4" w:space="0" w:color="000000"/>
                <w:left w:val="none" w:sz="4" w:space="0" w:color="000000"/>
                <w:bottom w:val="none" w:sz="4" w:space="0" w:color="000000"/>
                <w:right w:val="none" w:sz="4" w:space="0" w:color="000000"/>
              </w:pBdr>
              <w:tabs>
                <w:tab w:val="left" w:pos="313"/>
              </w:tabs>
              <w:ind w:firstLine="0"/>
              <w:rPr>
                <w:rFonts w:ascii="Times New Roman" w:hAnsi="Times New Roman"/>
                <w:b/>
                <w:bCs/>
                <w:sz w:val="22"/>
                <w:szCs w:val="22"/>
                <w:lang w:val="ro-MD"/>
              </w:rPr>
            </w:pPr>
            <w:r w:rsidRPr="006D0F0C">
              <w:rPr>
                <w:rFonts w:ascii="Times New Roman" w:hAnsi="Times New Roman"/>
                <w:b/>
                <w:bCs/>
                <w:sz w:val="22"/>
                <w:szCs w:val="22"/>
                <w:lang w:val="ro-MD"/>
              </w:rPr>
              <w:t>Se acceptă.</w:t>
            </w:r>
          </w:p>
          <w:p w14:paraId="6D5B6017" w14:textId="2D650D71" w:rsidR="00783D37" w:rsidRPr="006D0F0C" w:rsidRDefault="00783D37" w:rsidP="00783D37">
            <w:pPr>
              <w:pBdr>
                <w:top w:val="none" w:sz="4" w:space="0" w:color="000000"/>
                <w:left w:val="none" w:sz="4" w:space="0" w:color="000000"/>
                <w:bottom w:val="none" w:sz="4" w:space="0" w:color="000000"/>
                <w:right w:val="none" w:sz="4" w:space="0" w:color="000000"/>
              </w:pBdr>
              <w:tabs>
                <w:tab w:val="left" w:pos="313"/>
              </w:tabs>
              <w:ind w:firstLine="0"/>
              <w:rPr>
                <w:rFonts w:ascii="Times New Roman" w:hAnsi="Times New Roman"/>
                <w:b/>
                <w:bCs/>
                <w:sz w:val="22"/>
                <w:szCs w:val="22"/>
                <w:lang w:val="ro-MD"/>
              </w:rPr>
            </w:pPr>
            <w:r w:rsidRPr="006D0F0C">
              <w:rPr>
                <w:rFonts w:ascii="Times New Roman" w:hAnsi="Times New Roman"/>
                <w:sz w:val="24"/>
                <w:szCs w:val="24"/>
                <w:lang w:val="ro-MD"/>
              </w:rPr>
              <w:t>Proiectul a fost modificat</w:t>
            </w:r>
          </w:p>
        </w:tc>
      </w:tr>
      <w:tr w:rsidR="006D0F0C" w:rsidRPr="006D0F0C" w14:paraId="24B50069" w14:textId="77777777" w:rsidTr="005D14D7">
        <w:trPr>
          <w:trHeight w:val="3810"/>
        </w:trPr>
        <w:tc>
          <w:tcPr>
            <w:tcW w:w="231" w:type="pct"/>
            <w:tcBorders>
              <w:top w:val="single" w:sz="4" w:space="0" w:color="auto"/>
              <w:left w:val="single" w:sz="8" w:space="0" w:color="000000"/>
              <w:bottom w:val="single" w:sz="4" w:space="0" w:color="auto"/>
              <w:right w:val="single" w:sz="8" w:space="0" w:color="000000"/>
            </w:tcBorders>
          </w:tcPr>
          <w:p w14:paraId="725BCAC9" w14:textId="77777777" w:rsidR="00783D37" w:rsidRPr="006D0F0C" w:rsidRDefault="00783D37" w:rsidP="00783D37">
            <w:pPr>
              <w:pBdr>
                <w:top w:val="none" w:sz="4" w:space="0" w:color="000000"/>
                <w:left w:val="none" w:sz="4" w:space="0" w:color="000000"/>
                <w:bottom w:val="none" w:sz="4" w:space="0" w:color="000000"/>
                <w:right w:val="none" w:sz="4" w:space="0" w:color="000000"/>
              </w:pBdr>
              <w:ind w:left="567" w:firstLine="0"/>
              <w:rPr>
                <w:rFonts w:ascii="Times New Roman" w:hAnsi="Times New Roman"/>
                <w:sz w:val="24"/>
                <w:szCs w:val="24"/>
                <w:lang w:val="ro-MD"/>
              </w:rPr>
            </w:pPr>
          </w:p>
        </w:tc>
        <w:tc>
          <w:tcPr>
            <w:tcW w:w="511"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467F85A4" w14:textId="77777777" w:rsidR="00783D37" w:rsidRPr="006D0F0C" w:rsidRDefault="00783D37" w:rsidP="00783D37">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MD"/>
              </w:rPr>
            </w:pPr>
          </w:p>
        </w:tc>
        <w:tc>
          <w:tcPr>
            <w:tcW w:w="512"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536D1E7" w14:textId="77777777" w:rsidR="00783D37" w:rsidRPr="006D0F0C" w:rsidRDefault="00783D37" w:rsidP="00783D3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MD"/>
              </w:rPr>
            </w:pPr>
          </w:p>
        </w:tc>
        <w:tc>
          <w:tcPr>
            <w:tcW w:w="2505"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31F3EEB" w14:textId="71EF70F4" w:rsidR="00783D37" w:rsidRPr="006D0F0C" w:rsidRDefault="00783D37" w:rsidP="00783D37">
            <w:pPr>
              <w:pBdr>
                <w:top w:val="none" w:sz="4" w:space="0" w:color="000000"/>
                <w:left w:val="none" w:sz="4" w:space="0" w:color="000000"/>
                <w:bottom w:val="none" w:sz="4" w:space="0" w:color="000000"/>
                <w:right w:val="none" w:sz="4" w:space="0" w:color="000000"/>
              </w:pBdr>
              <w:tabs>
                <w:tab w:val="left" w:pos="0"/>
              </w:tabs>
              <w:ind w:firstLine="0"/>
              <w:rPr>
                <w:rFonts w:ascii="Times New Roman" w:hAnsi="Times New Roman"/>
                <w:b/>
                <w:bCs/>
                <w:sz w:val="24"/>
                <w:szCs w:val="24"/>
                <w:lang w:val="ro-MD"/>
              </w:rPr>
            </w:pPr>
            <w:r w:rsidRPr="006D0F0C">
              <w:rPr>
                <w:rFonts w:ascii="Times New Roman" w:hAnsi="Times New Roman"/>
                <w:b/>
                <w:bCs/>
                <w:sz w:val="24"/>
                <w:szCs w:val="24"/>
                <w:lang w:val="ro-MD"/>
              </w:rPr>
              <w:t xml:space="preserve">15. </w:t>
            </w:r>
            <w:r w:rsidRPr="006D0F0C">
              <w:rPr>
                <w:rFonts w:ascii="Times New Roman" w:eastAsia="Times New Roman" w:hAnsi="Times New Roman"/>
                <w:lang w:val="ro-MD"/>
              </w:rPr>
              <w:t xml:space="preserve"> </w:t>
            </w:r>
            <w:r w:rsidRPr="006D0F0C">
              <w:rPr>
                <w:rFonts w:ascii="Times New Roman" w:hAnsi="Times New Roman"/>
                <w:sz w:val="24"/>
                <w:szCs w:val="24"/>
                <w:lang w:val="ro-MD"/>
              </w:rPr>
              <w:t>Totodată, în textul proiectului național au fost identificate unele trimiteri eronate la propriile norme, care pot conduce la interpretarea greșită a acestora în raport cu prevederile UE transpuse. Astfel, urmează a fi revizuite următoarele: pct. 5.6 – condițiile stabilite vizează pct. 35- 39 din proiect și nu pct. 34 - 40; pct. 19 – evaluarea este prevăzută la pct. 18 și nu la pct. 19; pct. 21 – conformitatea va viza pct. 23 - 28 (Secțiunea 3-a din Cap. II) din proiect, corespondentul art. 5 din actul UE; pct. 21.2 – conformitatea va viza pct. 20 din proiect, corespondentul art. 4 (3) din actul UE; pct. 34 – situațiile sunt prevăzute în pct. 33 și nu pct. 35; pct. 44.7 – necesită referire la pct. 45-47 și nu doar la pct. 46; pct. 51 – corespondentul art. 4 din actul UE este pct. 16-22 și nu doar pct. 17; Anexa nr. 2, la pct. 3, 3) și 4, 3) – referința va viza pct. 12 și nu pct. 13; la pct. 1, lit. a) – perioada prevăzută de actul UE vizează art. 4 (2) sau (4) ori pct. 17 - 19 sau pct. 21.</w:t>
            </w:r>
          </w:p>
        </w:tc>
        <w:tc>
          <w:tcPr>
            <w:tcW w:w="1241"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531A991" w14:textId="77777777" w:rsidR="00783D37" w:rsidRPr="006D0F0C" w:rsidRDefault="00783D37" w:rsidP="00783D37">
            <w:pPr>
              <w:pBdr>
                <w:top w:val="none" w:sz="4" w:space="0" w:color="000000"/>
                <w:left w:val="none" w:sz="4" w:space="0" w:color="000000"/>
                <w:bottom w:val="none" w:sz="4" w:space="0" w:color="000000"/>
                <w:right w:val="none" w:sz="4" w:space="0" w:color="000000"/>
              </w:pBdr>
              <w:tabs>
                <w:tab w:val="left" w:pos="313"/>
              </w:tabs>
              <w:ind w:firstLine="0"/>
              <w:rPr>
                <w:rFonts w:ascii="Times New Roman" w:hAnsi="Times New Roman"/>
                <w:b/>
                <w:bCs/>
                <w:sz w:val="22"/>
                <w:szCs w:val="22"/>
                <w:lang w:val="ro-MD"/>
              </w:rPr>
            </w:pPr>
            <w:r w:rsidRPr="006D0F0C">
              <w:rPr>
                <w:rFonts w:ascii="Times New Roman" w:hAnsi="Times New Roman"/>
                <w:b/>
                <w:bCs/>
                <w:sz w:val="22"/>
                <w:szCs w:val="22"/>
                <w:lang w:val="ro-MD"/>
              </w:rPr>
              <w:t>Se acceptă.</w:t>
            </w:r>
          </w:p>
          <w:p w14:paraId="64440AAD" w14:textId="77777777" w:rsidR="00783D37" w:rsidRPr="006D0F0C" w:rsidRDefault="00783D37" w:rsidP="00783D37">
            <w:pPr>
              <w:pBdr>
                <w:top w:val="none" w:sz="4" w:space="0" w:color="000000"/>
                <w:left w:val="none" w:sz="4" w:space="0" w:color="000000"/>
                <w:bottom w:val="none" w:sz="4" w:space="0" w:color="000000"/>
                <w:right w:val="none" w:sz="4" w:space="0" w:color="000000"/>
              </w:pBdr>
              <w:tabs>
                <w:tab w:val="left" w:pos="313"/>
              </w:tabs>
              <w:ind w:firstLine="0"/>
              <w:rPr>
                <w:rFonts w:ascii="Times New Roman" w:hAnsi="Times New Roman"/>
                <w:sz w:val="24"/>
                <w:szCs w:val="24"/>
                <w:lang w:val="ro-MD"/>
              </w:rPr>
            </w:pPr>
            <w:r w:rsidRPr="006D0F0C">
              <w:rPr>
                <w:rFonts w:ascii="Times New Roman" w:hAnsi="Times New Roman"/>
                <w:sz w:val="24"/>
                <w:szCs w:val="24"/>
                <w:lang w:val="ro-MD"/>
              </w:rPr>
              <w:t>Proiectul a fost modificat</w:t>
            </w:r>
          </w:p>
          <w:p w14:paraId="251D273C" w14:textId="77777777" w:rsidR="00783D37" w:rsidRPr="006D0F0C" w:rsidRDefault="00783D37" w:rsidP="00783D37">
            <w:pPr>
              <w:pBdr>
                <w:top w:val="none" w:sz="4" w:space="0" w:color="000000"/>
                <w:left w:val="none" w:sz="4" w:space="0" w:color="000000"/>
                <w:bottom w:val="none" w:sz="4" w:space="0" w:color="000000"/>
                <w:right w:val="none" w:sz="4" w:space="0" w:color="000000"/>
              </w:pBdr>
              <w:tabs>
                <w:tab w:val="left" w:pos="313"/>
              </w:tabs>
              <w:ind w:firstLine="0"/>
              <w:rPr>
                <w:rFonts w:ascii="Times New Roman" w:hAnsi="Times New Roman"/>
                <w:sz w:val="22"/>
                <w:szCs w:val="22"/>
                <w:lang w:val="ro-MD"/>
              </w:rPr>
            </w:pPr>
            <w:proofErr w:type="spellStart"/>
            <w:r w:rsidRPr="006D0F0C">
              <w:rPr>
                <w:rFonts w:ascii="Times New Roman" w:hAnsi="Times New Roman"/>
                <w:sz w:val="22"/>
                <w:szCs w:val="22"/>
                <w:lang w:val="ro-MD"/>
              </w:rPr>
              <w:t>Subpct</w:t>
            </w:r>
            <w:proofErr w:type="spellEnd"/>
            <w:r w:rsidRPr="006D0F0C">
              <w:rPr>
                <w:rFonts w:ascii="Times New Roman" w:hAnsi="Times New Roman"/>
                <w:sz w:val="22"/>
                <w:szCs w:val="22"/>
                <w:lang w:val="ro-MD"/>
              </w:rPr>
              <w:t xml:space="preserve">. 5.6 a devenit </w:t>
            </w:r>
            <w:proofErr w:type="spellStart"/>
            <w:r w:rsidRPr="006D0F0C">
              <w:rPr>
                <w:rFonts w:ascii="Times New Roman" w:hAnsi="Times New Roman"/>
                <w:sz w:val="22"/>
                <w:szCs w:val="22"/>
                <w:lang w:val="ro-MD"/>
              </w:rPr>
              <w:t>subpct</w:t>
            </w:r>
            <w:proofErr w:type="spellEnd"/>
            <w:r w:rsidRPr="006D0F0C">
              <w:rPr>
                <w:rFonts w:ascii="Times New Roman" w:hAnsi="Times New Roman"/>
                <w:sz w:val="22"/>
                <w:szCs w:val="22"/>
                <w:lang w:val="ro-MD"/>
              </w:rPr>
              <w:t>. 5.7</w:t>
            </w:r>
          </w:p>
          <w:p w14:paraId="20BD9976" w14:textId="2541FA2C" w:rsidR="00783D37" w:rsidRPr="006D0F0C" w:rsidRDefault="00783D37" w:rsidP="00783D37">
            <w:pPr>
              <w:pBdr>
                <w:top w:val="none" w:sz="4" w:space="0" w:color="000000"/>
                <w:left w:val="none" w:sz="4" w:space="0" w:color="000000"/>
                <w:bottom w:val="none" w:sz="4" w:space="0" w:color="000000"/>
                <w:right w:val="none" w:sz="4" w:space="0" w:color="000000"/>
              </w:pBdr>
              <w:tabs>
                <w:tab w:val="left" w:pos="313"/>
              </w:tabs>
              <w:ind w:firstLine="0"/>
              <w:rPr>
                <w:rFonts w:ascii="Times New Roman" w:hAnsi="Times New Roman"/>
                <w:sz w:val="22"/>
                <w:szCs w:val="22"/>
                <w:lang w:val="ro-MD"/>
              </w:rPr>
            </w:pPr>
          </w:p>
        </w:tc>
      </w:tr>
      <w:tr w:rsidR="006D0F0C" w:rsidRPr="006D0F0C" w14:paraId="2C62073E" w14:textId="77777777" w:rsidTr="00783D37">
        <w:trPr>
          <w:trHeight w:val="701"/>
        </w:trPr>
        <w:tc>
          <w:tcPr>
            <w:tcW w:w="231" w:type="pct"/>
            <w:tcBorders>
              <w:top w:val="single" w:sz="4" w:space="0" w:color="auto"/>
              <w:left w:val="single" w:sz="8" w:space="0" w:color="000000"/>
              <w:bottom w:val="single" w:sz="4" w:space="0" w:color="auto"/>
              <w:right w:val="single" w:sz="8" w:space="0" w:color="000000"/>
            </w:tcBorders>
          </w:tcPr>
          <w:p w14:paraId="18C05F3D" w14:textId="77777777" w:rsidR="00783D37" w:rsidRPr="006D0F0C" w:rsidRDefault="00783D37" w:rsidP="00783D37">
            <w:pPr>
              <w:pBdr>
                <w:top w:val="none" w:sz="4" w:space="0" w:color="000000"/>
                <w:left w:val="none" w:sz="4" w:space="0" w:color="000000"/>
                <w:bottom w:val="none" w:sz="4" w:space="0" w:color="000000"/>
                <w:right w:val="none" w:sz="4" w:space="0" w:color="000000"/>
              </w:pBdr>
              <w:ind w:left="567" w:firstLine="0"/>
              <w:rPr>
                <w:rFonts w:ascii="Times New Roman" w:hAnsi="Times New Roman"/>
                <w:sz w:val="24"/>
                <w:szCs w:val="24"/>
                <w:lang w:val="ro-MD"/>
              </w:rPr>
            </w:pPr>
          </w:p>
        </w:tc>
        <w:tc>
          <w:tcPr>
            <w:tcW w:w="511"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27125744" w14:textId="77777777" w:rsidR="00783D37" w:rsidRPr="006D0F0C" w:rsidRDefault="00783D37" w:rsidP="00783D37">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MD"/>
              </w:rPr>
            </w:pPr>
          </w:p>
        </w:tc>
        <w:tc>
          <w:tcPr>
            <w:tcW w:w="512"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5AA96B6" w14:textId="77777777" w:rsidR="00783D37" w:rsidRPr="006D0F0C" w:rsidRDefault="00783D37" w:rsidP="00783D3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MD"/>
              </w:rPr>
            </w:pPr>
          </w:p>
        </w:tc>
        <w:tc>
          <w:tcPr>
            <w:tcW w:w="2505"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C6470C5" w14:textId="7A60BCC1" w:rsidR="00783D37" w:rsidRPr="006D0F0C" w:rsidRDefault="00783D37" w:rsidP="00783D37">
            <w:pPr>
              <w:pBdr>
                <w:top w:val="none" w:sz="4" w:space="0" w:color="000000"/>
                <w:left w:val="none" w:sz="4" w:space="0" w:color="000000"/>
                <w:bottom w:val="none" w:sz="4" w:space="0" w:color="000000"/>
                <w:right w:val="none" w:sz="4" w:space="0" w:color="000000"/>
              </w:pBdr>
              <w:tabs>
                <w:tab w:val="left" w:pos="0"/>
              </w:tabs>
              <w:ind w:firstLine="0"/>
              <w:rPr>
                <w:rFonts w:ascii="Times New Roman" w:hAnsi="Times New Roman"/>
                <w:b/>
                <w:bCs/>
                <w:sz w:val="24"/>
                <w:szCs w:val="24"/>
                <w:lang w:val="ro-MD"/>
              </w:rPr>
            </w:pPr>
            <w:r w:rsidRPr="006D0F0C">
              <w:rPr>
                <w:rFonts w:ascii="Times New Roman" w:hAnsi="Times New Roman"/>
                <w:b/>
                <w:bCs/>
                <w:sz w:val="24"/>
                <w:szCs w:val="24"/>
                <w:lang w:val="ro-MD"/>
              </w:rPr>
              <w:t xml:space="preserve">16. </w:t>
            </w:r>
            <w:r w:rsidRPr="006D0F0C">
              <w:rPr>
                <w:rFonts w:ascii="Times New Roman" w:hAnsi="Times New Roman"/>
                <w:sz w:val="24"/>
                <w:szCs w:val="24"/>
                <w:lang w:val="ro-MD"/>
              </w:rPr>
              <w:t xml:space="preserve">De asemenea, se va asigura renumerotarea corespunzătoare a capitolelor din Anexa nr. 1, substituirea termenului „art.” cu „pct.” (pct. 2, </w:t>
            </w:r>
            <w:proofErr w:type="spellStart"/>
            <w:r w:rsidRPr="006D0F0C">
              <w:rPr>
                <w:rFonts w:ascii="Times New Roman" w:hAnsi="Times New Roman"/>
                <w:sz w:val="24"/>
                <w:szCs w:val="24"/>
                <w:lang w:val="ro-MD"/>
              </w:rPr>
              <w:t>subpct</w:t>
            </w:r>
            <w:proofErr w:type="spellEnd"/>
            <w:r w:rsidRPr="006D0F0C">
              <w:rPr>
                <w:rFonts w:ascii="Times New Roman" w:hAnsi="Times New Roman"/>
                <w:sz w:val="24"/>
                <w:szCs w:val="24"/>
                <w:lang w:val="ro-MD"/>
              </w:rPr>
              <w:t>. 3) în Anexa nr. 2 și în tabelul din Anexa nr. 3, înlocuirea termenului „litere” cu „pct./</w:t>
            </w:r>
            <w:proofErr w:type="spellStart"/>
            <w:r w:rsidRPr="006D0F0C">
              <w:rPr>
                <w:rFonts w:ascii="Times New Roman" w:hAnsi="Times New Roman"/>
                <w:sz w:val="24"/>
                <w:szCs w:val="24"/>
                <w:lang w:val="ro-MD"/>
              </w:rPr>
              <w:t>subpct</w:t>
            </w:r>
            <w:proofErr w:type="spellEnd"/>
            <w:r w:rsidRPr="006D0F0C">
              <w:rPr>
                <w:rFonts w:ascii="Times New Roman" w:hAnsi="Times New Roman"/>
                <w:sz w:val="24"/>
                <w:szCs w:val="24"/>
                <w:lang w:val="ro-MD"/>
              </w:rPr>
              <w:t>”, după caz.</w:t>
            </w:r>
          </w:p>
        </w:tc>
        <w:tc>
          <w:tcPr>
            <w:tcW w:w="1241"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C3620F0" w14:textId="77777777" w:rsidR="00783D37" w:rsidRPr="006D0F0C" w:rsidRDefault="00783D37" w:rsidP="00783D37">
            <w:pPr>
              <w:pBdr>
                <w:top w:val="none" w:sz="4" w:space="0" w:color="000000"/>
                <w:left w:val="none" w:sz="4" w:space="0" w:color="000000"/>
                <w:bottom w:val="none" w:sz="4" w:space="0" w:color="000000"/>
                <w:right w:val="none" w:sz="4" w:space="0" w:color="000000"/>
              </w:pBdr>
              <w:tabs>
                <w:tab w:val="left" w:pos="313"/>
              </w:tabs>
              <w:ind w:firstLine="0"/>
              <w:rPr>
                <w:rFonts w:ascii="Times New Roman" w:hAnsi="Times New Roman"/>
                <w:b/>
                <w:bCs/>
                <w:sz w:val="22"/>
                <w:szCs w:val="22"/>
                <w:lang w:val="ro-MD"/>
              </w:rPr>
            </w:pPr>
            <w:r w:rsidRPr="006D0F0C">
              <w:rPr>
                <w:rFonts w:ascii="Times New Roman" w:hAnsi="Times New Roman"/>
                <w:b/>
                <w:bCs/>
                <w:sz w:val="22"/>
                <w:szCs w:val="22"/>
                <w:lang w:val="ro-MD"/>
              </w:rPr>
              <w:t>Se acceptă.</w:t>
            </w:r>
          </w:p>
          <w:p w14:paraId="34473FA9" w14:textId="739A7585" w:rsidR="00783D37" w:rsidRPr="006D0F0C" w:rsidRDefault="00783D37" w:rsidP="00783D37">
            <w:pPr>
              <w:pBdr>
                <w:top w:val="none" w:sz="4" w:space="0" w:color="000000"/>
                <w:left w:val="none" w:sz="4" w:space="0" w:color="000000"/>
                <w:bottom w:val="none" w:sz="4" w:space="0" w:color="000000"/>
                <w:right w:val="none" w:sz="4" w:space="0" w:color="000000"/>
              </w:pBdr>
              <w:tabs>
                <w:tab w:val="left" w:pos="313"/>
              </w:tabs>
              <w:ind w:firstLine="0"/>
              <w:rPr>
                <w:rFonts w:ascii="Times New Roman" w:hAnsi="Times New Roman"/>
                <w:b/>
                <w:bCs/>
                <w:sz w:val="22"/>
                <w:szCs w:val="22"/>
                <w:lang w:val="ro-MD"/>
              </w:rPr>
            </w:pPr>
            <w:r w:rsidRPr="006D0F0C">
              <w:rPr>
                <w:rFonts w:ascii="Times New Roman" w:hAnsi="Times New Roman"/>
                <w:sz w:val="24"/>
                <w:szCs w:val="24"/>
                <w:lang w:val="ro-MD"/>
              </w:rPr>
              <w:t>Proiectul a fost modificat</w:t>
            </w:r>
          </w:p>
        </w:tc>
      </w:tr>
      <w:tr w:rsidR="006D0F0C" w:rsidRPr="006D0F0C" w14:paraId="1A6FC89A" w14:textId="77777777" w:rsidTr="00783D37">
        <w:trPr>
          <w:trHeight w:val="1127"/>
        </w:trPr>
        <w:tc>
          <w:tcPr>
            <w:tcW w:w="231" w:type="pct"/>
            <w:tcBorders>
              <w:top w:val="single" w:sz="4" w:space="0" w:color="auto"/>
              <w:left w:val="single" w:sz="8" w:space="0" w:color="000000"/>
              <w:bottom w:val="single" w:sz="4" w:space="0" w:color="auto"/>
              <w:right w:val="single" w:sz="8" w:space="0" w:color="000000"/>
            </w:tcBorders>
          </w:tcPr>
          <w:p w14:paraId="3E73D725" w14:textId="77777777" w:rsidR="00783D37" w:rsidRPr="006D0F0C" w:rsidRDefault="00783D37" w:rsidP="00783D37">
            <w:pPr>
              <w:pBdr>
                <w:top w:val="none" w:sz="4" w:space="0" w:color="000000"/>
                <w:left w:val="none" w:sz="4" w:space="0" w:color="000000"/>
                <w:bottom w:val="none" w:sz="4" w:space="0" w:color="000000"/>
                <w:right w:val="none" w:sz="4" w:space="0" w:color="000000"/>
              </w:pBdr>
              <w:ind w:left="567" w:firstLine="0"/>
              <w:rPr>
                <w:rFonts w:ascii="Times New Roman" w:hAnsi="Times New Roman"/>
                <w:sz w:val="24"/>
                <w:szCs w:val="24"/>
                <w:lang w:val="ro-MD"/>
              </w:rPr>
            </w:pPr>
          </w:p>
        </w:tc>
        <w:tc>
          <w:tcPr>
            <w:tcW w:w="511"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7D117BDB" w14:textId="77777777" w:rsidR="00783D37" w:rsidRPr="006D0F0C" w:rsidRDefault="00783D37" w:rsidP="00783D37">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MD"/>
              </w:rPr>
            </w:pPr>
          </w:p>
        </w:tc>
        <w:tc>
          <w:tcPr>
            <w:tcW w:w="512"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2C98376" w14:textId="77777777" w:rsidR="00783D37" w:rsidRPr="006D0F0C" w:rsidRDefault="00783D37" w:rsidP="00783D3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MD"/>
              </w:rPr>
            </w:pPr>
          </w:p>
        </w:tc>
        <w:tc>
          <w:tcPr>
            <w:tcW w:w="2505"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7C505EF" w14:textId="2548C130" w:rsidR="00783D37" w:rsidRPr="006D0F0C" w:rsidRDefault="00783D37" w:rsidP="00783D37">
            <w:pPr>
              <w:pBdr>
                <w:top w:val="none" w:sz="4" w:space="0" w:color="000000"/>
                <w:left w:val="none" w:sz="4" w:space="0" w:color="000000"/>
                <w:bottom w:val="none" w:sz="4" w:space="0" w:color="000000"/>
                <w:right w:val="none" w:sz="4" w:space="0" w:color="000000"/>
              </w:pBdr>
              <w:tabs>
                <w:tab w:val="left" w:pos="0"/>
              </w:tabs>
              <w:ind w:firstLine="0"/>
              <w:rPr>
                <w:rFonts w:ascii="Times New Roman" w:hAnsi="Times New Roman"/>
                <w:b/>
                <w:bCs/>
                <w:sz w:val="24"/>
                <w:szCs w:val="24"/>
                <w:lang w:val="ro-MD"/>
              </w:rPr>
            </w:pPr>
            <w:r w:rsidRPr="006D0F0C">
              <w:rPr>
                <w:rFonts w:ascii="Times New Roman" w:hAnsi="Times New Roman"/>
                <w:b/>
                <w:bCs/>
                <w:sz w:val="24"/>
                <w:szCs w:val="24"/>
                <w:lang w:val="ro-MD"/>
              </w:rPr>
              <w:t xml:space="preserve">17. </w:t>
            </w:r>
            <w:r w:rsidRPr="006D0F0C">
              <w:rPr>
                <w:rFonts w:ascii="Times New Roman" w:hAnsi="Times New Roman"/>
                <w:sz w:val="24"/>
                <w:szCs w:val="24"/>
                <w:lang w:val="ro-MD"/>
              </w:rPr>
              <w:t>Tabelul de concordanță cu Directiva 2006/7/CE: – Compartimentul 6 din tabel reflectă în prezent versiunea primară a Directivei 2006/7/CE. Astfel, se va asigura revizuirea acestui compartiment pentru a încorpora modificările aduse prin Regulamentul (CE) nr. 596/2009 al Parlamentului European și al Consiliului din 18 iunie 2009, precum și prin Directiva 2013/64/UE a Consiliului din 17 decembrie 2013</w:t>
            </w:r>
          </w:p>
        </w:tc>
        <w:tc>
          <w:tcPr>
            <w:tcW w:w="1241"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3280C8D" w14:textId="77777777" w:rsidR="00783D37" w:rsidRPr="006D0F0C" w:rsidRDefault="00783D37" w:rsidP="00783D37">
            <w:pPr>
              <w:pBdr>
                <w:top w:val="none" w:sz="4" w:space="0" w:color="000000"/>
                <w:left w:val="none" w:sz="4" w:space="0" w:color="000000"/>
                <w:bottom w:val="none" w:sz="4" w:space="0" w:color="000000"/>
                <w:right w:val="none" w:sz="4" w:space="0" w:color="000000"/>
              </w:pBdr>
              <w:tabs>
                <w:tab w:val="left" w:pos="313"/>
              </w:tabs>
              <w:ind w:firstLine="0"/>
              <w:rPr>
                <w:rFonts w:ascii="Times New Roman" w:hAnsi="Times New Roman"/>
                <w:b/>
                <w:bCs/>
                <w:sz w:val="22"/>
                <w:szCs w:val="22"/>
                <w:lang w:val="ro-MD"/>
              </w:rPr>
            </w:pPr>
            <w:r w:rsidRPr="006D0F0C">
              <w:rPr>
                <w:rFonts w:ascii="Times New Roman" w:hAnsi="Times New Roman"/>
                <w:b/>
                <w:bCs/>
                <w:sz w:val="22"/>
                <w:szCs w:val="22"/>
                <w:lang w:val="ro-MD"/>
              </w:rPr>
              <w:t>Se acceptă.</w:t>
            </w:r>
          </w:p>
          <w:p w14:paraId="4C8160EA" w14:textId="62766D50" w:rsidR="00783D37" w:rsidRPr="006D0F0C" w:rsidRDefault="00783D37" w:rsidP="00783D37">
            <w:pPr>
              <w:pBdr>
                <w:top w:val="none" w:sz="4" w:space="0" w:color="000000"/>
                <w:left w:val="none" w:sz="4" w:space="0" w:color="000000"/>
                <w:bottom w:val="none" w:sz="4" w:space="0" w:color="000000"/>
                <w:right w:val="none" w:sz="4" w:space="0" w:color="000000"/>
              </w:pBdr>
              <w:tabs>
                <w:tab w:val="left" w:pos="313"/>
              </w:tabs>
              <w:ind w:firstLine="0"/>
              <w:rPr>
                <w:rFonts w:ascii="Times New Roman" w:hAnsi="Times New Roman"/>
                <w:b/>
                <w:bCs/>
                <w:sz w:val="22"/>
                <w:szCs w:val="22"/>
                <w:lang w:val="ro-MD"/>
              </w:rPr>
            </w:pPr>
            <w:r w:rsidRPr="006D0F0C">
              <w:rPr>
                <w:rFonts w:ascii="Times New Roman" w:hAnsi="Times New Roman"/>
                <w:sz w:val="24"/>
                <w:szCs w:val="24"/>
                <w:lang w:val="ro-MD"/>
              </w:rPr>
              <w:t>Proiectul a fost modificat</w:t>
            </w:r>
          </w:p>
        </w:tc>
      </w:tr>
      <w:tr w:rsidR="006D0F0C" w:rsidRPr="006D0F0C" w14:paraId="5DE8BB84" w14:textId="77777777" w:rsidTr="00783D37">
        <w:trPr>
          <w:trHeight w:val="1127"/>
        </w:trPr>
        <w:tc>
          <w:tcPr>
            <w:tcW w:w="231" w:type="pct"/>
            <w:tcBorders>
              <w:top w:val="single" w:sz="4" w:space="0" w:color="auto"/>
              <w:left w:val="single" w:sz="8" w:space="0" w:color="000000"/>
              <w:bottom w:val="single" w:sz="4" w:space="0" w:color="auto"/>
              <w:right w:val="single" w:sz="8" w:space="0" w:color="000000"/>
            </w:tcBorders>
          </w:tcPr>
          <w:p w14:paraId="788A8378" w14:textId="77777777" w:rsidR="00783D37" w:rsidRPr="006D0F0C" w:rsidRDefault="00783D37" w:rsidP="00783D37">
            <w:pPr>
              <w:pBdr>
                <w:top w:val="none" w:sz="4" w:space="0" w:color="000000"/>
                <w:left w:val="none" w:sz="4" w:space="0" w:color="000000"/>
                <w:bottom w:val="none" w:sz="4" w:space="0" w:color="000000"/>
                <w:right w:val="none" w:sz="4" w:space="0" w:color="000000"/>
              </w:pBdr>
              <w:ind w:left="567" w:firstLine="0"/>
              <w:rPr>
                <w:rFonts w:ascii="Times New Roman" w:hAnsi="Times New Roman"/>
                <w:sz w:val="24"/>
                <w:szCs w:val="24"/>
                <w:lang w:val="ro-MD"/>
              </w:rPr>
            </w:pPr>
          </w:p>
        </w:tc>
        <w:tc>
          <w:tcPr>
            <w:tcW w:w="511"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74E280F6" w14:textId="77777777" w:rsidR="00783D37" w:rsidRPr="006D0F0C" w:rsidRDefault="00783D37" w:rsidP="00783D37">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MD"/>
              </w:rPr>
            </w:pPr>
          </w:p>
        </w:tc>
        <w:tc>
          <w:tcPr>
            <w:tcW w:w="512"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07A4CA3" w14:textId="77777777" w:rsidR="00783D37" w:rsidRPr="006D0F0C" w:rsidRDefault="00783D37" w:rsidP="00783D3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MD"/>
              </w:rPr>
            </w:pPr>
          </w:p>
        </w:tc>
        <w:tc>
          <w:tcPr>
            <w:tcW w:w="2505"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EDAD903" w14:textId="058B8367" w:rsidR="00783D37" w:rsidRPr="006D0F0C" w:rsidRDefault="00783D37" w:rsidP="00783D37">
            <w:pPr>
              <w:pBdr>
                <w:top w:val="none" w:sz="4" w:space="0" w:color="000000"/>
                <w:left w:val="none" w:sz="4" w:space="0" w:color="000000"/>
                <w:bottom w:val="none" w:sz="4" w:space="0" w:color="000000"/>
                <w:right w:val="none" w:sz="4" w:space="0" w:color="000000"/>
              </w:pBdr>
              <w:tabs>
                <w:tab w:val="left" w:pos="0"/>
              </w:tabs>
              <w:ind w:firstLine="0"/>
              <w:rPr>
                <w:rFonts w:ascii="Times New Roman" w:hAnsi="Times New Roman"/>
                <w:b/>
                <w:bCs/>
                <w:sz w:val="24"/>
                <w:szCs w:val="24"/>
                <w:lang w:val="ro-MD"/>
              </w:rPr>
            </w:pPr>
            <w:r w:rsidRPr="006D0F0C">
              <w:rPr>
                <w:rFonts w:ascii="Times New Roman" w:hAnsi="Times New Roman"/>
                <w:b/>
                <w:bCs/>
                <w:sz w:val="24"/>
                <w:szCs w:val="24"/>
                <w:lang w:val="ro-MD"/>
              </w:rPr>
              <w:t>18</w:t>
            </w:r>
            <w:r w:rsidRPr="006D0F0C">
              <w:rPr>
                <w:rFonts w:ascii="Times New Roman" w:hAnsi="Times New Roman"/>
                <w:sz w:val="24"/>
                <w:szCs w:val="24"/>
                <w:lang w:val="ro-MD"/>
              </w:rPr>
              <w:t xml:space="preserve">. </w:t>
            </w:r>
            <w:r w:rsidRPr="006D0F0C">
              <w:rPr>
                <w:rFonts w:ascii="Times New Roman" w:eastAsia="Times New Roman" w:hAnsi="Times New Roman"/>
                <w:lang w:val="ro-MD"/>
              </w:rPr>
              <w:t xml:space="preserve"> </w:t>
            </w:r>
            <w:r w:rsidRPr="006D0F0C">
              <w:rPr>
                <w:rFonts w:ascii="Times New Roman" w:hAnsi="Times New Roman"/>
                <w:sz w:val="24"/>
                <w:szCs w:val="24"/>
                <w:lang w:val="ro-MD"/>
              </w:rPr>
              <w:t>Compartimentul 7 din tabel va fi actualizat corespunzător, ținând cont de obiecțiile și recomandările formulate în prezenta declarație</w:t>
            </w:r>
            <w:r w:rsidRPr="006D0F0C">
              <w:rPr>
                <w:rFonts w:ascii="Times New Roman" w:hAnsi="Times New Roman"/>
                <w:b/>
                <w:bCs/>
                <w:sz w:val="24"/>
                <w:szCs w:val="24"/>
                <w:lang w:val="ro-MD"/>
              </w:rPr>
              <w:t>.</w:t>
            </w:r>
          </w:p>
        </w:tc>
        <w:tc>
          <w:tcPr>
            <w:tcW w:w="1241"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43CA86F" w14:textId="77777777" w:rsidR="00783D37" w:rsidRPr="006D0F0C" w:rsidRDefault="00783D37" w:rsidP="00783D37">
            <w:pPr>
              <w:pBdr>
                <w:top w:val="none" w:sz="4" w:space="0" w:color="000000"/>
                <w:left w:val="none" w:sz="4" w:space="0" w:color="000000"/>
                <w:bottom w:val="none" w:sz="4" w:space="0" w:color="000000"/>
                <w:right w:val="none" w:sz="4" w:space="0" w:color="000000"/>
              </w:pBdr>
              <w:tabs>
                <w:tab w:val="left" w:pos="313"/>
              </w:tabs>
              <w:ind w:firstLine="0"/>
              <w:rPr>
                <w:rFonts w:ascii="Times New Roman" w:hAnsi="Times New Roman"/>
                <w:b/>
                <w:bCs/>
                <w:sz w:val="22"/>
                <w:szCs w:val="22"/>
                <w:lang w:val="ro-MD"/>
              </w:rPr>
            </w:pPr>
            <w:r w:rsidRPr="006D0F0C">
              <w:rPr>
                <w:rFonts w:ascii="Times New Roman" w:hAnsi="Times New Roman"/>
                <w:b/>
                <w:bCs/>
                <w:sz w:val="22"/>
                <w:szCs w:val="22"/>
                <w:lang w:val="ro-MD"/>
              </w:rPr>
              <w:t>Se acceptă.</w:t>
            </w:r>
          </w:p>
          <w:p w14:paraId="0CC43317" w14:textId="361695FF" w:rsidR="00783D37" w:rsidRPr="006D0F0C" w:rsidRDefault="00783D37" w:rsidP="00783D37">
            <w:pPr>
              <w:pBdr>
                <w:top w:val="none" w:sz="4" w:space="0" w:color="000000"/>
                <w:left w:val="none" w:sz="4" w:space="0" w:color="000000"/>
                <w:bottom w:val="none" w:sz="4" w:space="0" w:color="000000"/>
                <w:right w:val="none" w:sz="4" w:space="0" w:color="000000"/>
              </w:pBdr>
              <w:tabs>
                <w:tab w:val="left" w:pos="313"/>
              </w:tabs>
              <w:ind w:firstLine="0"/>
              <w:rPr>
                <w:rFonts w:ascii="Times New Roman" w:hAnsi="Times New Roman"/>
                <w:b/>
                <w:bCs/>
                <w:sz w:val="22"/>
                <w:szCs w:val="22"/>
                <w:lang w:val="ro-MD"/>
              </w:rPr>
            </w:pPr>
            <w:r w:rsidRPr="006D0F0C">
              <w:rPr>
                <w:rFonts w:ascii="Times New Roman" w:hAnsi="Times New Roman"/>
                <w:sz w:val="24"/>
                <w:szCs w:val="24"/>
                <w:lang w:val="ro-MD"/>
              </w:rPr>
              <w:t>Proiectul a fost modificat</w:t>
            </w:r>
          </w:p>
        </w:tc>
      </w:tr>
      <w:tr w:rsidR="006D0F0C" w:rsidRPr="006D0F0C" w14:paraId="7C2BB11B" w14:textId="77777777" w:rsidTr="00783D37">
        <w:trPr>
          <w:trHeight w:val="560"/>
        </w:trPr>
        <w:tc>
          <w:tcPr>
            <w:tcW w:w="231" w:type="pct"/>
            <w:tcBorders>
              <w:top w:val="single" w:sz="4" w:space="0" w:color="auto"/>
              <w:left w:val="single" w:sz="8" w:space="0" w:color="000000"/>
              <w:bottom w:val="single" w:sz="4" w:space="0" w:color="auto"/>
              <w:right w:val="single" w:sz="8" w:space="0" w:color="000000"/>
            </w:tcBorders>
          </w:tcPr>
          <w:p w14:paraId="25C359F8" w14:textId="77777777" w:rsidR="00783D37" w:rsidRPr="006D0F0C" w:rsidRDefault="00783D37" w:rsidP="00783D37">
            <w:pPr>
              <w:pBdr>
                <w:top w:val="none" w:sz="4" w:space="0" w:color="000000"/>
                <w:left w:val="none" w:sz="4" w:space="0" w:color="000000"/>
                <w:bottom w:val="none" w:sz="4" w:space="0" w:color="000000"/>
                <w:right w:val="none" w:sz="4" w:space="0" w:color="000000"/>
              </w:pBdr>
              <w:ind w:left="567" w:firstLine="0"/>
              <w:rPr>
                <w:rFonts w:ascii="Times New Roman" w:hAnsi="Times New Roman"/>
                <w:sz w:val="24"/>
                <w:szCs w:val="24"/>
                <w:lang w:val="ro-MD"/>
              </w:rPr>
            </w:pPr>
          </w:p>
        </w:tc>
        <w:tc>
          <w:tcPr>
            <w:tcW w:w="511"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525F5556" w14:textId="77777777" w:rsidR="00783D37" w:rsidRPr="006D0F0C" w:rsidRDefault="00783D37" w:rsidP="00783D37">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MD"/>
              </w:rPr>
            </w:pPr>
          </w:p>
        </w:tc>
        <w:tc>
          <w:tcPr>
            <w:tcW w:w="512"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E59A0B5" w14:textId="77777777" w:rsidR="00783D37" w:rsidRPr="006D0F0C" w:rsidRDefault="00783D37" w:rsidP="00783D3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MD"/>
              </w:rPr>
            </w:pPr>
          </w:p>
        </w:tc>
        <w:tc>
          <w:tcPr>
            <w:tcW w:w="2505"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F76F8C6" w14:textId="5E6F134F" w:rsidR="00783D37" w:rsidRPr="006D0F0C" w:rsidRDefault="00783D37" w:rsidP="00783D37">
            <w:pPr>
              <w:pBdr>
                <w:top w:val="none" w:sz="4" w:space="0" w:color="000000"/>
                <w:left w:val="none" w:sz="4" w:space="0" w:color="000000"/>
                <w:bottom w:val="none" w:sz="4" w:space="0" w:color="000000"/>
                <w:right w:val="none" w:sz="4" w:space="0" w:color="000000"/>
              </w:pBdr>
              <w:tabs>
                <w:tab w:val="left" w:pos="0"/>
              </w:tabs>
              <w:ind w:firstLine="0"/>
              <w:rPr>
                <w:rFonts w:ascii="Times New Roman" w:hAnsi="Times New Roman"/>
                <w:b/>
                <w:bCs/>
                <w:sz w:val="24"/>
                <w:szCs w:val="24"/>
                <w:lang w:val="ro-MD"/>
              </w:rPr>
            </w:pPr>
            <w:r w:rsidRPr="006D0F0C">
              <w:rPr>
                <w:rFonts w:ascii="Times New Roman" w:hAnsi="Times New Roman"/>
                <w:b/>
                <w:bCs/>
                <w:sz w:val="24"/>
                <w:szCs w:val="24"/>
                <w:lang w:val="ro-MD"/>
              </w:rPr>
              <w:t>19.</w:t>
            </w:r>
            <w:r w:rsidRPr="006D0F0C">
              <w:rPr>
                <w:rFonts w:ascii="Times New Roman" w:eastAsia="Times New Roman" w:hAnsi="Times New Roman"/>
                <w:lang w:val="ro-MD"/>
              </w:rPr>
              <w:t xml:space="preserve"> </w:t>
            </w:r>
            <w:r w:rsidRPr="006D0F0C">
              <w:rPr>
                <w:rFonts w:ascii="Times New Roman" w:hAnsi="Times New Roman"/>
                <w:sz w:val="24"/>
                <w:szCs w:val="24"/>
                <w:lang w:val="ro-MD"/>
              </w:rPr>
              <w:t>Tabelul de concordanță cu Decizia de punere în aplicare (UE) 2011/321: – Compartimentul 1 va prevedea numărul corect al actului UE;</w:t>
            </w:r>
          </w:p>
        </w:tc>
        <w:tc>
          <w:tcPr>
            <w:tcW w:w="1241"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644A938" w14:textId="77777777" w:rsidR="00783D37" w:rsidRPr="006D0F0C" w:rsidRDefault="00783D37" w:rsidP="00783D37">
            <w:pPr>
              <w:pBdr>
                <w:top w:val="none" w:sz="4" w:space="0" w:color="000000"/>
                <w:left w:val="none" w:sz="4" w:space="0" w:color="000000"/>
                <w:bottom w:val="none" w:sz="4" w:space="0" w:color="000000"/>
                <w:right w:val="none" w:sz="4" w:space="0" w:color="000000"/>
              </w:pBdr>
              <w:tabs>
                <w:tab w:val="left" w:pos="313"/>
              </w:tabs>
              <w:ind w:firstLine="0"/>
              <w:rPr>
                <w:rFonts w:ascii="Times New Roman" w:hAnsi="Times New Roman"/>
                <w:b/>
                <w:bCs/>
                <w:sz w:val="22"/>
                <w:szCs w:val="22"/>
                <w:lang w:val="ro-MD"/>
              </w:rPr>
            </w:pPr>
            <w:r w:rsidRPr="006D0F0C">
              <w:rPr>
                <w:rFonts w:ascii="Times New Roman" w:hAnsi="Times New Roman"/>
                <w:b/>
                <w:bCs/>
                <w:sz w:val="22"/>
                <w:szCs w:val="22"/>
                <w:lang w:val="ro-MD"/>
              </w:rPr>
              <w:t>Se acceptă.</w:t>
            </w:r>
          </w:p>
          <w:p w14:paraId="5232A689" w14:textId="731CBC48" w:rsidR="00783D37" w:rsidRPr="006D0F0C" w:rsidRDefault="00783D37" w:rsidP="00783D37">
            <w:pPr>
              <w:pBdr>
                <w:top w:val="none" w:sz="4" w:space="0" w:color="000000"/>
                <w:left w:val="none" w:sz="4" w:space="0" w:color="000000"/>
                <w:bottom w:val="none" w:sz="4" w:space="0" w:color="000000"/>
                <w:right w:val="none" w:sz="4" w:space="0" w:color="000000"/>
              </w:pBdr>
              <w:tabs>
                <w:tab w:val="left" w:pos="313"/>
              </w:tabs>
              <w:ind w:firstLine="0"/>
              <w:rPr>
                <w:rFonts w:ascii="Times New Roman" w:hAnsi="Times New Roman"/>
                <w:b/>
                <w:bCs/>
                <w:sz w:val="22"/>
                <w:szCs w:val="22"/>
                <w:lang w:val="ro-MD"/>
              </w:rPr>
            </w:pPr>
            <w:r w:rsidRPr="006D0F0C">
              <w:rPr>
                <w:rFonts w:ascii="Times New Roman" w:hAnsi="Times New Roman"/>
                <w:sz w:val="24"/>
                <w:szCs w:val="24"/>
                <w:lang w:val="ro-MD"/>
              </w:rPr>
              <w:t>Proiectul a fost modificat</w:t>
            </w:r>
          </w:p>
        </w:tc>
      </w:tr>
      <w:tr w:rsidR="006D0F0C" w:rsidRPr="006D0F0C" w14:paraId="3925B0DA" w14:textId="77777777" w:rsidTr="00783D37">
        <w:trPr>
          <w:trHeight w:val="2396"/>
        </w:trPr>
        <w:tc>
          <w:tcPr>
            <w:tcW w:w="231" w:type="pct"/>
            <w:tcBorders>
              <w:top w:val="single" w:sz="4" w:space="0" w:color="auto"/>
              <w:left w:val="single" w:sz="8" w:space="0" w:color="000000"/>
              <w:bottom w:val="single" w:sz="4" w:space="0" w:color="auto"/>
              <w:right w:val="single" w:sz="8" w:space="0" w:color="000000"/>
            </w:tcBorders>
          </w:tcPr>
          <w:p w14:paraId="38BA69FE" w14:textId="77777777" w:rsidR="00783D37" w:rsidRPr="006D0F0C" w:rsidRDefault="00783D37" w:rsidP="00783D37">
            <w:pPr>
              <w:pBdr>
                <w:top w:val="none" w:sz="4" w:space="0" w:color="000000"/>
                <w:left w:val="none" w:sz="4" w:space="0" w:color="000000"/>
                <w:bottom w:val="none" w:sz="4" w:space="0" w:color="000000"/>
                <w:right w:val="none" w:sz="4" w:space="0" w:color="000000"/>
              </w:pBdr>
              <w:ind w:left="567" w:firstLine="0"/>
              <w:rPr>
                <w:rFonts w:ascii="Times New Roman" w:hAnsi="Times New Roman"/>
                <w:sz w:val="24"/>
                <w:szCs w:val="24"/>
                <w:lang w:val="ro-MD"/>
              </w:rPr>
            </w:pPr>
          </w:p>
        </w:tc>
        <w:tc>
          <w:tcPr>
            <w:tcW w:w="511"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6280FB1B" w14:textId="77777777" w:rsidR="00783D37" w:rsidRPr="006D0F0C" w:rsidRDefault="00783D37" w:rsidP="00783D37">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MD"/>
              </w:rPr>
            </w:pPr>
          </w:p>
        </w:tc>
        <w:tc>
          <w:tcPr>
            <w:tcW w:w="512"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92E1FBE" w14:textId="77777777" w:rsidR="00783D37" w:rsidRPr="006D0F0C" w:rsidRDefault="00783D37" w:rsidP="00783D3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MD"/>
              </w:rPr>
            </w:pPr>
          </w:p>
        </w:tc>
        <w:tc>
          <w:tcPr>
            <w:tcW w:w="2505"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98462D6" w14:textId="5B99916A" w:rsidR="00783D37" w:rsidRPr="006D0F0C" w:rsidRDefault="00783D37" w:rsidP="00783D37">
            <w:pPr>
              <w:pBdr>
                <w:top w:val="none" w:sz="4" w:space="0" w:color="000000"/>
                <w:left w:val="none" w:sz="4" w:space="0" w:color="000000"/>
                <w:bottom w:val="none" w:sz="4" w:space="0" w:color="000000"/>
                <w:right w:val="none" w:sz="4" w:space="0" w:color="000000"/>
              </w:pBdr>
              <w:tabs>
                <w:tab w:val="left" w:pos="0"/>
              </w:tabs>
              <w:ind w:firstLine="0"/>
              <w:rPr>
                <w:rFonts w:ascii="Times New Roman" w:hAnsi="Times New Roman"/>
                <w:b/>
                <w:bCs/>
                <w:sz w:val="24"/>
                <w:szCs w:val="24"/>
                <w:lang w:val="ro-MD"/>
              </w:rPr>
            </w:pPr>
            <w:r w:rsidRPr="006D0F0C">
              <w:rPr>
                <w:rFonts w:ascii="Times New Roman" w:hAnsi="Times New Roman"/>
                <w:b/>
                <w:bCs/>
                <w:sz w:val="24"/>
                <w:szCs w:val="24"/>
                <w:lang w:val="ro-MD"/>
              </w:rPr>
              <w:t>20.</w:t>
            </w:r>
            <w:r w:rsidRPr="006D0F0C">
              <w:rPr>
                <w:rFonts w:ascii="Times New Roman" w:eastAsia="Times New Roman" w:hAnsi="Times New Roman"/>
                <w:lang w:val="ro-MD"/>
              </w:rPr>
              <w:t xml:space="preserve"> </w:t>
            </w:r>
            <w:r w:rsidRPr="006D0F0C">
              <w:rPr>
                <w:rFonts w:ascii="Times New Roman" w:hAnsi="Times New Roman"/>
                <w:sz w:val="24"/>
                <w:szCs w:val="24"/>
                <w:lang w:val="ro-MD"/>
              </w:rPr>
              <w:t>Compartimentul 7 din tabel urmează a fi revăzut la art. 1 din actul UE, întrucât informația actuală este eronată și nu corespunde textului proiectului. În acest sens, se va asigura integrarea prevederilor din pct. 26.4 și pct. 44.1 din Anexa nr. 1 la proiectul de hotărâre. De asemenea, prevederea art. 2 din actul UE va fi calificată drept „Prevedere UE neaplicabilă” și se va exclude mențiunea privind intrarea în vigoare a proiectului. În ceea ce privește prevederea națională plasată imediat după art. 1, aceasta va fi exclusă, întrucât nu este identificată în cadrul proiectului.</w:t>
            </w:r>
          </w:p>
        </w:tc>
        <w:tc>
          <w:tcPr>
            <w:tcW w:w="1241"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8536999" w14:textId="77777777" w:rsidR="00783D37" w:rsidRPr="006D0F0C" w:rsidRDefault="00783D37" w:rsidP="00783D37">
            <w:pPr>
              <w:pBdr>
                <w:top w:val="none" w:sz="4" w:space="0" w:color="000000"/>
                <w:left w:val="none" w:sz="4" w:space="0" w:color="000000"/>
                <w:bottom w:val="none" w:sz="4" w:space="0" w:color="000000"/>
                <w:right w:val="none" w:sz="4" w:space="0" w:color="000000"/>
              </w:pBdr>
              <w:tabs>
                <w:tab w:val="left" w:pos="313"/>
              </w:tabs>
              <w:ind w:firstLine="0"/>
              <w:rPr>
                <w:rFonts w:ascii="Times New Roman" w:hAnsi="Times New Roman"/>
                <w:b/>
                <w:bCs/>
                <w:sz w:val="22"/>
                <w:szCs w:val="22"/>
                <w:lang w:val="ro-MD"/>
              </w:rPr>
            </w:pPr>
            <w:r w:rsidRPr="006D0F0C">
              <w:rPr>
                <w:rFonts w:ascii="Times New Roman" w:hAnsi="Times New Roman"/>
                <w:b/>
                <w:bCs/>
                <w:sz w:val="22"/>
                <w:szCs w:val="22"/>
                <w:lang w:val="ro-MD"/>
              </w:rPr>
              <w:t>Se acceptă.</w:t>
            </w:r>
          </w:p>
          <w:p w14:paraId="69841E07" w14:textId="77777777" w:rsidR="00783D37" w:rsidRPr="006D0F0C" w:rsidRDefault="00783D37" w:rsidP="00783D37">
            <w:pPr>
              <w:pBdr>
                <w:top w:val="none" w:sz="4" w:space="0" w:color="000000"/>
                <w:left w:val="none" w:sz="4" w:space="0" w:color="000000"/>
                <w:bottom w:val="none" w:sz="4" w:space="0" w:color="000000"/>
                <w:right w:val="none" w:sz="4" w:space="0" w:color="000000"/>
              </w:pBdr>
              <w:tabs>
                <w:tab w:val="left" w:pos="313"/>
              </w:tabs>
              <w:ind w:firstLine="0"/>
              <w:rPr>
                <w:rFonts w:ascii="Times New Roman" w:hAnsi="Times New Roman"/>
                <w:sz w:val="24"/>
                <w:szCs w:val="24"/>
                <w:lang w:val="ro-MD"/>
              </w:rPr>
            </w:pPr>
            <w:r w:rsidRPr="006D0F0C">
              <w:rPr>
                <w:rFonts w:ascii="Times New Roman" w:hAnsi="Times New Roman"/>
                <w:sz w:val="24"/>
                <w:szCs w:val="24"/>
                <w:lang w:val="ro-MD"/>
              </w:rPr>
              <w:t>Proiectul a fost modificat</w:t>
            </w:r>
          </w:p>
          <w:p w14:paraId="76D08906" w14:textId="69ECD554" w:rsidR="00783D37" w:rsidRPr="006D0F0C" w:rsidRDefault="00783D37" w:rsidP="00783D37">
            <w:pPr>
              <w:pBdr>
                <w:top w:val="none" w:sz="4" w:space="0" w:color="000000"/>
                <w:left w:val="none" w:sz="4" w:space="0" w:color="000000"/>
                <w:bottom w:val="none" w:sz="4" w:space="0" w:color="000000"/>
                <w:right w:val="none" w:sz="4" w:space="0" w:color="000000"/>
              </w:pBdr>
              <w:tabs>
                <w:tab w:val="left" w:pos="313"/>
              </w:tabs>
              <w:ind w:firstLine="0"/>
              <w:rPr>
                <w:rFonts w:ascii="Times New Roman" w:hAnsi="Times New Roman"/>
                <w:sz w:val="22"/>
                <w:szCs w:val="22"/>
                <w:lang w:val="ro-MD"/>
              </w:rPr>
            </w:pPr>
            <w:r w:rsidRPr="006D0F0C">
              <w:rPr>
                <w:rFonts w:ascii="Times New Roman" w:hAnsi="Times New Roman"/>
                <w:sz w:val="22"/>
                <w:szCs w:val="22"/>
                <w:lang w:val="ro-MD"/>
              </w:rPr>
              <w:t>Anexa nr.4 din subpct.44.1.2 a devenit Anexa nr.5</w:t>
            </w:r>
          </w:p>
        </w:tc>
      </w:tr>
      <w:tr w:rsidR="006D0F0C" w:rsidRPr="006D0F0C" w14:paraId="2620718A" w14:textId="77777777" w:rsidTr="0004615A">
        <w:trPr>
          <w:trHeight w:val="1125"/>
        </w:trPr>
        <w:tc>
          <w:tcPr>
            <w:tcW w:w="231" w:type="pct"/>
            <w:tcBorders>
              <w:top w:val="single" w:sz="4" w:space="0" w:color="auto"/>
              <w:left w:val="single" w:sz="8" w:space="0" w:color="000000"/>
              <w:bottom w:val="single" w:sz="4" w:space="0" w:color="auto"/>
              <w:right w:val="single" w:sz="8" w:space="0" w:color="000000"/>
            </w:tcBorders>
          </w:tcPr>
          <w:p w14:paraId="6ACC2CDA" w14:textId="77777777" w:rsidR="00783D37" w:rsidRPr="006D0F0C" w:rsidRDefault="00783D37" w:rsidP="00783D37">
            <w:pPr>
              <w:pStyle w:val="Listparagraf"/>
              <w:numPr>
                <w:ilvl w:val="0"/>
                <w:numId w:val="2"/>
              </w:num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p>
          <w:p w14:paraId="0CFC07C0" w14:textId="292217D5" w:rsidR="00783D37" w:rsidRPr="006D0F0C" w:rsidRDefault="00783D37" w:rsidP="00783D37">
            <w:pPr>
              <w:jc w:val="center"/>
              <w:rPr>
                <w:rFonts w:ascii="Times New Roman" w:hAnsi="Times New Roman"/>
                <w:lang w:val="ro-MD"/>
              </w:rPr>
            </w:pPr>
            <w:r w:rsidRPr="006D0F0C">
              <w:rPr>
                <w:rFonts w:ascii="Times New Roman" w:hAnsi="Times New Roman"/>
                <w:lang w:val="ro-MD"/>
              </w:rPr>
              <w:t>7</w:t>
            </w:r>
            <w:r w:rsidRPr="006D0F0C">
              <w:rPr>
                <w:rFonts w:ascii="Times New Roman" w:hAnsi="Times New Roman"/>
                <w:b/>
                <w:bCs/>
                <w:sz w:val="24"/>
                <w:szCs w:val="24"/>
                <w:lang w:val="ro-MD"/>
              </w:rPr>
              <w:t>7.</w:t>
            </w:r>
          </w:p>
        </w:tc>
        <w:tc>
          <w:tcPr>
            <w:tcW w:w="511"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3BC205F3" w14:textId="4549EBB1" w:rsidR="00783D37" w:rsidRPr="006D0F0C" w:rsidRDefault="00783D37" w:rsidP="00783D37">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MD"/>
              </w:rPr>
            </w:pPr>
            <w:r w:rsidRPr="006D0F0C">
              <w:rPr>
                <w:rFonts w:ascii="Times New Roman" w:hAnsi="Times New Roman"/>
                <w:b/>
                <w:bCs/>
                <w:sz w:val="24"/>
                <w:szCs w:val="24"/>
                <w:lang w:val="ro-MD"/>
              </w:rPr>
              <w:t>Ministerul Mediului al Republicii Moldova</w:t>
            </w:r>
          </w:p>
        </w:tc>
        <w:tc>
          <w:tcPr>
            <w:tcW w:w="512"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D6B13C5" w14:textId="54578141" w:rsidR="00783D37" w:rsidRPr="006D0F0C" w:rsidRDefault="00783D37" w:rsidP="00783D3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MD"/>
              </w:rPr>
            </w:pPr>
            <w:r w:rsidRPr="006D0F0C">
              <w:rPr>
                <w:rFonts w:ascii="Times New Roman" w:hAnsi="Times New Roman"/>
                <w:b/>
                <w:sz w:val="24"/>
                <w:szCs w:val="24"/>
                <w:lang w:val="ro-MD"/>
              </w:rPr>
              <w:t>Nr.13-05/3383 din 12.12.2025</w:t>
            </w:r>
          </w:p>
        </w:tc>
        <w:tc>
          <w:tcPr>
            <w:tcW w:w="2505"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FE233E6" w14:textId="76C79C21" w:rsidR="00783D37" w:rsidRPr="006D0F0C" w:rsidRDefault="00783D37" w:rsidP="00783D37">
            <w:pPr>
              <w:pBdr>
                <w:top w:val="none" w:sz="4" w:space="0" w:color="000000"/>
                <w:left w:val="none" w:sz="4" w:space="0" w:color="000000"/>
                <w:bottom w:val="none" w:sz="4" w:space="0" w:color="000000"/>
                <w:right w:val="none" w:sz="4" w:space="0" w:color="000000"/>
              </w:pBdr>
              <w:tabs>
                <w:tab w:val="left" w:pos="0"/>
              </w:tabs>
              <w:ind w:firstLine="0"/>
              <w:rPr>
                <w:rFonts w:ascii="Times New Roman" w:hAnsi="Times New Roman"/>
                <w:sz w:val="24"/>
                <w:szCs w:val="24"/>
                <w:lang w:val="ro-MD"/>
              </w:rPr>
            </w:pPr>
            <w:r w:rsidRPr="006D0F0C">
              <w:rPr>
                <w:rFonts w:ascii="Times New Roman" w:hAnsi="Times New Roman"/>
                <w:sz w:val="24"/>
                <w:szCs w:val="24"/>
                <w:lang w:val="ro-MD"/>
              </w:rPr>
              <w:t xml:space="preserve">În clauza de armonizare este menționată referința CELEX: 32012R0528, care vizează produsele </w:t>
            </w:r>
            <w:proofErr w:type="spellStart"/>
            <w:r w:rsidRPr="006D0F0C">
              <w:rPr>
                <w:rFonts w:ascii="Times New Roman" w:hAnsi="Times New Roman"/>
                <w:sz w:val="24"/>
                <w:szCs w:val="24"/>
                <w:lang w:val="ro-MD"/>
              </w:rPr>
              <w:t>biocide</w:t>
            </w:r>
            <w:proofErr w:type="spellEnd"/>
            <w:r w:rsidRPr="006D0F0C">
              <w:rPr>
                <w:rFonts w:ascii="Times New Roman" w:hAnsi="Times New Roman"/>
                <w:sz w:val="24"/>
                <w:szCs w:val="24"/>
                <w:lang w:val="ro-MD"/>
              </w:rPr>
              <w:t xml:space="preserve"> și nu are legătură cu domeniul apei de îmbăiere. Respectiv, pentru acuratețea transpunerii și claritatea actului, se recomandă excluderea acestei trimiteri.</w:t>
            </w:r>
          </w:p>
        </w:tc>
        <w:tc>
          <w:tcPr>
            <w:tcW w:w="1241"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19F5EBF" w14:textId="77777777" w:rsidR="00783D37" w:rsidRPr="006D0F0C" w:rsidRDefault="00783D37" w:rsidP="00783D37">
            <w:pPr>
              <w:pBdr>
                <w:top w:val="none" w:sz="4" w:space="0" w:color="000000"/>
                <w:left w:val="none" w:sz="4" w:space="0" w:color="000000"/>
                <w:bottom w:val="none" w:sz="4" w:space="0" w:color="000000"/>
                <w:right w:val="none" w:sz="4" w:space="0" w:color="000000"/>
              </w:pBdr>
              <w:tabs>
                <w:tab w:val="left" w:pos="313"/>
              </w:tabs>
              <w:ind w:firstLine="0"/>
              <w:rPr>
                <w:rFonts w:ascii="Times New Roman" w:hAnsi="Times New Roman"/>
                <w:b/>
                <w:bCs/>
                <w:sz w:val="22"/>
                <w:szCs w:val="22"/>
                <w:lang w:val="ro-MD"/>
              </w:rPr>
            </w:pPr>
            <w:r w:rsidRPr="006D0F0C">
              <w:rPr>
                <w:rFonts w:ascii="Times New Roman" w:hAnsi="Times New Roman"/>
                <w:b/>
                <w:bCs/>
                <w:sz w:val="22"/>
                <w:szCs w:val="22"/>
                <w:lang w:val="ro-MD"/>
              </w:rPr>
              <w:t>Se acceptă.</w:t>
            </w:r>
          </w:p>
          <w:p w14:paraId="1A02AC31" w14:textId="77777777" w:rsidR="00783D37" w:rsidRPr="006D0F0C" w:rsidRDefault="00783D37" w:rsidP="00783D37">
            <w:pPr>
              <w:pBdr>
                <w:top w:val="none" w:sz="4" w:space="0" w:color="000000"/>
                <w:left w:val="none" w:sz="4" w:space="0" w:color="000000"/>
                <w:bottom w:val="none" w:sz="4" w:space="0" w:color="000000"/>
                <w:right w:val="none" w:sz="4" w:space="0" w:color="000000"/>
              </w:pBdr>
              <w:tabs>
                <w:tab w:val="left" w:pos="313"/>
              </w:tabs>
              <w:ind w:firstLine="0"/>
              <w:rPr>
                <w:rFonts w:ascii="Times New Roman" w:hAnsi="Times New Roman"/>
                <w:sz w:val="24"/>
                <w:szCs w:val="24"/>
                <w:lang w:val="ro-MD"/>
              </w:rPr>
            </w:pPr>
            <w:r w:rsidRPr="006D0F0C">
              <w:rPr>
                <w:rFonts w:ascii="Times New Roman" w:hAnsi="Times New Roman"/>
                <w:sz w:val="24"/>
                <w:szCs w:val="24"/>
                <w:lang w:val="ro-MD"/>
              </w:rPr>
              <w:t>Proiectul a fost modificat</w:t>
            </w:r>
          </w:p>
          <w:p w14:paraId="13EDD566" w14:textId="77777777" w:rsidR="00783D37" w:rsidRPr="006D0F0C" w:rsidRDefault="00783D37" w:rsidP="00783D37">
            <w:pPr>
              <w:pBdr>
                <w:top w:val="none" w:sz="4" w:space="0" w:color="000000"/>
                <w:left w:val="none" w:sz="4" w:space="0" w:color="000000"/>
                <w:bottom w:val="none" w:sz="4" w:space="0" w:color="000000"/>
                <w:right w:val="none" w:sz="4" w:space="0" w:color="000000"/>
              </w:pBdr>
              <w:tabs>
                <w:tab w:val="left" w:pos="313"/>
              </w:tabs>
              <w:ind w:firstLine="0"/>
              <w:rPr>
                <w:rFonts w:ascii="Times New Roman" w:hAnsi="Times New Roman"/>
                <w:b/>
                <w:bCs/>
                <w:sz w:val="22"/>
                <w:szCs w:val="22"/>
                <w:lang w:val="ro-MD"/>
              </w:rPr>
            </w:pPr>
          </w:p>
        </w:tc>
      </w:tr>
      <w:tr w:rsidR="006D0F0C" w:rsidRPr="006D0F0C" w14:paraId="00153E50" w14:textId="77777777" w:rsidTr="0004615A">
        <w:trPr>
          <w:trHeight w:val="1978"/>
        </w:trPr>
        <w:tc>
          <w:tcPr>
            <w:tcW w:w="231" w:type="pct"/>
            <w:tcBorders>
              <w:top w:val="single" w:sz="4" w:space="0" w:color="auto"/>
              <w:left w:val="single" w:sz="8" w:space="0" w:color="000000"/>
              <w:bottom w:val="single" w:sz="4" w:space="0" w:color="auto"/>
              <w:right w:val="single" w:sz="8" w:space="0" w:color="000000"/>
            </w:tcBorders>
          </w:tcPr>
          <w:p w14:paraId="7C343008" w14:textId="77777777" w:rsidR="00783D37" w:rsidRPr="006D0F0C" w:rsidRDefault="00783D37" w:rsidP="00783D37">
            <w:pPr>
              <w:pStyle w:val="Listparagraf"/>
              <w:numPr>
                <w:ilvl w:val="0"/>
                <w:numId w:val="2"/>
              </w:num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p>
        </w:tc>
        <w:tc>
          <w:tcPr>
            <w:tcW w:w="511"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7923AD98" w14:textId="77777777" w:rsidR="00783D37" w:rsidRPr="006D0F0C" w:rsidRDefault="00783D37" w:rsidP="00783D37">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p>
        </w:tc>
        <w:tc>
          <w:tcPr>
            <w:tcW w:w="512"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8C7A8D0" w14:textId="77777777" w:rsidR="00783D37" w:rsidRPr="006D0F0C" w:rsidRDefault="00783D37" w:rsidP="00783D37">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p>
        </w:tc>
        <w:tc>
          <w:tcPr>
            <w:tcW w:w="2505"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EA4127F" w14:textId="2D8FB488" w:rsidR="00783D37" w:rsidRPr="006D0F0C" w:rsidRDefault="00783D37" w:rsidP="00783D37">
            <w:pPr>
              <w:pBdr>
                <w:top w:val="none" w:sz="4" w:space="0" w:color="000000"/>
                <w:left w:val="none" w:sz="4" w:space="0" w:color="000000"/>
                <w:bottom w:val="none" w:sz="4" w:space="0" w:color="000000"/>
                <w:right w:val="none" w:sz="4" w:space="0" w:color="000000"/>
              </w:pBdr>
              <w:tabs>
                <w:tab w:val="left" w:pos="0"/>
              </w:tabs>
              <w:ind w:firstLine="0"/>
              <w:rPr>
                <w:rFonts w:ascii="Times New Roman" w:hAnsi="Times New Roman"/>
                <w:sz w:val="24"/>
                <w:szCs w:val="24"/>
                <w:lang w:val="ro-MD"/>
              </w:rPr>
            </w:pPr>
            <w:r w:rsidRPr="006D0F0C">
              <w:rPr>
                <w:rFonts w:ascii="Times New Roman" w:hAnsi="Times New Roman"/>
                <w:sz w:val="24"/>
                <w:szCs w:val="24"/>
                <w:lang w:val="ro-MD"/>
              </w:rPr>
              <w:t>În pct. 6, abrevierea „ANAM” atribuită Instituției Publice Administrația Națională „Apele Moldovei” nu corespunde denumirii oficiale stabilite prin Anexa nr. 1 la Hotărârea Guvernului nr. 849/2024 Regulamentul cu privire la organizarea și funcționarea Instituției Publice Administrația Națională „Apele Moldovei”. Pentru conformitate juridică și evitarea interpretărilor eronate, se recomandă utilizarea abrevierii corecte, prevăzută în actul de înființare și organizare a instituției.</w:t>
            </w:r>
          </w:p>
        </w:tc>
        <w:tc>
          <w:tcPr>
            <w:tcW w:w="1241"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BE6747D" w14:textId="437F7EBE" w:rsidR="00783D37" w:rsidRPr="006D0F0C" w:rsidRDefault="00783D37" w:rsidP="00783D37">
            <w:pPr>
              <w:pBdr>
                <w:top w:val="none" w:sz="4" w:space="0" w:color="000000"/>
                <w:left w:val="none" w:sz="4" w:space="0" w:color="000000"/>
                <w:bottom w:val="none" w:sz="4" w:space="0" w:color="000000"/>
                <w:right w:val="none" w:sz="4" w:space="0" w:color="000000"/>
              </w:pBdr>
              <w:tabs>
                <w:tab w:val="left" w:pos="313"/>
              </w:tabs>
              <w:ind w:firstLine="0"/>
              <w:rPr>
                <w:rFonts w:ascii="Times New Roman" w:hAnsi="Times New Roman"/>
                <w:b/>
                <w:bCs/>
                <w:sz w:val="22"/>
                <w:szCs w:val="22"/>
                <w:lang w:val="ro-MD"/>
              </w:rPr>
            </w:pPr>
            <w:r w:rsidRPr="006D0F0C">
              <w:rPr>
                <w:rFonts w:ascii="Times New Roman" w:hAnsi="Times New Roman"/>
                <w:b/>
                <w:bCs/>
                <w:sz w:val="22"/>
                <w:szCs w:val="22"/>
                <w:lang w:val="ro-MD"/>
              </w:rPr>
              <w:t>Se acceptă .</w:t>
            </w:r>
          </w:p>
          <w:p w14:paraId="730FADEF" w14:textId="27338A1D" w:rsidR="00783D37" w:rsidRPr="006D0F0C" w:rsidRDefault="00783D37" w:rsidP="00783D37">
            <w:pPr>
              <w:pBdr>
                <w:top w:val="none" w:sz="4" w:space="0" w:color="000000"/>
                <w:left w:val="none" w:sz="4" w:space="0" w:color="000000"/>
                <w:bottom w:val="none" w:sz="4" w:space="0" w:color="000000"/>
                <w:right w:val="none" w:sz="4" w:space="0" w:color="000000"/>
              </w:pBdr>
              <w:tabs>
                <w:tab w:val="left" w:pos="313"/>
              </w:tabs>
              <w:ind w:firstLine="0"/>
              <w:rPr>
                <w:rFonts w:ascii="Times New Roman" w:hAnsi="Times New Roman"/>
                <w:sz w:val="24"/>
                <w:szCs w:val="24"/>
                <w:lang w:val="ro-MD"/>
              </w:rPr>
            </w:pPr>
            <w:r w:rsidRPr="006D0F0C">
              <w:rPr>
                <w:rFonts w:ascii="Times New Roman" w:hAnsi="Times New Roman"/>
                <w:sz w:val="24"/>
                <w:szCs w:val="24"/>
                <w:lang w:val="ro-MD"/>
              </w:rPr>
              <w:t xml:space="preserve">Punctul a ajustat în </w:t>
            </w:r>
            <w:proofErr w:type="spellStart"/>
            <w:r w:rsidRPr="006D0F0C">
              <w:rPr>
                <w:rFonts w:ascii="Times New Roman" w:hAnsi="Times New Roman"/>
                <w:sz w:val="24"/>
                <w:szCs w:val="24"/>
                <w:lang w:val="ro-MD"/>
              </w:rPr>
              <w:t>confomitate</w:t>
            </w:r>
            <w:proofErr w:type="spellEnd"/>
            <w:r w:rsidRPr="006D0F0C">
              <w:rPr>
                <w:rFonts w:ascii="Times New Roman" w:hAnsi="Times New Roman"/>
                <w:sz w:val="24"/>
                <w:szCs w:val="24"/>
                <w:lang w:val="ro-MD"/>
              </w:rPr>
              <w:t xml:space="preserve"> cu prevederile Legii Nr. 100/2017 cu privire la actele normative.</w:t>
            </w:r>
          </w:p>
          <w:p w14:paraId="0766714D" w14:textId="77777777" w:rsidR="00783D37" w:rsidRPr="006D0F0C" w:rsidRDefault="00783D37" w:rsidP="00783D37">
            <w:pPr>
              <w:pBdr>
                <w:top w:val="none" w:sz="4" w:space="0" w:color="000000"/>
                <w:left w:val="none" w:sz="4" w:space="0" w:color="000000"/>
                <w:bottom w:val="none" w:sz="4" w:space="0" w:color="000000"/>
                <w:right w:val="none" w:sz="4" w:space="0" w:color="000000"/>
              </w:pBdr>
              <w:tabs>
                <w:tab w:val="left" w:pos="313"/>
              </w:tabs>
              <w:ind w:firstLine="0"/>
              <w:rPr>
                <w:rFonts w:ascii="Times New Roman" w:hAnsi="Times New Roman"/>
                <w:b/>
                <w:bCs/>
                <w:sz w:val="22"/>
                <w:szCs w:val="22"/>
                <w:lang w:val="ro-MD"/>
              </w:rPr>
            </w:pPr>
          </w:p>
        </w:tc>
      </w:tr>
      <w:tr w:rsidR="006D0F0C" w:rsidRPr="006D0F0C" w14:paraId="5C27436D" w14:textId="77777777" w:rsidTr="0004615A">
        <w:trPr>
          <w:trHeight w:val="2404"/>
        </w:trPr>
        <w:tc>
          <w:tcPr>
            <w:tcW w:w="231" w:type="pct"/>
            <w:tcBorders>
              <w:top w:val="single" w:sz="4" w:space="0" w:color="auto"/>
              <w:left w:val="single" w:sz="8" w:space="0" w:color="000000"/>
              <w:bottom w:val="single" w:sz="4" w:space="0" w:color="auto"/>
              <w:right w:val="single" w:sz="8" w:space="0" w:color="000000"/>
            </w:tcBorders>
          </w:tcPr>
          <w:p w14:paraId="7A7520CA" w14:textId="77777777" w:rsidR="00783D37" w:rsidRPr="006D0F0C" w:rsidRDefault="00783D37" w:rsidP="00783D37">
            <w:pPr>
              <w:pStyle w:val="Listparagraf"/>
              <w:numPr>
                <w:ilvl w:val="0"/>
                <w:numId w:val="2"/>
              </w:num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p>
        </w:tc>
        <w:tc>
          <w:tcPr>
            <w:tcW w:w="511"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7A77DA0B" w14:textId="77777777" w:rsidR="00783D37" w:rsidRPr="006D0F0C" w:rsidRDefault="00783D37" w:rsidP="00783D37">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p>
        </w:tc>
        <w:tc>
          <w:tcPr>
            <w:tcW w:w="512"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2F4D127" w14:textId="77777777" w:rsidR="00783D37" w:rsidRPr="006D0F0C" w:rsidRDefault="00783D37" w:rsidP="00783D37">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p>
        </w:tc>
        <w:tc>
          <w:tcPr>
            <w:tcW w:w="2505"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508BA6E" w14:textId="48083956" w:rsidR="00783D37" w:rsidRPr="006D0F0C" w:rsidRDefault="00783D37" w:rsidP="00783D37">
            <w:pPr>
              <w:pBdr>
                <w:top w:val="none" w:sz="4" w:space="0" w:color="000000"/>
                <w:left w:val="none" w:sz="4" w:space="0" w:color="000000"/>
                <w:bottom w:val="none" w:sz="4" w:space="0" w:color="000000"/>
                <w:right w:val="none" w:sz="4" w:space="0" w:color="000000"/>
              </w:pBdr>
              <w:tabs>
                <w:tab w:val="left" w:pos="0"/>
              </w:tabs>
              <w:ind w:firstLine="0"/>
              <w:rPr>
                <w:rFonts w:ascii="Times New Roman" w:hAnsi="Times New Roman"/>
                <w:sz w:val="24"/>
                <w:szCs w:val="24"/>
                <w:lang w:val="ro-MD"/>
              </w:rPr>
            </w:pPr>
            <w:r w:rsidRPr="006D0F0C">
              <w:rPr>
                <w:rFonts w:ascii="Times New Roman" w:hAnsi="Times New Roman"/>
                <w:sz w:val="24"/>
                <w:szCs w:val="24"/>
                <w:lang w:val="ro-MD"/>
              </w:rPr>
              <w:t>La pct. 11, transpunerea prevederilor art. 4 alin. (5) din Directiva 2006/7/CE este realizată doar parțial. Textul proiectului menționează exclusiv utilizarea rezultatelor monitorizării pentru elaborarea setului de date pe 4 ani, însă nu face trimitere la anexa nr. 3 (corespunzătoare anexei IV din directivă), care stabilește frecvența monitorizării ce fundamentează seturile de date privind calitatea apei de îmbăiere. Astfel, se recomandă completarea pct. 11 cu o trimitere explicită la anexa nr. 3 pentru clarificarea etapelor și frecvenței monitorizării.</w:t>
            </w:r>
          </w:p>
        </w:tc>
        <w:tc>
          <w:tcPr>
            <w:tcW w:w="1241"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E9ACE77" w14:textId="77777777" w:rsidR="00783D37" w:rsidRPr="006D0F0C" w:rsidRDefault="00783D37" w:rsidP="00783D37">
            <w:pPr>
              <w:pBdr>
                <w:top w:val="none" w:sz="4" w:space="0" w:color="000000"/>
                <w:left w:val="none" w:sz="4" w:space="0" w:color="000000"/>
                <w:bottom w:val="none" w:sz="4" w:space="0" w:color="000000"/>
                <w:right w:val="none" w:sz="4" w:space="0" w:color="000000"/>
              </w:pBdr>
              <w:tabs>
                <w:tab w:val="left" w:pos="313"/>
              </w:tabs>
              <w:ind w:firstLine="0"/>
              <w:rPr>
                <w:rFonts w:ascii="Times New Roman" w:hAnsi="Times New Roman"/>
                <w:b/>
                <w:bCs/>
                <w:sz w:val="22"/>
                <w:szCs w:val="22"/>
                <w:lang w:val="ro-MD"/>
              </w:rPr>
            </w:pPr>
            <w:r w:rsidRPr="006D0F0C">
              <w:rPr>
                <w:rFonts w:ascii="Times New Roman" w:hAnsi="Times New Roman"/>
                <w:b/>
                <w:bCs/>
                <w:sz w:val="22"/>
                <w:szCs w:val="22"/>
                <w:lang w:val="ro-MD"/>
              </w:rPr>
              <w:t>Se acceptă.</w:t>
            </w:r>
          </w:p>
          <w:p w14:paraId="33EF6321" w14:textId="77777777" w:rsidR="00783D37" w:rsidRPr="006D0F0C" w:rsidRDefault="00783D37" w:rsidP="00783D37">
            <w:pPr>
              <w:pBdr>
                <w:top w:val="none" w:sz="4" w:space="0" w:color="000000"/>
                <w:left w:val="none" w:sz="4" w:space="0" w:color="000000"/>
                <w:bottom w:val="none" w:sz="4" w:space="0" w:color="000000"/>
                <w:right w:val="none" w:sz="4" w:space="0" w:color="000000"/>
              </w:pBdr>
              <w:tabs>
                <w:tab w:val="left" w:pos="313"/>
              </w:tabs>
              <w:ind w:firstLine="0"/>
              <w:rPr>
                <w:rFonts w:ascii="Times New Roman" w:hAnsi="Times New Roman"/>
                <w:sz w:val="24"/>
                <w:szCs w:val="24"/>
                <w:lang w:val="ro-MD"/>
              </w:rPr>
            </w:pPr>
            <w:r w:rsidRPr="006D0F0C">
              <w:rPr>
                <w:rFonts w:ascii="Times New Roman" w:hAnsi="Times New Roman"/>
                <w:sz w:val="24"/>
                <w:szCs w:val="24"/>
                <w:lang w:val="ro-MD"/>
              </w:rPr>
              <w:t>Proiectul a fost modificat</w:t>
            </w:r>
          </w:p>
          <w:p w14:paraId="1AE4F211" w14:textId="77777777" w:rsidR="00783D37" w:rsidRPr="006D0F0C" w:rsidRDefault="00783D37" w:rsidP="00783D37">
            <w:pPr>
              <w:pBdr>
                <w:top w:val="none" w:sz="4" w:space="0" w:color="000000"/>
                <w:left w:val="none" w:sz="4" w:space="0" w:color="000000"/>
                <w:bottom w:val="none" w:sz="4" w:space="0" w:color="000000"/>
                <w:right w:val="none" w:sz="4" w:space="0" w:color="000000"/>
              </w:pBdr>
              <w:tabs>
                <w:tab w:val="left" w:pos="313"/>
              </w:tabs>
              <w:ind w:firstLine="0"/>
              <w:rPr>
                <w:rFonts w:ascii="Times New Roman" w:hAnsi="Times New Roman"/>
                <w:b/>
                <w:bCs/>
                <w:sz w:val="22"/>
                <w:szCs w:val="22"/>
                <w:lang w:val="ro-MD"/>
              </w:rPr>
            </w:pPr>
          </w:p>
        </w:tc>
      </w:tr>
      <w:tr w:rsidR="006D0F0C" w:rsidRPr="006D0F0C" w14:paraId="6FCCB7B3" w14:textId="77777777" w:rsidTr="0004615A">
        <w:trPr>
          <w:trHeight w:val="559"/>
        </w:trPr>
        <w:tc>
          <w:tcPr>
            <w:tcW w:w="231" w:type="pct"/>
            <w:tcBorders>
              <w:top w:val="single" w:sz="4" w:space="0" w:color="auto"/>
              <w:left w:val="single" w:sz="8" w:space="0" w:color="000000"/>
              <w:bottom w:val="single" w:sz="4" w:space="0" w:color="auto"/>
              <w:right w:val="single" w:sz="8" w:space="0" w:color="000000"/>
            </w:tcBorders>
          </w:tcPr>
          <w:p w14:paraId="5526D232" w14:textId="77777777" w:rsidR="0004615A" w:rsidRPr="006D0F0C" w:rsidRDefault="0004615A" w:rsidP="0004615A">
            <w:pPr>
              <w:pStyle w:val="Listparagraf"/>
              <w:numPr>
                <w:ilvl w:val="0"/>
                <w:numId w:val="2"/>
              </w:num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p>
        </w:tc>
        <w:tc>
          <w:tcPr>
            <w:tcW w:w="511"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4D5AA5E6" w14:textId="77777777" w:rsidR="0004615A" w:rsidRPr="006D0F0C" w:rsidRDefault="0004615A" w:rsidP="0004615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p>
        </w:tc>
        <w:tc>
          <w:tcPr>
            <w:tcW w:w="512"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99B4B50" w14:textId="77777777" w:rsidR="0004615A" w:rsidRPr="006D0F0C" w:rsidRDefault="0004615A" w:rsidP="0004615A">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p>
        </w:tc>
        <w:tc>
          <w:tcPr>
            <w:tcW w:w="2505"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AD947C9" w14:textId="77777777" w:rsidR="0004615A" w:rsidRPr="006D0F0C" w:rsidRDefault="0004615A" w:rsidP="0004615A">
            <w:pPr>
              <w:pBdr>
                <w:top w:val="none" w:sz="4" w:space="0" w:color="000000"/>
                <w:left w:val="none" w:sz="4" w:space="0" w:color="000000"/>
                <w:bottom w:val="none" w:sz="4" w:space="0" w:color="000000"/>
                <w:right w:val="none" w:sz="4" w:space="0" w:color="000000"/>
              </w:pBdr>
              <w:tabs>
                <w:tab w:val="left" w:pos="0"/>
              </w:tabs>
              <w:ind w:firstLine="0"/>
              <w:rPr>
                <w:rFonts w:ascii="Times New Roman" w:hAnsi="Times New Roman"/>
                <w:sz w:val="24"/>
                <w:szCs w:val="24"/>
                <w:lang w:val="ro-MD"/>
              </w:rPr>
            </w:pPr>
            <w:r w:rsidRPr="006D0F0C">
              <w:rPr>
                <w:rFonts w:ascii="Times New Roman" w:hAnsi="Times New Roman"/>
                <w:sz w:val="24"/>
                <w:szCs w:val="24"/>
                <w:lang w:val="ro-MD"/>
              </w:rPr>
              <w:t>La pct. 15 este o transpunere parțială a art. 3(9) din directiva 2006/7/CE care</w:t>
            </w:r>
          </w:p>
          <w:p w14:paraId="45A4FEF9" w14:textId="5CA3BE03" w:rsidR="0004615A" w:rsidRPr="006D0F0C" w:rsidRDefault="0004615A" w:rsidP="0004615A">
            <w:pPr>
              <w:pBdr>
                <w:top w:val="none" w:sz="4" w:space="0" w:color="000000"/>
                <w:left w:val="none" w:sz="4" w:space="0" w:color="000000"/>
                <w:bottom w:val="none" w:sz="4" w:space="0" w:color="000000"/>
                <w:right w:val="none" w:sz="4" w:space="0" w:color="000000"/>
              </w:pBdr>
              <w:tabs>
                <w:tab w:val="left" w:pos="0"/>
              </w:tabs>
              <w:ind w:firstLine="0"/>
              <w:rPr>
                <w:rFonts w:ascii="Times New Roman" w:hAnsi="Times New Roman"/>
                <w:sz w:val="24"/>
                <w:szCs w:val="24"/>
                <w:lang w:val="ro-MD"/>
              </w:rPr>
            </w:pPr>
            <w:r w:rsidRPr="006D0F0C">
              <w:rPr>
                <w:rFonts w:ascii="Times New Roman" w:hAnsi="Times New Roman"/>
                <w:sz w:val="24"/>
                <w:szCs w:val="24"/>
                <w:lang w:val="ro-MD"/>
              </w:rPr>
              <w:t>prevede explicit obligativitatea demonstrației de echivalență, a autorizării metodelor alternative și a informării Comisiei. Proiectul prevede doar „…sau alte standard echivalente acceptate la nivel internațional.” În acest context, se recomandă completarea pct. 15 cu prevederi privind demonstrarea echivalenței și mecanismul de transmitere către Comisie a informațiilor privind metodele utilizate.</w:t>
            </w:r>
          </w:p>
        </w:tc>
        <w:tc>
          <w:tcPr>
            <w:tcW w:w="1241"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0BD6AAF" w14:textId="77777777" w:rsidR="0004615A" w:rsidRPr="006D0F0C" w:rsidRDefault="0004615A" w:rsidP="0004615A">
            <w:pPr>
              <w:pBdr>
                <w:top w:val="none" w:sz="4" w:space="0" w:color="000000"/>
                <w:left w:val="none" w:sz="4" w:space="0" w:color="000000"/>
                <w:bottom w:val="none" w:sz="4" w:space="0" w:color="000000"/>
                <w:right w:val="none" w:sz="4" w:space="0" w:color="000000"/>
              </w:pBdr>
              <w:tabs>
                <w:tab w:val="left" w:pos="313"/>
              </w:tabs>
              <w:ind w:firstLine="0"/>
              <w:rPr>
                <w:rFonts w:ascii="Times New Roman" w:hAnsi="Times New Roman"/>
                <w:b/>
                <w:bCs/>
                <w:sz w:val="22"/>
                <w:szCs w:val="22"/>
                <w:lang w:val="ro-MD"/>
              </w:rPr>
            </w:pPr>
            <w:r w:rsidRPr="006D0F0C">
              <w:rPr>
                <w:rFonts w:ascii="Times New Roman" w:hAnsi="Times New Roman"/>
                <w:b/>
                <w:bCs/>
                <w:sz w:val="22"/>
                <w:szCs w:val="22"/>
                <w:lang w:val="ro-MD"/>
              </w:rPr>
              <w:t>Se acceptă.</w:t>
            </w:r>
          </w:p>
          <w:p w14:paraId="4DB27D23" w14:textId="77777777" w:rsidR="0004615A" w:rsidRPr="006D0F0C" w:rsidRDefault="0004615A" w:rsidP="0004615A">
            <w:pPr>
              <w:pBdr>
                <w:top w:val="none" w:sz="4" w:space="0" w:color="000000"/>
                <w:left w:val="none" w:sz="4" w:space="0" w:color="000000"/>
                <w:bottom w:val="none" w:sz="4" w:space="0" w:color="000000"/>
                <w:right w:val="none" w:sz="4" w:space="0" w:color="000000"/>
              </w:pBdr>
              <w:tabs>
                <w:tab w:val="left" w:pos="313"/>
              </w:tabs>
              <w:ind w:firstLine="0"/>
              <w:rPr>
                <w:rFonts w:ascii="Times New Roman" w:hAnsi="Times New Roman"/>
                <w:sz w:val="24"/>
                <w:szCs w:val="24"/>
                <w:lang w:val="ro-MD"/>
              </w:rPr>
            </w:pPr>
            <w:r w:rsidRPr="006D0F0C">
              <w:rPr>
                <w:rFonts w:ascii="Times New Roman" w:hAnsi="Times New Roman"/>
                <w:sz w:val="24"/>
                <w:szCs w:val="24"/>
                <w:lang w:val="ro-MD"/>
              </w:rPr>
              <w:t>Proiectul a fost modificat</w:t>
            </w:r>
          </w:p>
          <w:p w14:paraId="65D67829" w14:textId="77777777" w:rsidR="0004615A" w:rsidRPr="006D0F0C" w:rsidRDefault="0004615A" w:rsidP="0004615A">
            <w:pPr>
              <w:pBdr>
                <w:top w:val="none" w:sz="4" w:space="0" w:color="000000"/>
                <w:left w:val="none" w:sz="4" w:space="0" w:color="000000"/>
                <w:bottom w:val="none" w:sz="4" w:space="0" w:color="000000"/>
                <w:right w:val="none" w:sz="4" w:space="0" w:color="000000"/>
              </w:pBdr>
              <w:tabs>
                <w:tab w:val="left" w:pos="313"/>
              </w:tabs>
              <w:ind w:firstLine="0"/>
              <w:rPr>
                <w:rFonts w:ascii="Times New Roman" w:hAnsi="Times New Roman"/>
                <w:b/>
                <w:bCs/>
                <w:sz w:val="22"/>
                <w:szCs w:val="22"/>
                <w:lang w:val="ro-MD"/>
              </w:rPr>
            </w:pPr>
          </w:p>
        </w:tc>
      </w:tr>
      <w:tr w:rsidR="006D0F0C" w:rsidRPr="006D0F0C" w14:paraId="4CD9F048" w14:textId="77777777" w:rsidTr="005D14D7">
        <w:trPr>
          <w:trHeight w:val="3810"/>
        </w:trPr>
        <w:tc>
          <w:tcPr>
            <w:tcW w:w="231" w:type="pct"/>
            <w:tcBorders>
              <w:top w:val="single" w:sz="4" w:space="0" w:color="auto"/>
              <w:left w:val="single" w:sz="8" w:space="0" w:color="000000"/>
              <w:bottom w:val="single" w:sz="4" w:space="0" w:color="auto"/>
              <w:right w:val="single" w:sz="8" w:space="0" w:color="000000"/>
            </w:tcBorders>
          </w:tcPr>
          <w:p w14:paraId="48BDD950" w14:textId="77777777" w:rsidR="0004615A" w:rsidRPr="006D0F0C" w:rsidRDefault="0004615A" w:rsidP="0004615A">
            <w:pPr>
              <w:pStyle w:val="Listparagraf"/>
              <w:numPr>
                <w:ilvl w:val="0"/>
                <w:numId w:val="2"/>
              </w:num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p>
        </w:tc>
        <w:tc>
          <w:tcPr>
            <w:tcW w:w="511"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3646A42F" w14:textId="77777777" w:rsidR="0004615A" w:rsidRPr="006D0F0C" w:rsidRDefault="0004615A" w:rsidP="0004615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p>
        </w:tc>
        <w:tc>
          <w:tcPr>
            <w:tcW w:w="512"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F157BE9" w14:textId="77777777" w:rsidR="0004615A" w:rsidRPr="006D0F0C" w:rsidRDefault="0004615A" w:rsidP="0004615A">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MD"/>
              </w:rPr>
            </w:pPr>
          </w:p>
        </w:tc>
        <w:tc>
          <w:tcPr>
            <w:tcW w:w="2505"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63F7583" w14:textId="40AF4AF0" w:rsidR="0004615A" w:rsidRPr="006D0F0C" w:rsidRDefault="0004615A" w:rsidP="0004615A">
            <w:pPr>
              <w:pBdr>
                <w:top w:val="none" w:sz="4" w:space="0" w:color="000000"/>
                <w:left w:val="none" w:sz="4" w:space="0" w:color="000000"/>
                <w:bottom w:val="none" w:sz="4" w:space="0" w:color="000000"/>
                <w:right w:val="none" w:sz="4" w:space="0" w:color="000000"/>
              </w:pBdr>
              <w:tabs>
                <w:tab w:val="left" w:pos="0"/>
              </w:tabs>
              <w:ind w:firstLine="0"/>
              <w:rPr>
                <w:rFonts w:ascii="Times New Roman" w:hAnsi="Times New Roman"/>
                <w:sz w:val="24"/>
                <w:szCs w:val="24"/>
                <w:lang w:val="ro-MD"/>
              </w:rPr>
            </w:pPr>
            <w:r w:rsidRPr="006D0F0C">
              <w:rPr>
                <w:rFonts w:ascii="Times New Roman" w:hAnsi="Times New Roman"/>
                <w:sz w:val="24"/>
                <w:szCs w:val="24"/>
                <w:lang w:val="ro-MD"/>
              </w:rPr>
              <w:t>La pct. 18–19, transpunerea art. 4 alin. (2) teza finală din Directiva 2006/7/CE este realizată doar parțial. Directiva prevede atât informarea prealabilă a Comisiei atunci când evaluarea se efectuează pe baza ultimelor 3 sezoane, cât și informarea Comisiei în cazul revenirii la evaluarea pe 4 sezoane, precum și limitarea modificării duratei perioadei de evaluare la cel mult o dată la 5 ani. Textul proiectului reglementează doar informarea prealabilă, fără a include aceste obligații suplimentare. Totodată, trimiterea din pct. 19 ”– este eronată și necesită corectare, întrucât se referă la evaluarea prevăzută la pct. 18. Se recomandă completarea pct. 19 prin includerea obligației de informare a Comisiei și în cazul revenirii la evaluarea pe baza a patru sezoane, menționarea limitării prevăzute de directivă potrivit căreia modificarea perioadei de evaluare poate avea loc cel mult o dată la cinci ani, precum și corectarea trimiterii interne prin înlocuirea formulării „evaluarea prevăzută la pct. 19” cu „evaluarea prevăzută la pct. 18”</w:t>
            </w:r>
          </w:p>
        </w:tc>
        <w:tc>
          <w:tcPr>
            <w:tcW w:w="1241"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AA6FD19" w14:textId="77777777" w:rsidR="0004615A" w:rsidRPr="006D0F0C" w:rsidRDefault="0004615A" w:rsidP="0004615A">
            <w:pPr>
              <w:pBdr>
                <w:top w:val="none" w:sz="4" w:space="0" w:color="000000"/>
                <w:left w:val="none" w:sz="4" w:space="0" w:color="000000"/>
                <w:bottom w:val="none" w:sz="4" w:space="0" w:color="000000"/>
                <w:right w:val="none" w:sz="4" w:space="0" w:color="000000"/>
              </w:pBdr>
              <w:tabs>
                <w:tab w:val="left" w:pos="313"/>
              </w:tabs>
              <w:ind w:firstLine="0"/>
              <w:rPr>
                <w:rFonts w:ascii="Times New Roman" w:hAnsi="Times New Roman"/>
                <w:b/>
                <w:bCs/>
                <w:sz w:val="22"/>
                <w:szCs w:val="22"/>
                <w:lang w:val="ro-MD"/>
              </w:rPr>
            </w:pPr>
            <w:r w:rsidRPr="006D0F0C">
              <w:rPr>
                <w:rFonts w:ascii="Times New Roman" w:hAnsi="Times New Roman"/>
                <w:b/>
                <w:bCs/>
                <w:sz w:val="22"/>
                <w:szCs w:val="22"/>
                <w:lang w:val="ro-MD"/>
              </w:rPr>
              <w:t>Se acceptă.</w:t>
            </w:r>
          </w:p>
          <w:p w14:paraId="63487A47" w14:textId="77777777" w:rsidR="0004615A" w:rsidRPr="006D0F0C" w:rsidRDefault="0004615A" w:rsidP="0004615A">
            <w:pPr>
              <w:pBdr>
                <w:top w:val="none" w:sz="4" w:space="0" w:color="000000"/>
                <w:left w:val="none" w:sz="4" w:space="0" w:color="000000"/>
                <w:bottom w:val="none" w:sz="4" w:space="0" w:color="000000"/>
                <w:right w:val="none" w:sz="4" w:space="0" w:color="000000"/>
              </w:pBdr>
              <w:tabs>
                <w:tab w:val="left" w:pos="313"/>
              </w:tabs>
              <w:ind w:firstLine="0"/>
              <w:rPr>
                <w:rFonts w:ascii="Times New Roman" w:hAnsi="Times New Roman"/>
                <w:sz w:val="24"/>
                <w:szCs w:val="24"/>
                <w:lang w:val="ro-MD"/>
              </w:rPr>
            </w:pPr>
            <w:r w:rsidRPr="006D0F0C">
              <w:rPr>
                <w:rFonts w:ascii="Times New Roman" w:hAnsi="Times New Roman"/>
                <w:sz w:val="24"/>
                <w:szCs w:val="24"/>
                <w:lang w:val="ro-MD"/>
              </w:rPr>
              <w:t>Proiectul a fost modificat</w:t>
            </w:r>
          </w:p>
          <w:p w14:paraId="4B8BCA3A" w14:textId="77777777" w:rsidR="0004615A" w:rsidRPr="006D0F0C" w:rsidRDefault="0004615A" w:rsidP="0004615A">
            <w:pPr>
              <w:pBdr>
                <w:top w:val="none" w:sz="4" w:space="0" w:color="000000"/>
                <w:left w:val="none" w:sz="4" w:space="0" w:color="000000"/>
                <w:bottom w:val="none" w:sz="4" w:space="0" w:color="000000"/>
                <w:right w:val="none" w:sz="4" w:space="0" w:color="000000"/>
              </w:pBdr>
              <w:tabs>
                <w:tab w:val="left" w:pos="313"/>
              </w:tabs>
              <w:ind w:firstLine="0"/>
              <w:rPr>
                <w:rFonts w:ascii="Times New Roman" w:hAnsi="Times New Roman"/>
                <w:b/>
                <w:bCs/>
                <w:sz w:val="22"/>
                <w:szCs w:val="22"/>
                <w:lang w:val="ro-MD"/>
              </w:rPr>
            </w:pPr>
          </w:p>
        </w:tc>
      </w:tr>
      <w:tr w:rsidR="006D0F0C" w:rsidRPr="006D0F0C" w14:paraId="0BD81509" w14:textId="77777777" w:rsidTr="0004615A">
        <w:trPr>
          <w:trHeight w:val="418"/>
        </w:trPr>
        <w:tc>
          <w:tcPr>
            <w:tcW w:w="231" w:type="pct"/>
            <w:tcBorders>
              <w:top w:val="single" w:sz="4" w:space="0" w:color="auto"/>
              <w:left w:val="single" w:sz="8" w:space="0" w:color="000000"/>
              <w:bottom w:val="single" w:sz="4" w:space="0" w:color="auto"/>
              <w:right w:val="single" w:sz="8" w:space="0" w:color="000000"/>
            </w:tcBorders>
          </w:tcPr>
          <w:p w14:paraId="12244F8B" w14:textId="77777777" w:rsidR="0004615A" w:rsidRPr="006D0F0C" w:rsidRDefault="0004615A" w:rsidP="0004615A">
            <w:pPr>
              <w:pStyle w:val="Listparagraf"/>
              <w:numPr>
                <w:ilvl w:val="0"/>
                <w:numId w:val="2"/>
              </w:num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p>
        </w:tc>
        <w:tc>
          <w:tcPr>
            <w:tcW w:w="511"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160C3043" w14:textId="77777777" w:rsidR="0004615A" w:rsidRPr="006D0F0C" w:rsidRDefault="0004615A" w:rsidP="0004615A">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MD"/>
              </w:rPr>
            </w:pPr>
          </w:p>
        </w:tc>
        <w:tc>
          <w:tcPr>
            <w:tcW w:w="512"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CA4269F" w14:textId="77777777" w:rsidR="0004615A" w:rsidRPr="006D0F0C" w:rsidRDefault="0004615A" w:rsidP="0004615A">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MD"/>
              </w:rPr>
            </w:pPr>
          </w:p>
        </w:tc>
        <w:tc>
          <w:tcPr>
            <w:tcW w:w="2505"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06A8903" w14:textId="7981BA6E" w:rsidR="0004615A" w:rsidRPr="006D0F0C" w:rsidRDefault="0004615A" w:rsidP="0004615A">
            <w:pPr>
              <w:pBdr>
                <w:top w:val="none" w:sz="4" w:space="0" w:color="000000"/>
                <w:left w:val="none" w:sz="4" w:space="0" w:color="000000"/>
                <w:bottom w:val="none" w:sz="4" w:space="0" w:color="000000"/>
                <w:right w:val="none" w:sz="4" w:space="0" w:color="000000"/>
              </w:pBdr>
              <w:tabs>
                <w:tab w:val="left" w:pos="0"/>
              </w:tabs>
              <w:ind w:firstLine="0"/>
              <w:rPr>
                <w:rFonts w:ascii="Times New Roman" w:hAnsi="Times New Roman"/>
                <w:sz w:val="24"/>
                <w:szCs w:val="24"/>
                <w:lang w:val="ro-MD"/>
              </w:rPr>
            </w:pPr>
            <w:r w:rsidRPr="006D0F0C">
              <w:rPr>
                <w:rFonts w:ascii="Times New Roman" w:hAnsi="Times New Roman"/>
                <w:sz w:val="24"/>
                <w:szCs w:val="24"/>
                <w:lang w:val="ro-MD"/>
              </w:rPr>
              <w:t xml:space="preserve">Termenele prevăzute la pct. 24, 30 și 52 necesită corelare, întrucât prima clasificare este programată pentru sfârșitul sezonului de îmbăiere 2029, în timp ce profilurile apelor de îmbăiere și prima notificare către Comisie sunt stabilite pentru anul 2030. Cu toate acestea, proiectul stabilește prima clasificare pentru anul 2029 (pct. 24), în timp ce stabilirea profilurile apelor de îmbăiere (pct. 30) și prima notificare către Comisie (pct. 52) sunt prevăzute pentru anul 2030, ceea ce inversează ordinea logică și tehnică prevăzută de directivă. Conform art. 6 alin. (1) și art. 5 alin. (2) din Directivă, profilurile constituie baza tehnică pentru evaluarea seturilor de date, iar elaborarea lor trebuie să preceadă clasificarea. De asemenea, notificarea către Comisie se efectuează numai după identificarea și stabilirea profilurile apelor de îmbăiere. În acest sens, se recomandă ajustarea termenelor, astfel încât profilurile apelor de îmbăiere să fie stabilite înainte de prima clasificare (de exemplu, începând cu anul 2027), iar termenele naționale (2029 și 2030) să fie armonizate într-o logică procedurală coerentă, conform secvenței prevăzute de </w:t>
            </w:r>
            <w:r w:rsidR="009A4CDB" w:rsidRPr="006D0F0C">
              <w:rPr>
                <w:rFonts w:ascii="Times New Roman" w:hAnsi="Times New Roman"/>
                <w:sz w:val="24"/>
                <w:szCs w:val="24"/>
                <w:lang w:val="ro-MD"/>
              </w:rPr>
              <w:t>directive</w:t>
            </w:r>
          </w:p>
        </w:tc>
        <w:tc>
          <w:tcPr>
            <w:tcW w:w="1241"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B5B7F92" w14:textId="5A249C05" w:rsidR="0004615A" w:rsidRPr="006D0F0C" w:rsidRDefault="0004615A" w:rsidP="0004615A">
            <w:pPr>
              <w:pBdr>
                <w:top w:val="none" w:sz="4" w:space="0" w:color="000000"/>
                <w:left w:val="none" w:sz="4" w:space="0" w:color="000000"/>
                <w:bottom w:val="none" w:sz="4" w:space="0" w:color="000000"/>
                <w:right w:val="none" w:sz="4" w:space="0" w:color="000000"/>
              </w:pBdr>
              <w:tabs>
                <w:tab w:val="left" w:pos="313"/>
              </w:tabs>
              <w:ind w:firstLine="0"/>
              <w:rPr>
                <w:rFonts w:ascii="Times New Roman" w:hAnsi="Times New Roman"/>
                <w:b/>
                <w:bCs/>
                <w:sz w:val="22"/>
                <w:szCs w:val="22"/>
                <w:lang w:val="ro-MD"/>
              </w:rPr>
            </w:pPr>
            <w:r w:rsidRPr="006D0F0C">
              <w:rPr>
                <w:rFonts w:ascii="Times New Roman" w:hAnsi="Times New Roman"/>
                <w:b/>
                <w:bCs/>
                <w:sz w:val="22"/>
                <w:szCs w:val="22"/>
                <w:lang w:val="ro-MD"/>
              </w:rPr>
              <w:t xml:space="preserve">Se acceptă </w:t>
            </w:r>
          </w:p>
          <w:p w14:paraId="514B393C" w14:textId="77777777" w:rsidR="001D196F" w:rsidRPr="006D0F0C" w:rsidRDefault="001D196F" w:rsidP="001D196F">
            <w:pPr>
              <w:pBdr>
                <w:top w:val="none" w:sz="4" w:space="0" w:color="000000"/>
                <w:left w:val="none" w:sz="4" w:space="0" w:color="000000"/>
                <w:bottom w:val="none" w:sz="4" w:space="0" w:color="000000"/>
                <w:right w:val="none" w:sz="4" w:space="0" w:color="000000"/>
              </w:pBdr>
              <w:tabs>
                <w:tab w:val="left" w:pos="313"/>
              </w:tabs>
              <w:ind w:firstLine="0"/>
              <w:rPr>
                <w:rFonts w:ascii="Times New Roman" w:hAnsi="Times New Roman"/>
                <w:sz w:val="24"/>
                <w:szCs w:val="24"/>
                <w:lang w:val="ro-MD"/>
              </w:rPr>
            </w:pPr>
            <w:r w:rsidRPr="006D0F0C">
              <w:rPr>
                <w:rFonts w:ascii="Times New Roman" w:hAnsi="Times New Roman"/>
                <w:sz w:val="24"/>
                <w:szCs w:val="24"/>
                <w:lang w:val="ro-MD"/>
              </w:rPr>
              <w:t>Proiectul a fost modificat</w:t>
            </w:r>
          </w:p>
          <w:p w14:paraId="42171D9E" w14:textId="627C3006" w:rsidR="0004615A" w:rsidRPr="006D0F0C" w:rsidRDefault="0004615A" w:rsidP="001D196F">
            <w:pPr>
              <w:pBdr>
                <w:top w:val="none" w:sz="4" w:space="0" w:color="000000"/>
                <w:left w:val="none" w:sz="4" w:space="0" w:color="000000"/>
                <w:bottom w:val="none" w:sz="4" w:space="0" w:color="000000"/>
                <w:right w:val="none" w:sz="4" w:space="0" w:color="000000"/>
              </w:pBdr>
              <w:tabs>
                <w:tab w:val="left" w:pos="313"/>
              </w:tabs>
              <w:ind w:firstLine="0"/>
              <w:rPr>
                <w:rFonts w:ascii="Times New Roman" w:hAnsi="Times New Roman"/>
                <w:b/>
                <w:bCs/>
                <w:sz w:val="22"/>
                <w:szCs w:val="22"/>
                <w:lang w:val="ro-MD"/>
              </w:rPr>
            </w:pPr>
            <w:r w:rsidRPr="006D0F0C">
              <w:rPr>
                <w:rFonts w:ascii="Times New Roman" w:hAnsi="Times New Roman"/>
                <w:b/>
                <w:bCs/>
                <w:sz w:val="22"/>
                <w:szCs w:val="22"/>
                <w:lang w:val="ro-MD"/>
              </w:rPr>
              <w:br/>
            </w:r>
          </w:p>
        </w:tc>
      </w:tr>
      <w:tr w:rsidR="006D0F0C" w:rsidRPr="006D0F0C" w14:paraId="049D343F" w14:textId="77777777" w:rsidTr="005D14D7">
        <w:trPr>
          <w:trHeight w:val="3810"/>
        </w:trPr>
        <w:tc>
          <w:tcPr>
            <w:tcW w:w="231" w:type="pct"/>
            <w:tcBorders>
              <w:top w:val="single" w:sz="4" w:space="0" w:color="auto"/>
              <w:left w:val="single" w:sz="8" w:space="0" w:color="000000"/>
              <w:bottom w:val="single" w:sz="4" w:space="0" w:color="auto"/>
              <w:right w:val="single" w:sz="8" w:space="0" w:color="000000"/>
            </w:tcBorders>
          </w:tcPr>
          <w:p w14:paraId="4D84C1CC" w14:textId="77777777" w:rsidR="0004615A" w:rsidRPr="006D0F0C" w:rsidRDefault="0004615A" w:rsidP="0004615A">
            <w:pPr>
              <w:pStyle w:val="Listparagraf"/>
              <w:numPr>
                <w:ilvl w:val="0"/>
                <w:numId w:val="2"/>
              </w:num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p>
        </w:tc>
        <w:tc>
          <w:tcPr>
            <w:tcW w:w="511"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790B90BD" w14:textId="77777777" w:rsidR="0004615A" w:rsidRPr="006D0F0C" w:rsidRDefault="0004615A" w:rsidP="0004615A">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MD"/>
              </w:rPr>
            </w:pPr>
          </w:p>
        </w:tc>
        <w:tc>
          <w:tcPr>
            <w:tcW w:w="512"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BBC9680" w14:textId="77777777" w:rsidR="0004615A" w:rsidRPr="006D0F0C" w:rsidRDefault="0004615A" w:rsidP="0004615A">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MD"/>
              </w:rPr>
            </w:pPr>
          </w:p>
        </w:tc>
        <w:tc>
          <w:tcPr>
            <w:tcW w:w="2505"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CE67F73" w14:textId="3EAC4019" w:rsidR="0004615A" w:rsidRPr="006D0F0C" w:rsidRDefault="0004615A" w:rsidP="0004615A">
            <w:pPr>
              <w:pBdr>
                <w:top w:val="none" w:sz="4" w:space="0" w:color="000000"/>
                <w:left w:val="none" w:sz="4" w:space="0" w:color="000000"/>
                <w:bottom w:val="none" w:sz="4" w:space="0" w:color="000000"/>
                <w:right w:val="none" w:sz="4" w:space="0" w:color="000000"/>
              </w:pBdr>
              <w:tabs>
                <w:tab w:val="left" w:pos="0"/>
              </w:tabs>
              <w:ind w:firstLine="0"/>
              <w:rPr>
                <w:rFonts w:ascii="Times New Roman" w:hAnsi="Times New Roman"/>
                <w:sz w:val="24"/>
                <w:szCs w:val="24"/>
                <w:lang w:val="ro-MD"/>
              </w:rPr>
            </w:pPr>
            <w:r w:rsidRPr="006D0F0C">
              <w:rPr>
                <w:rFonts w:ascii="Times New Roman" w:hAnsi="Times New Roman"/>
                <w:sz w:val="24"/>
                <w:szCs w:val="24"/>
                <w:lang w:val="ro-MD"/>
              </w:rPr>
              <w:t>La pct. 25, proiectul stabilește că toate apele de îmbăiere trebuie să atingă cel puțin calitatea „satisfăcătoare” până la începutul sezonului de îmbăiere 2030. Această prevedere reprezintă adaptarea națională a termenului stabilit prin art. 5 alin. (3) din Directiva 2006/7/CE (2015 pentru statele membre). Totuși, stabilirea rigidă a anului 2030 nu reflectă starea actuală a corpurilor de apă din Republica Moldova și necesarul substanțial de investiții pentru îmbunătățirea infrastructurii de apă și canalizare, reducerea presiunilor difuze și implementarea măsurilor din planurile de gestionare a bazinelor hidrografice. În aceste condiții, termenul trebuie coordonat în prealabil cu Comisia Europeană, pentru a evita asumarea unor angajamente nerealiste sau necorelate cu capacitățile naționale de implementare. Se recomandă, în consecință, reformularea pct. 25 astfel încât termenul să fie prezentat ca o țintă orientativă, susceptibilă de confirmare sau ajustare în procesul de negociere, și nu ca o obligație cu aplicare automată.</w:t>
            </w:r>
          </w:p>
        </w:tc>
        <w:tc>
          <w:tcPr>
            <w:tcW w:w="1241"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8554A9B" w14:textId="77777777" w:rsidR="0004615A" w:rsidRPr="006D0F0C" w:rsidRDefault="0004615A" w:rsidP="0004615A">
            <w:pPr>
              <w:pBdr>
                <w:top w:val="none" w:sz="4" w:space="0" w:color="000000"/>
                <w:left w:val="none" w:sz="4" w:space="0" w:color="000000"/>
                <w:bottom w:val="none" w:sz="4" w:space="0" w:color="000000"/>
                <w:right w:val="none" w:sz="4" w:space="0" w:color="000000"/>
              </w:pBdr>
              <w:tabs>
                <w:tab w:val="left" w:pos="313"/>
              </w:tabs>
              <w:ind w:firstLine="0"/>
              <w:rPr>
                <w:rFonts w:ascii="Times New Roman" w:hAnsi="Times New Roman"/>
                <w:b/>
                <w:bCs/>
                <w:sz w:val="22"/>
                <w:szCs w:val="22"/>
                <w:lang w:val="ro-MD"/>
              </w:rPr>
            </w:pPr>
            <w:r w:rsidRPr="006D0F0C">
              <w:rPr>
                <w:rFonts w:ascii="Times New Roman" w:hAnsi="Times New Roman"/>
                <w:b/>
                <w:bCs/>
                <w:sz w:val="22"/>
                <w:szCs w:val="22"/>
                <w:lang w:val="ro-MD"/>
              </w:rPr>
              <w:t>Se acceptă.</w:t>
            </w:r>
          </w:p>
          <w:p w14:paraId="0F3F2C3E" w14:textId="77777777" w:rsidR="006D0F0C" w:rsidRPr="006D0F0C" w:rsidRDefault="006D0F0C" w:rsidP="006D0F0C">
            <w:pPr>
              <w:tabs>
                <w:tab w:val="left" w:pos="142"/>
              </w:tabs>
              <w:ind w:right="-1" w:firstLine="0"/>
              <w:rPr>
                <w:rFonts w:ascii="Times New Roman" w:hAnsi="Times New Roman"/>
                <w:sz w:val="22"/>
                <w:szCs w:val="22"/>
                <w:lang w:val="ro-MD"/>
              </w:rPr>
            </w:pPr>
            <w:r w:rsidRPr="006D0F0C">
              <w:rPr>
                <w:rFonts w:ascii="Times New Roman" w:hAnsi="Times New Roman"/>
                <w:sz w:val="22"/>
                <w:szCs w:val="22"/>
                <w:lang w:val="ro-MD"/>
              </w:rPr>
              <w:t>Punctul 25 a fost reformulat, fiind prevăzută o perioadă de tranziție pentru realizarea graduală a măsurilor stabilite.</w:t>
            </w:r>
          </w:p>
          <w:p w14:paraId="0590F7AE" w14:textId="77777777" w:rsidR="006D0F0C" w:rsidRPr="006D0F0C" w:rsidRDefault="006D0F0C" w:rsidP="006D0F0C">
            <w:pPr>
              <w:tabs>
                <w:tab w:val="left" w:pos="142"/>
              </w:tabs>
              <w:ind w:right="-1" w:firstLine="0"/>
              <w:rPr>
                <w:rFonts w:ascii="Times New Roman" w:hAnsi="Times New Roman"/>
                <w:sz w:val="22"/>
                <w:szCs w:val="22"/>
                <w:lang w:val="ro-MD"/>
              </w:rPr>
            </w:pPr>
            <w:r w:rsidRPr="006D0F0C">
              <w:rPr>
                <w:rFonts w:ascii="Times New Roman" w:hAnsi="Times New Roman"/>
                <w:sz w:val="22"/>
                <w:szCs w:val="22"/>
                <w:lang w:val="ro-MD"/>
              </w:rPr>
              <w:t xml:space="preserve">Totodată, se menționează că autoritățile competente, în sensul proiectului, nu se limitează exclusiv la autoritățile administrației publice locale, ci includ și alte autorități publice cu atribuții în domeniu, conform competențelor legale. </w:t>
            </w:r>
          </w:p>
          <w:p w14:paraId="257A87AF" w14:textId="77777777" w:rsidR="006D0F0C" w:rsidRPr="006D0F0C" w:rsidRDefault="006D0F0C" w:rsidP="006D0F0C">
            <w:pPr>
              <w:tabs>
                <w:tab w:val="left" w:pos="142"/>
              </w:tabs>
              <w:ind w:right="-1" w:firstLine="0"/>
              <w:rPr>
                <w:rFonts w:ascii="Times New Roman" w:hAnsi="Times New Roman"/>
                <w:sz w:val="22"/>
                <w:szCs w:val="22"/>
                <w:lang w:val="ro-MD"/>
              </w:rPr>
            </w:pPr>
            <w:r w:rsidRPr="006D0F0C">
              <w:rPr>
                <w:rFonts w:ascii="Times New Roman" w:hAnsi="Times New Roman"/>
                <w:sz w:val="22"/>
                <w:szCs w:val="22"/>
                <w:lang w:val="ro-MD"/>
              </w:rPr>
              <w:t>Totodată, potrivit art. 3 alin. (2) din Legea nr. 100/2017 privind actele normative, actele normative se elaborează cu respectarea ierarhiei actelor normative și a competenței autorității emitente. În acest sens, regulamentul sanitar, aprobat prin hotărâre de Guvern, este un act normativ subordonat legii și nu poate reglementa aspecte ce țin de bugetare sau de stabilirea liniilor bugetare.</w:t>
            </w:r>
          </w:p>
          <w:p w14:paraId="51B4152D" w14:textId="3B160A18" w:rsidR="0004615A" w:rsidRPr="006D0F0C" w:rsidRDefault="006D0F0C" w:rsidP="0004615A">
            <w:pPr>
              <w:pBdr>
                <w:top w:val="none" w:sz="4" w:space="0" w:color="000000"/>
                <w:left w:val="none" w:sz="4" w:space="0" w:color="000000"/>
                <w:bottom w:val="none" w:sz="4" w:space="0" w:color="000000"/>
                <w:right w:val="none" w:sz="4" w:space="0" w:color="000000"/>
              </w:pBdr>
              <w:tabs>
                <w:tab w:val="left" w:pos="313"/>
              </w:tabs>
              <w:ind w:firstLine="0"/>
              <w:rPr>
                <w:rFonts w:ascii="Times New Roman" w:hAnsi="Times New Roman"/>
                <w:sz w:val="22"/>
                <w:szCs w:val="22"/>
                <w:lang w:val="ro-MD"/>
              </w:rPr>
            </w:pPr>
            <w:r w:rsidRPr="006D0F0C">
              <w:rPr>
                <w:rFonts w:ascii="Times New Roman" w:hAnsi="Times New Roman"/>
                <w:sz w:val="22"/>
                <w:szCs w:val="22"/>
                <w:lang w:val="ro-MD"/>
              </w:rPr>
              <w:t>În același timp, Nota de fundamentare a fost completată cu informații privind costurile estimative pentru confecționarea și instalarea plăcuțelor/ panourilor informative în zonele de îmbăiere, prezentate cu titlu orientativ.</w:t>
            </w:r>
          </w:p>
        </w:tc>
      </w:tr>
      <w:tr w:rsidR="006D0F0C" w:rsidRPr="006D0F0C" w14:paraId="5AFCAAF9" w14:textId="77777777" w:rsidTr="0004615A">
        <w:trPr>
          <w:trHeight w:val="418"/>
        </w:trPr>
        <w:tc>
          <w:tcPr>
            <w:tcW w:w="231" w:type="pct"/>
            <w:tcBorders>
              <w:top w:val="single" w:sz="4" w:space="0" w:color="auto"/>
              <w:left w:val="single" w:sz="8" w:space="0" w:color="000000"/>
              <w:bottom w:val="single" w:sz="4" w:space="0" w:color="auto"/>
              <w:right w:val="single" w:sz="8" w:space="0" w:color="000000"/>
            </w:tcBorders>
          </w:tcPr>
          <w:p w14:paraId="6E746BE6" w14:textId="77777777" w:rsidR="0004615A" w:rsidRPr="006D0F0C" w:rsidRDefault="0004615A" w:rsidP="0004615A">
            <w:pPr>
              <w:pStyle w:val="Listparagraf"/>
              <w:numPr>
                <w:ilvl w:val="0"/>
                <w:numId w:val="2"/>
              </w:num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p>
        </w:tc>
        <w:tc>
          <w:tcPr>
            <w:tcW w:w="511"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035C5689" w14:textId="77777777" w:rsidR="0004615A" w:rsidRPr="006D0F0C" w:rsidRDefault="0004615A" w:rsidP="0004615A">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MD"/>
              </w:rPr>
            </w:pPr>
          </w:p>
        </w:tc>
        <w:tc>
          <w:tcPr>
            <w:tcW w:w="512"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870828A" w14:textId="77777777" w:rsidR="0004615A" w:rsidRPr="006D0F0C" w:rsidRDefault="0004615A" w:rsidP="0004615A">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MD"/>
              </w:rPr>
            </w:pPr>
          </w:p>
        </w:tc>
        <w:tc>
          <w:tcPr>
            <w:tcW w:w="2505"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59B5B72" w14:textId="77777777" w:rsidR="0004615A" w:rsidRPr="006D0F0C" w:rsidRDefault="0004615A" w:rsidP="0004615A">
            <w:pPr>
              <w:pBdr>
                <w:top w:val="none" w:sz="4" w:space="0" w:color="000000"/>
                <w:left w:val="none" w:sz="4" w:space="0" w:color="000000"/>
                <w:bottom w:val="none" w:sz="4" w:space="0" w:color="000000"/>
                <w:right w:val="none" w:sz="4" w:space="0" w:color="000000"/>
              </w:pBdr>
              <w:tabs>
                <w:tab w:val="left" w:pos="0"/>
              </w:tabs>
              <w:ind w:firstLine="0"/>
              <w:rPr>
                <w:rFonts w:ascii="Times New Roman" w:hAnsi="Times New Roman"/>
                <w:sz w:val="24"/>
                <w:szCs w:val="24"/>
                <w:lang w:val="ro-MD"/>
              </w:rPr>
            </w:pPr>
            <w:r w:rsidRPr="006D0F0C">
              <w:rPr>
                <w:rFonts w:ascii="Times New Roman" w:hAnsi="Times New Roman"/>
                <w:sz w:val="24"/>
                <w:szCs w:val="24"/>
                <w:lang w:val="ro-MD"/>
              </w:rPr>
              <w:t xml:space="preserve">Prevederea de la pct. 28, potrivit căreia Ministerul Mediului constată imposibilitatea sau caracterul disproporționat al costurilor pentru atingerea calității „satisfăcătoare”, nu este coerentă cu cadrul legal național. Conform Legii apelor nr. 272/2011, evaluarea stării corpurilor de apă și a presiunilor relevante este realizată de Agenția de Mediu, iar Planul de gestionare a bazinului hidrografic stabilește măsurile necesare pentru atingerea obiectivelor de mediu, care sunt implementate de Instituția Publică Administrația Națională „Apele Moldovei” și de alți actori responsabili. Prin urmare, atribuirea exclusivă a acestei competențe Ministerului Mediului nu reflectă atribuțiile instituționale și procedurală prevăzută de legislația națională. Se recomandă reformularea pct. 28 astfel încât analiza privind imposibilitatea sau costul excesiv să fie fundamentată de Instituția Publică </w:t>
            </w:r>
            <w:r w:rsidRPr="006D0F0C">
              <w:rPr>
                <w:rFonts w:ascii="Times New Roman" w:hAnsi="Times New Roman"/>
                <w:sz w:val="24"/>
                <w:szCs w:val="24"/>
                <w:lang w:val="ro-MD"/>
              </w:rPr>
              <w:lastRenderedPageBreak/>
              <w:t xml:space="preserve">Administrația Națională „Apele Moldovei”, în cooperare cu Agenția de Mediu, care va evalua măsurile tehnice necesare pentru atingerea calității „satisfăcătoare”, pe baza evaluărilor de stare, a presiunilor și a programelor de monitorizare. </w:t>
            </w:r>
          </w:p>
          <w:p w14:paraId="5F4CA785" w14:textId="7E5305CD" w:rsidR="0004615A" w:rsidRPr="006D0F0C" w:rsidRDefault="0004615A" w:rsidP="0004615A">
            <w:pPr>
              <w:pBdr>
                <w:top w:val="none" w:sz="4" w:space="0" w:color="000000"/>
                <w:left w:val="none" w:sz="4" w:space="0" w:color="000000"/>
                <w:bottom w:val="none" w:sz="4" w:space="0" w:color="000000"/>
                <w:right w:val="none" w:sz="4" w:space="0" w:color="000000"/>
              </w:pBdr>
              <w:tabs>
                <w:tab w:val="left" w:pos="0"/>
              </w:tabs>
              <w:ind w:firstLine="0"/>
              <w:rPr>
                <w:rFonts w:ascii="Times New Roman" w:hAnsi="Times New Roman"/>
                <w:sz w:val="24"/>
                <w:szCs w:val="24"/>
                <w:lang w:val="ro-MD"/>
              </w:rPr>
            </w:pPr>
            <w:r w:rsidRPr="006D0F0C">
              <w:rPr>
                <w:rFonts w:ascii="Times New Roman" w:hAnsi="Times New Roman"/>
                <w:sz w:val="24"/>
                <w:szCs w:val="24"/>
                <w:lang w:val="ro-MD"/>
              </w:rPr>
              <w:t xml:space="preserve">     Se propune reformularea pct. 28 după cum urmează: „28. ANSP poate introduce o interdicție permanentă a îmbăierii sau o recomandare permanentă împotriva îmbăierii înainte de sfârșitul perioadei de 5 ani, în cazul în care Instituția Publică Administrația Națională „Apele Moldovei”, în cooperare cu Agenția de Mediu, consideră că obținerea calității „satisfăcătoare” este imposibilă sau prea costisitoare.”</w:t>
            </w:r>
          </w:p>
        </w:tc>
        <w:tc>
          <w:tcPr>
            <w:tcW w:w="1241"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2DE97D1" w14:textId="77777777" w:rsidR="0004615A" w:rsidRPr="006D0F0C" w:rsidRDefault="0004615A" w:rsidP="0004615A">
            <w:pPr>
              <w:pBdr>
                <w:top w:val="none" w:sz="4" w:space="0" w:color="000000"/>
                <w:left w:val="none" w:sz="4" w:space="0" w:color="000000"/>
                <w:bottom w:val="none" w:sz="4" w:space="0" w:color="000000"/>
                <w:right w:val="none" w:sz="4" w:space="0" w:color="000000"/>
              </w:pBdr>
              <w:tabs>
                <w:tab w:val="left" w:pos="313"/>
              </w:tabs>
              <w:ind w:firstLine="0"/>
              <w:rPr>
                <w:rFonts w:ascii="Times New Roman" w:hAnsi="Times New Roman"/>
                <w:b/>
                <w:bCs/>
                <w:sz w:val="22"/>
                <w:szCs w:val="22"/>
                <w:lang w:val="ro-MD"/>
              </w:rPr>
            </w:pPr>
            <w:r w:rsidRPr="006D0F0C">
              <w:rPr>
                <w:rFonts w:ascii="Times New Roman" w:hAnsi="Times New Roman"/>
                <w:b/>
                <w:bCs/>
                <w:sz w:val="22"/>
                <w:szCs w:val="22"/>
                <w:lang w:val="ro-MD"/>
              </w:rPr>
              <w:lastRenderedPageBreak/>
              <w:t>Se acceptă.</w:t>
            </w:r>
          </w:p>
          <w:p w14:paraId="5072DFCD" w14:textId="77777777" w:rsidR="0004615A" w:rsidRPr="006D0F0C" w:rsidRDefault="0004615A" w:rsidP="0004615A">
            <w:pPr>
              <w:pBdr>
                <w:top w:val="none" w:sz="4" w:space="0" w:color="000000"/>
                <w:left w:val="none" w:sz="4" w:space="0" w:color="000000"/>
                <w:bottom w:val="none" w:sz="4" w:space="0" w:color="000000"/>
                <w:right w:val="none" w:sz="4" w:space="0" w:color="000000"/>
              </w:pBdr>
              <w:tabs>
                <w:tab w:val="left" w:pos="313"/>
              </w:tabs>
              <w:ind w:firstLine="0"/>
              <w:rPr>
                <w:rFonts w:ascii="Times New Roman" w:hAnsi="Times New Roman"/>
                <w:sz w:val="24"/>
                <w:szCs w:val="24"/>
                <w:lang w:val="ro-MD"/>
              </w:rPr>
            </w:pPr>
            <w:r w:rsidRPr="006D0F0C">
              <w:rPr>
                <w:rFonts w:ascii="Times New Roman" w:hAnsi="Times New Roman"/>
                <w:sz w:val="24"/>
                <w:szCs w:val="24"/>
                <w:lang w:val="ro-MD"/>
              </w:rPr>
              <w:t>Proiectul a fost modificat</w:t>
            </w:r>
          </w:p>
          <w:p w14:paraId="1AC38CC9" w14:textId="77777777" w:rsidR="0004615A" w:rsidRPr="006D0F0C" w:rsidRDefault="0004615A" w:rsidP="0004615A">
            <w:pPr>
              <w:pBdr>
                <w:top w:val="none" w:sz="4" w:space="0" w:color="000000"/>
                <w:left w:val="none" w:sz="4" w:space="0" w:color="000000"/>
                <w:bottom w:val="none" w:sz="4" w:space="0" w:color="000000"/>
                <w:right w:val="none" w:sz="4" w:space="0" w:color="000000"/>
              </w:pBdr>
              <w:tabs>
                <w:tab w:val="left" w:pos="313"/>
              </w:tabs>
              <w:ind w:firstLine="0"/>
              <w:rPr>
                <w:rFonts w:ascii="Times New Roman" w:hAnsi="Times New Roman"/>
                <w:sz w:val="22"/>
                <w:szCs w:val="22"/>
                <w:lang w:val="ro-MD"/>
              </w:rPr>
            </w:pPr>
          </w:p>
        </w:tc>
      </w:tr>
      <w:tr w:rsidR="006D0F0C" w:rsidRPr="006D0F0C" w14:paraId="5328B853" w14:textId="77777777" w:rsidTr="004978B0">
        <w:trPr>
          <w:trHeight w:val="713"/>
        </w:trPr>
        <w:tc>
          <w:tcPr>
            <w:tcW w:w="231" w:type="pct"/>
            <w:tcBorders>
              <w:top w:val="single" w:sz="4" w:space="0" w:color="auto"/>
              <w:left w:val="single" w:sz="8" w:space="0" w:color="000000"/>
              <w:bottom w:val="single" w:sz="4" w:space="0" w:color="auto"/>
              <w:right w:val="single" w:sz="8" w:space="0" w:color="000000"/>
            </w:tcBorders>
          </w:tcPr>
          <w:p w14:paraId="020D2C4D" w14:textId="77777777" w:rsidR="0004615A" w:rsidRPr="006D0F0C" w:rsidRDefault="0004615A" w:rsidP="0004615A">
            <w:pPr>
              <w:pStyle w:val="Listparagraf"/>
              <w:numPr>
                <w:ilvl w:val="0"/>
                <w:numId w:val="2"/>
              </w:num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p>
        </w:tc>
        <w:tc>
          <w:tcPr>
            <w:tcW w:w="511"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4E693EFE" w14:textId="77777777" w:rsidR="0004615A" w:rsidRPr="006D0F0C" w:rsidRDefault="0004615A" w:rsidP="0004615A">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MD"/>
              </w:rPr>
            </w:pPr>
          </w:p>
        </w:tc>
        <w:tc>
          <w:tcPr>
            <w:tcW w:w="512"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6A278E2" w14:textId="77777777" w:rsidR="0004615A" w:rsidRPr="006D0F0C" w:rsidRDefault="0004615A" w:rsidP="0004615A">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MD"/>
              </w:rPr>
            </w:pPr>
          </w:p>
        </w:tc>
        <w:tc>
          <w:tcPr>
            <w:tcW w:w="2505"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2044215" w14:textId="7FAB7E37" w:rsidR="0004615A" w:rsidRPr="006D0F0C" w:rsidRDefault="0004615A" w:rsidP="0004615A">
            <w:pPr>
              <w:pBdr>
                <w:top w:val="none" w:sz="4" w:space="0" w:color="000000"/>
                <w:left w:val="none" w:sz="4" w:space="0" w:color="000000"/>
                <w:bottom w:val="none" w:sz="4" w:space="0" w:color="000000"/>
                <w:right w:val="none" w:sz="4" w:space="0" w:color="000000"/>
              </w:pBdr>
              <w:tabs>
                <w:tab w:val="left" w:pos="0"/>
              </w:tabs>
              <w:ind w:firstLine="0"/>
              <w:rPr>
                <w:rFonts w:ascii="Times New Roman" w:hAnsi="Times New Roman"/>
                <w:sz w:val="24"/>
                <w:szCs w:val="24"/>
                <w:lang w:val="ro-MD"/>
              </w:rPr>
            </w:pPr>
            <w:r w:rsidRPr="006D0F0C">
              <w:rPr>
                <w:rFonts w:ascii="Times New Roman" w:hAnsi="Times New Roman"/>
                <w:sz w:val="24"/>
                <w:szCs w:val="24"/>
                <w:lang w:val="ro-MD"/>
              </w:rPr>
              <w:t xml:space="preserve">La pct. 29, proiectul stabilește că „Ministerul Mediului stabilește profilul apelor de îmbăiere”, însă această formulare nu corespunde atribuțiilor instituționale prevăzute în legislația națională. Conform Legii apelor nr. 272/2011 și Hotărârii Guvernului nr. 932/2013 privind aprobarea Regulamentului privind monitorizarea și evidența sistematică a stării apelor de suprafață și a apelor subterane, monitorizarea apelor de suprafață, colectarea datelor, evaluarea stării și elaborarea programelor de monitorizare sunt responsabilități ale Agenției de Mediu, în timp ce Ministerul Mediului exercită un rol de coordonare și aprobare. Profilul apei de îmbăiere este fundamentat pe evaluarea presiunilor, pe date de monitorizare și pe caracteristicile corpului de apă, ceea ce implică în mod direct Agenția de Mediu, ca autoritate responsabilă pentru </w:t>
            </w:r>
            <w:proofErr w:type="spellStart"/>
            <w:r w:rsidRPr="006D0F0C">
              <w:rPr>
                <w:rFonts w:ascii="Times New Roman" w:hAnsi="Times New Roman"/>
                <w:sz w:val="24"/>
                <w:szCs w:val="24"/>
                <w:lang w:val="ro-MD"/>
              </w:rPr>
              <w:t>monitoringul</w:t>
            </w:r>
            <w:proofErr w:type="spellEnd"/>
            <w:r w:rsidRPr="006D0F0C">
              <w:rPr>
                <w:rFonts w:ascii="Times New Roman" w:hAnsi="Times New Roman"/>
                <w:sz w:val="24"/>
                <w:szCs w:val="24"/>
                <w:lang w:val="ro-MD"/>
              </w:rPr>
              <w:t xml:space="preserve"> de stat al apelor de suprafață. Totodată, ANSP exercită atribuțiile privind controlul sanitar și evaluarea riscurilor pentru sănătate, aspecte esențiale în elaborarea profilului. Se recomandă reformularea pct. 29, astfel încât profilul apelor de îmbăiere să fie stabilit de Agenția de Mediu, în colaborare cu ANSP</w:t>
            </w:r>
          </w:p>
        </w:tc>
        <w:tc>
          <w:tcPr>
            <w:tcW w:w="1241"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3029253" w14:textId="77777777" w:rsidR="0004615A" w:rsidRPr="006D0F0C" w:rsidRDefault="0004615A" w:rsidP="0004615A">
            <w:pPr>
              <w:pBdr>
                <w:top w:val="none" w:sz="4" w:space="0" w:color="000000"/>
                <w:left w:val="none" w:sz="4" w:space="0" w:color="000000"/>
                <w:bottom w:val="none" w:sz="4" w:space="0" w:color="000000"/>
                <w:right w:val="none" w:sz="4" w:space="0" w:color="000000"/>
              </w:pBdr>
              <w:tabs>
                <w:tab w:val="left" w:pos="313"/>
              </w:tabs>
              <w:ind w:firstLine="0"/>
              <w:rPr>
                <w:rFonts w:ascii="Times New Roman" w:hAnsi="Times New Roman"/>
                <w:b/>
                <w:bCs/>
                <w:sz w:val="22"/>
                <w:szCs w:val="22"/>
                <w:lang w:val="ro-MD"/>
              </w:rPr>
            </w:pPr>
            <w:r w:rsidRPr="006D0F0C">
              <w:rPr>
                <w:rFonts w:ascii="Times New Roman" w:hAnsi="Times New Roman"/>
                <w:b/>
                <w:bCs/>
                <w:sz w:val="22"/>
                <w:szCs w:val="22"/>
                <w:lang w:val="ro-MD"/>
              </w:rPr>
              <w:t>Se acceptă.</w:t>
            </w:r>
          </w:p>
          <w:p w14:paraId="74B46A2B" w14:textId="77777777" w:rsidR="0004615A" w:rsidRPr="006D0F0C" w:rsidRDefault="0004615A" w:rsidP="0004615A">
            <w:pPr>
              <w:pBdr>
                <w:top w:val="none" w:sz="4" w:space="0" w:color="000000"/>
                <w:left w:val="none" w:sz="4" w:space="0" w:color="000000"/>
                <w:bottom w:val="none" w:sz="4" w:space="0" w:color="000000"/>
                <w:right w:val="none" w:sz="4" w:space="0" w:color="000000"/>
              </w:pBdr>
              <w:tabs>
                <w:tab w:val="left" w:pos="313"/>
              </w:tabs>
              <w:ind w:firstLine="0"/>
              <w:rPr>
                <w:rFonts w:ascii="Times New Roman" w:hAnsi="Times New Roman"/>
                <w:sz w:val="24"/>
                <w:szCs w:val="24"/>
                <w:lang w:val="ro-MD"/>
              </w:rPr>
            </w:pPr>
            <w:r w:rsidRPr="006D0F0C">
              <w:rPr>
                <w:rFonts w:ascii="Times New Roman" w:hAnsi="Times New Roman"/>
                <w:sz w:val="24"/>
                <w:szCs w:val="24"/>
                <w:lang w:val="ro-MD"/>
              </w:rPr>
              <w:t>Proiectul a fost modificat</w:t>
            </w:r>
          </w:p>
          <w:p w14:paraId="4867DA26" w14:textId="77777777" w:rsidR="0004615A" w:rsidRPr="006D0F0C" w:rsidRDefault="0004615A" w:rsidP="0004615A">
            <w:pPr>
              <w:pBdr>
                <w:top w:val="none" w:sz="4" w:space="0" w:color="000000"/>
                <w:left w:val="none" w:sz="4" w:space="0" w:color="000000"/>
                <w:bottom w:val="none" w:sz="4" w:space="0" w:color="000000"/>
                <w:right w:val="none" w:sz="4" w:space="0" w:color="000000"/>
              </w:pBdr>
              <w:tabs>
                <w:tab w:val="left" w:pos="313"/>
              </w:tabs>
              <w:ind w:firstLine="0"/>
              <w:rPr>
                <w:rFonts w:ascii="Times New Roman" w:hAnsi="Times New Roman"/>
                <w:sz w:val="22"/>
                <w:szCs w:val="22"/>
                <w:lang w:val="ro-MD"/>
              </w:rPr>
            </w:pPr>
          </w:p>
        </w:tc>
      </w:tr>
      <w:tr w:rsidR="006D0F0C" w:rsidRPr="006D0F0C" w14:paraId="2DD842DF" w14:textId="77777777" w:rsidTr="006D0F0C">
        <w:trPr>
          <w:trHeight w:val="3683"/>
        </w:trPr>
        <w:tc>
          <w:tcPr>
            <w:tcW w:w="231" w:type="pct"/>
            <w:tcBorders>
              <w:top w:val="single" w:sz="4" w:space="0" w:color="auto"/>
              <w:left w:val="single" w:sz="8" w:space="0" w:color="000000"/>
              <w:bottom w:val="single" w:sz="4" w:space="0" w:color="auto"/>
              <w:right w:val="single" w:sz="8" w:space="0" w:color="000000"/>
            </w:tcBorders>
          </w:tcPr>
          <w:p w14:paraId="7B610249" w14:textId="77777777" w:rsidR="0004615A" w:rsidRPr="006D0F0C" w:rsidRDefault="0004615A" w:rsidP="0004615A">
            <w:pPr>
              <w:pStyle w:val="Listparagraf"/>
              <w:numPr>
                <w:ilvl w:val="0"/>
                <w:numId w:val="2"/>
              </w:num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p>
        </w:tc>
        <w:tc>
          <w:tcPr>
            <w:tcW w:w="511"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53A1A853" w14:textId="77777777" w:rsidR="0004615A" w:rsidRPr="006D0F0C" w:rsidRDefault="0004615A" w:rsidP="0004615A">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MD"/>
              </w:rPr>
            </w:pPr>
          </w:p>
        </w:tc>
        <w:tc>
          <w:tcPr>
            <w:tcW w:w="512"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BC35117" w14:textId="77777777" w:rsidR="0004615A" w:rsidRPr="006D0F0C" w:rsidRDefault="0004615A" w:rsidP="0004615A">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MD"/>
              </w:rPr>
            </w:pPr>
          </w:p>
        </w:tc>
        <w:tc>
          <w:tcPr>
            <w:tcW w:w="2505"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F0AD080" w14:textId="46D46491" w:rsidR="0004615A" w:rsidRPr="006D0F0C" w:rsidRDefault="0004615A" w:rsidP="0004615A">
            <w:pPr>
              <w:pBdr>
                <w:top w:val="none" w:sz="4" w:space="0" w:color="000000"/>
                <w:left w:val="none" w:sz="4" w:space="0" w:color="000000"/>
                <w:bottom w:val="none" w:sz="4" w:space="0" w:color="000000"/>
                <w:right w:val="none" w:sz="4" w:space="0" w:color="000000"/>
              </w:pBdr>
              <w:tabs>
                <w:tab w:val="left" w:pos="0"/>
              </w:tabs>
              <w:ind w:firstLine="0"/>
              <w:rPr>
                <w:rFonts w:ascii="Times New Roman" w:hAnsi="Times New Roman"/>
                <w:sz w:val="24"/>
                <w:szCs w:val="24"/>
                <w:lang w:val="ro-MD"/>
              </w:rPr>
            </w:pPr>
            <w:r w:rsidRPr="006D0F0C">
              <w:rPr>
                <w:rFonts w:ascii="Times New Roman" w:hAnsi="Times New Roman"/>
                <w:sz w:val="24"/>
                <w:szCs w:val="24"/>
                <w:lang w:val="ro-MD"/>
              </w:rPr>
              <w:t>Prevederile de la pct. 33–34 necesită ajustare, întrucât atribuirea competenței exclusive Ministerului Mediului de a adopta măsuri de management în situații neașteptate nu este conformă cu atribuțiile instituționale stabilite de Legea apelor nr. 272/2011. Gestionarea situațiilor accidentale care pot afecta calitatea apelor de îmbăiere este realizată, potrivit legislației, prin roluri complementare ale ANSP, Agenției de Mediu, IP Administrația Națională „Apele Moldovei”, Inspectoratului pentru Protecția Mediu și autorităților publice locale. Ministerul Mediului exercită rol de coordonare, nu de intervenție directă. Se recomandă reformularea pct. 33 și 34 astfel încât măsurile operative în situații neașteptate să fie adoptate de ANSP, în colaborare cu Agenția de Mediu, Apele Moldovei și autoritățile publice locale, iar Ministerul Mediului să fie menționat ca autoritate cu rol de coordonare strategică.</w:t>
            </w:r>
          </w:p>
        </w:tc>
        <w:tc>
          <w:tcPr>
            <w:tcW w:w="1241"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F6F5A7C" w14:textId="77777777" w:rsidR="0004615A" w:rsidRPr="006D0F0C" w:rsidRDefault="0004615A" w:rsidP="0004615A">
            <w:pPr>
              <w:pBdr>
                <w:top w:val="none" w:sz="4" w:space="0" w:color="000000"/>
                <w:left w:val="none" w:sz="4" w:space="0" w:color="000000"/>
                <w:bottom w:val="none" w:sz="4" w:space="0" w:color="000000"/>
                <w:right w:val="none" w:sz="4" w:space="0" w:color="000000"/>
              </w:pBdr>
              <w:tabs>
                <w:tab w:val="left" w:pos="313"/>
              </w:tabs>
              <w:ind w:firstLine="0"/>
              <w:rPr>
                <w:rFonts w:ascii="Times New Roman" w:hAnsi="Times New Roman"/>
                <w:b/>
                <w:bCs/>
                <w:sz w:val="22"/>
                <w:szCs w:val="22"/>
                <w:lang w:val="ro-MD"/>
              </w:rPr>
            </w:pPr>
            <w:r w:rsidRPr="006D0F0C">
              <w:rPr>
                <w:rFonts w:ascii="Times New Roman" w:hAnsi="Times New Roman"/>
                <w:b/>
                <w:bCs/>
                <w:sz w:val="22"/>
                <w:szCs w:val="22"/>
                <w:lang w:val="ro-MD"/>
              </w:rPr>
              <w:t>Se acceptă.</w:t>
            </w:r>
          </w:p>
          <w:p w14:paraId="7DEF39AF" w14:textId="77777777" w:rsidR="0004615A" w:rsidRPr="006D0F0C" w:rsidRDefault="0004615A" w:rsidP="0004615A">
            <w:pPr>
              <w:pBdr>
                <w:top w:val="none" w:sz="4" w:space="0" w:color="000000"/>
                <w:left w:val="none" w:sz="4" w:space="0" w:color="000000"/>
                <w:bottom w:val="none" w:sz="4" w:space="0" w:color="000000"/>
                <w:right w:val="none" w:sz="4" w:space="0" w:color="000000"/>
              </w:pBdr>
              <w:tabs>
                <w:tab w:val="left" w:pos="313"/>
              </w:tabs>
              <w:ind w:firstLine="0"/>
              <w:rPr>
                <w:rFonts w:ascii="Times New Roman" w:hAnsi="Times New Roman"/>
                <w:sz w:val="24"/>
                <w:szCs w:val="24"/>
                <w:lang w:val="ro-MD"/>
              </w:rPr>
            </w:pPr>
            <w:r w:rsidRPr="006D0F0C">
              <w:rPr>
                <w:rFonts w:ascii="Times New Roman" w:hAnsi="Times New Roman"/>
                <w:sz w:val="24"/>
                <w:szCs w:val="24"/>
                <w:lang w:val="ro-MD"/>
              </w:rPr>
              <w:t>Proiectul a fost modificat</w:t>
            </w:r>
          </w:p>
          <w:p w14:paraId="2CED7CC4" w14:textId="77777777" w:rsidR="0004615A" w:rsidRPr="006D0F0C" w:rsidRDefault="0004615A" w:rsidP="0004615A">
            <w:pPr>
              <w:pBdr>
                <w:top w:val="none" w:sz="4" w:space="0" w:color="000000"/>
                <w:left w:val="none" w:sz="4" w:space="0" w:color="000000"/>
                <w:bottom w:val="none" w:sz="4" w:space="0" w:color="000000"/>
                <w:right w:val="none" w:sz="4" w:space="0" w:color="000000"/>
              </w:pBdr>
              <w:tabs>
                <w:tab w:val="left" w:pos="313"/>
              </w:tabs>
              <w:ind w:firstLine="0"/>
              <w:rPr>
                <w:rFonts w:ascii="Times New Roman" w:hAnsi="Times New Roman"/>
                <w:sz w:val="22"/>
                <w:szCs w:val="22"/>
                <w:lang w:val="ro-MD"/>
              </w:rPr>
            </w:pPr>
          </w:p>
        </w:tc>
      </w:tr>
      <w:tr w:rsidR="006D0F0C" w:rsidRPr="006D0F0C" w14:paraId="0396AAC0" w14:textId="77777777" w:rsidTr="006D0F0C">
        <w:trPr>
          <w:trHeight w:val="2018"/>
        </w:trPr>
        <w:tc>
          <w:tcPr>
            <w:tcW w:w="231" w:type="pct"/>
            <w:tcBorders>
              <w:top w:val="single" w:sz="4" w:space="0" w:color="auto"/>
              <w:left w:val="single" w:sz="8" w:space="0" w:color="000000"/>
              <w:bottom w:val="single" w:sz="4" w:space="0" w:color="auto"/>
              <w:right w:val="single" w:sz="8" w:space="0" w:color="000000"/>
            </w:tcBorders>
          </w:tcPr>
          <w:p w14:paraId="6200B196" w14:textId="77777777" w:rsidR="0004615A" w:rsidRPr="006D0F0C" w:rsidRDefault="0004615A" w:rsidP="0004615A">
            <w:pPr>
              <w:pStyle w:val="Listparagraf"/>
              <w:numPr>
                <w:ilvl w:val="0"/>
                <w:numId w:val="2"/>
              </w:num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p>
        </w:tc>
        <w:tc>
          <w:tcPr>
            <w:tcW w:w="511"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4FA9B21D" w14:textId="77777777" w:rsidR="0004615A" w:rsidRPr="006D0F0C" w:rsidRDefault="0004615A" w:rsidP="0004615A">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MD"/>
              </w:rPr>
            </w:pPr>
          </w:p>
        </w:tc>
        <w:tc>
          <w:tcPr>
            <w:tcW w:w="512"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C22EE95" w14:textId="77777777" w:rsidR="0004615A" w:rsidRPr="006D0F0C" w:rsidRDefault="0004615A" w:rsidP="0004615A">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MD"/>
              </w:rPr>
            </w:pPr>
          </w:p>
        </w:tc>
        <w:tc>
          <w:tcPr>
            <w:tcW w:w="2505"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327A11F" w14:textId="5663D8DB" w:rsidR="0004615A" w:rsidRPr="006D0F0C" w:rsidRDefault="0004615A" w:rsidP="0004615A">
            <w:pPr>
              <w:pBdr>
                <w:top w:val="none" w:sz="4" w:space="0" w:color="000000"/>
                <w:left w:val="none" w:sz="4" w:space="0" w:color="000000"/>
                <w:bottom w:val="none" w:sz="4" w:space="0" w:color="000000"/>
                <w:right w:val="none" w:sz="4" w:space="0" w:color="000000"/>
              </w:pBdr>
              <w:tabs>
                <w:tab w:val="left" w:pos="0"/>
              </w:tabs>
              <w:ind w:firstLine="0"/>
              <w:rPr>
                <w:rFonts w:ascii="Times New Roman" w:hAnsi="Times New Roman"/>
                <w:sz w:val="24"/>
                <w:szCs w:val="24"/>
                <w:lang w:val="ro-MD"/>
              </w:rPr>
            </w:pPr>
            <w:r w:rsidRPr="006D0F0C">
              <w:rPr>
                <w:rFonts w:ascii="Times New Roman" w:hAnsi="Times New Roman"/>
                <w:sz w:val="24"/>
                <w:szCs w:val="24"/>
                <w:lang w:val="ro-MD"/>
              </w:rPr>
              <w:t>Prevederile de la pct. 38–39 necesită ajustare, întrucât atribuirea responsabilității de efectuare a controlului vizual al apelor de îmbăiere și de adoptare a măsurilor de management Ministerului Mediului nu corespunde cadrului instituțional stabilit prin Legea apelor nr. 272/2011 și actele subordonate acesteia. Controlul vizual al calității apelor, identificarea poluărilor și gestionarea situațiilor neașteptate sunt activități operative, care, potrivit legislației naționale, implică mai multe instituții cu atribuții distincte.</w:t>
            </w:r>
          </w:p>
        </w:tc>
        <w:tc>
          <w:tcPr>
            <w:tcW w:w="1241"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D84EB54" w14:textId="639DF361" w:rsidR="0004615A" w:rsidRPr="006D0F0C" w:rsidRDefault="0004615A" w:rsidP="0004615A">
            <w:pPr>
              <w:pBdr>
                <w:top w:val="none" w:sz="4" w:space="0" w:color="000000"/>
                <w:left w:val="none" w:sz="4" w:space="0" w:color="000000"/>
                <w:bottom w:val="none" w:sz="4" w:space="0" w:color="000000"/>
                <w:right w:val="none" w:sz="4" w:space="0" w:color="000000"/>
              </w:pBdr>
              <w:tabs>
                <w:tab w:val="left" w:pos="313"/>
              </w:tabs>
              <w:ind w:firstLine="0"/>
              <w:rPr>
                <w:rFonts w:ascii="Times New Roman" w:hAnsi="Times New Roman"/>
                <w:b/>
                <w:bCs/>
                <w:sz w:val="22"/>
                <w:szCs w:val="22"/>
                <w:lang w:val="ro-MD"/>
              </w:rPr>
            </w:pPr>
            <w:r w:rsidRPr="006D0F0C">
              <w:rPr>
                <w:rFonts w:ascii="Times New Roman" w:hAnsi="Times New Roman"/>
                <w:b/>
                <w:bCs/>
                <w:sz w:val="22"/>
                <w:szCs w:val="22"/>
                <w:lang w:val="ro-MD"/>
              </w:rPr>
              <w:t>Se acceptă</w:t>
            </w:r>
          </w:p>
          <w:p w14:paraId="4F44DFFD" w14:textId="77777777" w:rsidR="0004615A" w:rsidRPr="006D0F0C" w:rsidRDefault="0004615A" w:rsidP="0004615A">
            <w:pPr>
              <w:pBdr>
                <w:top w:val="none" w:sz="4" w:space="0" w:color="000000"/>
                <w:left w:val="none" w:sz="4" w:space="0" w:color="000000"/>
                <w:bottom w:val="none" w:sz="4" w:space="0" w:color="000000"/>
                <w:right w:val="none" w:sz="4" w:space="0" w:color="000000"/>
              </w:pBdr>
              <w:tabs>
                <w:tab w:val="left" w:pos="313"/>
              </w:tabs>
              <w:ind w:firstLine="0"/>
              <w:rPr>
                <w:rFonts w:ascii="Times New Roman" w:hAnsi="Times New Roman"/>
                <w:sz w:val="24"/>
                <w:szCs w:val="24"/>
                <w:lang w:val="ro-MD"/>
              </w:rPr>
            </w:pPr>
            <w:r w:rsidRPr="006D0F0C">
              <w:rPr>
                <w:rFonts w:ascii="Times New Roman" w:hAnsi="Times New Roman"/>
                <w:sz w:val="24"/>
                <w:szCs w:val="24"/>
                <w:lang w:val="ro-MD"/>
              </w:rPr>
              <w:t>Proiectul a fost modificat</w:t>
            </w:r>
          </w:p>
          <w:p w14:paraId="425CF7AE" w14:textId="77777777" w:rsidR="0004615A" w:rsidRPr="006D0F0C" w:rsidRDefault="0004615A" w:rsidP="0004615A">
            <w:pPr>
              <w:pBdr>
                <w:top w:val="none" w:sz="4" w:space="0" w:color="000000"/>
                <w:left w:val="none" w:sz="4" w:space="0" w:color="000000"/>
                <w:bottom w:val="none" w:sz="4" w:space="0" w:color="000000"/>
                <w:right w:val="none" w:sz="4" w:space="0" w:color="000000"/>
              </w:pBdr>
              <w:tabs>
                <w:tab w:val="left" w:pos="313"/>
              </w:tabs>
              <w:ind w:firstLine="0"/>
              <w:rPr>
                <w:rFonts w:ascii="Times New Roman" w:hAnsi="Times New Roman"/>
                <w:sz w:val="22"/>
                <w:szCs w:val="22"/>
                <w:lang w:val="ro-MD"/>
              </w:rPr>
            </w:pPr>
          </w:p>
        </w:tc>
      </w:tr>
      <w:tr w:rsidR="006D0F0C" w:rsidRPr="006D0F0C" w14:paraId="302AF863" w14:textId="77777777" w:rsidTr="006D0F0C">
        <w:trPr>
          <w:trHeight w:val="1253"/>
        </w:trPr>
        <w:tc>
          <w:tcPr>
            <w:tcW w:w="231" w:type="pct"/>
            <w:tcBorders>
              <w:top w:val="single" w:sz="4" w:space="0" w:color="auto"/>
              <w:left w:val="single" w:sz="8" w:space="0" w:color="000000"/>
              <w:bottom w:val="single" w:sz="4" w:space="0" w:color="auto"/>
              <w:right w:val="single" w:sz="8" w:space="0" w:color="000000"/>
            </w:tcBorders>
          </w:tcPr>
          <w:p w14:paraId="18F842FB" w14:textId="77777777" w:rsidR="0004615A" w:rsidRPr="006D0F0C" w:rsidRDefault="0004615A" w:rsidP="0004615A">
            <w:pPr>
              <w:pStyle w:val="Listparagraf"/>
              <w:numPr>
                <w:ilvl w:val="0"/>
                <w:numId w:val="2"/>
              </w:num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p>
        </w:tc>
        <w:tc>
          <w:tcPr>
            <w:tcW w:w="511"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072E47F7" w14:textId="77777777" w:rsidR="0004615A" w:rsidRPr="006D0F0C" w:rsidRDefault="0004615A" w:rsidP="0004615A">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MD"/>
              </w:rPr>
            </w:pPr>
          </w:p>
        </w:tc>
        <w:tc>
          <w:tcPr>
            <w:tcW w:w="512"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58B8BBA" w14:textId="77777777" w:rsidR="0004615A" w:rsidRPr="006D0F0C" w:rsidRDefault="0004615A" w:rsidP="0004615A">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MD"/>
              </w:rPr>
            </w:pPr>
          </w:p>
        </w:tc>
        <w:tc>
          <w:tcPr>
            <w:tcW w:w="2505"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A32FE99" w14:textId="45560978" w:rsidR="0004615A" w:rsidRPr="006D0F0C" w:rsidRDefault="0004615A" w:rsidP="0004615A">
            <w:pPr>
              <w:pBdr>
                <w:top w:val="none" w:sz="4" w:space="0" w:color="000000"/>
                <w:left w:val="none" w:sz="4" w:space="0" w:color="000000"/>
                <w:bottom w:val="none" w:sz="4" w:space="0" w:color="000000"/>
                <w:right w:val="none" w:sz="4" w:space="0" w:color="000000"/>
              </w:pBdr>
              <w:tabs>
                <w:tab w:val="left" w:pos="0"/>
              </w:tabs>
              <w:ind w:firstLine="0"/>
              <w:rPr>
                <w:rFonts w:ascii="Times New Roman" w:hAnsi="Times New Roman"/>
                <w:sz w:val="24"/>
                <w:szCs w:val="24"/>
                <w:lang w:val="ro-MD"/>
              </w:rPr>
            </w:pPr>
            <w:r w:rsidRPr="006D0F0C">
              <w:rPr>
                <w:rFonts w:ascii="Times New Roman" w:hAnsi="Times New Roman"/>
                <w:sz w:val="24"/>
                <w:szCs w:val="24"/>
                <w:lang w:val="ro-MD"/>
              </w:rPr>
              <w:t xml:space="preserve">    Agenția de Mediu este responsabilă pentru </w:t>
            </w:r>
            <w:proofErr w:type="spellStart"/>
            <w:r w:rsidRPr="006D0F0C">
              <w:rPr>
                <w:rFonts w:ascii="Times New Roman" w:hAnsi="Times New Roman"/>
                <w:sz w:val="24"/>
                <w:szCs w:val="24"/>
                <w:lang w:val="ro-MD"/>
              </w:rPr>
              <w:t>monitoringul</w:t>
            </w:r>
            <w:proofErr w:type="spellEnd"/>
            <w:r w:rsidRPr="006D0F0C">
              <w:rPr>
                <w:rFonts w:ascii="Times New Roman" w:hAnsi="Times New Roman"/>
                <w:sz w:val="24"/>
                <w:szCs w:val="24"/>
                <w:lang w:val="ro-MD"/>
              </w:rPr>
              <w:t xml:space="preserve"> de stat al calității apelor de suprafață și pentru identificarea modificărilor sau poluărilor vizibile în cadrul programelor de monitorizare. Inspectoratul pentru Mediu are rolul de a constata poluările și de a interveni în caz de încălcări ale legislației privind protecția mediului. ANSP este autoritatea competentă în ceea ce privește evaluarea riscurilor pentru sănătatea publică și instituirea restricțiilor sanitare, iar autoritățile publice locale asigură informarea imediată a populației și gestionarea accesului în zonele de îmbăiere. Administrația Națională „Apele Moldovei” poate interveni în situații care necesită măsuri tehnice asupra corpurilor de apă sau infrastructurii aferente.</w:t>
            </w:r>
          </w:p>
          <w:p w14:paraId="257C0C81" w14:textId="46F94322" w:rsidR="0004615A" w:rsidRPr="006D0F0C" w:rsidRDefault="0004615A" w:rsidP="0004615A">
            <w:pPr>
              <w:pBdr>
                <w:top w:val="none" w:sz="4" w:space="0" w:color="000000"/>
                <w:left w:val="none" w:sz="4" w:space="0" w:color="000000"/>
                <w:bottom w:val="none" w:sz="4" w:space="0" w:color="000000"/>
                <w:right w:val="none" w:sz="4" w:space="0" w:color="000000"/>
              </w:pBdr>
              <w:tabs>
                <w:tab w:val="left" w:pos="0"/>
              </w:tabs>
              <w:ind w:firstLine="0"/>
              <w:rPr>
                <w:rFonts w:ascii="Times New Roman" w:hAnsi="Times New Roman"/>
                <w:sz w:val="24"/>
                <w:szCs w:val="24"/>
                <w:lang w:val="ro-MD"/>
              </w:rPr>
            </w:pPr>
            <w:r w:rsidRPr="006D0F0C">
              <w:rPr>
                <w:rFonts w:ascii="Times New Roman" w:hAnsi="Times New Roman"/>
                <w:sz w:val="24"/>
                <w:szCs w:val="24"/>
                <w:lang w:val="ro-MD"/>
              </w:rPr>
              <w:t xml:space="preserve">     În acest context, atribuirea exclusivă a competenței de control vizual și de gestionare a poluărilor Ministerului Mediului nu reflectă realitatea instituțională și riscă să genereze neclarități în aplicarea prevederilor directivei. Se recomandă reformularea pct. 38 și 39 astfel încât controlul vizual să fie realizat de instituțiile cu atribuții operaționale (în special Agenția de Mediu), constatarea și gestionarea poluărilor să fie efectuate în colaborare </w:t>
            </w:r>
            <w:r w:rsidRPr="006D0F0C">
              <w:rPr>
                <w:rFonts w:ascii="Times New Roman" w:hAnsi="Times New Roman"/>
                <w:sz w:val="24"/>
                <w:szCs w:val="24"/>
                <w:lang w:val="ro-MD"/>
              </w:rPr>
              <w:lastRenderedPageBreak/>
              <w:t>de către autoritățile competente în funcție de natura evenimentului (Agenția de Mediu, Inspectoratul pentru Mediu, ANSP, APL și, după caz, Administrația Națională „Apele Moldovei”), iar Ministerul Mediului să fie menționat doar ca autoritate cu rol de coordonare strategică.</w:t>
            </w:r>
          </w:p>
        </w:tc>
        <w:tc>
          <w:tcPr>
            <w:tcW w:w="1241"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D094718" w14:textId="3D8EBB89" w:rsidR="0004615A" w:rsidRPr="006D0F0C" w:rsidRDefault="0004615A" w:rsidP="0004615A">
            <w:pPr>
              <w:pBdr>
                <w:top w:val="none" w:sz="4" w:space="0" w:color="000000"/>
                <w:left w:val="none" w:sz="4" w:space="0" w:color="000000"/>
                <w:bottom w:val="none" w:sz="4" w:space="0" w:color="000000"/>
                <w:right w:val="none" w:sz="4" w:space="0" w:color="000000"/>
              </w:pBdr>
              <w:tabs>
                <w:tab w:val="left" w:pos="313"/>
              </w:tabs>
              <w:ind w:firstLine="0"/>
              <w:rPr>
                <w:rFonts w:ascii="Times New Roman" w:hAnsi="Times New Roman"/>
                <w:b/>
                <w:bCs/>
                <w:sz w:val="22"/>
                <w:szCs w:val="22"/>
                <w:lang w:val="ro-MD"/>
              </w:rPr>
            </w:pPr>
            <w:r w:rsidRPr="006D0F0C">
              <w:rPr>
                <w:rFonts w:ascii="Times New Roman" w:hAnsi="Times New Roman"/>
                <w:b/>
                <w:bCs/>
                <w:sz w:val="22"/>
                <w:szCs w:val="22"/>
                <w:lang w:val="ro-MD"/>
              </w:rPr>
              <w:lastRenderedPageBreak/>
              <w:t>Se acceptă</w:t>
            </w:r>
          </w:p>
          <w:p w14:paraId="28699FF2" w14:textId="0CAD99EF" w:rsidR="0004615A" w:rsidRPr="006D0F0C" w:rsidRDefault="0004615A" w:rsidP="0004615A">
            <w:pPr>
              <w:pBdr>
                <w:top w:val="none" w:sz="4" w:space="0" w:color="000000"/>
                <w:left w:val="none" w:sz="4" w:space="0" w:color="000000"/>
                <w:bottom w:val="none" w:sz="4" w:space="0" w:color="000000"/>
                <w:right w:val="none" w:sz="4" w:space="0" w:color="000000"/>
              </w:pBdr>
              <w:tabs>
                <w:tab w:val="left" w:pos="313"/>
              </w:tabs>
              <w:ind w:firstLine="0"/>
              <w:rPr>
                <w:rFonts w:ascii="Times New Roman" w:hAnsi="Times New Roman"/>
                <w:sz w:val="22"/>
                <w:szCs w:val="22"/>
                <w:lang w:val="ro-MD"/>
              </w:rPr>
            </w:pPr>
            <w:r w:rsidRPr="006D0F0C">
              <w:rPr>
                <w:rFonts w:ascii="Times New Roman" w:hAnsi="Times New Roman"/>
                <w:sz w:val="22"/>
                <w:szCs w:val="22"/>
                <w:lang w:val="ro-MD"/>
              </w:rPr>
              <w:t>Prevederile a fost reformulate.</w:t>
            </w:r>
          </w:p>
          <w:p w14:paraId="22F8719A" w14:textId="636001D5" w:rsidR="0004615A" w:rsidRPr="006D0F0C" w:rsidRDefault="0004615A" w:rsidP="0004615A">
            <w:pPr>
              <w:pBdr>
                <w:top w:val="none" w:sz="4" w:space="0" w:color="000000"/>
                <w:left w:val="none" w:sz="4" w:space="0" w:color="000000"/>
                <w:bottom w:val="none" w:sz="4" w:space="0" w:color="000000"/>
                <w:right w:val="none" w:sz="4" w:space="0" w:color="000000"/>
              </w:pBdr>
              <w:tabs>
                <w:tab w:val="left" w:pos="313"/>
              </w:tabs>
              <w:ind w:firstLine="0"/>
              <w:rPr>
                <w:rFonts w:ascii="Times New Roman" w:hAnsi="Times New Roman"/>
                <w:sz w:val="22"/>
                <w:szCs w:val="22"/>
                <w:lang w:val="ro-MD"/>
              </w:rPr>
            </w:pPr>
            <w:r w:rsidRPr="006D0F0C">
              <w:rPr>
                <w:rFonts w:ascii="Times New Roman" w:hAnsi="Times New Roman"/>
                <w:sz w:val="22"/>
                <w:szCs w:val="22"/>
                <w:lang w:val="ro-MD"/>
              </w:rPr>
              <w:t>Punctele 38 și 39 au devenit punctele 37 și 38.</w:t>
            </w:r>
          </w:p>
        </w:tc>
      </w:tr>
      <w:tr w:rsidR="006D0F0C" w:rsidRPr="006D0F0C" w14:paraId="23C80C7A" w14:textId="77777777" w:rsidTr="00783D37">
        <w:trPr>
          <w:trHeight w:val="1127"/>
        </w:trPr>
        <w:tc>
          <w:tcPr>
            <w:tcW w:w="231" w:type="pct"/>
            <w:tcBorders>
              <w:top w:val="single" w:sz="4" w:space="0" w:color="auto"/>
              <w:left w:val="single" w:sz="8" w:space="0" w:color="000000"/>
              <w:bottom w:val="single" w:sz="4" w:space="0" w:color="auto"/>
              <w:right w:val="single" w:sz="8" w:space="0" w:color="000000"/>
            </w:tcBorders>
          </w:tcPr>
          <w:p w14:paraId="1E364E42" w14:textId="77777777" w:rsidR="0004615A" w:rsidRPr="006D0F0C" w:rsidRDefault="0004615A" w:rsidP="0004615A">
            <w:pPr>
              <w:pStyle w:val="Listparagraf"/>
              <w:pBdr>
                <w:top w:val="none" w:sz="4" w:space="0" w:color="000000"/>
                <w:left w:val="none" w:sz="4" w:space="0" w:color="000000"/>
                <w:bottom w:val="none" w:sz="4" w:space="0" w:color="000000"/>
                <w:right w:val="none" w:sz="4" w:space="0" w:color="000000"/>
              </w:pBdr>
              <w:ind w:left="1287" w:firstLine="0"/>
              <w:rPr>
                <w:rFonts w:ascii="Times New Roman" w:hAnsi="Times New Roman"/>
                <w:sz w:val="24"/>
                <w:szCs w:val="24"/>
                <w:lang w:val="ro-MD"/>
              </w:rPr>
            </w:pPr>
          </w:p>
          <w:p w14:paraId="3EE7B725" w14:textId="445A4A89" w:rsidR="0004615A" w:rsidRPr="006D0F0C" w:rsidRDefault="0004615A" w:rsidP="0004615A">
            <w:pPr>
              <w:pBdr>
                <w:top w:val="none" w:sz="4" w:space="0" w:color="000000"/>
                <w:left w:val="none" w:sz="4" w:space="0" w:color="000000"/>
                <w:bottom w:val="none" w:sz="4" w:space="0" w:color="000000"/>
                <w:right w:val="none" w:sz="4" w:space="0" w:color="000000"/>
              </w:pBdr>
              <w:tabs>
                <w:tab w:val="left" w:pos="495"/>
              </w:tabs>
              <w:ind w:firstLine="0"/>
              <w:rPr>
                <w:rFonts w:ascii="Times New Roman" w:hAnsi="Times New Roman"/>
                <w:sz w:val="24"/>
                <w:szCs w:val="24"/>
                <w:lang w:val="ro-MD"/>
              </w:rPr>
            </w:pPr>
            <w:r w:rsidRPr="006D0F0C">
              <w:rPr>
                <w:rFonts w:ascii="Times New Roman" w:hAnsi="Times New Roman"/>
                <w:b/>
                <w:bCs/>
                <w:sz w:val="24"/>
                <w:szCs w:val="24"/>
                <w:lang w:val="ro-MD"/>
              </w:rPr>
              <w:t xml:space="preserve"> 8.</w:t>
            </w:r>
          </w:p>
        </w:tc>
        <w:tc>
          <w:tcPr>
            <w:tcW w:w="511"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5A69E693" w14:textId="6445F228" w:rsidR="0004615A" w:rsidRPr="006D0F0C" w:rsidRDefault="0004615A" w:rsidP="0004615A">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MD"/>
              </w:rPr>
            </w:pPr>
            <w:r w:rsidRPr="006D0F0C">
              <w:rPr>
                <w:rFonts w:ascii="Times New Roman" w:hAnsi="Times New Roman"/>
                <w:b/>
                <w:bCs/>
                <w:sz w:val="24"/>
                <w:szCs w:val="24"/>
                <w:lang w:val="ro-MD"/>
              </w:rPr>
              <w:t xml:space="preserve">Ministerul  Finanțelor </w:t>
            </w:r>
          </w:p>
        </w:tc>
        <w:tc>
          <w:tcPr>
            <w:tcW w:w="512"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BBF70F7" w14:textId="6A6C6EE6" w:rsidR="0004615A" w:rsidRPr="006D0F0C" w:rsidRDefault="0004615A" w:rsidP="0004615A">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MD"/>
              </w:rPr>
            </w:pPr>
            <w:r w:rsidRPr="006D0F0C">
              <w:rPr>
                <w:rFonts w:ascii="Times New Roman" w:hAnsi="Times New Roman"/>
                <w:b/>
                <w:bCs/>
                <w:sz w:val="24"/>
                <w:szCs w:val="24"/>
                <w:lang w:val="ro-MD"/>
              </w:rPr>
              <w:t>Nr.07/2-03/205/1766</w:t>
            </w:r>
          </w:p>
        </w:tc>
        <w:tc>
          <w:tcPr>
            <w:tcW w:w="2505"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A5D8C38" w14:textId="6F56FC50" w:rsidR="0004615A" w:rsidRPr="006D0F0C" w:rsidRDefault="0004615A" w:rsidP="0004615A">
            <w:pPr>
              <w:pBdr>
                <w:top w:val="none" w:sz="4" w:space="0" w:color="000000"/>
                <w:left w:val="none" w:sz="4" w:space="0" w:color="000000"/>
                <w:bottom w:val="none" w:sz="4" w:space="0" w:color="000000"/>
                <w:right w:val="none" w:sz="4" w:space="0" w:color="000000"/>
              </w:pBdr>
              <w:tabs>
                <w:tab w:val="left" w:pos="0"/>
              </w:tabs>
              <w:ind w:firstLine="0"/>
              <w:rPr>
                <w:rFonts w:ascii="Times New Roman" w:hAnsi="Times New Roman"/>
                <w:sz w:val="24"/>
                <w:szCs w:val="24"/>
                <w:lang w:val="ro-MD"/>
              </w:rPr>
            </w:pPr>
            <w:r w:rsidRPr="006D0F0C">
              <w:rPr>
                <w:rFonts w:ascii="Times New Roman" w:hAnsi="Times New Roman"/>
                <w:sz w:val="24"/>
                <w:szCs w:val="24"/>
                <w:lang w:val="ro-MD"/>
              </w:rPr>
              <w:t>Pe parcursul textului, inclusiv proiectului de hotărâre, se propune de a fi unificat noțiunea „apă de îmbăiere”, deoarece se utilizează noțiuni diferite (de exemplu „apei pentru scăldat” la pct.8, 20 etc).</w:t>
            </w:r>
          </w:p>
        </w:tc>
        <w:tc>
          <w:tcPr>
            <w:tcW w:w="1241"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CA43A74" w14:textId="77777777" w:rsidR="0004615A" w:rsidRPr="006D0F0C" w:rsidRDefault="0004615A" w:rsidP="0004615A">
            <w:pPr>
              <w:pBdr>
                <w:top w:val="none" w:sz="4" w:space="0" w:color="000000"/>
                <w:left w:val="none" w:sz="4" w:space="0" w:color="000000"/>
                <w:bottom w:val="none" w:sz="4" w:space="0" w:color="000000"/>
                <w:right w:val="none" w:sz="4" w:space="0" w:color="000000"/>
              </w:pBdr>
              <w:tabs>
                <w:tab w:val="left" w:pos="313"/>
              </w:tabs>
              <w:ind w:firstLine="0"/>
              <w:rPr>
                <w:rFonts w:ascii="Times New Roman" w:hAnsi="Times New Roman"/>
                <w:b/>
                <w:bCs/>
                <w:sz w:val="22"/>
                <w:szCs w:val="22"/>
                <w:lang w:val="ro-MD"/>
              </w:rPr>
            </w:pPr>
            <w:r w:rsidRPr="006D0F0C">
              <w:rPr>
                <w:rFonts w:ascii="Times New Roman" w:hAnsi="Times New Roman"/>
                <w:b/>
                <w:bCs/>
                <w:sz w:val="22"/>
                <w:szCs w:val="22"/>
                <w:lang w:val="ro-MD"/>
              </w:rPr>
              <w:t>Se acceptă.</w:t>
            </w:r>
          </w:p>
          <w:p w14:paraId="43637D09" w14:textId="77777777" w:rsidR="0004615A" w:rsidRPr="006D0F0C" w:rsidRDefault="0004615A" w:rsidP="0004615A">
            <w:pPr>
              <w:pBdr>
                <w:top w:val="none" w:sz="4" w:space="0" w:color="000000"/>
                <w:left w:val="none" w:sz="4" w:space="0" w:color="000000"/>
                <w:bottom w:val="none" w:sz="4" w:space="0" w:color="000000"/>
                <w:right w:val="none" w:sz="4" w:space="0" w:color="000000"/>
              </w:pBdr>
              <w:tabs>
                <w:tab w:val="left" w:pos="313"/>
              </w:tabs>
              <w:ind w:firstLine="0"/>
              <w:rPr>
                <w:rFonts w:ascii="Times New Roman" w:hAnsi="Times New Roman"/>
                <w:sz w:val="24"/>
                <w:szCs w:val="24"/>
                <w:lang w:val="ro-MD"/>
              </w:rPr>
            </w:pPr>
            <w:r w:rsidRPr="006D0F0C">
              <w:rPr>
                <w:rFonts w:ascii="Times New Roman" w:hAnsi="Times New Roman"/>
                <w:sz w:val="24"/>
                <w:szCs w:val="24"/>
                <w:lang w:val="ro-MD"/>
              </w:rPr>
              <w:t>Proiectul a fost modificat</w:t>
            </w:r>
          </w:p>
          <w:p w14:paraId="21D92E0A" w14:textId="48287BEC" w:rsidR="0004615A" w:rsidRPr="006D0F0C" w:rsidRDefault="0004615A" w:rsidP="0004615A">
            <w:pPr>
              <w:pBdr>
                <w:top w:val="none" w:sz="4" w:space="0" w:color="000000"/>
                <w:left w:val="none" w:sz="4" w:space="0" w:color="000000"/>
                <w:bottom w:val="none" w:sz="4" w:space="0" w:color="000000"/>
                <w:right w:val="none" w:sz="4" w:space="0" w:color="000000"/>
              </w:pBdr>
              <w:tabs>
                <w:tab w:val="left" w:pos="313"/>
              </w:tabs>
              <w:ind w:firstLine="0"/>
              <w:rPr>
                <w:rFonts w:ascii="Times New Roman" w:hAnsi="Times New Roman"/>
                <w:sz w:val="22"/>
                <w:szCs w:val="22"/>
                <w:lang w:val="ro-MD"/>
              </w:rPr>
            </w:pPr>
          </w:p>
        </w:tc>
      </w:tr>
      <w:tr w:rsidR="006D0F0C" w:rsidRPr="006D0F0C" w14:paraId="30D424EE" w14:textId="77777777" w:rsidTr="00783D37">
        <w:trPr>
          <w:trHeight w:val="1041"/>
        </w:trPr>
        <w:tc>
          <w:tcPr>
            <w:tcW w:w="231" w:type="pct"/>
            <w:tcBorders>
              <w:top w:val="single" w:sz="4" w:space="0" w:color="auto"/>
              <w:left w:val="single" w:sz="8" w:space="0" w:color="000000"/>
              <w:bottom w:val="single" w:sz="4" w:space="0" w:color="auto"/>
              <w:right w:val="single" w:sz="8" w:space="0" w:color="000000"/>
            </w:tcBorders>
          </w:tcPr>
          <w:p w14:paraId="5DD16A41" w14:textId="77777777" w:rsidR="0004615A" w:rsidRPr="006D0F0C" w:rsidRDefault="0004615A" w:rsidP="0004615A">
            <w:pPr>
              <w:pStyle w:val="Listparagraf"/>
              <w:numPr>
                <w:ilvl w:val="0"/>
                <w:numId w:val="2"/>
              </w:num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p>
        </w:tc>
        <w:tc>
          <w:tcPr>
            <w:tcW w:w="511"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45E62B36" w14:textId="77777777" w:rsidR="0004615A" w:rsidRPr="006D0F0C" w:rsidRDefault="0004615A" w:rsidP="0004615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p>
        </w:tc>
        <w:tc>
          <w:tcPr>
            <w:tcW w:w="512"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A148A2A" w14:textId="77777777" w:rsidR="0004615A" w:rsidRPr="006D0F0C" w:rsidRDefault="0004615A" w:rsidP="0004615A">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MD"/>
              </w:rPr>
            </w:pPr>
          </w:p>
        </w:tc>
        <w:tc>
          <w:tcPr>
            <w:tcW w:w="2505"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1053509" w14:textId="0D182D50" w:rsidR="0004615A" w:rsidRPr="006D0F0C" w:rsidRDefault="0004615A" w:rsidP="0004615A">
            <w:pPr>
              <w:pBdr>
                <w:top w:val="none" w:sz="4" w:space="0" w:color="000000"/>
                <w:left w:val="none" w:sz="4" w:space="0" w:color="000000"/>
                <w:bottom w:val="none" w:sz="4" w:space="0" w:color="000000"/>
                <w:right w:val="none" w:sz="4" w:space="0" w:color="000000"/>
              </w:pBdr>
              <w:tabs>
                <w:tab w:val="left" w:pos="0"/>
              </w:tabs>
              <w:ind w:firstLine="0"/>
              <w:rPr>
                <w:rFonts w:ascii="Times New Roman" w:hAnsi="Times New Roman"/>
                <w:sz w:val="24"/>
                <w:szCs w:val="24"/>
                <w:lang w:val="ro-MD"/>
              </w:rPr>
            </w:pPr>
            <w:r w:rsidRPr="006D0F0C">
              <w:rPr>
                <w:rFonts w:ascii="Times New Roman" w:hAnsi="Times New Roman"/>
                <w:sz w:val="24"/>
                <w:szCs w:val="24"/>
                <w:lang w:val="ro-MD"/>
              </w:rPr>
              <w:t>Cu referire la proiectul Regulamentului sanitar (Anexa nr.1). Pct.14, urmează a fi precizat pentru a aduce claritate ce fel de „Comisie” trebuie informată, cine o creează, care sunt responsabilitățile, etc.</w:t>
            </w:r>
          </w:p>
        </w:tc>
        <w:tc>
          <w:tcPr>
            <w:tcW w:w="1241"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F6DF688" w14:textId="77777777" w:rsidR="0004615A" w:rsidRPr="006D0F0C" w:rsidRDefault="0004615A" w:rsidP="0004615A">
            <w:pPr>
              <w:pBdr>
                <w:top w:val="none" w:sz="4" w:space="0" w:color="000000"/>
                <w:left w:val="none" w:sz="4" w:space="0" w:color="000000"/>
                <w:bottom w:val="none" w:sz="4" w:space="0" w:color="000000"/>
                <w:right w:val="none" w:sz="4" w:space="0" w:color="000000"/>
              </w:pBdr>
              <w:tabs>
                <w:tab w:val="left" w:pos="313"/>
              </w:tabs>
              <w:ind w:firstLine="0"/>
              <w:rPr>
                <w:rFonts w:ascii="Times New Roman" w:hAnsi="Times New Roman"/>
                <w:b/>
                <w:bCs/>
                <w:sz w:val="22"/>
                <w:szCs w:val="22"/>
                <w:lang w:val="ro-MD"/>
              </w:rPr>
            </w:pPr>
            <w:r w:rsidRPr="006D0F0C">
              <w:rPr>
                <w:rFonts w:ascii="Times New Roman" w:hAnsi="Times New Roman"/>
                <w:b/>
                <w:bCs/>
                <w:sz w:val="22"/>
                <w:szCs w:val="22"/>
                <w:lang w:val="ro-MD"/>
              </w:rPr>
              <w:t>Se acceptă.</w:t>
            </w:r>
          </w:p>
          <w:p w14:paraId="78978396" w14:textId="77777777" w:rsidR="0004615A" w:rsidRPr="006D0F0C" w:rsidRDefault="0004615A" w:rsidP="0004615A">
            <w:pPr>
              <w:pBdr>
                <w:top w:val="none" w:sz="4" w:space="0" w:color="000000"/>
                <w:left w:val="none" w:sz="4" w:space="0" w:color="000000"/>
                <w:bottom w:val="none" w:sz="4" w:space="0" w:color="000000"/>
                <w:right w:val="none" w:sz="4" w:space="0" w:color="000000"/>
              </w:pBdr>
              <w:tabs>
                <w:tab w:val="left" w:pos="313"/>
              </w:tabs>
              <w:ind w:firstLine="0"/>
              <w:rPr>
                <w:rFonts w:ascii="Times New Roman" w:hAnsi="Times New Roman"/>
                <w:sz w:val="24"/>
                <w:szCs w:val="24"/>
                <w:lang w:val="ro-MD"/>
              </w:rPr>
            </w:pPr>
            <w:r w:rsidRPr="006D0F0C">
              <w:rPr>
                <w:rFonts w:ascii="Times New Roman" w:hAnsi="Times New Roman"/>
                <w:sz w:val="24"/>
                <w:szCs w:val="24"/>
                <w:lang w:val="ro-MD"/>
              </w:rPr>
              <w:t>Proiectul a fost modificat</w:t>
            </w:r>
          </w:p>
          <w:p w14:paraId="6FD09AEB" w14:textId="77777777" w:rsidR="0004615A" w:rsidRPr="006D0F0C" w:rsidRDefault="0004615A" w:rsidP="0004615A">
            <w:pPr>
              <w:pBdr>
                <w:top w:val="none" w:sz="4" w:space="0" w:color="000000"/>
                <w:left w:val="none" w:sz="4" w:space="0" w:color="000000"/>
                <w:bottom w:val="none" w:sz="4" w:space="0" w:color="000000"/>
                <w:right w:val="none" w:sz="4" w:space="0" w:color="000000"/>
              </w:pBdr>
              <w:tabs>
                <w:tab w:val="left" w:pos="313"/>
              </w:tabs>
              <w:ind w:firstLine="0"/>
              <w:rPr>
                <w:rFonts w:ascii="Times New Roman" w:hAnsi="Times New Roman"/>
                <w:sz w:val="22"/>
                <w:szCs w:val="22"/>
                <w:lang w:val="ro-MD"/>
              </w:rPr>
            </w:pPr>
          </w:p>
        </w:tc>
      </w:tr>
      <w:tr w:rsidR="006D0F0C" w:rsidRPr="006D0F0C" w14:paraId="157448C2" w14:textId="77777777" w:rsidTr="00783D37">
        <w:trPr>
          <w:trHeight w:val="1058"/>
        </w:trPr>
        <w:tc>
          <w:tcPr>
            <w:tcW w:w="231" w:type="pct"/>
            <w:tcBorders>
              <w:top w:val="single" w:sz="4" w:space="0" w:color="auto"/>
              <w:left w:val="single" w:sz="8" w:space="0" w:color="000000"/>
              <w:bottom w:val="single" w:sz="4" w:space="0" w:color="auto"/>
              <w:right w:val="single" w:sz="8" w:space="0" w:color="000000"/>
            </w:tcBorders>
          </w:tcPr>
          <w:p w14:paraId="5FA3E149" w14:textId="77777777" w:rsidR="0004615A" w:rsidRPr="006D0F0C" w:rsidRDefault="0004615A" w:rsidP="0004615A">
            <w:pPr>
              <w:pStyle w:val="Listparagraf"/>
              <w:numPr>
                <w:ilvl w:val="0"/>
                <w:numId w:val="2"/>
              </w:num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p>
        </w:tc>
        <w:tc>
          <w:tcPr>
            <w:tcW w:w="511"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2D06A269" w14:textId="77777777" w:rsidR="0004615A" w:rsidRPr="006D0F0C" w:rsidRDefault="0004615A" w:rsidP="0004615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p>
        </w:tc>
        <w:tc>
          <w:tcPr>
            <w:tcW w:w="512"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2915768" w14:textId="77777777" w:rsidR="0004615A" w:rsidRPr="006D0F0C" w:rsidRDefault="0004615A" w:rsidP="0004615A">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MD"/>
              </w:rPr>
            </w:pPr>
          </w:p>
        </w:tc>
        <w:tc>
          <w:tcPr>
            <w:tcW w:w="2505"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CD312A3" w14:textId="35BA4B71" w:rsidR="0004615A" w:rsidRPr="006D0F0C" w:rsidRDefault="0004615A" w:rsidP="0004615A">
            <w:pPr>
              <w:pBdr>
                <w:top w:val="none" w:sz="4" w:space="0" w:color="000000"/>
                <w:left w:val="none" w:sz="4" w:space="0" w:color="000000"/>
                <w:bottom w:val="none" w:sz="4" w:space="0" w:color="000000"/>
                <w:right w:val="none" w:sz="4" w:space="0" w:color="000000"/>
              </w:pBdr>
              <w:tabs>
                <w:tab w:val="left" w:pos="0"/>
              </w:tabs>
              <w:ind w:firstLine="0"/>
              <w:rPr>
                <w:rFonts w:ascii="Times New Roman" w:hAnsi="Times New Roman"/>
                <w:sz w:val="24"/>
                <w:szCs w:val="24"/>
                <w:lang w:val="ro-MD"/>
              </w:rPr>
            </w:pPr>
            <w:r w:rsidRPr="006D0F0C">
              <w:rPr>
                <w:rFonts w:ascii="Times New Roman" w:hAnsi="Times New Roman"/>
                <w:sz w:val="24"/>
                <w:szCs w:val="24"/>
                <w:lang w:val="ro-MD"/>
              </w:rPr>
              <w:t>La pct.19, cifra „19” se propune de substituit cu cifra „17”.</w:t>
            </w:r>
          </w:p>
        </w:tc>
        <w:tc>
          <w:tcPr>
            <w:tcW w:w="1241"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21D2D00" w14:textId="27BD54CE" w:rsidR="0004615A" w:rsidRPr="006D0F0C" w:rsidRDefault="00BC4198" w:rsidP="0004615A">
            <w:pPr>
              <w:pBdr>
                <w:top w:val="none" w:sz="4" w:space="0" w:color="000000"/>
                <w:left w:val="none" w:sz="4" w:space="0" w:color="000000"/>
                <w:bottom w:val="none" w:sz="4" w:space="0" w:color="000000"/>
                <w:right w:val="none" w:sz="4" w:space="0" w:color="000000"/>
              </w:pBdr>
              <w:tabs>
                <w:tab w:val="left" w:pos="313"/>
              </w:tabs>
              <w:ind w:firstLine="0"/>
              <w:rPr>
                <w:rFonts w:ascii="Times New Roman" w:hAnsi="Times New Roman"/>
                <w:b/>
                <w:bCs/>
                <w:sz w:val="22"/>
                <w:szCs w:val="22"/>
                <w:lang w:val="ro-MD"/>
              </w:rPr>
            </w:pPr>
            <w:r w:rsidRPr="006D0F0C">
              <w:rPr>
                <w:rFonts w:ascii="Times New Roman" w:hAnsi="Times New Roman"/>
                <w:b/>
                <w:bCs/>
                <w:sz w:val="22"/>
                <w:szCs w:val="22"/>
                <w:lang w:val="ro-MD"/>
              </w:rPr>
              <w:t>Nu s</w:t>
            </w:r>
            <w:r w:rsidR="0004615A" w:rsidRPr="006D0F0C">
              <w:rPr>
                <w:rFonts w:ascii="Times New Roman" w:hAnsi="Times New Roman"/>
                <w:b/>
                <w:bCs/>
                <w:sz w:val="22"/>
                <w:szCs w:val="22"/>
                <w:lang w:val="ro-MD"/>
              </w:rPr>
              <w:t>e acceptă</w:t>
            </w:r>
          </w:p>
          <w:p w14:paraId="2DC4EF9A" w14:textId="77777777" w:rsidR="006D0F0C" w:rsidRPr="006D0F0C" w:rsidRDefault="006D0F0C" w:rsidP="006D0F0C">
            <w:pPr>
              <w:pBdr>
                <w:top w:val="none" w:sz="4" w:space="0" w:color="000000"/>
                <w:left w:val="none" w:sz="4" w:space="0" w:color="000000"/>
                <w:bottom w:val="none" w:sz="4" w:space="0" w:color="000000"/>
                <w:right w:val="none" w:sz="4" w:space="0" w:color="000000"/>
              </w:pBdr>
              <w:tabs>
                <w:tab w:val="left" w:pos="313"/>
              </w:tabs>
              <w:ind w:firstLine="0"/>
              <w:rPr>
                <w:rFonts w:ascii="Times New Roman" w:hAnsi="Times New Roman"/>
                <w:sz w:val="22"/>
                <w:szCs w:val="22"/>
                <w:lang w:val="ro-MD"/>
              </w:rPr>
            </w:pPr>
            <w:r w:rsidRPr="006D0F0C">
              <w:rPr>
                <w:rFonts w:ascii="Times New Roman" w:hAnsi="Times New Roman"/>
                <w:sz w:val="22"/>
                <w:szCs w:val="22"/>
                <w:lang w:val="ro-MD"/>
              </w:rPr>
              <w:t>Punctele 17 și 19 din proiect reprezintă transpunerea integrală a prevederilor art. 4 alin. (2) din Directivă.</w:t>
            </w:r>
          </w:p>
          <w:p w14:paraId="7728A848" w14:textId="77777777" w:rsidR="006D0F0C" w:rsidRPr="006D0F0C" w:rsidRDefault="006D0F0C" w:rsidP="006D0F0C">
            <w:pPr>
              <w:pBdr>
                <w:top w:val="none" w:sz="4" w:space="0" w:color="000000"/>
                <w:left w:val="none" w:sz="4" w:space="0" w:color="000000"/>
                <w:bottom w:val="none" w:sz="4" w:space="0" w:color="000000"/>
                <w:right w:val="none" w:sz="4" w:space="0" w:color="000000"/>
              </w:pBdr>
              <w:tabs>
                <w:tab w:val="left" w:pos="313"/>
              </w:tabs>
              <w:ind w:firstLine="0"/>
              <w:rPr>
                <w:rFonts w:ascii="Times New Roman" w:hAnsi="Times New Roman"/>
                <w:sz w:val="22"/>
                <w:szCs w:val="22"/>
                <w:lang w:val="ro-MD"/>
              </w:rPr>
            </w:pPr>
            <w:r w:rsidRPr="006D0F0C">
              <w:rPr>
                <w:rFonts w:ascii="Times New Roman" w:hAnsi="Times New Roman"/>
                <w:sz w:val="22"/>
                <w:szCs w:val="22"/>
                <w:lang w:val="ro-MD"/>
              </w:rPr>
              <w:t>În acest sens, pct. 18 stabilește competența autorității competente (ANSP) de a decide efectuarea evaluării calității apei de îmbăiere pe baza setului de date colectate pentru trei sezoane de îmbăiere precedente, în loc de patru sezoane, exact așa cum prevede Directiva.</w:t>
            </w:r>
          </w:p>
          <w:p w14:paraId="6DCCBAFA" w14:textId="77777777" w:rsidR="006D0F0C" w:rsidRPr="006D0F0C" w:rsidRDefault="006D0F0C" w:rsidP="006D0F0C">
            <w:pPr>
              <w:pBdr>
                <w:top w:val="none" w:sz="4" w:space="0" w:color="000000"/>
                <w:left w:val="none" w:sz="4" w:space="0" w:color="000000"/>
                <w:bottom w:val="none" w:sz="4" w:space="0" w:color="000000"/>
                <w:right w:val="none" w:sz="4" w:space="0" w:color="000000"/>
              </w:pBdr>
              <w:tabs>
                <w:tab w:val="left" w:pos="313"/>
              </w:tabs>
              <w:ind w:firstLine="0"/>
              <w:rPr>
                <w:rFonts w:ascii="Times New Roman" w:hAnsi="Times New Roman"/>
                <w:sz w:val="22"/>
                <w:szCs w:val="22"/>
                <w:lang w:val="ro-MD"/>
              </w:rPr>
            </w:pPr>
            <w:r w:rsidRPr="006D0F0C">
              <w:rPr>
                <w:rFonts w:ascii="Times New Roman" w:hAnsi="Times New Roman"/>
                <w:sz w:val="22"/>
                <w:szCs w:val="22"/>
                <w:lang w:val="ro-MD"/>
              </w:rPr>
              <w:t>Punctul 19 constituie continuarea logică și normativă a pct. 18, stabilind obligația de informare a Comisiei Europene în cazul în care se decide efectuarea evaluării pe baza unui număr redus de sezoane de îmbăiere, precum și în situația reluării evaluării pe baza a patru sezoane.</w:t>
            </w:r>
          </w:p>
          <w:p w14:paraId="622E0D84" w14:textId="77777777" w:rsidR="006D0F0C" w:rsidRPr="006D0F0C" w:rsidRDefault="006D0F0C" w:rsidP="006D0F0C">
            <w:pPr>
              <w:pBdr>
                <w:top w:val="none" w:sz="4" w:space="0" w:color="000000"/>
                <w:left w:val="none" w:sz="4" w:space="0" w:color="000000"/>
                <w:bottom w:val="none" w:sz="4" w:space="0" w:color="000000"/>
                <w:right w:val="none" w:sz="4" w:space="0" w:color="000000"/>
              </w:pBdr>
              <w:tabs>
                <w:tab w:val="left" w:pos="313"/>
              </w:tabs>
              <w:ind w:firstLine="0"/>
              <w:rPr>
                <w:rFonts w:ascii="Times New Roman" w:hAnsi="Times New Roman"/>
                <w:sz w:val="22"/>
                <w:szCs w:val="22"/>
                <w:lang w:val="ro-MD"/>
              </w:rPr>
            </w:pPr>
            <w:r w:rsidRPr="006D0F0C">
              <w:rPr>
                <w:rFonts w:ascii="Times New Roman" w:hAnsi="Times New Roman"/>
                <w:sz w:val="22"/>
                <w:szCs w:val="22"/>
                <w:lang w:val="ro-MD"/>
              </w:rPr>
              <w:t>Această abordare reflectă textul Directivei, care prevede expres că:</w:t>
            </w:r>
          </w:p>
          <w:p w14:paraId="1BC9752B" w14:textId="77777777" w:rsidR="006D0F0C" w:rsidRPr="006D0F0C" w:rsidRDefault="006D0F0C" w:rsidP="006D0F0C">
            <w:pPr>
              <w:pBdr>
                <w:top w:val="none" w:sz="4" w:space="0" w:color="000000"/>
                <w:left w:val="none" w:sz="4" w:space="0" w:color="000000"/>
                <w:bottom w:val="none" w:sz="4" w:space="0" w:color="000000"/>
                <w:right w:val="none" w:sz="4" w:space="0" w:color="000000"/>
              </w:pBdr>
              <w:tabs>
                <w:tab w:val="left" w:pos="313"/>
              </w:tabs>
              <w:ind w:firstLine="0"/>
              <w:rPr>
                <w:rFonts w:ascii="Times New Roman" w:hAnsi="Times New Roman"/>
                <w:sz w:val="22"/>
                <w:szCs w:val="22"/>
                <w:lang w:val="ro-MD"/>
              </w:rPr>
            </w:pPr>
            <w:r w:rsidRPr="006D0F0C">
              <w:rPr>
                <w:rFonts w:ascii="Times New Roman" w:hAnsi="Times New Roman"/>
                <w:sz w:val="22"/>
                <w:szCs w:val="22"/>
                <w:lang w:val="ro-MD"/>
              </w:rPr>
              <w:t xml:space="preserve">„Cu toate acestea, un stat membru poate decide să efectueze evaluările calității apei pentru scăldat pe baza setului de date privind calitatea apei pentru scăldat colectate numai pentru cele trei sezoane </w:t>
            </w:r>
            <w:r w:rsidRPr="006D0F0C">
              <w:rPr>
                <w:rFonts w:ascii="Times New Roman" w:hAnsi="Times New Roman"/>
                <w:sz w:val="22"/>
                <w:szCs w:val="22"/>
                <w:lang w:val="ro-MD"/>
              </w:rPr>
              <w:lastRenderedPageBreak/>
              <w:t>de scăldat precedente. În acest caz, statul membru informează Comisia de acest lucru în prealabil. Acesta informează de asemenea Comisia în cazul în care decide ulterior să reia realizarea evaluărilor pe baza a patru sezoane de scăldat. Statele membre nu pot modifica durata perioadei de evaluare mai mult de o dată la cinci ani.”</w:t>
            </w:r>
          </w:p>
          <w:p w14:paraId="1AA0C1E6" w14:textId="77777777" w:rsidR="006D0F0C" w:rsidRPr="006D0F0C" w:rsidRDefault="006D0F0C" w:rsidP="006D0F0C">
            <w:pPr>
              <w:pBdr>
                <w:top w:val="none" w:sz="4" w:space="0" w:color="000000"/>
                <w:left w:val="none" w:sz="4" w:space="0" w:color="000000"/>
                <w:bottom w:val="none" w:sz="4" w:space="0" w:color="000000"/>
                <w:right w:val="none" w:sz="4" w:space="0" w:color="000000"/>
              </w:pBdr>
              <w:tabs>
                <w:tab w:val="left" w:pos="313"/>
              </w:tabs>
              <w:ind w:firstLine="0"/>
              <w:rPr>
                <w:rFonts w:ascii="Times New Roman" w:hAnsi="Times New Roman"/>
                <w:sz w:val="22"/>
                <w:szCs w:val="22"/>
                <w:lang w:val="ro-MD"/>
              </w:rPr>
            </w:pPr>
            <w:r w:rsidRPr="006D0F0C">
              <w:rPr>
                <w:rFonts w:ascii="Times New Roman" w:hAnsi="Times New Roman"/>
                <w:sz w:val="22"/>
                <w:szCs w:val="22"/>
                <w:lang w:val="ro-MD"/>
              </w:rPr>
              <w:t>Prin urmare, trimiterea de la pct. 19 la pct. 18 este corectă, iar structura prevederilor asigură o transpunere completă și coerentă a art. 4 alin. (2) din Directivă, fără a introduce norme suplimentare sau derogări neprevăzute.</w:t>
            </w:r>
          </w:p>
          <w:p w14:paraId="587ED9BF" w14:textId="6781E93D" w:rsidR="004D5B45" w:rsidRPr="006D0F0C" w:rsidRDefault="004D5B45" w:rsidP="00BC4198">
            <w:pPr>
              <w:pBdr>
                <w:top w:val="none" w:sz="4" w:space="0" w:color="000000"/>
                <w:left w:val="none" w:sz="4" w:space="0" w:color="000000"/>
                <w:bottom w:val="none" w:sz="4" w:space="0" w:color="000000"/>
                <w:right w:val="none" w:sz="4" w:space="0" w:color="000000"/>
              </w:pBdr>
              <w:tabs>
                <w:tab w:val="left" w:pos="313"/>
              </w:tabs>
              <w:ind w:firstLine="0"/>
              <w:rPr>
                <w:rFonts w:ascii="Times New Roman" w:hAnsi="Times New Roman"/>
                <w:sz w:val="22"/>
                <w:szCs w:val="22"/>
                <w:lang w:val="ro-RO"/>
              </w:rPr>
            </w:pPr>
          </w:p>
        </w:tc>
      </w:tr>
      <w:tr w:rsidR="006D0F0C" w:rsidRPr="006D0F0C" w14:paraId="065BD6C3" w14:textId="77777777" w:rsidTr="00783D37">
        <w:trPr>
          <w:trHeight w:val="1058"/>
        </w:trPr>
        <w:tc>
          <w:tcPr>
            <w:tcW w:w="231" w:type="pct"/>
            <w:tcBorders>
              <w:top w:val="single" w:sz="4" w:space="0" w:color="auto"/>
              <w:left w:val="single" w:sz="8" w:space="0" w:color="000000"/>
              <w:bottom w:val="single" w:sz="4" w:space="0" w:color="auto"/>
              <w:right w:val="single" w:sz="8" w:space="0" w:color="000000"/>
            </w:tcBorders>
          </w:tcPr>
          <w:p w14:paraId="7C678FFF" w14:textId="77777777" w:rsidR="006D0F0C" w:rsidRPr="006D0F0C" w:rsidRDefault="006D0F0C" w:rsidP="006D0F0C">
            <w:pPr>
              <w:pStyle w:val="Listparagraf"/>
              <w:numPr>
                <w:ilvl w:val="0"/>
                <w:numId w:val="2"/>
              </w:num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p>
        </w:tc>
        <w:tc>
          <w:tcPr>
            <w:tcW w:w="511"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2C0C2BF0" w14:textId="77777777" w:rsidR="006D0F0C" w:rsidRPr="006D0F0C" w:rsidRDefault="006D0F0C" w:rsidP="006D0F0C">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p>
        </w:tc>
        <w:tc>
          <w:tcPr>
            <w:tcW w:w="512"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9FE6B3B" w14:textId="77777777" w:rsidR="006D0F0C" w:rsidRPr="006D0F0C" w:rsidRDefault="006D0F0C" w:rsidP="006D0F0C">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MD"/>
              </w:rPr>
            </w:pPr>
          </w:p>
        </w:tc>
        <w:tc>
          <w:tcPr>
            <w:tcW w:w="2505"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4AB7829" w14:textId="77777777" w:rsidR="006D0F0C" w:rsidRPr="006D0F0C" w:rsidRDefault="006D0F0C" w:rsidP="006D0F0C">
            <w:pPr>
              <w:pBdr>
                <w:top w:val="none" w:sz="4" w:space="0" w:color="000000"/>
                <w:left w:val="none" w:sz="4" w:space="0" w:color="000000"/>
                <w:bottom w:val="none" w:sz="4" w:space="0" w:color="000000"/>
                <w:right w:val="none" w:sz="4" w:space="0" w:color="000000"/>
              </w:pBdr>
              <w:tabs>
                <w:tab w:val="left" w:pos="0"/>
              </w:tabs>
              <w:ind w:firstLine="0"/>
              <w:rPr>
                <w:rFonts w:ascii="Times New Roman" w:hAnsi="Times New Roman"/>
                <w:sz w:val="24"/>
                <w:szCs w:val="24"/>
                <w:lang w:val="ro-MD"/>
              </w:rPr>
            </w:pPr>
            <w:r w:rsidRPr="006D0F0C">
              <w:rPr>
                <w:rFonts w:ascii="Times New Roman" w:hAnsi="Times New Roman"/>
                <w:sz w:val="24"/>
                <w:szCs w:val="24"/>
                <w:lang w:val="ro-MD"/>
              </w:rPr>
              <w:t xml:space="preserve">Cu referire la Nota de fundamentare. În compartimentul 4.2 „Impactul financiar și argumentarea costurilor estimative” se menționează că, pentru implementarea proiectului sunt necesare alocări de mijloace financiare suplimentare în volum de 411,0 mii lei din bugetul de stat, doar pentru implementarea unică a proiectului și pentru stabilirea clasei de calitate în următorii 4 ani de testare. </w:t>
            </w:r>
          </w:p>
          <w:p w14:paraId="6064967D" w14:textId="712DC483" w:rsidR="006D0F0C" w:rsidRPr="006D0F0C" w:rsidRDefault="006D0F0C" w:rsidP="006D0F0C">
            <w:pPr>
              <w:pBdr>
                <w:top w:val="none" w:sz="4" w:space="0" w:color="000000"/>
                <w:left w:val="none" w:sz="4" w:space="0" w:color="000000"/>
                <w:bottom w:val="none" w:sz="4" w:space="0" w:color="000000"/>
                <w:right w:val="none" w:sz="4" w:space="0" w:color="000000"/>
              </w:pBdr>
              <w:tabs>
                <w:tab w:val="left" w:pos="0"/>
              </w:tabs>
              <w:ind w:firstLine="0"/>
              <w:rPr>
                <w:rFonts w:ascii="Times New Roman" w:hAnsi="Times New Roman"/>
                <w:sz w:val="24"/>
                <w:szCs w:val="24"/>
                <w:lang w:val="ro-MD"/>
              </w:rPr>
            </w:pPr>
            <w:r w:rsidRPr="006D0F0C">
              <w:rPr>
                <w:rFonts w:ascii="Times New Roman" w:hAnsi="Times New Roman"/>
                <w:sz w:val="24"/>
                <w:szCs w:val="24"/>
                <w:lang w:val="ro-MD"/>
              </w:rPr>
              <w:t>Totodată, în compartimentul 4.1, se menționează că, implementarea proiectului, pe lângă investițiile pentru dotarea laboratoarelor ANSP presupune și cheltuieli privind instruirea personalului, cheltuieli pentru amenajarea zonelor de agrement de către autoritățile locale, implementarea unui sistem electronic de raportare și publicare a datelor, însă nu sunt prezentate costurile aferente acestora. Astfel, Nota de fundamentare urmează a fi completată cu estimarea tuturor costurilor și sursei de finanțare a acestora. Suplimentar, comunicăm că nici Fișa financiară prezentată la proiect nu aduce claritate asupra estimărilor precum și sursei de finanțare a acestora (sumele pentru necesitățile suplimentare nu corespund cu sumele din tabel). În același timp, menționăm că în proiectul legii bugetului de stat pentru anul 2026 (prezentat la Parlament) nu au fost planificate mijloace financiare necesare pentru implementarea proiectului în cauză.</w:t>
            </w:r>
          </w:p>
        </w:tc>
        <w:tc>
          <w:tcPr>
            <w:tcW w:w="1241"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3D8CD1B" w14:textId="77777777" w:rsidR="006D0F0C" w:rsidRPr="006D0F0C" w:rsidRDefault="006D0F0C" w:rsidP="006D0F0C">
            <w:pPr>
              <w:pBdr>
                <w:top w:val="none" w:sz="4" w:space="0" w:color="000000"/>
                <w:left w:val="none" w:sz="4" w:space="0" w:color="000000"/>
                <w:bottom w:val="none" w:sz="4" w:space="0" w:color="000000"/>
                <w:right w:val="none" w:sz="4" w:space="0" w:color="000000"/>
              </w:pBdr>
              <w:tabs>
                <w:tab w:val="left" w:pos="313"/>
              </w:tabs>
              <w:ind w:firstLine="0"/>
              <w:rPr>
                <w:rFonts w:ascii="Times New Roman" w:hAnsi="Times New Roman"/>
                <w:b/>
                <w:bCs/>
                <w:sz w:val="22"/>
                <w:szCs w:val="22"/>
                <w:lang w:val="ro-MD"/>
              </w:rPr>
            </w:pPr>
            <w:r w:rsidRPr="006D0F0C">
              <w:rPr>
                <w:rFonts w:ascii="Times New Roman" w:hAnsi="Times New Roman"/>
                <w:b/>
                <w:bCs/>
                <w:sz w:val="22"/>
                <w:szCs w:val="22"/>
                <w:lang w:val="ro-MD"/>
              </w:rPr>
              <w:t>Se acceptă.</w:t>
            </w:r>
          </w:p>
          <w:p w14:paraId="2F412D7F" w14:textId="77777777" w:rsidR="006D0F0C" w:rsidRPr="006D0F0C" w:rsidRDefault="006D0F0C" w:rsidP="006D0F0C">
            <w:pPr>
              <w:pBdr>
                <w:top w:val="none" w:sz="4" w:space="0" w:color="000000"/>
                <w:left w:val="none" w:sz="4" w:space="0" w:color="000000"/>
                <w:bottom w:val="none" w:sz="4" w:space="0" w:color="000000"/>
                <w:right w:val="none" w:sz="4" w:space="0" w:color="000000"/>
              </w:pBdr>
              <w:tabs>
                <w:tab w:val="left" w:pos="313"/>
              </w:tabs>
              <w:ind w:firstLine="0"/>
              <w:rPr>
                <w:rFonts w:ascii="Times New Roman" w:hAnsi="Times New Roman"/>
                <w:sz w:val="22"/>
                <w:szCs w:val="22"/>
                <w:lang w:val="ro-MD"/>
              </w:rPr>
            </w:pPr>
            <w:r w:rsidRPr="006D0F0C">
              <w:rPr>
                <w:rFonts w:ascii="Times New Roman" w:hAnsi="Times New Roman"/>
                <w:sz w:val="22"/>
                <w:szCs w:val="22"/>
                <w:lang w:val="ro-MD"/>
              </w:rPr>
              <w:t>Nota de fundamentare a fost completată și ajustată, fiind incluse și clarificările necesare.</w:t>
            </w:r>
          </w:p>
          <w:p w14:paraId="0DEE345F" w14:textId="727B2CD0" w:rsidR="006D0F0C" w:rsidRPr="006D0F0C" w:rsidRDefault="006D0F0C" w:rsidP="006D0F0C">
            <w:pPr>
              <w:pBdr>
                <w:top w:val="none" w:sz="4" w:space="0" w:color="000000"/>
                <w:left w:val="none" w:sz="4" w:space="0" w:color="000000"/>
                <w:bottom w:val="none" w:sz="4" w:space="0" w:color="000000"/>
                <w:right w:val="none" w:sz="4" w:space="0" w:color="000000"/>
              </w:pBdr>
              <w:tabs>
                <w:tab w:val="left" w:pos="313"/>
              </w:tabs>
              <w:ind w:firstLine="0"/>
              <w:rPr>
                <w:rFonts w:ascii="Times New Roman" w:hAnsi="Times New Roman"/>
                <w:b/>
                <w:bCs/>
                <w:sz w:val="22"/>
                <w:szCs w:val="22"/>
                <w:lang w:val="ro-MD"/>
              </w:rPr>
            </w:pPr>
            <w:r w:rsidRPr="006D0F0C">
              <w:rPr>
                <w:rFonts w:ascii="Times New Roman" w:hAnsi="Times New Roman"/>
                <w:sz w:val="22"/>
                <w:szCs w:val="22"/>
                <w:lang w:val="ro-MD"/>
              </w:rPr>
              <w:t>Estimările financiare prezentate în Nota de fundamentare au caracter orientativ și reflectă exclusiv necesitățile tehnice identificate. Prezentul proiect nu generează modificări ale veniturilor sau cheltuielilor bugetare aprobate, iar eventualele alocări financiare vor fi examinate ulterior, prin procedurile bugetare aplicabile.</w:t>
            </w:r>
          </w:p>
        </w:tc>
      </w:tr>
      <w:tr w:rsidR="00C21FC7" w:rsidRPr="00C21FC7" w14:paraId="54AD0B47" w14:textId="77777777" w:rsidTr="00783D37">
        <w:trPr>
          <w:trHeight w:val="1058"/>
        </w:trPr>
        <w:tc>
          <w:tcPr>
            <w:tcW w:w="231" w:type="pct"/>
            <w:tcBorders>
              <w:top w:val="single" w:sz="4" w:space="0" w:color="auto"/>
              <w:left w:val="single" w:sz="8" w:space="0" w:color="000000"/>
              <w:bottom w:val="single" w:sz="4" w:space="0" w:color="auto"/>
              <w:right w:val="single" w:sz="8" w:space="0" w:color="000000"/>
            </w:tcBorders>
          </w:tcPr>
          <w:p w14:paraId="160B5174" w14:textId="0D967CA3" w:rsidR="00C21FC7" w:rsidRPr="00C21FC7" w:rsidRDefault="00C21FC7" w:rsidP="00C21FC7">
            <w:p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r w:rsidRPr="00C21FC7">
              <w:rPr>
                <w:rFonts w:ascii="Times New Roman" w:hAnsi="Times New Roman"/>
                <w:sz w:val="24"/>
                <w:szCs w:val="24"/>
                <w:lang w:val="ro-MD"/>
              </w:rPr>
              <w:lastRenderedPageBreak/>
              <w:t>9</w:t>
            </w:r>
          </w:p>
        </w:tc>
        <w:tc>
          <w:tcPr>
            <w:tcW w:w="511"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4B409F2A" w14:textId="45426540" w:rsidR="00C21FC7" w:rsidRPr="00C21FC7" w:rsidRDefault="00C21FC7" w:rsidP="006D0F0C">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r w:rsidRPr="00C21FC7">
              <w:rPr>
                <w:rFonts w:ascii="Times New Roman" w:hAnsi="Times New Roman"/>
                <w:b/>
                <w:bCs/>
                <w:sz w:val="24"/>
                <w:szCs w:val="24"/>
                <w:lang w:val="ro-MD"/>
              </w:rPr>
              <w:t>Ministerul Agriculturii și Industriei Alimentare</w:t>
            </w:r>
          </w:p>
        </w:tc>
        <w:tc>
          <w:tcPr>
            <w:tcW w:w="512"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926E7CD" w14:textId="77777777" w:rsidR="00C21FC7" w:rsidRPr="00C21FC7" w:rsidRDefault="00C21FC7" w:rsidP="006D0F0C">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MD"/>
              </w:rPr>
            </w:pPr>
          </w:p>
        </w:tc>
        <w:tc>
          <w:tcPr>
            <w:tcW w:w="2505"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4975946" w14:textId="04F3A1E3" w:rsidR="00C21FC7" w:rsidRPr="00C21FC7" w:rsidRDefault="00C21FC7" w:rsidP="006D0F0C">
            <w:pPr>
              <w:pBdr>
                <w:top w:val="none" w:sz="4" w:space="0" w:color="000000"/>
                <w:left w:val="none" w:sz="4" w:space="0" w:color="000000"/>
                <w:bottom w:val="none" w:sz="4" w:space="0" w:color="000000"/>
                <w:right w:val="none" w:sz="4" w:space="0" w:color="000000"/>
              </w:pBdr>
              <w:tabs>
                <w:tab w:val="left" w:pos="0"/>
              </w:tabs>
              <w:ind w:firstLine="0"/>
              <w:rPr>
                <w:rFonts w:ascii="Times New Roman" w:hAnsi="Times New Roman"/>
                <w:sz w:val="24"/>
                <w:szCs w:val="24"/>
                <w:lang w:val="ro-MD"/>
              </w:rPr>
            </w:pPr>
            <w:r>
              <w:rPr>
                <w:rFonts w:ascii="Times New Roman" w:hAnsi="Times New Roman"/>
                <w:sz w:val="24"/>
                <w:szCs w:val="24"/>
                <w:lang w:val="ro-MD"/>
              </w:rPr>
              <w:t>Lipsește avizul</w:t>
            </w:r>
          </w:p>
        </w:tc>
        <w:tc>
          <w:tcPr>
            <w:tcW w:w="1241" w:type="pct"/>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D4895F1" w14:textId="77777777" w:rsidR="00C21FC7" w:rsidRPr="00C21FC7" w:rsidRDefault="00C21FC7" w:rsidP="006D0F0C">
            <w:pPr>
              <w:pBdr>
                <w:top w:val="none" w:sz="4" w:space="0" w:color="000000"/>
                <w:left w:val="none" w:sz="4" w:space="0" w:color="000000"/>
                <w:bottom w:val="none" w:sz="4" w:space="0" w:color="000000"/>
                <w:right w:val="none" w:sz="4" w:space="0" w:color="000000"/>
              </w:pBdr>
              <w:tabs>
                <w:tab w:val="left" w:pos="313"/>
              </w:tabs>
              <w:ind w:firstLine="0"/>
              <w:rPr>
                <w:rFonts w:ascii="Times New Roman" w:hAnsi="Times New Roman"/>
                <w:b/>
                <w:bCs/>
                <w:sz w:val="22"/>
                <w:szCs w:val="22"/>
                <w:lang w:val="ro-MD"/>
              </w:rPr>
            </w:pPr>
          </w:p>
        </w:tc>
      </w:tr>
    </w:tbl>
    <w:p w14:paraId="192CC3E9" w14:textId="77777777" w:rsidR="006419C3" w:rsidRPr="006D0F0C" w:rsidRDefault="006419C3" w:rsidP="006419C3">
      <w:pPr>
        <w:pBdr>
          <w:top w:val="none" w:sz="4" w:space="17" w:color="000000"/>
          <w:left w:val="none" w:sz="4" w:space="0" w:color="000000"/>
          <w:bottom w:val="none" w:sz="4" w:space="0" w:color="000000"/>
          <w:right w:val="none" w:sz="4" w:space="0" w:color="000000"/>
        </w:pBdr>
        <w:tabs>
          <w:tab w:val="left" w:pos="884"/>
          <w:tab w:val="left" w:pos="1134"/>
          <w:tab w:val="left" w:pos="1196"/>
        </w:tabs>
        <w:ind w:firstLine="0"/>
        <w:rPr>
          <w:b/>
          <w:bCs/>
          <w:sz w:val="24"/>
          <w:szCs w:val="24"/>
          <w:lang w:val="ro-MD"/>
        </w:rPr>
      </w:pPr>
    </w:p>
    <w:sectPr w:rsidR="006419C3" w:rsidRPr="006D0F0C" w:rsidSect="007640B1">
      <w:headerReference w:type="default" r:id="rId11"/>
      <w:headerReference w:type="first" r:id="rId12"/>
      <w:pgSz w:w="16840" w:h="11907" w:orient="landscape"/>
      <w:pgMar w:top="426" w:right="1418" w:bottom="567" w:left="1418"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124D5" w14:textId="77777777" w:rsidR="0001198B" w:rsidRDefault="0001198B">
      <w:r>
        <w:separator/>
      </w:r>
    </w:p>
  </w:endnote>
  <w:endnote w:type="continuationSeparator" w:id="0">
    <w:p w14:paraId="69C27ACF" w14:textId="77777777" w:rsidR="0001198B" w:rsidRDefault="00011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 Benguiat_Bold">
    <w:altName w:val="Calibri"/>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0F201" w14:textId="77777777" w:rsidR="0001198B" w:rsidRDefault="0001198B">
      <w:r>
        <w:separator/>
      </w:r>
    </w:p>
  </w:footnote>
  <w:footnote w:type="continuationSeparator" w:id="0">
    <w:p w14:paraId="0402636D" w14:textId="77777777" w:rsidR="0001198B" w:rsidRDefault="000119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F8427" w14:textId="77777777" w:rsidR="00D07A16" w:rsidRPr="00B50EDF" w:rsidRDefault="00D07A16" w:rsidP="009D4C0F">
    <w:pPr>
      <w:pStyle w:val="Antet"/>
      <w:ind w:firstLine="0"/>
      <w:jc w:val="center"/>
      <w:rPr>
        <w:sz w:val="22"/>
        <w:szCs w:val="22"/>
      </w:rPr>
    </w:pPr>
    <w:r w:rsidRPr="00B50EDF">
      <w:rPr>
        <w:sz w:val="22"/>
        <w:szCs w:val="22"/>
      </w:rPr>
      <w:fldChar w:fldCharType="begin"/>
    </w:r>
    <w:r w:rsidRPr="00B50EDF">
      <w:rPr>
        <w:sz w:val="22"/>
        <w:szCs w:val="22"/>
      </w:rPr>
      <w:instrText>PAGE   \* MERGEFORMAT</w:instrText>
    </w:r>
    <w:r w:rsidRPr="00B50EDF">
      <w:rPr>
        <w:sz w:val="22"/>
        <w:szCs w:val="22"/>
      </w:rPr>
      <w:fldChar w:fldCharType="separate"/>
    </w:r>
    <w:r w:rsidR="00DE651F" w:rsidRPr="00DE651F">
      <w:rPr>
        <w:noProof/>
        <w:sz w:val="22"/>
        <w:szCs w:val="22"/>
        <w:lang w:val="ro-RO"/>
      </w:rPr>
      <w:t>8</w:t>
    </w:r>
    <w:r w:rsidRPr="00B50EDF">
      <w:rPr>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24B1" w14:textId="77777777" w:rsidR="00D07A16" w:rsidRPr="00032B46" w:rsidRDefault="00D07A16">
    <w:pPr>
      <w:pStyle w:val="Antet"/>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057B93"/>
    <w:multiLevelType w:val="hybridMultilevel"/>
    <w:tmpl w:val="5D96C55C"/>
    <w:lvl w:ilvl="0" w:tplc="0418000F">
      <w:start w:val="1"/>
      <w:numFmt w:val="decimal"/>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 w15:restartNumberingAfterBreak="0">
    <w:nsid w:val="749420B9"/>
    <w:multiLevelType w:val="hybridMultilevel"/>
    <w:tmpl w:val="9702A024"/>
    <w:lvl w:ilvl="0" w:tplc="15D4EE9C">
      <w:start w:val="1"/>
      <w:numFmt w:val="decimal"/>
      <w:lvlText w:val="%1."/>
      <w:lvlJc w:val="left"/>
      <w:pPr>
        <w:ind w:left="927" w:hanging="360"/>
      </w:pPr>
      <w:rPr>
        <w:rFonts w:ascii="Times New Roman" w:hAnsi="Times New Roman" w:cs="Times New Roman"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9765897">
    <w:abstractNumId w:val="1"/>
  </w:num>
  <w:num w:numId="2" w16cid:durableId="62589649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E6"/>
    <w:rsid w:val="000102D0"/>
    <w:rsid w:val="0001198B"/>
    <w:rsid w:val="00013460"/>
    <w:rsid w:val="00013804"/>
    <w:rsid w:val="00013AC9"/>
    <w:rsid w:val="0001747F"/>
    <w:rsid w:val="00020F91"/>
    <w:rsid w:val="000218D6"/>
    <w:rsid w:val="0002435C"/>
    <w:rsid w:val="00032B46"/>
    <w:rsid w:val="0004077D"/>
    <w:rsid w:val="0004289C"/>
    <w:rsid w:val="00043AC7"/>
    <w:rsid w:val="00044D19"/>
    <w:rsid w:val="0004615A"/>
    <w:rsid w:val="000467D9"/>
    <w:rsid w:val="000515E9"/>
    <w:rsid w:val="00052045"/>
    <w:rsid w:val="00054810"/>
    <w:rsid w:val="00054C3D"/>
    <w:rsid w:val="000666B7"/>
    <w:rsid w:val="00070260"/>
    <w:rsid w:val="000702D3"/>
    <w:rsid w:val="000713DA"/>
    <w:rsid w:val="00071EAA"/>
    <w:rsid w:val="0007236F"/>
    <w:rsid w:val="00075890"/>
    <w:rsid w:val="00075A5F"/>
    <w:rsid w:val="00075CA2"/>
    <w:rsid w:val="00081267"/>
    <w:rsid w:val="00085029"/>
    <w:rsid w:val="00090A2E"/>
    <w:rsid w:val="000A32DC"/>
    <w:rsid w:val="000A3B6A"/>
    <w:rsid w:val="000A6BA5"/>
    <w:rsid w:val="000B1844"/>
    <w:rsid w:val="000B2865"/>
    <w:rsid w:val="000B2CA2"/>
    <w:rsid w:val="000B3D87"/>
    <w:rsid w:val="000B50EE"/>
    <w:rsid w:val="000C041B"/>
    <w:rsid w:val="000C2AB4"/>
    <w:rsid w:val="000C59F3"/>
    <w:rsid w:val="000D19D8"/>
    <w:rsid w:val="000D5C74"/>
    <w:rsid w:val="000E1D40"/>
    <w:rsid w:val="000E2800"/>
    <w:rsid w:val="000E3069"/>
    <w:rsid w:val="000F2A3D"/>
    <w:rsid w:val="000F497A"/>
    <w:rsid w:val="0010076A"/>
    <w:rsid w:val="00102AD8"/>
    <w:rsid w:val="00102D03"/>
    <w:rsid w:val="001106E4"/>
    <w:rsid w:val="00113956"/>
    <w:rsid w:val="0011501C"/>
    <w:rsid w:val="00116035"/>
    <w:rsid w:val="001211EA"/>
    <w:rsid w:val="001232BE"/>
    <w:rsid w:val="0012621F"/>
    <w:rsid w:val="00134681"/>
    <w:rsid w:val="00140750"/>
    <w:rsid w:val="00143389"/>
    <w:rsid w:val="00143CC4"/>
    <w:rsid w:val="00145A57"/>
    <w:rsid w:val="0015146D"/>
    <w:rsid w:val="00155FA5"/>
    <w:rsid w:val="00157D40"/>
    <w:rsid w:val="00162BE7"/>
    <w:rsid w:val="00163D38"/>
    <w:rsid w:val="00164D17"/>
    <w:rsid w:val="0017006C"/>
    <w:rsid w:val="00174A3A"/>
    <w:rsid w:val="00174E20"/>
    <w:rsid w:val="00184334"/>
    <w:rsid w:val="00184992"/>
    <w:rsid w:val="00185AC8"/>
    <w:rsid w:val="00191428"/>
    <w:rsid w:val="001924CB"/>
    <w:rsid w:val="00193F55"/>
    <w:rsid w:val="001A25C3"/>
    <w:rsid w:val="001A37C7"/>
    <w:rsid w:val="001B3BE4"/>
    <w:rsid w:val="001B5818"/>
    <w:rsid w:val="001B66A4"/>
    <w:rsid w:val="001B6DB2"/>
    <w:rsid w:val="001B6E6E"/>
    <w:rsid w:val="001C3F21"/>
    <w:rsid w:val="001C4EEE"/>
    <w:rsid w:val="001D196F"/>
    <w:rsid w:val="001D2FA2"/>
    <w:rsid w:val="001E4497"/>
    <w:rsid w:val="001F0570"/>
    <w:rsid w:val="001F2097"/>
    <w:rsid w:val="001F270C"/>
    <w:rsid w:val="002000EB"/>
    <w:rsid w:val="00200223"/>
    <w:rsid w:val="00200516"/>
    <w:rsid w:val="0020268E"/>
    <w:rsid w:val="002041F5"/>
    <w:rsid w:val="00205100"/>
    <w:rsid w:val="0020794F"/>
    <w:rsid w:val="00214862"/>
    <w:rsid w:val="00214B05"/>
    <w:rsid w:val="00215486"/>
    <w:rsid w:val="002164C9"/>
    <w:rsid w:val="002170A5"/>
    <w:rsid w:val="00230761"/>
    <w:rsid w:val="00231E83"/>
    <w:rsid w:val="00236E65"/>
    <w:rsid w:val="002372B8"/>
    <w:rsid w:val="00240AC0"/>
    <w:rsid w:val="002453BD"/>
    <w:rsid w:val="0024640A"/>
    <w:rsid w:val="00257353"/>
    <w:rsid w:val="002611EF"/>
    <w:rsid w:val="002721D2"/>
    <w:rsid w:val="0027425A"/>
    <w:rsid w:val="0028093A"/>
    <w:rsid w:val="00281C80"/>
    <w:rsid w:val="00284DD7"/>
    <w:rsid w:val="00293669"/>
    <w:rsid w:val="002950E0"/>
    <w:rsid w:val="002954C4"/>
    <w:rsid w:val="00295D60"/>
    <w:rsid w:val="002A1D57"/>
    <w:rsid w:val="002A25C0"/>
    <w:rsid w:val="002B07BD"/>
    <w:rsid w:val="002B5444"/>
    <w:rsid w:val="002B547F"/>
    <w:rsid w:val="002C102B"/>
    <w:rsid w:val="002C21E9"/>
    <w:rsid w:val="002D2017"/>
    <w:rsid w:val="002D38C5"/>
    <w:rsid w:val="002E3E67"/>
    <w:rsid w:val="002E4217"/>
    <w:rsid w:val="002E505B"/>
    <w:rsid w:val="002F30F7"/>
    <w:rsid w:val="002F3DAA"/>
    <w:rsid w:val="002F5907"/>
    <w:rsid w:val="002F5F1E"/>
    <w:rsid w:val="002F7FB5"/>
    <w:rsid w:val="00301D7D"/>
    <w:rsid w:val="0031555D"/>
    <w:rsid w:val="00315655"/>
    <w:rsid w:val="00315B32"/>
    <w:rsid w:val="00315BDC"/>
    <w:rsid w:val="003169FE"/>
    <w:rsid w:val="00324559"/>
    <w:rsid w:val="00324DD3"/>
    <w:rsid w:val="003250DB"/>
    <w:rsid w:val="00327C88"/>
    <w:rsid w:val="00330A29"/>
    <w:rsid w:val="00331314"/>
    <w:rsid w:val="00333458"/>
    <w:rsid w:val="00334C0F"/>
    <w:rsid w:val="003358FF"/>
    <w:rsid w:val="003457F0"/>
    <w:rsid w:val="00347B79"/>
    <w:rsid w:val="003509A8"/>
    <w:rsid w:val="00354486"/>
    <w:rsid w:val="00354545"/>
    <w:rsid w:val="00354601"/>
    <w:rsid w:val="00356271"/>
    <w:rsid w:val="0036135C"/>
    <w:rsid w:val="00362D0C"/>
    <w:rsid w:val="0036518F"/>
    <w:rsid w:val="0036768D"/>
    <w:rsid w:val="003723D6"/>
    <w:rsid w:val="00374362"/>
    <w:rsid w:val="00377B12"/>
    <w:rsid w:val="00380147"/>
    <w:rsid w:val="00381C7D"/>
    <w:rsid w:val="003850F9"/>
    <w:rsid w:val="00385C9B"/>
    <w:rsid w:val="003872BA"/>
    <w:rsid w:val="00387D77"/>
    <w:rsid w:val="003922EF"/>
    <w:rsid w:val="00394A57"/>
    <w:rsid w:val="00396040"/>
    <w:rsid w:val="00397415"/>
    <w:rsid w:val="00397ABD"/>
    <w:rsid w:val="00397B32"/>
    <w:rsid w:val="003A2402"/>
    <w:rsid w:val="003A2CB2"/>
    <w:rsid w:val="003A4D1C"/>
    <w:rsid w:val="003B13FF"/>
    <w:rsid w:val="003B257A"/>
    <w:rsid w:val="003B7521"/>
    <w:rsid w:val="003C0C4D"/>
    <w:rsid w:val="003C11CC"/>
    <w:rsid w:val="003C3DB4"/>
    <w:rsid w:val="003C3EB9"/>
    <w:rsid w:val="003D5E8B"/>
    <w:rsid w:val="003D64FA"/>
    <w:rsid w:val="003E3748"/>
    <w:rsid w:val="003E4DA7"/>
    <w:rsid w:val="003F0CD8"/>
    <w:rsid w:val="003F7660"/>
    <w:rsid w:val="00405019"/>
    <w:rsid w:val="004068EF"/>
    <w:rsid w:val="00406BA9"/>
    <w:rsid w:val="00407E5F"/>
    <w:rsid w:val="00410C9A"/>
    <w:rsid w:val="00411E5D"/>
    <w:rsid w:val="00416B54"/>
    <w:rsid w:val="004172A7"/>
    <w:rsid w:val="00421AB5"/>
    <w:rsid w:val="00423A2D"/>
    <w:rsid w:val="00424212"/>
    <w:rsid w:val="00424CF9"/>
    <w:rsid w:val="00430140"/>
    <w:rsid w:val="00430B58"/>
    <w:rsid w:val="00430F88"/>
    <w:rsid w:val="0043208D"/>
    <w:rsid w:val="004333B4"/>
    <w:rsid w:val="00434203"/>
    <w:rsid w:val="00436D4B"/>
    <w:rsid w:val="00452C3E"/>
    <w:rsid w:val="00452C6C"/>
    <w:rsid w:val="0045451B"/>
    <w:rsid w:val="00454AD5"/>
    <w:rsid w:val="0045567F"/>
    <w:rsid w:val="00455862"/>
    <w:rsid w:val="00464294"/>
    <w:rsid w:val="00464828"/>
    <w:rsid w:val="00467B49"/>
    <w:rsid w:val="004735CE"/>
    <w:rsid w:val="00474658"/>
    <w:rsid w:val="00476174"/>
    <w:rsid w:val="0047797E"/>
    <w:rsid w:val="00496889"/>
    <w:rsid w:val="004978B0"/>
    <w:rsid w:val="00497F06"/>
    <w:rsid w:val="004A0FFF"/>
    <w:rsid w:val="004A155A"/>
    <w:rsid w:val="004A3757"/>
    <w:rsid w:val="004A7874"/>
    <w:rsid w:val="004B1283"/>
    <w:rsid w:val="004B2991"/>
    <w:rsid w:val="004B4366"/>
    <w:rsid w:val="004B7676"/>
    <w:rsid w:val="004B7745"/>
    <w:rsid w:val="004C6034"/>
    <w:rsid w:val="004D3941"/>
    <w:rsid w:val="004D5B45"/>
    <w:rsid w:val="004D7F59"/>
    <w:rsid w:val="004E1E42"/>
    <w:rsid w:val="004E20FB"/>
    <w:rsid w:val="004E2421"/>
    <w:rsid w:val="004E6489"/>
    <w:rsid w:val="004E6662"/>
    <w:rsid w:val="004F0C4F"/>
    <w:rsid w:val="004F0CDC"/>
    <w:rsid w:val="004F39D0"/>
    <w:rsid w:val="004F568A"/>
    <w:rsid w:val="004F7769"/>
    <w:rsid w:val="005020EC"/>
    <w:rsid w:val="0050384A"/>
    <w:rsid w:val="00505720"/>
    <w:rsid w:val="0051601C"/>
    <w:rsid w:val="00516555"/>
    <w:rsid w:val="0052021D"/>
    <w:rsid w:val="00523A4F"/>
    <w:rsid w:val="005256CF"/>
    <w:rsid w:val="005272AE"/>
    <w:rsid w:val="00542C43"/>
    <w:rsid w:val="005502D9"/>
    <w:rsid w:val="00550F7D"/>
    <w:rsid w:val="00551299"/>
    <w:rsid w:val="00555DF5"/>
    <w:rsid w:val="00561F52"/>
    <w:rsid w:val="005627FE"/>
    <w:rsid w:val="00563955"/>
    <w:rsid w:val="00572006"/>
    <w:rsid w:val="00573E74"/>
    <w:rsid w:val="0057790F"/>
    <w:rsid w:val="00582470"/>
    <w:rsid w:val="00584A60"/>
    <w:rsid w:val="00594B33"/>
    <w:rsid w:val="00594DE5"/>
    <w:rsid w:val="00596533"/>
    <w:rsid w:val="005968E9"/>
    <w:rsid w:val="005A12D7"/>
    <w:rsid w:val="005A29D6"/>
    <w:rsid w:val="005B0C92"/>
    <w:rsid w:val="005B7E20"/>
    <w:rsid w:val="005C0016"/>
    <w:rsid w:val="005C1CBE"/>
    <w:rsid w:val="005C1D42"/>
    <w:rsid w:val="005C412B"/>
    <w:rsid w:val="005C4835"/>
    <w:rsid w:val="005C5A53"/>
    <w:rsid w:val="005C7769"/>
    <w:rsid w:val="005D14D7"/>
    <w:rsid w:val="005D5F1D"/>
    <w:rsid w:val="005E37E8"/>
    <w:rsid w:val="005E3B0A"/>
    <w:rsid w:val="005E6EB3"/>
    <w:rsid w:val="005F0EF8"/>
    <w:rsid w:val="005F0F53"/>
    <w:rsid w:val="005F584A"/>
    <w:rsid w:val="00602CB8"/>
    <w:rsid w:val="0060625D"/>
    <w:rsid w:val="00611BAA"/>
    <w:rsid w:val="00612D18"/>
    <w:rsid w:val="00615BB7"/>
    <w:rsid w:val="00616A16"/>
    <w:rsid w:val="00621954"/>
    <w:rsid w:val="00623361"/>
    <w:rsid w:val="00624BA9"/>
    <w:rsid w:val="0062575C"/>
    <w:rsid w:val="006257F0"/>
    <w:rsid w:val="006339EB"/>
    <w:rsid w:val="00634C63"/>
    <w:rsid w:val="00640766"/>
    <w:rsid w:val="006419C3"/>
    <w:rsid w:val="00642883"/>
    <w:rsid w:val="00644F95"/>
    <w:rsid w:val="00646AFE"/>
    <w:rsid w:val="00650A6D"/>
    <w:rsid w:val="00654623"/>
    <w:rsid w:val="006548CF"/>
    <w:rsid w:val="006559E3"/>
    <w:rsid w:val="00655DF5"/>
    <w:rsid w:val="00656E0A"/>
    <w:rsid w:val="00657577"/>
    <w:rsid w:val="006601BB"/>
    <w:rsid w:val="0066216E"/>
    <w:rsid w:val="006660B2"/>
    <w:rsid w:val="0067056E"/>
    <w:rsid w:val="006739CA"/>
    <w:rsid w:val="0068258E"/>
    <w:rsid w:val="00684C81"/>
    <w:rsid w:val="006853FD"/>
    <w:rsid w:val="006855AC"/>
    <w:rsid w:val="00691790"/>
    <w:rsid w:val="006933C3"/>
    <w:rsid w:val="006956E6"/>
    <w:rsid w:val="00697045"/>
    <w:rsid w:val="006A20AE"/>
    <w:rsid w:val="006A27BD"/>
    <w:rsid w:val="006A337B"/>
    <w:rsid w:val="006A4E08"/>
    <w:rsid w:val="006A57D6"/>
    <w:rsid w:val="006A58BC"/>
    <w:rsid w:val="006C3EBD"/>
    <w:rsid w:val="006C40C7"/>
    <w:rsid w:val="006D0F0C"/>
    <w:rsid w:val="006D1AF6"/>
    <w:rsid w:val="006D3EB7"/>
    <w:rsid w:val="006D530D"/>
    <w:rsid w:val="006D7B49"/>
    <w:rsid w:val="006E0A2E"/>
    <w:rsid w:val="006E1269"/>
    <w:rsid w:val="006E5FD7"/>
    <w:rsid w:val="006E7D38"/>
    <w:rsid w:val="006F0870"/>
    <w:rsid w:val="006F1F93"/>
    <w:rsid w:val="006F43CA"/>
    <w:rsid w:val="006F572E"/>
    <w:rsid w:val="006F7EF4"/>
    <w:rsid w:val="007007DF"/>
    <w:rsid w:val="00701004"/>
    <w:rsid w:val="007026DD"/>
    <w:rsid w:val="00702770"/>
    <w:rsid w:val="00703FCE"/>
    <w:rsid w:val="007063EE"/>
    <w:rsid w:val="00706661"/>
    <w:rsid w:val="00707B68"/>
    <w:rsid w:val="007126C4"/>
    <w:rsid w:val="00714267"/>
    <w:rsid w:val="00717179"/>
    <w:rsid w:val="007229C9"/>
    <w:rsid w:val="00723D14"/>
    <w:rsid w:val="007258CF"/>
    <w:rsid w:val="00731C3A"/>
    <w:rsid w:val="00737731"/>
    <w:rsid w:val="00740210"/>
    <w:rsid w:val="007411D5"/>
    <w:rsid w:val="00743B04"/>
    <w:rsid w:val="00744080"/>
    <w:rsid w:val="00755F2B"/>
    <w:rsid w:val="00756648"/>
    <w:rsid w:val="007610C5"/>
    <w:rsid w:val="0076180C"/>
    <w:rsid w:val="007640B1"/>
    <w:rsid w:val="007724CE"/>
    <w:rsid w:val="00780C21"/>
    <w:rsid w:val="00783D37"/>
    <w:rsid w:val="007848FB"/>
    <w:rsid w:val="00787148"/>
    <w:rsid w:val="0079167D"/>
    <w:rsid w:val="00795795"/>
    <w:rsid w:val="007A08C6"/>
    <w:rsid w:val="007A0931"/>
    <w:rsid w:val="007A162B"/>
    <w:rsid w:val="007A4309"/>
    <w:rsid w:val="007B2819"/>
    <w:rsid w:val="007B3DB0"/>
    <w:rsid w:val="007B627D"/>
    <w:rsid w:val="007B6E7F"/>
    <w:rsid w:val="007C53A1"/>
    <w:rsid w:val="007C58BD"/>
    <w:rsid w:val="007C5D4B"/>
    <w:rsid w:val="007C6F49"/>
    <w:rsid w:val="007C7CFA"/>
    <w:rsid w:val="007D0044"/>
    <w:rsid w:val="007D00B1"/>
    <w:rsid w:val="007D0E36"/>
    <w:rsid w:val="007D36EA"/>
    <w:rsid w:val="007D4831"/>
    <w:rsid w:val="007E3F69"/>
    <w:rsid w:val="007E7735"/>
    <w:rsid w:val="007F1254"/>
    <w:rsid w:val="007F1374"/>
    <w:rsid w:val="00800EE1"/>
    <w:rsid w:val="00801119"/>
    <w:rsid w:val="00811CAE"/>
    <w:rsid w:val="00825DC9"/>
    <w:rsid w:val="00831DF3"/>
    <w:rsid w:val="008326E7"/>
    <w:rsid w:val="00840618"/>
    <w:rsid w:val="0084241F"/>
    <w:rsid w:val="0084349E"/>
    <w:rsid w:val="0084434E"/>
    <w:rsid w:val="008506B1"/>
    <w:rsid w:val="008507B0"/>
    <w:rsid w:val="008510CC"/>
    <w:rsid w:val="00857FA9"/>
    <w:rsid w:val="00860C47"/>
    <w:rsid w:val="00863417"/>
    <w:rsid w:val="0086343C"/>
    <w:rsid w:val="00863D76"/>
    <w:rsid w:val="00864D71"/>
    <w:rsid w:val="0086509B"/>
    <w:rsid w:val="00872719"/>
    <w:rsid w:val="0087296A"/>
    <w:rsid w:val="00876262"/>
    <w:rsid w:val="0088095D"/>
    <w:rsid w:val="00890C14"/>
    <w:rsid w:val="00891049"/>
    <w:rsid w:val="00891C01"/>
    <w:rsid w:val="00897403"/>
    <w:rsid w:val="008A0D33"/>
    <w:rsid w:val="008A0F4E"/>
    <w:rsid w:val="008A254D"/>
    <w:rsid w:val="008A27F1"/>
    <w:rsid w:val="008A3ACC"/>
    <w:rsid w:val="008A40C0"/>
    <w:rsid w:val="008A5923"/>
    <w:rsid w:val="008A7576"/>
    <w:rsid w:val="008B1120"/>
    <w:rsid w:val="008B1AA1"/>
    <w:rsid w:val="008B1BFF"/>
    <w:rsid w:val="008B2BBF"/>
    <w:rsid w:val="008B3CC1"/>
    <w:rsid w:val="008B3EC5"/>
    <w:rsid w:val="008B4BE6"/>
    <w:rsid w:val="008B7188"/>
    <w:rsid w:val="008C2DD5"/>
    <w:rsid w:val="008D3CAF"/>
    <w:rsid w:val="008D489B"/>
    <w:rsid w:val="008E08FC"/>
    <w:rsid w:val="008E336A"/>
    <w:rsid w:val="008E5391"/>
    <w:rsid w:val="008E62E7"/>
    <w:rsid w:val="008F12A1"/>
    <w:rsid w:val="008F2115"/>
    <w:rsid w:val="008F2164"/>
    <w:rsid w:val="008F3624"/>
    <w:rsid w:val="008F5EE8"/>
    <w:rsid w:val="008F73D1"/>
    <w:rsid w:val="009002CA"/>
    <w:rsid w:val="00903AF9"/>
    <w:rsid w:val="0090579F"/>
    <w:rsid w:val="0091146F"/>
    <w:rsid w:val="009143C9"/>
    <w:rsid w:val="0091498C"/>
    <w:rsid w:val="00915A40"/>
    <w:rsid w:val="009201C9"/>
    <w:rsid w:val="00930424"/>
    <w:rsid w:val="00942BCB"/>
    <w:rsid w:val="00942F03"/>
    <w:rsid w:val="00953155"/>
    <w:rsid w:val="009533FD"/>
    <w:rsid w:val="00961B81"/>
    <w:rsid w:val="00962ED5"/>
    <w:rsid w:val="0096321E"/>
    <w:rsid w:val="0096324B"/>
    <w:rsid w:val="00966B86"/>
    <w:rsid w:val="00970739"/>
    <w:rsid w:val="00971561"/>
    <w:rsid w:val="00975A87"/>
    <w:rsid w:val="009761DA"/>
    <w:rsid w:val="009858FE"/>
    <w:rsid w:val="009860EA"/>
    <w:rsid w:val="00990719"/>
    <w:rsid w:val="00991A97"/>
    <w:rsid w:val="00992BE1"/>
    <w:rsid w:val="0099315C"/>
    <w:rsid w:val="009A475E"/>
    <w:rsid w:val="009A4CDB"/>
    <w:rsid w:val="009B5080"/>
    <w:rsid w:val="009C02E5"/>
    <w:rsid w:val="009C0C8D"/>
    <w:rsid w:val="009C0E0E"/>
    <w:rsid w:val="009C26E3"/>
    <w:rsid w:val="009C3AA4"/>
    <w:rsid w:val="009C6DD1"/>
    <w:rsid w:val="009C7CD6"/>
    <w:rsid w:val="009D2789"/>
    <w:rsid w:val="009D3ABC"/>
    <w:rsid w:val="009D4C0F"/>
    <w:rsid w:val="009D7C44"/>
    <w:rsid w:val="009E7B86"/>
    <w:rsid w:val="009F076A"/>
    <w:rsid w:val="009F366D"/>
    <w:rsid w:val="009F45EC"/>
    <w:rsid w:val="009F4A8C"/>
    <w:rsid w:val="00A06362"/>
    <w:rsid w:val="00A07485"/>
    <w:rsid w:val="00A116F8"/>
    <w:rsid w:val="00A13A74"/>
    <w:rsid w:val="00A13D8B"/>
    <w:rsid w:val="00A147C6"/>
    <w:rsid w:val="00A2390C"/>
    <w:rsid w:val="00A2438C"/>
    <w:rsid w:val="00A244A2"/>
    <w:rsid w:val="00A24A81"/>
    <w:rsid w:val="00A2651B"/>
    <w:rsid w:val="00A34443"/>
    <w:rsid w:val="00A345F7"/>
    <w:rsid w:val="00A35048"/>
    <w:rsid w:val="00A404F7"/>
    <w:rsid w:val="00A41BC6"/>
    <w:rsid w:val="00A42581"/>
    <w:rsid w:val="00A445D5"/>
    <w:rsid w:val="00A51447"/>
    <w:rsid w:val="00A53F34"/>
    <w:rsid w:val="00A540EB"/>
    <w:rsid w:val="00A5539A"/>
    <w:rsid w:val="00A60B97"/>
    <w:rsid w:val="00A64619"/>
    <w:rsid w:val="00A71E51"/>
    <w:rsid w:val="00A7227E"/>
    <w:rsid w:val="00A764E4"/>
    <w:rsid w:val="00A77F56"/>
    <w:rsid w:val="00A80057"/>
    <w:rsid w:val="00A936A9"/>
    <w:rsid w:val="00A954D1"/>
    <w:rsid w:val="00A95A2D"/>
    <w:rsid w:val="00A95B60"/>
    <w:rsid w:val="00AA0B65"/>
    <w:rsid w:val="00AA34B1"/>
    <w:rsid w:val="00AA719D"/>
    <w:rsid w:val="00AB06B2"/>
    <w:rsid w:val="00AB1C3D"/>
    <w:rsid w:val="00AB29A8"/>
    <w:rsid w:val="00AB6441"/>
    <w:rsid w:val="00AB7D22"/>
    <w:rsid w:val="00AC22A5"/>
    <w:rsid w:val="00AC2670"/>
    <w:rsid w:val="00AE1C50"/>
    <w:rsid w:val="00AE1F78"/>
    <w:rsid w:val="00AE45EF"/>
    <w:rsid w:val="00AF1172"/>
    <w:rsid w:val="00AF173B"/>
    <w:rsid w:val="00AF23AF"/>
    <w:rsid w:val="00AF4D58"/>
    <w:rsid w:val="00AF4E3A"/>
    <w:rsid w:val="00AF4F3A"/>
    <w:rsid w:val="00AF5335"/>
    <w:rsid w:val="00AF6A53"/>
    <w:rsid w:val="00B00257"/>
    <w:rsid w:val="00B025E9"/>
    <w:rsid w:val="00B035BC"/>
    <w:rsid w:val="00B039D7"/>
    <w:rsid w:val="00B04BD0"/>
    <w:rsid w:val="00B05681"/>
    <w:rsid w:val="00B07F61"/>
    <w:rsid w:val="00B11EFC"/>
    <w:rsid w:val="00B15210"/>
    <w:rsid w:val="00B15B82"/>
    <w:rsid w:val="00B1623B"/>
    <w:rsid w:val="00B168E5"/>
    <w:rsid w:val="00B20F7B"/>
    <w:rsid w:val="00B22F8C"/>
    <w:rsid w:val="00B231CB"/>
    <w:rsid w:val="00B24403"/>
    <w:rsid w:val="00B25206"/>
    <w:rsid w:val="00B255EE"/>
    <w:rsid w:val="00B26A2B"/>
    <w:rsid w:val="00B32239"/>
    <w:rsid w:val="00B4141C"/>
    <w:rsid w:val="00B42890"/>
    <w:rsid w:val="00B42DDB"/>
    <w:rsid w:val="00B472D0"/>
    <w:rsid w:val="00B50EDF"/>
    <w:rsid w:val="00B5199C"/>
    <w:rsid w:val="00B609F4"/>
    <w:rsid w:val="00B6145A"/>
    <w:rsid w:val="00B61570"/>
    <w:rsid w:val="00B6585E"/>
    <w:rsid w:val="00B72578"/>
    <w:rsid w:val="00B744FB"/>
    <w:rsid w:val="00B75F4D"/>
    <w:rsid w:val="00B84A8E"/>
    <w:rsid w:val="00B84F41"/>
    <w:rsid w:val="00B85252"/>
    <w:rsid w:val="00B92D67"/>
    <w:rsid w:val="00B952D8"/>
    <w:rsid w:val="00B9615A"/>
    <w:rsid w:val="00BA09DB"/>
    <w:rsid w:val="00BA1CBE"/>
    <w:rsid w:val="00BA2012"/>
    <w:rsid w:val="00BA349E"/>
    <w:rsid w:val="00BA3831"/>
    <w:rsid w:val="00BA500B"/>
    <w:rsid w:val="00BA5B5B"/>
    <w:rsid w:val="00BB008B"/>
    <w:rsid w:val="00BB0093"/>
    <w:rsid w:val="00BB10CE"/>
    <w:rsid w:val="00BB2181"/>
    <w:rsid w:val="00BB3C82"/>
    <w:rsid w:val="00BB57F6"/>
    <w:rsid w:val="00BC2684"/>
    <w:rsid w:val="00BC35AA"/>
    <w:rsid w:val="00BC4198"/>
    <w:rsid w:val="00BC5BB3"/>
    <w:rsid w:val="00BD2F0F"/>
    <w:rsid w:val="00BD53BD"/>
    <w:rsid w:val="00BD5CF4"/>
    <w:rsid w:val="00BD5DEF"/>
    <w:rsid w:val="00BE10D3"/>
    <w:rsid w:val="00BE4802"/>
    <w:rsid w:val="00BE78B8"/>
    <w:rsid w:val="00BF170E"/>
    <w:rsid w:val="00BF509C"/>
    <w:rsid w:val="00BF5AD7"/>
    <w:rsid w:val="00BF7CF6"/>
    <w:rsid w:val="00C0161D"/>
    <w:rsid w:val="00C069DB"/>
    <w:rsid w:val="00C06DBC"/>
    <w:rsid w:val="00C119D6"/>
    <w:rsid w:val="00C141D0"/>
    <w:rsid w:val="00C14814"/>
    <w:rsid w:val="00C20F98"/>
    <w:rsid w:val="00C21F77"/>
    <w:rsid w:val="00C21FC7"/>
    <w:rsid w:val="00C22BA2"/>
    <w:rsid w:val="00C249C9"/>
    <w:rsid w:val="00C25A86"/>
    <w:rsid w:val="00C27BEF"/>
    <w:rsid w:val="00C320A2"/>
    <w:rsid w:val="00C32A74"/>
    <w:rsid w:val="00C3313F"/>
    <w:rsid w:val="00C33BEA"/>
    <w:rsid w:val="00C35726"/>
    <w:rsid w:val="00C424F1"/>
    <w:rsid w:val="00C4424F"/>
    <w:rsid w:val="00C445CC"/>
    <w:rsid w:val="00C4599F"/>
    <w:rsid w:val="00C45F82"/>
    <w:rsid w:val="00C475F7"/>
    <w:rsid w:val="00C53E01"/>
    <w:rsid w:val="00C61DF3"/>
    <w:rsid w:val="00C643B1"/>
    <w:rsid w:val="00C67ED0"/>
    <w:rsid w:val="00C81CDA"/>
    <w:rsid w:val="00C83148"/>
    <w:rsid w:val="00C8370F"/>
    <w:rsid w:val="00C846A9"/>
    <w:rsid w:val="00C84A1F"/>
    <w:rsid w:val="00C84F09"/>
    <w:rsid w:val="00C87B56"/>
    <w:rsid w:val="00C91B15"/>
    <w:rsid w:val="00C92EAD"/>
    <w:rsid w:val="00C97610"/>
    <w:rsid w:val="00CA2522"/>
    <w:rsid w:val="00CA2822"/>
    <w:rsid w:val="00CB128D"/>
    <w:rsid w:val="00CB27E3"/>
    <w:rsid w:val="00CB3AB2"/>
    <w:rsid w:val="00CB4EC6"/>
    <w:rsid w:val="00CB6841"/>
    <w:rsid w:val="00CB68EB"/>
    <w:rsid w:val="00CC1B3D"/>
    <w:rsid w:val="00CC6648"/>
    <w:rsid w:val="00CC6C4A"/>
    <w:rsid w:val="00CC7AC8"/>
    <w:rsid w:val="00CD0459"/>
    <w:rsid w:val="00CD1F68"/>
    <w:rsid w:val="00CD3E6A"/>
    <w:rsid w:val="00CD43D0"/>
    <w:rsid w:val="00CD7A0D"/>
    <w:rsid w:val="00CE0952"/>
    <w:rsid w:val="00CE1C4A"/>
    <w:rsid w:val="00CE224F"/>
    <w:rsid w:val="00CE4F7E"/>
    <w:rsid w:val="00CE52DA"/>
    <w:rsid w:val="00CF1BF6"/>
    <w:rsid w:val="00CF6376"/>
    <w:rsid w:val="00CF6CCE"/>
    <w:rsid w:val="00D00C36"/>
    <w:rsid w:val="00D0145D"/>
    <w:rsid w:val="00D02424"/>
    <w:rsid w:val="00D07A16"/>
    <w:rsid w:val="00D12DE0"/>
    <w:rsid w:val="00D14E81"/>
    <w:rsid w:val="00D1647F"/>
    <w:rsid w:val="00D16C96"/>
    <w:rsid w:val="00D17602"/>
    <w:rsid w:val="00D20F95"/>
    <w:rsid w:val="00D32614"/>
    <w:rsid w:val="00D34D14"/>
    <w:rsid w:val="00D36081"/>
    <w:rsid w:val="00D3779C"/>
    <w:rsid w:val="00D37DCA"/>
    <w:rsid w:val="00D4577E"/>
    <w:rsid w:val="00D512DE"/>
    <w:rsid w:val="00D52206"/>
    <w:rsid w:val="00D54373"/>
    <w:rsid w:val="00D55E3E"/>
    <w:rsid w:val="00D62225"/>
    <w:rsid w:val="00D65D20"/>
    <w:rsid w:val="00D745DA"/>
    <w:rsid w:val="00D77DA5"/>
    <w:rsid w:val="00D8428F"/>
    <w:rsid w:val="00D84420"/>
    <w:rsid w:val="00D8448C"/>
    <w:rsid w:val="00D85438"/>
    <w:rsid w:val="00D8732D"/>
    <w:rsid w:val="00D927DB"/>
    <w:rsid w:val="00D92DBF"/>
    <w:rsid w:val="00D942D4"/>
    <w:rsid w:val="00D96195"/>
    <w:rsid w:val="00DA0D76"/>
    <w:rsid w:val="00DA1274"/>
    <w:rsid w:val="00DA133C"/>
    <w:rsid w:val="00DA2B1D"/>
    <w:rsid w:val="00DA2D7B"/>
    <w:rsid w:val="00DA30A3"/>
    <w:rsid w:val="00DA5558"/>
    <w:rsid w:val="00DB7EE7"/>
    <w:rsid w:val="00DC0474"/>
    <w:rsid w:val="00DC0612"/>
    <w:rsid w:val="00DC3E82"/>
    <w:rsid w:val="00DC412B"/>
    <w:rsid w:val="00DC529B"/>
    <w:rsid w:val="00DD563C"/>
    <w:rsid w:val="00DE06EE"/>
    <w:rsid w:val="00DE121C"/>
    <w:rsid w:val="00DE651F"/>
    <w:rsid w:val="00DF0141"/>
    <w:rsid w:val="00DF0807"/>
    <w:rsid w:val="00DF513B"/>
    <w:rsid w:val="00DF71E8"/>
    <w:rsid w:val="00E01AD4"/>
    <w:rsid w:val="00E02A86"/>
    <w:rsid w:val="00E0352C"/>
    <w:rsid w:val="00E07BB2"/>
    <w:rsid w:val="00E11E1A"/>
    <w:rsid w:val="00E12C95"/>
    <w:rsid w:val="00E14566"/>
    <w:rsid w:val="00E1477E"/>
    <w:rsid w:val="00E14911"/>
    <w:rsid w:val="00E16FF7"/>
    <w:rsid w:val="00E1761F"/>
    <w:rsid w:val="00E22660"/>
    <w:rsid w:val="00E232E0"/>
    <w:rsid w:val="00E23842"/>
    <w:rsid w:val="00E23A5B"/>
    <w:rsid w:val="00E242E7"/>
    <w:rsid w:val="00E2558B"/>
    <w:rsid w:val="00E3030C"/>
    <w:rsid w:val="00E32EAF"/>
    <w:rsid w:val="00E34BF8"/>
    <w:rsid w:val="00E34EE2"/>
    <w:rsid w:val="00E42DAF"/>
    <w:rsid w:val="00E44F7F"/>
    <w:rsid w:val="00E45F49"/>
    <w:rsid w:val="00E50CC8"/>
    <w:rsid w:val="00E51FE8"/>
    <w:rsid w:val="00E5244F"/>
    <w:rsid w:val="00E54C35"/>
    <w:rsid w:val="00E558F6"/>
    <w:rsid w:val="00E55E57"/>
    <w:rsid w:val="00E56006"/>
    <w:rsid w:val="00E56249"/>
    <w:rsid w:val="00E67ACE"/>
    <w:rsid w:val="00E67BA7"/>
    <w:rsid w:val="00E70868"/>
    <w:rsid w:val="00E757FD"/>
    <w:rsid w:val="00E7623B"/>
    <w:rsid w:val="00E84140"/>
    <w:rsid w:val="00E858D0"/>
    <w:rsid w:val="00E86F5E"/>
    <w:rsid w:val="00E911A3"/>
    <w:rsid w:val="00E9343B"/>
    <w:rsid w:val="00E93D69"/>
    <w:rsid w:val="00E94FA8"/>
    <w:rsid w:val="00EA1838"/>
    <w:rsid w:val="00EB4FD7"/>
    <w:rsid w:val="00EB555A"/>
    <w:rsid w:val="00EB649F"/>
    <w:rsid w:val="00EC564B"/>
    <w:rsid w:val="00EC6F58"/>
    <w:rsid w:val="00ED4634"/>
    <w:rsid w:val="00ED7CB3"/>
    <w:rsid w:val="00EE1123"/>
    <w:rsid w:val="00EE1706"/>
    <w:rsid w:val="00EE3A4F"/>
    <w:rsid w:val="00EE48BC"/>
    <w:rsid w:val="00EF0036"/>
    <w:rsid w:val="00EF0C91"/>
    <w:rsid w:val="00EF1437"/>
    <w:rsid w:val="00EF2660"/>
    <w:rsid w:val="00EF26A2"/>
    <w:rsid w:val="00F0292D"/>
    <w:rsid w:val="00F06892"/>
    <w:rsid w:val="00F11850"/>
    <w:rsid w:val="00F1668A"/>
    <w:rsid w:val="00F269DE"/>
    <w:rsid w:val="00F26A4B"/>
    <w:rsid w:val="00F27B82"/>
    <w:rsid w:val="00F31636"/>
    <w:rsid w:val="00F376E3"/>
    <w:rsid w:val="00F37ED4"/>
    <w:rsid w:val="00F40A46"/>
    <w:rsid w:val="00F41D12"/>
    <w:rsid w:val="00F45235"/>
    <w:rsid w:val="00F50B3C"/>
    <w:rsid w:val="00F5347C"/>
    <w:rsid w:val="00F546D7"/>
    <w:rsid w:val="00F5592A"/>
    <w:rsid w:val="00F57E9D"/>
    <w:rsid w:val="00F66E1A"/>
    <w:rsid w:val="00F704E4"/>
    <w:rsid w:val="00F71EBB"/>
    <w:rsid w:val="00F728DA"/>
    <w:rsid w:val="00F80847"/>
    <w:rsid w:val="00F8554D"/>
    <w:rsid w:val="00F903F2"/>
    <w:rsid w:val="00F91C69"/>
    <w:rsid w:val="00F91D34"/>
    <w:rsid w:val="00F94B7F"/>
    <w:rsid w:val="00F9644C"/>
    <w:rsid w:val="00F96AD6"/>
    <w:rsid w:val="00FA5CFE"/>
    <w:rsid w:val="00FB0E9E"/>
    <w:rsid w:val="00FB4E60"/>
    <w:rsid w:val="00FC4ACC"/>
    <w:rsid w:val="00FC5D7E"/>
    <w:rsid w:val="00FD0892"/>
    <w:rsid w:val="00FD2074"/>
    <w:rsid w:val="00FD6782"/>
    <w:rsid w:val="00FF065F"/>
    <w:rsid w:val="00FF3986"/>
    <w:rsid w:val="00FF4E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B3D83AE8-96BE-49CF-ABF6-415EB3F94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1"/>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customStyle="1" w:styleId="MeniuneNerezolvat1">
    <w:name w:val="Mențiune Nerezolvat1"/>
    <w:basedOn w:val="Fontdeparagrafimplicit"/>
    <w:uiPriority w:val="99"/>
    <w:semiHidden/>
    <w:unhideWhenUsed/>
    <w:rsid w:val="00572006"/>
    <w:rPr>
      <w:color w:val="605E5C"/>
      <w:shd w:val="clear" w:color="auto" w:fill="E1DFDD"/>
    </w:rPr>
  </w:style>
  <w:style w:type="paragraph" w:customStyle="1" w:styleId="Default">
    <w:name w:val="Default"/>
    <w:rsid w:val="008A3ACC"/>
    <w:pPr>
      <w:autoSpaceDE w:val="0"/>
      <w:autoSpaceDN w:val="0"/>
      <w:adjustRightInd w:val="0"/>
      <w:ind w:firstLine="0"/>
      <w:jc w:val="left"/>
    </w:pPr>
    <w:rPr>
      <w:color w:val="000000"/>
      <w:sz w:val="24"/>
      <w:szCs w:val="24"/>
      <w:lang w:val="en-US"/>
    </w:rPr>
  </w:style>
  <w:style w:type="table" w:customStyle="1" w:styleId="TableNormal1">
    <w:name w:val="Table Normal1"/>
    <w:uiPriority w:val="2"/>
    <w:semiHidden/>
    <w:unhideWhenUsed/>
    <w:qFormat/>
    <w:rsid w:val="00BE10D3"/>
    <w:pPr>
      <w:widowControl w:val="0"/>
      <w:autoSpaceDE w:val="0"/>
      <w:autoSpaceDN w:val="0"/>
      <w:ind w:firstLine="0"/>
      <w:jc w:val="left"/>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E10D3"/>
    <w:pPr>
      <w:widowControl w:val="0"/>
      <w:autoSpaceDE w:val="0"/>
      <w:autoSpaceDN w:val="0"/>
      <w:spacing w:before="53"/>
      <w:ind w:left="100" w:firstLine="0"/>
      <w:jc w:val="left"/>
    </w:pPr>
    <w:rPr>
      <w:rFonts w:ascii="Calibri Light" w:eastAsia="Calibri Light" w:hAnsi="Calibri Light" w:cs="Calibri Light"/>
      <w:sz w:val="22"/>
      <w:szCs w:val="22"/>
      <w:lang w:val="ro-RO"/>
    </w:rPr>
  </w:style>
  <w:style w:type="paragraph" w:styleId="Corptext">
    <w:name w:val="Body Text"/>
    <w:basedOn w:val="Normal"/>
    <w:link w:val="CorptextCaracter"/>
    <w:uiPriority w:val="1"/>
    <w:qFormat/>
    <w:rsid w:val="00BE10D3"/>
    <w:pPr>
      <w:widowControl w:val="0"/>
      <w:autoSpaceDE w:val="0"/>
      <w:autoSpaceDN w:val="0"/>
      <w:ind w:firstLine="0"/>
      <w:jc w:val="left"/>
    </w:pPr>
    <w:rPr>
      <w:rFonts w:ascii="Calibri Light" w:eastAsia="Calibri Light" w:hAnsi="Calibri Light" w:cs="Calibri Light"/>
      <w:sz w:val="24"/>
      <w:szCs w:val="24"/>
      <w:lang w:val="ro-RO"/>
    </w:rPr>
  </w:style>
  <w:style w:type="character" w:customStyle="1" w:styleId="CorptextCaracter">
    <w:name w:val="Corp text Caracter"/>
    <w:basedOn w:val="Fontdeparagrafimplicit"/>
    <w:link w:val="Corptext"/>
    <w:uiPriority w:val="1"/>
    <w:rsid w:val="00BE10D3"/>
    <w:rPr>
      <w:rFonts w:ascii="Calibri Light" w:eastAsia="Calibri Light" w:hAnsi="Calibri Light" w:cs="Calibri Light"/>
      <w:sz w:val="24"/>
      <w:szCs w:val="24"/>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2080">
      <w:bodyDiv w:val="1"/>
      <w:marLeft w:val="0"/>
      <w:marRight w:val="0"/>
      <w:marTop w:val="0"/>
      <w:marBottom w:val="0"/>
      <w:divBdr>
        <w:top w:val="none" w:sz="0" w:space="0" w:color="auto"/>
        <w:left w:val="none" w:sz="0" w:space="0" w:color="auto"/>
        <w:bottom w:val="none" w:sz="0" w:space="0" w:color="auto"/>
        <w:right w:val="none" w:sz="0" w:space="0" w:color="auto"/>
      </w:divBdr>
    </w:div>
    <w:div w:id="3173487">
      <w:bodyDiv w:val="1"/>
      <w:marLeft w:val="0"/>
      <w:marRight w:val="0"/>
      <w:marTop w:val="0"/>
      <w:marBottom w:val="0"/>
      <w:divBdr>
        <w:top w:val="none" w:sz="0" w:space="0" w:color="auto"/>
        <w:left w:val="none" w:sz="0" w:space="0" w:color="auto"/>
        <w:bottom w:val="none" w:sz="0" w:space="0" w:color="auto"/>
        <w:right w:val="none" w:sz="0" w:space="0" w:color="auto"/>
      </w:divBdr>
    </w:div>
    <w:div w:id="179703858">
      <w:bodyDiv w:val="1"/>
      <w:marLeft w:val="0"/>
      <w:marRight w:val="0"/>
      <w:marTop w:val="0"/>
      <w:marBottom w:val="0"/>
      <w:divBdr>
        <w:top w:val="none" w:sz="0" w:space="0" w:color="auto"/>
        <w:left w:val="none" w:sz="0" w:space="0" w:color="auto"/>
        <w:bottom w:val="none" w:sz="0" w:space="0" w:color="auto"/>
        <w:right w:val="none" w:sz="0" w:space="0" w:color="auto"/>
      </w:divBdr>
    </w:div>
    <w:div w:id="292296782">
      <w:bodyDiv w:val="1"/>
      <w:marLeft w:val="0"/>
      <w:marRight w:val="0"/>
      <w:marTop w:val="0"/>
      <w:marBottom w:val="0"/>
      <w:divBdr>
        <w:top w:val="none" w:sz="0" w:space="0" w:color="auto"/>
        <w:left w:val="none" w:sz="0" w:space="0" w:color="auto"/>
        <w:bottom w:val="none" w:sz="0" w:space="0" w:color="auto"/>
        <w:right w:val="none" w:sz="0" w:space="0" w:color="auto"/>
      </w:divBdr>
    </w:div>
    <w:div w:id="697509827">
      <w:bodyDiv w:val="1"/>
      <w:marLeft w:val="0"/>
      <w:marRight w:val="0"/>
      <w:marTop w:val="0"/>
      <w:marBottom w:val="0"/>
      <w:divBdr>
        <w:top w:val="none" w:sz="0" w:space="0" w:color="auto"/>
        <w:left w:val="none" w:sz="0" w:space="0" w:color="auto"/>
        <w:bottom w:val="none" w:sz="0" w:space="0" w:color="auto"/>
        <w:right w:val="none" w:sz="0" w:space="0" w:color="auto"/>
      </w:divBdr>
    </w:div>
    <w:div w:id="711732522">
      <w:bodyDiv w:val="1"/>
      <w:marLeft w:val="0"/>
      <w:marRight w:val="0"/>
      <w:marTop w:val="0"/>
      <w:marBottom w:val="0"/>
      <w:divBdr>
        <w:top w:val="none" w:sz="0" w:space="0" w:color="auto"/>
        <w:left w:val="none" w:sz="0" w:space="0" w:color="auto"/>
        <w:bottom w:val="none" w:sz="0" w:space="0" w:color="auto"/>
        <w:right w:val="none" w:sz="0" w:space="0" w:color="auto"/>
      </w:divBdr>
    </w:div>
    <w:div w:id="987369325">
      <w:bodyDiv w:val="1"/>
      <w:marLeft w:val="0"/>
      <w:marRight w:val="0"/>
      <w:marTop w:val="0"/>
      <w:marBottom w:val="0"/>
      <w:divBdr>
        <w:top w:val="none" w:sz="0" w:space="0" w:color="auto"/>
        <w:left w:val="none" w:sz="0" w:space="0" w:color="auto"/>
        <w:bottom w:val="none" w:sz="0" w:space="0" w:color="auto"/>
        <w:right w:val="none" w:sz="0" w:space="0" w:color="auto"/>
      </w:divBdr>
    </w:div>
    <w:div w:id="1142580029">
      <w:bodyDiv w:val="1"/>
      <w:marLeft w:val="0"/>
      <w:marRight w:val="0"/>
      <w:marTop w:val="0"/>
      <w:marBottom w:val="0"/>
      <w:divBdr>
        <w:top w:val="none" w:sz="0" w:space="0" w:color="auto"/>
        <w:left w:val="none" w:sz="0" w:space="0" w:color="auto"/>
        <w:bottom w:val="none" w:sz="0" w:space="0" w:color="auto"/>
        <w:right w:val="none" w:sz="0" w:space="0" w:color="auto"/>
      </w:divBdr>
    </w:div>
    <w:div w:id="1189762257">
      <w:bodyDiv w:val="1"/>
      <w:marLeft w:val="0"/>
      <w:marRight w:val="0"/>
      <w:marTop w:val="0"/>
      <w:marBottom w:val="0"/>
      <w:divBdr>
        <w:top w:val="none" w:sz="0" w:space="0" w:color="auto"/>
        <w:left w:val="none" w:sz="0" w:space="0" w:color="auto"/>
        <w:bottom w:val="none" w:sz="0" w:space="0" w:color="auto"/>
        <w:right w:val="none" w:sz="0" w:space="0" w:color="auto"/>
      </w:divBdr>
    </w:div>
    <w:div w:id="1195145609">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201313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Props1.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3.xml><?xml version="1.0" encoding="utf-8"?>
<ds:datastoreItem xmlns:ds="http://schemas.openxmlformats.org/officeDocument/2006/customXml" ds:itemID="{7CB3425A-BF79-40F1-991B-5841A656DF88}">
  <ds:schemaRefs>
    <ds:schemaRef ds:uri="http://schemas.openxmlformats.org/officeDocument/2006/bibliography"/>
  </ds:schemaRefs>
</ds:datastoreItem>
</file>

<file path=customXml/itemProps4.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5260</Words>
  <Characters>31245</Characters>
  <Application>Microsoft Office Word</Application>
  <DocSecurity>0</DocSecurity>
  <Lines>918</Lines>
  <Paragraphs>251</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36254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Direcția Politici în Domeniul Sănătății Publice și Urgențe în Sănătate Publică</cp:lastModifiedBy>
  <cp:revision>5</cp:revision>
  <cp:lastPrinted>2025-12-17T08:55:00Z</cp:lastPrinted>
  <dcterms:created xsi:type="dcterms:W3CDTF">2025-12-17T09:19:00Z</dcterms:created>
  <dcterms:modified xsi:type="dcterms:W3CDTF">2025-12-17T13:09:00Z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