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C8BD" w14:textId="77777777" w:rsidR="00AC138B" w:rsidRPr="00242069" w:rsidRDefault="00AC138B" w:rsidP="00DE7614">
      <w:pPr>
        <w:spacing w:after="0"/>
        <w:ind w:firstLine="709"/>
        <w:jc w:val="center"/>
        <w:rPr>
          <w:b/>
          <w:bCs/>
          <w:noProof/>
          <w:szCs w:val="28"/>
          <w:lang w:val="ro-RO"/>
        </w:rPr>
      </w:pPr>
      <w:r w:rsidRPr="00242069">
        <w:rPr>
          <w:b/>
          <w:bCs/>
          <w:noProof/>
          <w:szCs w:val="28"/>
          <w:lang w:val="ro-RO"/>
        </w:rPr>
        <w:t>TABELUL DE CONCORDANȚĂ</w:t>
      </w:r>
    </w:p>
    <w:p w14:paraId="6882A7B1" w14:textId="18AB6B8F" w:rsidR="00AC138B" w:rsidRPr="00242069" w:rsidRDefault="0043576B" w:rsidP="00DE7614">
      <w:pPr>
        <w:pStyle w:val="BodyText"/>
        <w:ind w:left="150"/>
        <w:jc w:val="center"/>
        <w:rPr>
          <w:b/>
          <w:bCs/>
          <w:noProof/>
        </w:rPr>
      </w:pPr>
      <w:r w:rsidRPr="00242069">
        <w:rPr>
          <w:b/>
          <w:bCs/>
          <w:noProof/>
        </w:rPr>
        <w:t>la</w:t>
      </w:r>
      <w:r w:rsidR="00AC138B" w:rsidRPr="00242069">
        <w:rPr>
          <w:b/>
          <w:bCs/>
          <w:noProof/>
        </w:rPr>
        <w:t xml:space="preserve"> proiectului hotărârii Guvern</w:t>
      </w:r>
      <w:r w:rsidRPr="00242069">
        <w:rPr>
          <w:b/>
          <w:bCs/>
          <w:noProof/>
        </w:rPr>
        <w:t>ului</w:t>
      </w:r>
      <w:r w:rsidR="00AC138B" w:rsidRPr="00242069">
        <w:rPr>
          <w:b/>
          <w:bCs/>
          <w:noProof/>
        </w:rPr>
        <w:t xml:space="preserve"> cu privire la modificarea Hotărârii Guvernului</w:t>
      </w:r>
    </w:p>
    <w:p w14:paraId="77681181" w14:textId="1CF35E96" w:rsidR="00AC138B" w:rsidRPr="00242069" w:rsidRDefault="00AC138B" w:rsidP="00DE7614">
      <w:pPr>
        <w:pStyle w:val="BodyText"/>
        <w:ind w:left="150"/>
        <w:jc w:val="center"/>
        <w:rPr>
          <w:b/>
          <w:bCs/>
        </w:rPr>
      </w:pPr>
      <w:r w:rsidRPr="00242069">
        <w:rPr>
          <w:b/>
          <w:bCs/>
          <w:noProof/>
        </w:rPr>
        <w:t>nr.</w:t>
      </w:r>
      <w:r w:rsidRPr="00242069">
        <w:rPr>
          <w:b/>
          <w:bCs/>
        </w:rPr>
        <w:t xml:space="preserve">21/2023 privind acordarea protecției temporare persoanelor strămutate din </w:t>
      </w:r>
      <w:r w:rsidRPr="00242069">
        <w:rPr>
          <w:b/>
          <w:bCs/>
          <w:spacing w:val="-67"/>
        </w:rPr>
        <w:t xml:space="preserve"> </w:t>
      </w:r>
      <w:r w:rsidRPr="00242069">
        <w:rPr>
          <w:b/>
          <w:bCs/>
        </w:rPr>
        <w:t>Ucraina</w:t>
      </w:r>
    </w:p>
    <w:p w14:paraId="6E748AC1" w14:textId="77777777" w:rsidR="00AC138B" w:rsidRPr="00242069" w:rsidRDefault="00AC138B" w:rsidP="00DE7614">
      <w:pPr>
        <w:spacing w:after="0"/>
        <w:jc w:val="both"/>
        <w:rPr>
          <w:b/>
          <w:bCs/>
          <w:sz w:val="23"/>
          <w:lang w:val="ro-RO"/>
        </w:rPr>
      </w:pPr>
    </w:p>
    <w:p w14:paraId="07FC08ED" w14:textId="77777777" w:rsidR="00AC138B" w:rsidRPr="00242069" w:rsidRDefault="00AC138B" w:rsidP="00DE7614">
      <w:pPr>
        <w:spacing w:after="0"/>
        <w:ind w:firstLine="709"/>
        <w:jc w:val="both"/>
        <w:rPr>
          <w:b/>
          <w:bCs/>
          <w:noProof/>
          <w:szCs w:val="28"/>
          <w:lang w:val="ro-RO"/>
        </w:rPr>
      </w:pPr>
    </w:p>
    <w:tbl>
      <w:tblPr>
        <w:tblStyle w:val="TableGrid"/>
        <w:tblW w:w="14459" w:type="dxa"/>
        <w:tblInd w:w="137" w:type="dxa"/>
        <w:tblLook w:val="04A0" w:firstRow="1" w:lastRow="0" w:firstColumn="1" w:lastColumn="0" w:noHBand="0" w:noVBand="1"/>
      </w:tblPr>
      <w:tblGrid>
        <w:gridCol w:w="336"/>
        <w:gridCol w:w="6662"/>
        <w:gridCol w:w="2410"/>
        <w:gridCol w:w="2552"/>
        <w:gridCol w:w="2499"/>
      </w:tblGrid>
      <w:tr w:rsidR="00CC0011" w:rsidRPr="00242069" w14:paraId="3F941347" w14:textId="77777777" w:rsidTr="008B4FCA">
        <w:tc>
          <w:tcPr>
            <w:tcW w:w="336" w:type="dxa"/>
          </w:tcPr>
          <w:p w14:paraId="6AEF147B" w14:textId="77777777" w:rsidR="00AC138B" w:rsidRPr="00242069" w:rsidRDefault="00AC138B" w:rsidP="00DE7614">
            <w:pPr>
              <w:jc w:val="both"/>
              <w:rPr>
                <w:rFonts w:cs="Times New Roman"/>
                <w:b/>
                <w:bCs/>
                <w:noProof/>
                <w:sz w:val="24"/>
                <w:szCs w:val="24"/>
                <w:lang w:val="ro-RO"/>
              </w:rPr>
            </w:pPr>
            <w:r w:rsidRPr="00242069">
              <w:rPr>
                <w:rFonts w:cs="Times New Roman"/>
                <w:b/>
                <w:bCs/>
                <w:noProof/>
                <w:sz w:val="24"/>
                <w:szCs w:val="24"/>
                <w:lang w:val="ro-RO"/>
              </w:rPr>
              <w:t>1</w:t>
            </w:r>
          </w:p>
        </w:tc>
        <w:tc>
          <w:tcPr>
            <w:tcW w:w="14123" w:type="dxa"/>
            <w:gridSpan w:val="4"/>
          </w:tcPr>
          <w:p w14:paraId="4BA45177" w14:textId="46951BC9" w:rsidR="009C2D4B" w:rsidRPr="00242069" w:rsidRDefault="009C2D4B" w:rsidP="00DE7614">
            <w:pPr>
              <w:shd w:val="clear" w:color="auto" w:fill="FFFFFF"/>
              <w:jc w:val="both"/>
              <w:rPr>
                <w:b/>
                <w:bCs/>
                <w:sz w:val="20"/>
                <w:szCs w:val="20"/>
                <w:lang w:val="ro-RO"/>
              </w:rPr>
            </w:pPr>
            <w:r w:rsidRPr="00242069">
              <w:rPr>
                <w:b/>
                <w:bCs/>
                <w:sz w:val="24"/>
                <w:szCs w:val="20"/>
                <w:lang w:val="ro-RO"/>
              </w:rPr>
              <w:t>Titlul actului UE, inclusiv cea mai recentă modificare, nr. CELEX:</w:t>
            </w:r>
          </w:p>
          <w:p w14:paraId="01AEDCAC" w14:textId="166E8B33" w:rsidR="00AC138B" w:rsidRPr="00242069" w:rsidRDefault="005F6EEF" w:rsidP="00DE7614">
            <w:pPr>
              <w:shd w:val="clear" w:color="auto" w:fill="FFFFFF"/>
              <w:jc w:val="both"/>
              <w:rPr>
                <w:rFonts w:cs="Times New Roman"/>
                <w:sz w:val="24"/>
                <w:szCs w:val="24"/>
                <w:shd w:val="clear" w:color="auto" w:fill="FFFFFF"/>
                <w:lang w:val="ro-RO"/>
              </w:rPr>
            </w:pPr>
            <w:r w:rsidRPr="00242069">
              <w:rPr>
                <w:rFonts w:eastAsia="Times New Roman" w:cs="Times New Roman"/>
                <w:kern w:val="0"/>
                <w:sz w:val="24"/>
                <w:szCs w:val="24"/>
                <w:lang w:val="ro-RO"/>
                <w14:ligatures w14:val="none"/>
              </w:rPr>
              <w:t>Decizia de punere în aplicare (UE) 2025/1460 a Consiliului din 15 iulie 2025 de prelungire a protecției temporare introduse prin Decizia de punere în aplicare (UE) 2022/382</w:t>
            </w:r>
            <w:r w:rsidR="00AC138B" w:rsidRPr="00242069">
              <w:rPr>
                <w:rFonts w:eastAsia="Times New Roman" w:cs="Times New Roman"/>
                <w:kern w:val="0"/>
                <w:sz w:val="24"/>
                <w:szCs w:val="24"/>
                <w:lang w:val="ro-RO"/>
                <w14:ligatures w14:val="none"/>
              </w:rPr>
              <w:t xml:space="preserve">, </w:t>
            </w:r>
            <w:r w:rsidR="00AC138B" w:rsidRPr="00242069">
              <w:rPr>
                <w:rFonts w:cs="Times New Roman"/>
                <w:noProof/>
                <w:sz w:val="24"/>
                <w:szCs w:val="24"/>
                <w:lang w:val="ro-RO"/>
              </w:rPr>
              <w:t xml:space="preserve"> Jurnalul Oficial al Uniunii Europene, </w:t>
            </w:r>
            <w:r w:rsidR="00AC138B" w:rsidRPr="00242069">
              <w:rPr>
                <w:rFonts w:cs="Times New Roman"/>
                <w:sz w:val="24"/>
                <w:szCs w:val="24"/>
                <w:shd w:val="clear" w:color="auto" w:fill="FFFFFF"/>
                <w:lang w:val="ro-RO"/>
              </w:rPr>
              <w:t>seria L</w:t>
            </w:r>
            <w:r w:rsidR="00047C6F" w:rsidRPr="00242069">
              <w:rPr>
                <w:rFonts w:cs="Times New Roman"/>
                <w:sz w:val="24"/>
                <w:szCs w:val="24"/>
                <w:shd w:val="clear" w:color="auto" w:fill="FFFFFF"/>
                <w:lang w:val="ro-RO"/>
              </w:rPr>
              <w:t>.</w:t>
            </w:r>
            <w:r w:rsidR="00AC138B" w:rsidRPr="00242069">
              <w:rPr>
                <w:rFonts w:cs="Times New Roman"/>
                <w:sz w:val="24"/>
                <w:szCs w:val="24"/>
                <w:shd w:val="clear" w:color="auto" w:fill="FFFFFF"/>
                <w:lang w:val="ro-RO"/>
              </w:rPr>
              <w:t xml:space="preserve"> </w:t>
            </w:r>
            <w:r w:rsidRPr="00242069">
              <w:rPr>
                <w:rFonts w:cs="Times New Roman"/>
                <w:sz w:val="24"/>
                <w:szCs w:val="24"/>
                <w:shd w:val="clear" w:color="auto" w:fill="FFFFFF"/>
                <w:lang w:val="ro-RO"/>
              </w:rPr>
              <w:t>2025/1460, 24.7.2025.</w:t>
            </w:r>
          </w:p>
          <w:p w14:paraId="02DBA6A1" w14:textId="6BCE8660" w:rsidR="005F6EEF" w:rsidRPr="00242069" w:rsidRDefault="005F6EEF" w:rsidP="00DE7614">
            <w:pPr>
              <w:shd w:val="clear" w:color="auto" w:fill="FFFFFF"/>
              <w:jc w:val="both"/>
              <w:rPr>
                <w:rFonts w:cs="Times New Roman"/>
                <w:noProof/>
                <w:sz w:val="24"/>
                <w:szCs w:val="24"/>
                <w:lang w:val="ro-RO"/>
              </w:rPr>
            </w:pPr>
            <w:r w:rsidRPr="00242069">
              <w:rPr>
                <w:rFonts w:cs="Times New Roman"/>
                <w:noProof/>
                <w:sz w:val="24"/>
                <w:szCs w:val="24"/>
                <w:shd w:val="clear" w:color="auto" w:fill="FFFFFF"/>
                <w:lang w:val="ro-RO"/>
              </w:rPr>
              <w:t>Nr. CELEX: 32025D1460.</w:t>
            </w:r>
          </w:p>
        </w:tc>
      </w:tr>
      <w:tr w:rsidR="00F01BEF" w:rsidRPr="003D18A4" w14:paraId="45F77278" w14:textId="77777777" w:rsidTr="008B4FCA">
        <w:tc>
          <w:tcPr>
            <w:tcW w:w="336" w:type="dxa"/>
          </w:tcPr>
          <w:p w14:paraId="70C1CDEF" w14:textId="5898C2E9"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2</w:t>
            </w:r>
          </w:p>
        </w:tc>
        <w:tc>
          <w:tcPr>
            <w:tcW w:w="14123" w:type="dxa"/>
            <w:gridSpan w:val="4"/>
          </w:tcPr>
          <w:p w14:paraId="3CE07A73" w14:textId="77777777" w:rsidR="008C4E0C" w:rsidRPr="00242069" w:rsidRDefault="008C4E0C" w:rsidP="00DE7614">
            <w:pPr>
              <w:pStyle w:val="BodyText"/>
              <w:ind w:left="0" w:firstLine="0"/>
              <w:rPr>
                <w:b/>
                <w:bCs/>
                <w:noProof/>
                <w:sz w:val="24"/>
                <w:szCs w:val="24"/>
              </w:rPr>
            </w:pPr>
            <w:r w:rsidRPr="00242069">
              <w:rPr>
                <w:b/>
                <w:bCs/>
                <w:noProof/>
                <w:sz w:val="24"/>
                <w:szCs w:val="24"/>
              </w:rPr>
              <w:t>Titlul proiectului de act normativ naţional:</w:t>
            </w:r>
          </w:p>
          <w:p w14:paraId="56062CF4" w14:textId="6A228925" w:rsidR="00F01BEF" w:rsidRPr="00242069" w:rsidRDefault="00F01BEF" w:rsidP="00DE7614">
            <w:pPr>
              <w:pStyle w:val="BodyText"/>
              <w:ind w:left="0" w:firstLine="0"/>
              <w:rPr>
                <w:b/>
                <w:bCs/>
                <w:noProof/>
                <w:sz w:val="24"/>
                <w:szCs w:val="24"/>
              </w:rPr>
            </w:pPr>
            <w:r w:rsidRPr="00242069">
              <w:rPr>
                <w:b/>
                <w:bCs/>
                <w:noProof/>
                <w:sz w:val="24"/>
                <w:szCs w:val="24"/>
              </w:rPr>
              <w:t>Proiectul hotărârii Guvern</w:t>
            </w:r>
            <w:r w:rsidR="008C4E0C" w:rsidRPr="00242069">
              <w:rPr>
                <w:b/>
                <w:bCs/>
                <w:noProof/>
                <w:sz w:val="24"/>
                <w:szCs w:val="24"/>
              </w:rPr>
              <w:t>ului</w:t>
            </w:r>
            <w:r w:rsidRPr="00242069">
              <w:rPr>
                <w:b/>
                <w:bCs/>
                <w:noProof/>
                <w:sz w:val="24"/>
                <w:szCs w:val="24"/>
              </w:rPr>
              <w:t xml:space="preserve"> cu privire la modificarea Hotărârii Guvernului nr.</w:t>
            </w:r>
            <w:r w:rsidRPr="00242069">
              <w:rPr>
                <w:b/>
                <w:bCs/>
                <w:sz w:val="24"/>
                <w:szCs w:val="24"/>
              </w:rPr>
              <w:t xml:space="preserve">21/2023 privind acordarea protecției temporare persoanelor strămutate din </w:t>
            </w:r>
            <w:r w:rsidRPr="00242069">
              <w:rPr>
                <w:b/>
                <w:bCs/>
                <w:spacing w:val="-67"/>
                <w:sz w:val="24"/>
                <w:szCs w:val="24"/>
              </w:rPr>
              <w:t xml:space="preserve"> </w:t>
            </w:r>
            <w:r w:rsidRPr="00242069">
              <w:rPr>
                <w:b/>
                <w:bCs/>
                <w:sz w:val="24"/>
                <w:szCs w:val="24"/>
              </w:rPr>
              <w:t>Ucraina</w:t>
            </w:r>
          </w:p>
        </w:tc>
      </w:tr>
      <w:tr w:rsidR="00F01BEF" w:rsidRPr="003D18A4" w14:paraId="558BBF42" w14:textId="77777777" w:rsidTr="008B4FCA">
        <w:tc>
          <w:tcPr>
            <w:tcW w:w="336" w:type="dxa"/>
          </w:tcPr>
          <w:p w14:paraId="2EB46BC1" w14:textId="357E77A3"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3</w:t>
            </w:r>
          </w:p>
        </w:tc>
        <w:tc>
          <w:tcPr>
            <w:tcW w:w="14123" w:type="dxa"/>
            <w:gridSpan w:val="4"/>
          </w:tcPr>
          <w:p w14:paraId="2F9A8276" w14:textId="2A968C1D" w:rsidR="00F01BEF" w:rsidRPr="00242069" w:rsidRDefault="00F01BEF" w:rsidP="00DE7614">
            <w:pPr>
              <w:jc w:val="both"/>
              <w:rPr>
                <w:rFonts w:cs="Times New Roman"/>
                <w:noProof/>
                <w:sz w:val="24"/>
                <w:szCs w:val="24"/>
                <w:lang w:val="ro-RO"/>
              </w:rPr>
            </w:pPr>
            <w:r w:rsidRPr="00242069">
              <w:rPr>
                <w:rFonts w:cs="Times New Roman"/>
                <w:b/>
                <w:bCs/>
                <w:noProof/>
                <w:sz w:val="24"/>
                <w:szCs w:val="24"/>
                <w:lang w:val="ro-RO"/>
              </w:rPr>
              <w:t>Gradul general de compatibilitate</w:t>
            </w:r>
            <w:r w:rsidRPr="00242069">
              <w:rPr>
                <w:rFonts w:cs="Times New Roman"/>
                <w:noProof/>
                <w:sz w:val="24"/>
                <w:szCs w:val="24"/>
                <w:lang w:val="ro-RO"/>
              </w:rPr>
              <w:t xml:space="preserve"> - </w:t>
            </w:r>
            <w:r w:rsidRPr="00242069">
              <w:rPr>
                <w:rFonts w:cs="Times New Roman"/>
                <w:b/>
                <w:bCs/>
                <w:noProof/>
                <w:sz w:val="24"/>
                <w:szCs w:val="24"/>
                <w:lang w:val="ro-RO"/>
              </w:rPr>
              <w:t>compatibil</w:t>
            </w:r>
          </w:p>
        </w:tc>
      </w:tr>
      <w:tr w:rsidR="00F01BEF" w:rsidRPr="003D18A4" w14:paraId="4B6DFDF0" w14:textId="77777777" w:rsidTr="008B4FCA">
        <w:tc>
          <w:tcPr>
            <w:tcW w:w="336" w:type="dxa"/>
          </w:tcPr>
          <w:p w14:paraId="3244C4DE" w14:textId="55B3ADD0"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4</w:t>
            </w:r>
          </w:p>
        </w:tc>
        <w:tc>
          <w:tcPr>
            <w:tcW w:w="14123" w:type="dxa"/>
            <w:gridSpan w:val="4"/>
          </w:tcPr>
          <w:p w14:paraId="13414E85" w14:textId="6C49C689"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Autoritatea/persoana responsabilă – Ministerul Afacerilor Interne</w:t>
            </w:r>
          </w:p>
        </w:tc>
      </w:tr>
      <w:tr w:rsidR="00F01BEF" w:rsidRPr="003D18A4" w14:paraId="117E07E3" w14:textId="77777777" w:rsidTr="008B4FCA">
        <w:trPr>
          <w:trHeight w:val="491"/>
        </w:trPr>
        <w:tc>
          <w:tcPr>
            <w:tcW w:w="336" w:type="dxa"/>
          </w:tcPr>
          <w:p w14:paraId="6D35315F" w14:textId="24E12186"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5</w:t>
            </w:r>
          </w:p>
        </w:tc>
        <w:tc>
          <w:tcPr>
            <w:tcW w:w="14123" w:type="dxa"/>
            <w:gridSpan w:val="4"/>
          </w:tcPr>
          <w:p w14:paraId="2CB40705" w14:textId="38C8E3B4" w:rsidR="00F01BEF" w:rsidRPr="00242069" w:rsidRDefault="00F01BEF" w:rsidP="00DE7614">
            <w:pPr>
              <w:jc w:val="both"/>
              <w:rPr>
                <w:rFonts w:cs="Times New Roman"/>
                <w:b/>
                <w:bCs/>
                <w:noProof/>
                <w:sz w:val="24"/>
                <w:szCs w:val="24"/>
                <w:lang w:val="ro-RO"/>
              </w:rPr>
            </w:pPr>
            <w:r w:rsidRPr="00242069">
              <w:rPr>
                <w:rFonts w:cs="Times New Roman"/>
                <w:b/>
                <w:bCs/>
                <w:noProof/>
                <w:sz w:val="24"/>
                <w:szCs w:val="24"/>
                <w:lang w:val="ro-RO"/>
              </w:rPr>
              <w:t xml:space="preserve">Data întocmirii/actualizării – Data întocmirii </w:t>
            </w:r>
            <w:r w:rsidR="00E81B25">
              <w:rPr>
                <w:rFonts w:cs="Times New Roman"/>
                <w:b/>
                <w:bCs/>
                <w:noProof/>
                <w:sz w:val="24"/>
                <w:szCs w:val="24"/>
                <w:lang w:val="ro-RO"/>
              </w:rPr>
              <w:t>–</w:t>
            </w:r>
            <w:r w:rsidRPr="00242069">
              <w:rPr>
                <w:rFonts w:cs="Times New Roman"/>
                <w:b/>
                <w:bCs/>
                <w:noProof/>
                <w:sz w:val="24"/>
                <w:szCs w:val="24"/>
                <w:lang w:val="ro-RO"/>
              </w:rPr>
              <w:t xml:space="preserve"> </w:t>
            </w:r>
            <w:r w:rsidR="00E81B25">
              <w:rPr>
                <w:rFonts w:cs="Times New Roman"/>
                <w:b/>
                <w:bCs/>
                <w:noProof/>
                <w:sz w:val="24"/>
                <w:szCs w:val="24"/>
                <w:lang w:val="ro-RO"/>
              </w:rPr>
              <w:t>28.11</w:t>
            </w:r>
            <w:r w:rsidRPr="00242069">
              <w:rPr>
                <w:rFonts w:cs="Times New Roman"/>
                <w:b/>
                <w:bCs/>
                <w:noProof/>
                <w:sz w:val="24"/>
                <w:szCs w:val="24"/>
                <w:lang w:val="ro-RO"/>
              </w:rPr>
              <w:t>.202</w:t>
            </w:r>
            <w:r w:rsidR="00EC1242" w:rsidRPr="00242069">
              <w:rPr>
                <w:rFonts w:cs="Times New Roman"/>
                <w:b/>
                <w:bCs/>
                <w:noProof/>
                <w:sz w:val="24"/>
                <w:szCs w:val="24"/>
                <w:lang w:val="ro-RO"/>
              </w:rPr>
              <w:t>5</w:t>
            </w:r>
          </w:p>
        </w:tc>
      </w:tr>
      <w:tr w:rsidR="00B67598" w:rsidRPr="00242069" w14:paraId="685CDFB6" w14:textId="77777777" w:rsidTr="008B4FCA">
        <w:tc>
          <w:tcPr>
            <w:tcW w:w="6998" w:type="dxa"/>
            <w:gridSpan w:val="2"/>
          </w:tcPr>
          <w:p w14:paraId="2B01445E" w14:textId="77777777" w:rsidR="00B67598" w:rsidRPr="00242069" w:rsidRDefault="00B67598" w:rsidP="00DE7614">
            <w:pPr>
              <w:pStyle w:val="ListParagraph"/>
              <w:ind w:left="60"/>
              <w:jc w:val="center"/>
              <w:rPr>
                <w:rFonts w:cs="Times New Roman"/>
                <w:b/>
                <w:bCs/>
                <w:noProof/>
                <w:sz w:val="24"/>
                <w:szCs w:val="24"/>
                <w:lang w:val="ro-RO"/>
              </w:rPr>
            </w:pPr>
            <w:r w:rsidRPr="00242069">
              <w:rPr>
                <w:rFonts w:cs="Times New Roman"/>
                <w:b/>
                <w:noProof/>
                <w:sz w:val="24"/>
                <w:szCs w:val="24"/>
                <w:lang w:val="ro-RO"/>
              </w:rPr>
              <w:t>Actul Uniunii Europene</w:t>
            </w:r>
          </w:p>
        </w:tc>
        <w:tc>
          <w:tcPr>
            <w:tcW w:w="2410" w:type="dxa"/>
          </w:tcPr>
          <w:p w14:paraId="6AA886C3" w14:textId="77777777" w:rsidR="00B67598" w:rsidRPr="00242069" w:rsidRDefault="00B67598" w:rsidP="00DE7614">
            <w:pPr>
              <w:pStyle w:val="ListParagraph"/>
              <w:ind w:left="0"/>
              <w:jc w:val="center"/>
              <w:rPr>
                <w:rFonts w:cs="Times New Roman"/>
                <w:b/>
                <w:bCs/>
                <w:noProof/>
                <w:sz w:val="24"/>
                <w:szCs w:val="24"/>
                <w:lang w:val="ro-RO"/>
              </w:rPr>
            </w:pPr>
            <w:r w:rsidRPr="00242069">
              <w:rPr>
                <w:rFonts w:cs="Times New Roman"/>
                <w:b/>
                <w:noProof/>
                <w:sz w:val="24"/>
                <w:szCs w:val="24"/>
                <w:lang w:val="ro-RO"/>
              </w:rPr>
              <w:t>Proiectul de act normativ național</w:t>
            </w:r>
          </w:p>
        </w:tc>
        <w:tc>
          <w:tcPr>
            <w:tcW w:w="2552" w:type="dxa"/>
          </w:tcPr>
          <w:p w14:paraId="5E46E504" w14:textId="77777777" w:rsidR="00B67598" w:rsidRPr="00242069" w:rsidRDefault="00B67598" w:rsidP="00DE7614">
            <w:pPr>
              <w:pStyle w:val="ListParagraph"/>
              <w:ind w:left="0"/>
              <w:jc w:val="center"/>
              <w:rPr>
                <w:rFonts w:cs="Times New Roman"/>
                <w:b/>
                <w:bCs/>
                <w:noProof/>
                <w:sz w:val="24"/>
                <w:szCs w:val="24"/>
                <w:lang w:val="ro-RO"/>
              </w:rPr>
            </w:pPr>
            <w:r w:rsidRPr="00242069">
              <w:rPr>
                <w:rFonts w:cs="Times New Roman"/>
                <w:b/>
                <w:noProof/>
                <w:sz w:val="24"/>
                <w:szCs w:val="24"/>
                <w:lang w:val="ro-RO"/>
              </w:rPr>
              <w:t>Gradul de compatibilitate</w:t>
            </w:r>
          </w:p>
        </w:tc>
        <w:tc>
          <w:tcPr>
            <w:tcW w:w="2499" w:type="dxa"/>
          </w:tcPr>
          <w:p w14:paraId="5B15A4B7" w14:textId="6DB9C1B2" w:rsidR="00B67598" w:rsidRPr="00242069" w:rsidRDefault="00B67598" w:rsidP="00DE7614">
            <w:pPr>
              <w:jc w:val="center"/>
              <w:rPr>
                <w:rFonts w:cs="Times New Roman"/>
                <w:b/>
                <w:bCs/>
                <w:noProof/>
                <w:sz w:val="24"/>
                <w:szCs w:val="24"/>
                <w:lang w:val="ro-RO"/>
              </w:rPr>
            </w:pPr>
            <w:r w:rsidRPr="00242069">
              <w:rPr>
                <w:rFonts w:cs="Times New Roman"/>
                <w:b/>
                <w:noProof/>
                <w:sz w:val="24"/>
                <w:szCs w:val="24"/>
                <w:lang w:val="ro-RO"/>
              </w:rPr>
              <w:t>Observațiile</w:t>
            </w:r>
          </w:p>
        </w:tc>
      </w:tr>
      <w:tr w:rsidR="00B67598" w:rsidRPr="00242069" w14:paraId="78560698" w14:textId="77777777" w:rsidTr="008B4FCA">
        <w:tc>
          <w:tcPr>
            <w:tcW w:w="6998" w:type="dxa"/>
            <w:gridSpan w:val="2"/>
          </w:tcPr>
          <w:p w14:paraId="4DFF4426" w14:textId="79F259FC" w:rsidR="00B67598" w:rsidRPr="00242069" w:rsidRDefault="00B67598" w:rsidP="00DE7614">
            <w:pPr>
              <w:pStyle w:val="ListParagraph"/>
              <w:ind w:left="338"/>
              <w:jc w:val="center"/>
              <w:rPr>
                <w:rFonts w:cs="Times New Roman"/>
                <w:b/>
                <w:noProof/>
                <w:sz w:val="24"/>
                <w:szCs w:val="24"/>
                <w:lang w:val="ro-RO"/>
              </w:rPr>
            </w:pPr>
            <w:r w:rsidRPr="00242069">
              <w:rPr>
                <w:rFonts w:cs="Times New Roman"/>
                <w:b/>
                <w:noProof/>
                <w:sz w:val="24"/>
                <w:szCs w:val="24"/>
                <w:lang w:val="ro-RO"/>
              </w:rPr>
              <w:t>6</w:t>
            </w:r>
          </w:p>
        </w:tc>
        <w:tc>
          <w:tcPr>
            <w:tcW w:w="2410" w:type="dxa"/>
          </w:tcPr>
          <w:p w14:paraId="54E64962" w14:textId="13A6BC3F" w:rsidR="00B67598" w:rsidRPr="00242069" w:rsidRDefault="00B67598" w:rsidP="00DE7614">
            <w:pPr>
              <w:pStyle w:val="ListParagraph"/>
              <w:ind w:left="338"/>
              <w:jc w:val="center"/>
              <w:rPr>
                <w:rFonts w:cs="Times New Roman"/>
                <w:b/>
                <w:noProof/>
                <w:sz w:val="24"/>
                <w:szCs w:val="24"/>
                <w:lang w:val="ro-RO"/>
              </w:rPr>
            </w:pPr>
            <w:r w:rsidRPr="00242069">
              <w:rPr>
                <w:rFonts w:cs="Times New Roman"/>
                <w:b/>
                <w:noProof/>
                <w:sz w:val="24"/>
                <w:szCs w:val="24"/>
                <w:lang w:val="ro-RO"/>
              </w:rPr>
              <w:t>7</w:t>
            </w:r>
          </w:p>
        </w:tc>
        <w:tc>
          <w:tcPr>
            <w:tcW w:w="2552" w:type="dxa"/>
          </w:tcPr>
          <w:p w14:paraId="219A1DCE" w14:textId="0824BB16" w:rsidR="00B67598" w:rsidRPr="00242069" w:rsidRDefault="00B67598" w:rsidP="00DE7614">
            <w:pPr>
              <w:pStyle w:val="ListParagraph"/>
              <w:ind w:left="338"/>
              <w:jc w:val="center"/>
              <w:rPr>
                <w:rFonts w:cs="Times New Roman"/>
                <w:b/>
                <w:noProof/>
                <w:sz w:val="24"/>
                <w:szCs w:val="24"/>
                <w:lang w:val="ro-RO"/>
              </w:rPr>
            </w:pPr>
            <w:r w:rsidRPr="00242069">
              <w:rPr>
                <w:rFonts w:cs="Times New Roman"/>
                <w:b/>
                <w:noProof/>
                <w:sz w:val="24"/>
                <w:szCs w:val="24"/>
                <w:lang w:val="ro-RO"/>
              </w:rPr>
              <w:t>8</w:t>
            </w:r>
          </w:p>
        </w:tc>
        <w:tc>
          <w:tcPr>
            <w:tcW w:w="2499" w:type="dxa"/>
          </w:tcPr>
          <w:p w14:paraId="30B70560" w14:textId="495F8A6B" w:rsidR="00B67598" w:rsidRPr="00242069" w:rsidRDefault="00332A28" w:rsidP="00DE7614">
            <w:pPr>
              <w:jc w:val="center"/>
              <w:rPr>
                <w:rFonts w:cs="Times New Roman"/>
                <w:b/>
                <w:noProof/>
                <w:sz w:val="24"/>
                <w:szCs w:val="24"/>
                <w:lang w:val="ro-RO"/>
              </w:rPr>
            </w:pPr>
            <w:r w:rsidRPr="00242069">
              <w:rPr>
                <w:rFonts w:cs="Times New Roman"/>
                <w:b/>
                <w:noProof/>
                <w:sz w:val="24"/>
                <w:szCs w:val="24"/>
                <w:lang w:val="ro-RO"/>
              </w:rPr>
              <w:t>9</w:t>
            </w:r>
          </w:p>
        </w:tc>
      </w:tr>
      <w:tr w:rsidR="00B67598" w:rsidRPr="00242069" w14:paraId="21F61AEE" w14:textId="77777777" w:rsidTr="008B4FCA">
        <w:tc>
          <w:tcPr>
            <w:tcW w:w="6998" w:type="dxa"/>
            <w:gridSpan w:val="2"/>
          </w:tcPr>
          <w:p w14:paraId="625D94C3" w14:textId="77777777" w:rsidR="00B67598" w:rsidRPr="00242069" w:rsidRDefault="00B67598" w:rsidP="00DE7614">
            <w:pPr>
              <w:shd w:val="clear" w:color="auto" w:fill="FFFFFF"/>
              <w:jc w:val="both"/>
              <w:rPr>
                <w:rFonts w:eastAsia="Times New Roman" w:cs="Times New Roman"/>
                <w:kern w:val="0"/>
                <w:sz w:val="24"/>
                <w:szCs w:val="24"/>
                <w:lang w:val="ro-RO"/>
                <w14:ligatures w14:val="none"/>
              </w:rPr>
            </w:pPr>
            <w:r w:rsidRPr="00242069">
              <w:rPr>
                <w:rFonts w:eastAsia="Times New Roman" w:cs="Times New Roman"/>
                <w:b/>
                <w:bCs/>
                <w:kern w:val="0"/>
                <w:sz w:val="24"/>
                <w:szCs w:val="24"/>
                <w:lang w:val="ro-RO"/>
                <w14:ligatures w14:val="none"/>
              </w:rPr>
              <w:t>CONSILIUL UNIUNII EUROPENE</w:t>
            </w:r>
            <w:r w:rsidRPr="00242069">
              <w:rPr>
                <w:rFonts w:eastAsia="Times New Roman" w:cs="Times New Roman"/>
                <w:kern w:val="0"/>
                <w:sz w:val="24"/>
                <w:szCs w:val="24"/>
                <w:lang w:val="ro-RO"/>
                <w14:ligatures w14:val="none"/>
              </w:rPr>
              <w:t>,</w:t>
            </w:r>
          </w:p>
          <w:p w14:paraId="20B62107" w14:textId="77777777" w:rsidR="00EC1242" w:rsidRPr="00EC1242" w:rsidRDefault="00EC1242" w:rsidP="00DE7614">
            <w:pPr>
              <w:pStyle w:val="ListParagraph"/>
              <w:numPr>
                <w:ilvl w:val="0"/>
                <w:numId w:val="1"/>
              </w:numPr>
              <w:ind w:left="84" w:firstLine="426"/>
              <w:jc w:val="both"/>
              <w:rPr>
                <w:rFonts w:eastAsia="Times New Roman" w:cs="Times New Roman"/>
                <w:kern w:val="0"/>
                <w:sz w:val="24"/>
                <w:szCs w:val="24"/>
                <w:lang w:val="ro-RO"/>
                <w14:ligatures w14:val="none"/>
              </w:rPr>
            </w:pPr>
            <w:r w:rsidRPr="00EC1242">
              <w:rPr>
                <w:rFonts w:eastAsia="Times New Roman" w:cs="Times New Roman"/>
                <w:kern w:val="0"/>
                <w:sz w:val="24"/>
                <w:szCs w:val="24"/>
                <w:lang w:val="ro-RO"/>
                <w14:ligatures w14:val="none"/>
              </w:rPr>
              <w:t>având în vedere Tratatul privind funcționarea Uniunii Europene,</w:t>
            </w:r>
          </w:p>
          <w:p w14:paraId="061DD812" w14:textId="77777777" w:rsidR="00EC1242" w:rsidRPr="00EC1242" w:rsidRDefault="00EC1242" w:rsidP="00DE7614">
            <w:pPr>
              <w:pStyle w:val="ListParagraph"/>
              <w:numPr>
                <w:ilvl w:val="0"/>
                <w:numId w:val="1"/>
              </w:numPr>
              <w:ind w:left="84" w:firstLine="426"/>
              <w:jc w:val="both"/>
              <w:rPr>
                <w:rFonts w:eastAsia="Times New Roman" w:cs="Times New Roman"/>
                <w:kern w:val="0"/>
                <w:sz w:val="24"/>
                <w:szCs w:val="24"/>
                <w:lang w:val="ro-RO"/>
                <w14:ligatures w14:val="none"/>
              </w:rPr>
            </w:pPr>
            <w:r w:rsidRPr="00EC1242">
              <w:rPr>
                <w:rFonts w:eastAsia="Times New Roman" w:cs="Times New Roman"/>
                <w:kern w:val="0"/>
                <w:sz w:val="24"/>
                <w:szCs w:val="24"/>
                <w:lang w:val="ro-RO"/>
                <w14:ligatures w14:val="none"/>
              </w:rPr>
              <w:t>având în vedere Directiva 2001/55/CE a Consiliului din 20 iulie 2001 privind standardele minime pentru acordarea protecției temporare, în cazul unui aflux masiv de persoane strămutate, și măsurile de promovare a unui echilibru între eforturile statelor membre pentru primirea acestor persoane și suportarea consecințelor acestei primiri </w:t>
            </w:r>
            <w:hyperlink r:id="rId5" w:anchor="ntr1-L_202501460RO.000101-E0001" w:history="1">
              <w:r w:rsidRPr="00EC1242">
                <w:rPr>
                  <w:rStyle w:val="Hyperlink"/>
                  <w:rFonts w:eastAsia="Times New Roman" w:cs="Times New Roman"/>
                  <w:kern w:val="0"/>
                  <w:sz w:val="24"/>
                  <w:szCs w:val="24"/>
                  <w:lang w:val="ro-RO"/>
                  <w14:ligatures w14:val="none"/>
                </w:rPr>
                <w:t>(</w:t>
              </w:r>
              <w:r w:rsidRPr="00EC1242">
                <w:rPr>
                  <w:rStyle w:val="Hyperlink"/>
                  <w:rFonts w:eastAsia="Times New Roman" w:cs="Times New Roman"/>
                  <w:kern w:val="0"/>
                  <w:sz w:val="24"/>
                  <w:szCs w:val="24"/>
                  <w:vertAlign w:val="superscript"/>
                  <w:lang w:val="ro-RO"/>
                  <w14:ligatures w14:val="none"/>
                </w:rPr>
                <w:t>1</w:t>
              </w:r>
              <w:r w:rsidRPr="00EC1242">
                <w:rPr>
                  <w:rStyle w:val="Hyperlink"/>
                  <w:rFonts w:eastAsia="Times New Roman" w:cs="Times New Roman"/>
                  <w:kern w:val="0"/>
                  <w:sz w:val="24"/>
                  <w:szCs w:val="24"/>
                  <w:lang w:val="ro-RO"/>
                  <w14:ligatures w14:val="none"/>
                </w:rPr>
                <w:t>)</w:t>
              </w:r>
            </w:hyperlink>
            <w:r w:rsidRPr="00EC1242">
              <w:rPr>
                <w:rFonts w:eastAsia="Times New Roman" w:cs="Times New Roman"/>
                <w:kern w:val="0"/>
                <w:sz w:val="24"/>
                <w:szCs w:val="24"/>
                <w:lang w:val="ro-RO"/>
                <w14:ligatures w14:val="none"/>
              </w:rPr>
              <w:t>, în special articolul 4 alineatul (2),</w:t>
            </w:r>
          </w:p>
          <w:p w14:paraId="41F6EBCD" w14:textId="77777777" w:rsidR="00EC1242" w:rsidRPr="00EC1242" w:rsidRDefault="00EC1242" w:rsidP="00DE7614">
            <w:pPr>
              <w:pStyle w:val="ListParagraph"/>
              <w:numPr>
                <w:ilvl w:val="0"/>
                <w:numId w:val="1"/>
              </w:numPr>
              <w:ind w:left="84" w:firstLine="426"/>
              <w:jc w:val="both"/>
              <w:rPr>
                <w:rFonts w:eastAsia="Times New Roman" w:cs="Times New Roman"/>
                <w:kern w:val="0"/>
                <w:sz w:val="24"/>
                <w:szCs w:val="24"/>
                <w:lang w:val="ro-RO"/>
                <w14:ligatures w14:val="none"/>
              </w:rPr>
            </w:pPr>
            <w:r w:rsidRPr="00EC1242">
              <w:rPr>
                <w:rFonts w:eastAsia="Times New Roman" w:cs="Times New Roman"/>
                <w:kern w:val="0"/>
                <w:sz w:val="24"/>
                <w:szCs w:val="24"/>
                <w:lang w:val="ro-RO"/>
                <w14:ligatures w14:val="none"/>
              </w:rPr>
              <w:t>având în vedere propunerea Comisiei Europene,</w:t>
            </w:r>
          </w:p>
          <w:p w14:paraId="38C0F954" w14:textId="77777777" w:rsidR="00EC1242" w:rsidRPr="00EC1242" w:rsidRDefault="00EC1242" w:rsidP="00DE7614">
            <w:pPr>
              <w:pStyle w:val="ListParagraph"/>
              <w:numPr>
                <w:ilvl w:val="0"/>
                <w:numId w:val="1"/>
              </w:numPr>
              <w:ind w:left="84" w:firstLine="426"/>
              <w:jc w:val="both"/>
              <w:rPr>
                <w:rFonts w:eastAsia="Times New Roman" w:cs="Times New Roman"/>
                <w:kern w:val="0"/>
                <w:sz w:val="24"/>
                <w:szCs w:val="24"/>
                <w:lang w:val="ro-RO"/>
                <w14:ligatures w14:val="none"/>
              </w:rPr>
            </w:pPr>
            <w:r w:rsidRPr="00EC1242">
              <w:rPr>
                <w:rFonts w:eastAsia="Times New Roman" w:cs="Times New Roman"/>
                <w:kern w:val="0"/>
                <w:sz w:val="24"/>
                <w:szCs w:val="24"/>
                <w:lang w:val="ro-RO"/>
                <w14:ligatures w14:val="none"/>
              </w:rPr>
              <w:t>întrucât:</w:t>
            </w: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344DF7DC" w14:textId="77777777">
              <w:tc>
                <w:tcPr>
                  <w:tcW w:w="0" w:type="auto"/>
                  <w:hideMark/>
                </w:tcPr>
                <w:p w14:paraId="5E29EDE5"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w:t>
                  </w:r>
                </w:p>
              </w:tc>
              <w:tc>
                <w:tcPr>
                  <w:tcW w:w="0" w:type="auto"/>
                  <w:hideMark/>
                </w:tcPr>
                <w:p w14:paraId="099856FE"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La 4 martie 2022, Consiliul a adoptat Decizia de punere în aplicare (UE) 2022/382 </w:t>
                  </w:r>
                  <w:hyperlink r:id="rId6" w:anchor="ntr2-L_202501460RO.000101-E0002" w:history="1">
                    <w:r w:rsidRPr="00242069">
                      <w:rPr>
                        <w:rStyle w:val="Hyperlink"/>
                        <w:rFonts w:eastAsia="Times New Roman" w:cs="Times New Roman"/>
                        <w:kern w:val="0"/>
                        <w:sz w:val="24"/>
                        <w:szCs w:val="24"/>
                        <w:lang w:val="ro-RO"/>
                        <w14:ligatures w14:val="none"/>
                      </w:rPr>
                      <w:t>(</w:t>
                    </w:r>
                    <w:r w:rsidRPr="00242069">
                      <w:rPr>
                        <w:rStyle w:val="Hyperlink"/>
                        <w:rFonts w:eastAsia="Times New Roman" w:cs="Times New Roman"/>
                        <w:kern w:val="0"/>
                        <w:sz w:val="24"/>
                        <w:szCs w:val="24"/>
                        <w:vertAlign w:val="superscript"/>
                        <w:lang w:val="ro-RO"/>
                        <w14:ligatures w14:val="none"/>
                      </w:rPr>
                      <w:t>2</w:t>
                    </w:r>
                    <w:r w:rsidRPr="00242069">
                      <w:rPr>
                        <w:rStyle w:val="Hyperlink"/>
                        <w:rFonts w:eastAsia="Times New Roman" w:cs="Times New Roman"/>
                        <w:kern w:val="0"/>
                        <w:sz w:val="24"/>
                        <w:szCs w:val="24"/>
                        <w:lang w:val="ro-RO"/>
                        <w14:ligatures w14:val="none"/>
                      </w:rPr>
                      <w:t>)</w:t>
                    </w:r>
                  </w:hyperlink>
                  <w:r w:rsidRPr="00242069">
                    <w:rPr>
                      <w:rFonts w:eastAsia="Times New Roman" w:cs="Times New Roman"/>
                      <w:kern w:val="0"/>
                      <w:sz w:val="24"/>
                      <w:szCs w:val="24"/>
                      <w:lang w:val="ro-RO"/>
                      <w14:ligatures w14:val="none"/>
                    </w:rPr>
                    <w:t> prin care s-a constatat existența unui aflux masiv de persoane strămutate din Ucraina în înțelesul articolului 5 din Directiva 2001/55/CE și care a avut ca efect introducerea unei protecții temporare.</w:t>
                  </w:r>
                </w:p>
              </w:tc>
            </w:tr>
          </w:tbl>
          <w:p w14:paraId="2E2A857F"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63C8EFBD" w14:textId="77777777">
              <w:tc>
                <w:tcPr>
                  <w:tcW w:w="0" w:type="auto"/>
                  <w:hideMark/>
                </w:tcPr>
                <w:p w14:paraId="3050130F"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(2)</w:t>
                  </w:r>
                </w:p>
              </w:tc>
              <w:tc>
                <w:tcPr>
                  <w:tcW w:w="0" w:type="auto"/>
                  <w:hideMark/>
                </w:tcPr>
                <w:p w14:paraId="0AF7E997"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 xml:space="preserve">În conformitate cu articolul 4 alineatul (1) din Directiva 2001/55/CE, protecția temporară s-a aplicat pentru prima dată </w:t>
                  </w:r>
                  <w:r w:rsidRPr="00242069">
                    <w:rPr>
                      <w:rFonts w:eastAsia="Times New Roman" w:cs="Times New Roman"/>
                      <w:kern w:val="0"/>
                      <w:sz w:val="24"/>
                      <w:szCs w:val="24"/>
                      <w:lang w:val="ro-RO"/>
                      <w14:ligatures w14:val="none"/>
                    </w:rPr>
                    <w:lastRenderedPageBreak/>
                    <w:t>pentru o perioadă inițială de un an, până la 4 martie 2023, și, ulterior, a fost prelungită automat cu încă un an, până la 4 martie 2024.</w:t>
                  </w:r>
                </w:p>
              </w:tc>
            </w:tr>
          </w:tbl>
          <w:p w14:paraId="2EA2141B"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706D60DC" w14:textId="77777777">
              <w:tc>
                <w:tcPr>
                  <w:tcW w:w="0" w:type="auto"/>
                  <w:hideMark/>
                </w:tcPr>
                <w:p w14:paraId="1AEA1F9C"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(3)</w:t>
                  </w:r>
                </w:p>
              </w:tc>
              <w:tc>
                <w:tcPr>
                  <w:tcW w:w="0" w:type="auto"/>
                  <w:hideMark/>
                </w:tcPr>
                <w:p w14:paraId="22CB684F"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La 19 octombrie 2023, Consiliul a adoptat Decizia de punere în aplicare (UE) 2023/2409 </w:t>
                  </w:r>
                  <w:hyperlink r:id="rId7" w:anchor="ntr3-L_202501460RO.000101-E0003" w:history="1">
                    <w:r w:rsidRPr="00242069">
                      <w:rPr>
                        <w:rStyle w:val="Hyperlink"/>
                        <w:rFonts w:eastAsia="Times New Roman" w:cs="Times New Roman"/>
                        <w:kern w:val="0"/>
                        <w:sz w:val="24"/>
                        <w:szCs w:val="24"/>
                        <w:lang w:val="ro-RO"/>
                        <w14:ligatures w14:val="none"/>
                      </w:rPr>
                      <w:t>(</w:t>
                    </w:r>
                    <w:r w:rsidRPr="00242069">
                      <w:rPr>
                        <w:rStyle w:val="Hyperlink"/>
                        <w:rFonts w:eastAsia="Times New Roman" w:cs="Times New Roman"/>
                        <w:kern w:val="0"/>
                        <w:sz w:val="24"/>
                        <w:szCs w:val="24"/>
                        <w:vertAlign w:val="superscript"/>
                        <w:lang w:val="ro-RO"/>
                        <w14:ligatures w14:val="none"/>
                      </w:rPr>
                      <w:t>3</w:t>
                    </w:r>
                    <w:r w:rsidRPr="00242069">
                      <w:rPr>
                        <w:rStyle w:val="Hyperlink"/>
                        <w:rFonts w:eastAsia="Times New Roman" w:cs="Times New Roman"/>
                        <w:kern w:val="0"/>
                        <w:sz w:val="24"/>
                        <w:szCs w:val="24"/>
                        <w:lang w:val="ro-RO"/>
                        <w14:ligatures w14:val="none"/>
                      </w:rPr>
                      <w:t>)</w:t>
                    </w:r>
                  </w:hyperlink>
                  <w:r w:rsidRPr="00242069">
                    <w:rPr>
                      <w:rFonts w:eastAsia="Times New Roman" w:cs="Times New Roman"/>
                      <w:kern w:val="0"/>
                      <w:sz w:val="24"/>
                      <w:szCs w:val="24"/>
                      <w:lang w:val="ro-RO"/>
                      <w14:ligatures w14:val="none"/>
                    </w:rPr>
                    <w:t> prin care protecția temporară introdusă prin Decizia de punere în aplicare (UE) 2022/382 a fost prelungită până la 4 martie 2025. La 11 iunie 2024, Consiliul a adoptat Decizia de punere în aplicare (UE) 2024/1836 </w:t>
                  </w:r>
                  <w:hyperlink r:id="rId8" w:anchor="ntr4-L_202501460RO.000101-E0004" w:history="1">
                    <w:r w:rsidRPr="00242069">
                      <w:rPr>
                        <w:rStyle w:val="Hyperlink"/>
                        <w:rFonts w:eastAsia="Times New Roman" w:cs="Times New Roman"/>
                        <w:kern w:val="0"/>
                        <w:sz w:val="24"/>
                        <w:szCs w:val="24"/>
                        <w:lang w:val="ro-RO"/>
                        <w14:ligatures w14:val="none"/>
                      </w:rPr>
                      <w:t>(</w:t>
                    </w:r>
                    <w:r w:rsidRPr="00242069">
                      <w:rPr>
                        <w:rStyle w:val="Hyperlink"/>
                        <w:rFonts w:eastAsia="Times New Roman" w:cs="Times New Roman"/>
                        <w:kern w:val="0"/>
                        <w:sz w:val="24"/>
                        <w:szCs w:val="24"/>
                        <w:vertAlign w:val="superscript"/>
                        <w:lang w:val="ro-RO"/>
                        <w14:ligatures w14:val="none"/>
                      </w:rPr>
                      <w:t>4</w:t>
                    </w:r>
                    <w:r w:rsidRPr="00242069">
                      <w:rPr>
                        <w:rStyle w:val="Hyperlink"/>
                        <w:rFonts w:eastAsia="Times New Roman" w:cs="Times New Roman"/>
                        <w:kern w:val="0"/>
                        <w:sz w:val="24"/>
                        <w:szCs w:val="24"/>
                        <w:lang w:val="ro-RO"/>
                        <w14:ligatures w14:val="none"/>
                      </w:rPr>
                      <w:t>)</w:t>
                    </w:r>
                  </w:hyperlink>
                  <w:r w:rsidRPr="00242069">
                    <w:rPr>
                      <w:rFonts w:eastAsia="Times New Roman" w:cs="Times New Roman"/>
                      <w:kern w:val="0"/>
                      <w:sz w:val="24"/>
                      <w:szCs w:val="24"/>
                      <w:lang w:val="ro-RO"/>
                      <w14:ligatures w14:val="none"/>
                    </w:rPr>
                    <w:t> prin care protecția temporară respectivă a fost prelungită până la 4 martie 2026.</w:t>
                  </w:r>
                </w:p>
              </w:tc>
            </w:tr>
          </w:tbl>
          <w:p w14:paraId="2F29C0AC"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697638B0" w14:textId="77777777">
              <w:tc>
                <w:tcPr>
                  <w:tcW w:w="0" w:type="auto"/>
                  <w:hideMark/>
                </w:tcPr>
                <w:p w14:paraId="6FD15DEC"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(4)</w:t>
                  </w:r>
                </w:p>
              </w:tc>
              <w:tc>
                <w:tcPr>
                  <w:tcW w:w="0" w:type="auto"/>
                  <w:hideMark/>
                </w:tcPr>
                <w:p w14:paraId="4E0D25F6"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Deoarece o persoană poate beneficia de drepturile aferente protecției temporare într-un singur stat membru odată, pentru a asigura respectarea acestui principiu și pentru a se evita înregistrările multiple pentru obținerea protecției temporare, statele membre ar trebui să respingă cererile de eliberare a unui permis de ședere formulate în baza articolului 8 alineatul (1) din Directiva 2001/55/CE atunci când se constată că persoana în cauză a obținut deja un permis de ședere într-un alt stat membru pe aceeași bază. Acest lucru ar fi conform cu hotărârea Curții de Justiție din 27 februarie 2025 în cauza C-753/23 </w:t>
                  </w:r>
                  <w:hyperlink r:id="rId9" w:anchor="ntr5-L_202501460RO.000101-E0005" w:history="1">
                    <w:r w:rsidRPr="00242069">
                      <w:rPr>
                        <w:rStyle w:val="Hyperlink"/>
                        <w:rFonts w:eastAsia="Times New Roman" w:cs="Times New Roman"/>
                        <w:kern w:val="0"/>
                        <w:sz w:val="24"/>
                        <w:szCs w:val="24"/>
                        <w:lang w:val="ro-RO"/>
                        <w14:ligatures w14:val="none"/>
                      </w:rPr>
                      <w:t>(</w:t>
                    </w:r>
                    <w:r w:rsidRPr="00242069">
                      <w:rPr>
                        <w:rStyle w:val="Hyperlink"/>
                        <w:rFonts w:eastAsia="Times New Roman" w:cs="Times New Roman"/>
                        <w:kern w:val="0"/>
                        <w:sz w:val="24"/>
                        <w:szCs w:val="24"/>
                        <w:vertAlign w:val="superscript"/>
                        <w:lang w:val="ro-RO"/>
                        <w14:ligatures w14:val="none"/>
                      </w:rPr>
                      <w:t>5</w:t>
                    </w:r>
                    <w:r w:rsidRPr="00242069">
                      <w:rPr>
                        <w:rStyle w:val="Hyperlink"/>
                        <w:rFonts w:eastAsia="Times New Roman" w:cs="Times New Roman"/>
                        <w:kern w:val="0"/>
                        <w:sz w:val="24"/>
                        <w:szCs w:val="24"/>
                        <w:lang w:val="ro-RO"/>
                        <w14:ligatures w14:val="none"/>
                      </w:rPr>
                      <w:t>)</w:t>
                    </w:r>
                  </w:hyperlink>
                  <w:r w:rsidRPr="00242069">
                    <w:rPr>
                      <w:rFonts w:eastAsia="Times New Roman" w:cs="Times New Roman"/>
                      <w:kern w:val="0"/>
                      <w:sz w:val="24"/>
                      <w:szCs w:val="24"/>
                      <w:lang w:val="ro-RO"/>
                      <w14:ligatures w14:val="none"/>
                    </w:rPr>
                    <w:t> și, în special, cu punctul 30 al acesteia.</w:t>
                  </w:r>
                </w:p>
              </w:tc>
            </w:tr>
          </w:tbl>
          <w:p w14:paraId="7769AE79"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0F546A05" w14:textId="77777777">
              <w:tc>
                <w:tcPr>
                  <w:tcW w:w="0" w:type="auto"/>
                  <w:hideMark/>
                </w:tcPr>
                <w:p w14:paraId="2C573F6F"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(5)</w:t>
                  </w:r>
                </w:p>
              </w:tc>
              <w:tc>
                <w:tcPr>
                  <w:tcW w:w="0" w:type="auto"/>
                  <w:hideMark/>
                </w:tcPr>
                <w:p w14:paraId="2A295952"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În contextul activării protecției temporare pe baza Directivei 2001/55/CE, în declarația din 4 martie 2022, statele membre au convenit în unanimitate să nu aplice articolul 11 din directiva respectivă în ceea ce privește persoanele care beneficiază de protecție temporară într-un anumit stat membru în conformitate cu Decizia de punere în aplicare (UE) 2022/382 și care se mută într-un alt stat membru fără autorizație, cu excepția cazului în care statele membre convin altfel la nivel bilateral.</w:t>
                  </w:r>
                </w:p>
              </w:tc>
            </w:tr>
          </w:tbl>
          <w:p w14:paraId="34740361"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10EF8430" w14:textId="77777777">
              <w:tc>
                <w:tcPr>
                  <w:tcW w:w="0" w:type="auto"/>
                  <w:hideMark/>
                </w:tcPr>
                <w:p w14:paraId="61B2779A"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(6)</w:t>
                  </w:r>
                </w:p>
              </w:tc>
              <w:tc>
                <w:tcPr>
                  <w:tcW w:w="0" w:type="auto"/>
                  <w:hideMark/>
                </w:tcPr>
                <w:p w14:paraId="16A34735"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În acest context general, nicio dispoziție nu ar trebui să fie interpretată ca impunând unui stat membru obligația de a elibera un permis de ședere pentru protecție temporară unei persoane care a primit un permis de ședere pentru protecție temporară într-un alt stat membru.</w:t>
                  </w:r>
                </w:p>
              </w:tc>
            </w:tr>
          </w:tbl>
          <w:p w14:paraId="4FAEE74D"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38286F1A" w14:textId="77777777">
              <w:tc>
                <w:tcPr>
                  <w:tcW w:w="0" w:type="auto"/>
                  <w:hideMark/>
                </w:tcPr>
                <w:p w14:paraId="03EC41DA"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(7)</w:t>
                  </w:r>
                </w:p>
              </w:tc>
              <w:tc>
                <w:tcPr>
                  <w:tcW w:w="0" w:type="auto"/>
                  <w:hideMark/>
                </w:tcPr>
                <w:p w14:paraId="19A7099C"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 xml:space="preserve">Pentru a asigura un cadru situațional actualizat în scopuri operaționale, precum și o administrare și supraveghere coerente a eliberării permiselor de ședere, statele membre ar trebui să încarce periodic și în timp util date exacte pe Platforma de </w:t>
                  </w:r>
                  <w:r w:rsidRPr="00242069">
                    <w:rPr>
                      <w:rFonts w:eastAsia="Times New Roman" w:cs="Times New Roman"/>
                      <w:kern w:val="0"/>
                      <w:sz w:val="24"/>
                      <w:szCs w:val="24"/>
                      <w:lang w:val="ro-RO"/>
                      <w14:ligatures w14:val="none"/>
                    </w:rPr>
                    <w:lastRenderedPageBreak/>
                    <w:t>înregistrare a protecției temporare, inclusiv date privind înregistrările inactive.</w:t>
                  </w:r>
                </w:p>
              </w:tc>
            </w:tr>
          </w:tbl>
          <w:p w14:paraId="023B1297"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12F9F6D8" w14:textId="77777777">
              <w:tc>
                <w:tcPr>
                  <w:tcW w:w="0" w:type="auto"/>
                  <w:hideMark/>
                </w:tcPr>
                <w:p w14:paraId="2F44CBAD"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(8)</w:t>
                  </w:r>
                </w:p>
              </w:tc>
              <w:tc>
                <w:tcPr>
                  <w:tcW w:w="0" w:type="auto"/>
                  <w:hideMark/>
                </w:tcPr>
                <w:p w14:paraId="7D4674C0"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În prezent, aproape 4,3 milioane de persoane strămutate din Ucraina beneficiază de protecție temporară în Uniune. Numărul total de înregistrări ale persoanelor care beneficiază de protecție temporară a rămas stabil, și anume aproximativ 4,3 milioane, înregistrându-se o tendință de ușoară creștere constantă, puține persoane raportând că se întorc acasă în Ucraina cu titlu permanent. Situația din Ucraina nu permite întoarcerea în condiții sigure și durabile în Ucraina a majorității persoanelor strămutate. Organizația Internațională pentru Migrație estimează că, în aprilie 2025, 3 757 000 de persoane erau strămutate în interiorul Ucrainei, dintre care 66 % erau strămutate de peste doi ani, iar 79 % erau strămutate de peste un an. Ponderea persoanelor strămutate în interiorul țării care sunt în această situație de peste doi ani era cea mai ridicată în rândul persoanelor strămutate în interiorul țării care își aveau reședința în vestul țării (78 %). Oficiul pentru Coordonarea Afacerilor Umanitare din cadrul Organizației Națiunilor Unite a estimat că, în 2025, peste 12,7 milioane de persoane din Ucraina au nevoie urgentă de asistență umanitară.</w:t>
                  </w:r>
                </w:p>
              </w:tc>
            </w:tr>
          </w:tbl>
          <w:p w14:paraId="1A7F7125"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364"/>
              <w:gridCol w:w="6418"/>
            </w:tblGrid>
            <w:tr w:rsidR="00EC1242" w:rsidRPr="003D18A4" w14:paraId="3B5A7E92" w14:textId="77777777">
              <w:tc>
                <w:tcPr>
                  <w:tcW w:w="0" w:type="auto"/>
                  <w:hideMark/>
                </w:tcPr>
                <w:p w14:paraId="26246685"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(9)</w:t>
                  </w:r>
                </w:p>
              </w:tc>
              <w:tc>
                <w:tcPr>
                  <w:tcW w:w="0" w:type="auto"/>
                  <w:hideMark/>
                </w:tcPr>
                <w:p w14:paraId="5D7DBA21" w14:textId="1EC7A643"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În plus, din cauza condițiilor umanitare dificile, a volatilității mai mari și a incertitudinii situației din Ucraina ca urmare a războiului de agresiune al Rusiei, inclusiv a intensificării atacurilor aeriene repetate în întreaga țară împotriva civililor, nu pot fi excluse noi sosiri pe scară largă. Riscul de escaladare persistă. În același timp, riscul ca sistemele naționale de azil să nu poată funcționa eficient ar persista dacă protecția temporară ar înceta în scurt timp și toți beneficiarii ar solicita protecție internațională în același timp.</w:t>
                  </w:r>
                </w:p>
              </w:tc>
            </w:tr>
          </w:tbl>
          <w:p w14:paraId="19B6872D"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45EAD907" w14:textId="77777777">
              <w:tc>
                <w:tcPr>
                  <w:tcW w:w="0" w:type="auto"/>
                  <w:hideMark/>
                </w:tcPr>
                <w:p w14:paraId="0A6C7E8D"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(10)</w:t>
                  </w:r>
                </w:p>
              </w:tc>
              <w:tc>
                <w:tcPr>
                  <w:tcW w:w="0" w:type="auto"/>
                  <w:hideMark/>
                </w:tcPr>
                <w:p w14:paraId="7F3F9959"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 xml:space="preserve">Deoarece este puțin probabil ca numărul mare de persoane strămutate din Uniune care beneficiază de protecție temporară să scadă atât timp cât războiul împotriva Ucrainei continuă, prelungirea protecției temporare este necesară pentru a soluționa situația persoanelor care beneficiază în prezent de protecție temporară în Uniune sau care vor avea nevoie de o astfel de protecție începând cu 5 martie 2026, deoarece asigură protecția imediată și accesul la un set armonizat de drepturi, formalitățile într-o situație de aflux masiv către Uniune fiind astfel reduse la minimum. Prelungirea protecției temporare ar trebui, de </w:t>
                  </w:r>
                  <w:r w:rsidRPr="00242069">
                    <w:rPr>
                      <w:rFonts w:eastAsia="Times New Roman" w:cs="Times New Roman"/>
                      <w:kern w:val="0"/>
                      <w:sz w:val="24"/>
                      <w:szCs w:val="24"/>
                      <w:lang w:val="ro-RO"/>
                      <w14:ligatures w14:val="none"/>
                    </w:rPr>
                    <w:lastRenderedPageBreak/>
                    <w:t>asemenea, să contribuie la asigurarea faptului că sistemele de azil ale statelor membre nu sunt suprasolicitate de o creștere semnificativă a numărului de cereri de protecție internațională care ar putea fi depuse de către persoanele care beneficiază de protecție temporară pentru perioada de până la 4 martie 2026, în cazul în care protecția temporară ar urma să înceteze până atunci, sau de către persoanele care vor fugi din calea războiului din Ucraina și vor sosi în Uniune în perioada 5 martie 2026-4 martie 2027.</w:t>
                  </w:r>
                </w:p>
              </w:tc>
            </w:tr>
          </w:tbl>
          <w:p w14:paraId="5D94B862"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6252EC67" w14:textId="77777777">
              <w:tc>
                <w:tcPr>
                  <w:tcW w:w="0" w:type="auto"/>
                  <w:hideMark/>
                </w:tcPr>
                <w:p w14:paraId="2D727573"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(11)</w:t>
                  </w:r>
                </w:p>
              </w:tc>
              <w:tc>
                <w:tcPr>
                  <w:tcW w:w="0" w:type="auto"/>
                  <w:hideMark/>
                </w:tcPr>
                <w:p w14:paraId="1B107B32"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Prin urmare, având în vedere că motivele protecției temporare persistă, protecția temporară pentru categoriile de persoane strămutate menționate în Decizia de punere în aplicare (UE) 2022/382 ar trebui să fie prelungită până la 4 martie 2027.</w:t>
                  </w:r>
                </w:p>
              </w:tc>
            </w:tr>
          </w:tbl>
          <w:p w14:paraId="224410F3"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1583C586" w14:textId="77777777">
              <w:tc>
                <w:tcPr>
                  <w:tcW w:w="0" w:type="auto"/>
                  <w:hideMark/>
                </w:tcPr>
                <w:p w14:paraId="284AF27A"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(12)</w:t>
                  </w:r>
                </w:p>
              </w:tc>
              <w:tc>
                <w:tcPr>
                  <w:tcW w:w="0" w:type="auto"/>
                  <w:hideMark/>
                </w:tcPr>
                <w:p w14:paraId="5E44EEA3"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Prezenta decizie respectă drepturile fundamentale și principiile recunoscute de Carta drepturilor fundamentale a Uniunii Europene.</w:t>
                  </w:r>
                </w:p>
              </w:tc>
            </w:tr>
          </w:tbl>
          <w:p w14:paraId="7B3D6524"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17B719A5" w14:textId="77777777">
              <w:tc>
                <w:tcPr>
                  <w:tcW w:w="0" w:type="auto"/>
                  <w:hideMark/>
                </w:tcPr>
                <w:p w14:paraId="7D5E1082"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(13)</w:t>
                  </w:r>
                </w:p>
              </w:tc>
              <w:tc>
                <w:tcPr>
                  <w:tcW w:w="0" w:type="auto"/>
                  <w:hideMark/>
                </w:tcPr>
                <w:p w14:paraId="1CAC43F0"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Consiliul își reconfirmă angajamentul de a oferi sprijin Ucrainei și poporului acesteia atât timp cât este necesar și își reiterează sprijinul pentru o pace amplă, justă și durabilă, în baza principiilor Cartei ONU și a dreptului internațional, iar în cazul unei încetări durabile a focului, Consiliul este pregătit să acționeze în conformitate cu articolul 6 alineatul (1) litera (b) din Directiva 2001/55/CE.</w:t>
                  </w:r>
                </w:p>
              </w:tc>
            </w:tr>
          </w:tbl>
          <w:p w14:paraId="665F7F0B"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61B54690" w14:textId="77777777">
              <w:tc>
                <w:tcPr>
                  <w:tcW w:w="0" w:type="auto"/>
                  <w:hideMark/>
                </w:tcPr>
                <w:p w14:paraId="7899BA5C"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(14)</w:t>
                  </w:r>
                </w:p>
              </w:tc>
              <w:tc>
                <w:tcPr>
                  <w:tcW w:w="0" w:type="auto"/>
                  <w:hideMark/>
                </w:tcPr>
                <w:p w14:paraId="3C8F54CE"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Directiva 2001/55/CE este obligatorie pentru Irlanda și, prin urmare, Irlanda participă la adoptarea și la aplicarea prezentei decizii de punere în aplicare.</w:t>
                  </w:r>
                </w:p>
              </w:tc>
            </w:tr>
          </w:tbl>
          <w:p w14:paraId="0260F974" w14:textId="77777777" w:rsidR="00EC1242" w:rsidRPr="00EC1242" w:rsidRDefault="00EC1242" w:rsidP="00DE7614">
            <w:pPr>
              <w:pStyle w:val="ListParagraph"/>
              <w:numPr>
                <w:ilvl w:val="0"/>
                <w:numId w:val="1"/>
              </w:numPr>
              <w:ind w:left="84" w:firstLine="0"/>
              <w:jc w:val="both"/>
              <w:rPr>
                <w:rFonts w:eastAsia="Times New Roman" w:cs="Times New Roman"/>
                <w:vanish/>
                <w:kern w:val="0"/>
                <w:sz w:val="24"/>
                <w:szCs w:val="24"/>
                <w:lang w:val="ro-RO"/>
                <w14:ligatures w14:val="none"/>
              </w:rPr>
            </w:pPr>
          </w:p>
          <w:tbl>
            <w:tblPr>
              <w:tblW w:w="5000" w:type="pct"/>
              <w:tblCellMar>
                <w:left w:w="0" w:type="dxa"/>
                <w:right w:w="0" w:type="dxa"/>
              </w:tblCellMar>
              <w:tblLook w:val="04A0" w:firstRow="1" w:lastRow="0" w:firstColumn="1" w:lastColumn="0" w:noHBand="0" w:noVBand="1"/>
            </w:tblPr>
            <w:tblGrid>
              <w:gridCol w:w="484"/>
              <w:gridCol w:w="6298"/>
            </w:tblGrid>
            <w:tr w:rsidR="00EC1242" w:rsidRPr="003D18A4" w14:paraId="5FC396A5" w14:textId="77777777">
              <w:tc>
                <w:tcPr>
                  <w:tcW w:w="0" w:type="auto"/>
                  <w:hideMark/>
                </w:tcPr>
                <w:p w14:paraId="5D4E8346"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(15)</w:t>
                  </w:r>
                </w:p>
              </w:tc>
              <w:tc>
                <w:tcPr>
                  <w:tcW w:w="0" w:type="auto"/>
                  <w:hideMark/>
                </w:tcPr>
                <w:p w14:paraId="280EEDC0" w14:textId="77777777" w:rsidR="00EC1242" w:rsidRPr="00242069" w:rsidRDefault="00EC1242" w:rsidP="00DE7614">
                  <w:pPr>
                    <w:shd w:val="clear" w:color="auto" w:fill="FFFFFF"/>
                    <w:spacing w:after="0"/>
                    <w:ind w:left="84"/>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În conformitate cu articolele 1 și 2 din Protocolul nr. 22 privind poziția Danemarcei, anexat la Tratatul privind Uniunea Europeană și la Tratatul privind funcționarea Uniunii Europene, Danemarca nu participă la adoptarea prezentei decizii de punere în aplicare, aceasta nu este obligatorie pentru respectivul stat membru și nu i se aplică,</w:t>
                  </w:r>
                </w:p>
              </w:tc>
            </w:tr>
          </w:tbl>
          <w:p w14:paraId="131894C9" w14:textId="4F3733F9" w:rsidR="00B67598" w:rsidRPr="00242069" w:rsidRDefault="00B67598" w:rsidP="00DE7614">
            <w:pPr>
              <w:shd w:val="clear" w:color="auto" w:fill="FFFFFF"/>
              <w:ind w:left="84"/>
              <w:jc w:val="both"/>
              <w:rPr>
                <w:rFonts w:cs="Times New Roman"/>
                <w:bCs/>
                <w:noProof/>
                <w:sz w:val="24"/>
                <w:szCs w:val="24"/>
                <w:lang w:val="ro-RO"/>
              </w:rPr>
            </w:pPr>
            <w:r w:rsidRPr="00242069">
              <w:rPr>
                <w:rFonts w:cs="Times New Roman"/>
                <w:bCs/>
                <w:noProof/>
                <w:sz w:val="24"/>
                <w:szCs w:val="24"/>
                <w:lang w:val="ro-RO"/>
              </w:rPr>
              <w:t>ADOPTĂ PREZENTA DECIZIE:</w:t>
            </w:r>
          </w:p>
        </w:tc>
        <w:tc>
          <w:tcPr>
            <w:tcW w:w="2410" w:type="dxa"/>
          </w:tcPr>
          <w:p w14:paraId="31109FF0" w14:textId="77777777" w:rsidR="00B67598" w:rsidRPr="00242069" w:rsidRDefault="00B67598" w:rsidP="00DE7614">
            <w:pPr>
              <w:pStyle w:val="ListParagraph"/>
              <w:ind w:left="0"/>
              <w:jc w:val="both"/>
              <w:rPr>
                <w:rFonts w:cs="Times New Roman"/>
                <w:b/>
                <w:noProof/>
                <w:sz w:val="24"/>
                <w:szCs w:val="24"/>
                <w:lang w:val="ro-RO"/>
              </w:rPr>
            </w:pPr>
          </w:p>
          <w:p w14:paraId="65D48783" w14:textId="77777777" w:rsidR="00B67598" w:rsidRPr="00242069" w:rsidRDefault="00B67598" w:rsidP="00DE7614">
            <w:pPr>
              <w:pStyle w:val="ListParagraph"/>
              <w:ind w:left="0"/>
              <w:jc w:val="both"/>
              <w:rPr>
                <w:rFonts w:cs="Times New Roman"/>
                <w:b/>
                <w:noProof/>
                <w:sz w:val="24"/>
                <w:szCs w:val="24"/>
                <w:lang w:val="ro-RO"/>
              </w:rPr>
            </w:pPr>
          </w:p>
          <w:p w14:paraId="255F97D0" w14:textId="77777777" w:rsidR="00B67598" w:rsidRPr="00242069" w:rsidRDefault="00B67598" w:rsidP="00DE7614">
            <w:pPr>
              <w:pStyle w:val="ListParagraph"/>
              <w:ind w:left="0"/>
              <w:jc w:val="both"/>
              <w:rPr>
                <w:rFonts w:cs="Times New Roman"/>
                <w:b/>
                <w:noProof/>
                <w:sz w:val="24"/>
                <w:szCs w:val="24"/>
                <w:lang w:val="ro-RO"/>
              </w:rPr>
            </w:pPr>
          </w:p>
          <w:p w14:paraId="5F4FDDA1" w14:textId="77777777" w:rsidR="00B67598" w:rsidRPr="00242069" w:rsidRDefault="00B67598" w:rsidP="00DE7614">
            <w:pPr>
              <w:pStyle w:val="ListParagraph"/>
              <w:widowControl w:val="0"/>
              <w:tabs>
                <w:tab w:val="left" w:pos="967"/>
              </w:tabs>
              <w:autoSpaceDE w:val="0"/>
              <w:autoSpaceDN w:val="0"/>
              <w:ind w:left="543" w:right="130"/>
              <w:contextualSpacing w:val="0"/>
              <w:jc w:val="both"/>
              <w:rPr>
                <w:noProof/>
                <w:sz w:val="24"/>
                <w:szCs w:val="24"/>
                <w:lang w:val="ro-RO"/>
              </w:rPr>
            </w:pPr>
          </w:p>
          <w:p w14:paraId="15F645E1" w14:textId="77777777" w:rsidR="00B67598" w:rsidRPr="00242069" w:rsidRDefault="00B67598" w:rsidP="00DE7614">
            <w:pPr>
              <w:pStyle w:val="ListParagraph"/>
              <w:ind w:left="338"/>
              <w:jc w:val="both"/>
              <w:rPr>
                <w:rFonts w:cs="Times New Roman"/>
                <w:b/>
                <w:noProof/>
                <w:sz w:val="24"/>
                <w:szCs w:val="24"/>
                <w:lang w:val="ro-RO"/>
              </w:rPr>
            </w:pPr>
          </w:p>
        </w:tc>
        <w:tc>
          <w:tcPr>
            <w:tcW w:w="2552" w:type="dxa"/>
          </w:tcPr>
          <w:p w14:paraId="23E37ACB" w14:textId="77777777" w:rsidR="00B67598" w:rsidRPr="00242069" w:rsidRDefault="00B67598" w:rsidP="00DE7614">
            <w:pPr>
              <w:pStyle w:val="ListParagraph"/>
              <w:ind w:left="0"/>
              <w:jc w:val="both"/>
              <w:rPr>
                <w:rFonts w:cs="Times New Roman"/>
                <w:b/>
                <w:noProof/>
                <w:sz w:val="24"/>
                <w:szCs w:val="24"/>
                <w:lang w:val="ro-RO"/>
              </w:rPr>
            </w:pPr>
          </w:p>
          <w:p w14:paraId="7954ACD2" w14:textId="77777777" w:rsidR="00B67598" w:rsidRPr="00242069" w:rsidRDefault="00B67598" w:rsidP="00DE7614">
            <w:pPr>
              <w:pStyle w:val="ListParagraph"/>
              <w:ind w:left="0"/>
              <w:jc w:val="both"/>
              <w:rPr>
                <w:rFonts w:cs="Times New Roman"/>
                <w:b/>
                <w:noProof/>
                <w:sz w:val="24"/>
                <w:szCs w:val="24"/>
                <w:lang w:val="ro-RO"/>
              </w:rPr>
            </w:pPr>
          </w:p>
        </w:tc>
        <w:tc>
          <w:tcPr>
            <w:tcW w:w="2499" w:type="dxa"/>
          </w:tcPr>
          <w:p w14:paraId="43849E41" w14:textId="77777777" w:rsidR="00B67598" w:rsidRPr="00242069" w:rsidRDefault="00B67598" w:rsidP="00DE7614">
            <w:pPr>
              <w:pStyle w:val="ListParagraph"/>
              <w:ind w:left="0"/>
              <w:jc w:val="both"/>
              <w:rPr>
                <w:rFonts w:cs="Times New Roman"/>
                <w:bCs/>
                <w:noProof/>
                <w:sz w:val="24"/>
                <w:szCs w:val="24"/>
                <w:lang w:val="ro-RO"/>
              </w:rPr>
            </w:pPr>
          </w:p>
          <w:p w14:paraId="5B3F767F" w14:textId="77777777" w:rsidR="00B67598" w:rsidRPr="00242069" w:rsidRDefault="00B67598" w:rsidP="00DE7614">
            <w:pPr>
              <w:jc w:val="both"/>
              <w:rPr>
                <w:rFonts w:cs="Times New Roman"/>
                <w:b/>
                <w:noProof/>
                <w:sz w:val="24"/>
                <w:szCs w:val="24"/>
                <w:lang w:val="ro-RO"/>
              </w:rPr>
            </w:pPr>
          </w:p>
          <w:p w14:paraId="2CB1D75B" w14:textId="77777777" w:rsidR="00B67598" w:rsidRPr="00242069" w:rsidRDefault="00B67598" w:rsidP="00DE7614">
            <w:pPr>
              <w:jc w:val="both"/>
              <w:rPr>
                <w:rFonts w:cs="Times New Roman"/>
                <w:b/>
                <w:noProof/>
                <w:sz w:val="24"/>
                <w:szCs w:val="24"/>
                <w:lang w:val="ro-RO"/>
              </w:rPr>
            </w:pPr>
          </w:p>
          <w:p w14:paraId="3D9F8325" w14:textId="77777777" w:rsidR="00B67598" w:rsidRPr="00242069" w:rsidRDefault="00B67598" w:rsidP="00DE7614">
            <w:pPr>
              <w:jc w:val="both"/>
              <w:rPr>
                <w:rFonts w:cs="Times New Roman"/>
                <w:b/>
                <w:noProof/>
                <w:sz w:val="24"/>
                <w:szCs w:val="24"/>
                <w:lang w:val="ro-RO"/>
              </w:rPr>
            </w:pPr>
          </w:p>
          <w:p w14:paraId="0BB10AC0" w14:textId="77777777" w:rsidR="00B67598" w:rsidRPr="00242069" w:rsidRDefault="00B67598" w:rsidP="00DE7614">
            <w:pPr>
              <w:jc w:val="both"/>
              <w:rPr>
                <w:rFonts w:cs="Times New Roman"/>
                <w:b/>
                <w:noProof/>
                <w:sz w:val="24"/>
                <w:szCs w:val="24"/>
                <w:lang w:val="ro-RO"/>
              </w:rPr>
            </w:pPr>
          </w:p>
        </w:tc>
      </w:tr>
      <w:tr w:rsidR="00B67598" w:rsidRPr="003D18A4" w14:paraId="5B8856FC" w14:textId="77777777" w:rsidTr="008B4FCA">
        <w:tc>
          <w:tcPr>
            <w:tcW w:w="6998" w:type="dxa"/>
            <w:gridSpan w:val="2"/>
          </w:tcPr>
          <w:p w14:paraId="0C491331" w14:textId="41EE3E23" w:rsidR="00B67598" w:rsidRPr="00242069" w:rsidRDefault="00B67598" w:rsidP="00DE7614">
            <w:pPr>
              <w:jc w:val="center"/>
              <w:rPr>
                <w:rFonts w:eastAsia="Times New Roman" w:cs="Times New Roman"/>
                <w:b/>
                <w:bCs/>
                <w:i/>
                <w:iCs/>
                <w:kern w:val="0"/>
                <w:sz w:val="24"/>
                <w:szCs w:val="24"/>
                <w:lang w:val="ro-RO"/>
                <w14:ligatures w14:val="none"/>
              </w:rPr>
            </w:pPr>
            <w:r w:rsidRPr="00242069">
              <w:rPr>
                <w:rFonts w:eastAsia="Times New Roman" w:cs="Times New Roman"/>
                <w:b/>
                <w:bCs/>
                <w:i/>
                <w:iCs/>
                <w:kern w:val="0"/>
                <w:sz w:val="24"/>
                <w:szCs w:val="24"/>
                <w:shd w:val="clear" w:color="auto" w:fill="FFFFFF"/>
                <w:lang w:val="ro-RO"/>
                <w14:ligatures w14:val="none"/>
              </w:rPr>
              <w:lastRenderedPageBreak/>
              <w:t>Articolul  1</w:t>
            </w:r>
          </w:p>
          <w:p w14:paraId="0681CF61" w14:textId="77777777" w:rsidR="00B67598" w:rsidRPr="00242069" w:rsidRDefault="00B67598" w:rsidP="00DE7614">
            <w:pPr>
              <w:shd w:val="clear" w:color="auto" w:fill="FFFFFF"/>
              <w:jc w:val="both"/>
              <w:rPr>
                <w:rFonts w:eastAsia="Times New Roman" w:cs="Times New Roman"/>
                <w:kern w:val="0"/>
                <w:sz w:val="24"/>
                <w:szCs w:val="24"/>
                <w:lang w:val="ro-RO"/>
                <w14:ligatures w14:val="none"/>
              </w:rPr>
            </w:pPr>
          </w:p>
          <w:p w14:paraId="7973D242" w14:textId="3B98F1F8" w:rsidR="00B67598" w:rsidRPr="00242069" w:rsidRDefault="00EC1242" w:rsidP="00DE7614">
            <w:pPr>
              <w:shd w:val="clear" w:color="auto" w:fill="FFFFFF"/>
              <w:jc w:val="both"/>
              <w:rPr>
                <w:rFonts w:eastAsia="Times New Roman" w:cs="Times New Roman"/>
                <w:kern w:val="0"/>
                <w:sz w:val="24"/>
                <w:szCs w:val="24"/>
                <w:lang w:val="ro-RO"/>
                <w14:ligatures w14:val="none"/>
              </w:rPr>
            </w:pPr>
            <w:r w:rsidRPr="00242069">
              <w:rPr>
                <w:rFonts w:eastAsia="Times New Roman" w:cs="Times New Roman"/>
                <w:kern w:val="0"/>
                <w:sz w:val="24"/>
                <w:szCs w:val="24"/>
                <w:lang w:val="ro-RO"/>
                <w14:ligatures w14:val="none"/>
              </w:rPr>
              <w:t xml:space="preserve">Protecția temporară acordată persoanelor strămutate din Ucraina menționate la articolul 2 din Decizia de punere în aplicare (UE) 2022/382 și prelungită prin Deciziile de punere în aplicare </w:t>
            </w:r>
            <w:r w:rsidRPr="00242069">
              <w:rPr>
                <w:rFonts w:eastAsia="Times New Roman" w:cs="Times New Roman"/>
                <w:kern w:val="0"/>
                <w:sz w:val="24"/>
                <w:szCs w:val="24"/>
                <w:lang w:val="ro-RO"/>
                <w14:ligatures w14:val="none"/>
              </w:rPr>
              <w:lastRenderedPageBreak/>
              <w:t xml:space="preserve">(UE) 2023/2409 și (UE) 2024/1836 se prelungește cu o perioadă suplimentară de un an, până la </w:t>
            </w:r>
            <w:r w:rsidRPr="00242069">
              <w:rPr>
                <w:rFonts w:eastAsia="Times New Roman" w:cs="Times New Roman"/>
                <w:b/>
                <w:bCs/>
                <w:kern w:val="0"/>
                <w:sz w:val="24"/>
                <w:szCs w:val="24"/>
                <w:lang w:val="ro-RO"/>
                <w14:ligatures w14:val="none"/>
              </w:rPr>
              <w:t>4 martie 2027</w:t>
            </w:r>
            <w:r w:rsidRPr="00242069">
              <w:rPr>
                <w:rFonts w:eastAsia="Times New Roman" w:cs="Times New Roman"/>
                <w:kern w:val="0"/>
                <w:sz w:val="24"/>
                <w:szCs w:val="24"/>
                <w:lang w:val="ro-RO"/>
                <w14:ligatures w14:val="none"/>
              </w:rPr>
              <w:t>.</w:t>
            </w:r>
          </w:p>
          <w:p w14:paraId="6B5617D9" w14:textId="77777777" w:rsidR="00B67598" w:rsidRPr="00242069" w:rsidRDefault="00B67598" w:rsidP="00DE7614">
            <w:pPr>
              <w:pStyle w:val="ListParagraph"/>
              <w:ind w:left="0"/>
              <w:jc w:val="both"/>
              <w:rPr>
                <w:rFonts w:cs="Times New Roman"/>
                <w:b/>
                <w:noProof/>
                <w:sz w:val="24"/>
                <w:szCs w:val="24"/>
                <w:lang w:val="ro-RO"/>
              </w:rPr>
            </w:pPr>
          </w:p>
        </w:tc>
        <w:tc>
          <w:tcPr>
            <w:tcW w:w="2410" w:type="dxa"/>
          </w:tcPr>
          <w:p w14:paraId="4EA6AF28" w14:textId="3F3E4F62" w:rsidR="00B67598" w:rsidRDefault="00B67598" w:rsidP="00DE7614">
            <w:pPr>
              <w:jc w:val="both"/>
              <w:rPr>
                <w:sz w:val="24"/>
                <w:szCs w:val="24"/>
                <w:lang w:val="ro-RO"/>
              </w:rPr>
            </w:pPr>
            <w:r w:rsidRPr="00242069">
              <w:rPr>
                <w:rFonts w:cs="Times New Roman"/>
                <w:bCs/>
                <w:noProof/>
                <w:sz w:val="24"/>
                <w:szCs w:val="24"/>
                <w:lang w:val="ro-RO"/>
              </w:rPr>
              <w:lastRenderedPageBreak/>
              <w:t xml:space="preserve">Proiectul Hotărârii Guvernului cu privire la aprobarea modificarilor </w:t>
            </w:r>
            <w:r w:rsidRPr="00242069">
              <w:rPr>
                <w:noProof/>
                <w:sz w:val="24"/>
                <w:szCs w:val="24"/>
                <w:lang w:val="ro-RO"/>
              </w:rPr>
              <w:t xml:space="preserve">Hotărârii Guvernului nr. </w:t>
            </w:r>
            <w:r w:rsidRPr="00242069">
              <w:rPr>
                <w:sz w:val="24"/>
                <w:szCs w:val="24"/>
                <w:lang w:val="ro-RO"/>
              </w:rPr>
              <w:lastRenderedPageBreak/>
              <w:t xml:space="preserve">21/2023 privind acordarea protecției temporare persoanelor strămutate din </w:t>
            </w:r>
            <w:r w:rsidRPr="00242069">
              <w:rPr>
                <w:spacing w:val="-67"/>
                <w:sz w:val="24"/>
                <w:szCs w:val="24"/>
                <w:lang w:val="ro-RO"/>
              </w:rPr>
              <w:t xml:space="preserve"> </w:t>
            </w:r>
            <w:r w:rsidRPr="00242069">
              <w:rPr>
                <w:sz w:val="24"/>
                <w:szCs w:val="24"/>
                <w:lang w:val="ro-RO"/>
              </w:rPr>
              <w:t xml:space="preserve">Ucraina, </w:t>
            </w:r>
            <w:r w:rsidR="00E81B25">
              <w:rPr>
                <w:sz w:val="24"/>
                <w:szCs w:val="24"/>
                <w:lang w:val="ro-RO"/>
              </w:rPr>
              <w:t xml:space="preserve">pct. 1.3. </w:t>
            </w:r>
          </w:p>
          <w:p w14:paraId="60DDD2FF" w14:textId="7A32F945" w:rsidR="00B67598" w:rsidRPr="00E81B25" w:rsidRDefault="00E81B25" w:rsidP="00E81B25">
            <w:pPr>
              <w:tabs>
                <w:tab w:val="left" w:pos="1291"/>
              </w:tabs>
              <w:ind w:right="42"/>
              <w:jc w:val="both"/>
              <w:rPr>
                <w:rFonts w:cs="Times New Roman"/>
                <w:b/>
                <w:noProof/>
                <w:sz w:val="24"/>
                <w:szCs w:val="24"/>
                <w:lang w:val="ro-RO"/>
              </w:rPr>
            </w:pPr>
            <w:r w:rsidRPr="00E81B25">
              <w:rPr>
                <w:sz w:val="24"/>
                <w:szCs w:val="24"/>
                <w:lang w:val="en-US"/>
              </w:rPr>
              <w:t>„6.</w:t>
            </w:r>
            <w:r>
              <w:rPr>
                <w:sz w:val="24"/>
                <w:szCs w:val="24"/>
                <w:lang w:val="en-US"/>
              </w:rPr>
              <w:t xml:space="preserve"> </w:t>
            </w:r>
            <w:r w:rsidRPr="007E269E">
              <w:rPr>
                <w:sz w:val="24"/>
                <w:szCs w:val="24"/>
                <w:lang w:val="ro-RO"/>
              </w:rPr>
              <w:t>Protecția temporară pentru persoanele strămutate din Ucraina se acordă până la 1 martie 2027.”;</w:t>
            </w:r>
          </w:p>
        </w:tc>
        <w:tc>
          <w:tcPr>
            <w:tcW w:w="2552" w:type="dxa"/>
          </w:tcPr>
          <w:p w14:paraId="3D63A29E" w14:textId="77777777" w:rsidR="00B67598" w:rsidRPr="00242069" w:rsidRDefault="00B67598" w:rsidP="003B4E08">
            <w:pPr>
              <w:pStyle w:val="ListParagraph"/>
              <w:ind w:left="0"/>
              <w:jc w:val="center"/>
              <w:rPr>
                <w:rFonts w:cs="Times New Roman"/>
                <w:b/>
                <w:noProof/>
                <w:sz w:val="24"/>
                <w:szCs w:val="24"/>
                <w:lang w:val="ro-RO"/>
              </w:rPr>
            </w:pPr>
            <w:r w:rsidRPr="00242069">
              <w:rPr>
                <w:rFonts w:cs="Times New Roman"/>
                <w:b/>
                <w:noProof/>
                <w:sz w:val="24"/>
                <w:szCs w:val="24"/>
                <w:lang w:val="ro-RO"/>
              </w:rPr>
              <w:lastRenderedPageBreak/>
              <w:t>Compatibil</w:t>
            </w:r>
          </w:p>
          <w:p w14:paraId="32625B3F" w14:textId="77777777" w:rsidR="00B67598" w:rsidRPr="00242069" w:rsidRDefault="00B67598" w:rsidP="003B4E08">
            <w:pPr>
              <w:pStyle w:val="ListParagraph"/>
              <w:ind w:left="0"/>
              <w:jc w:val="center"/>
              <w:rPr>
                <w:rFonts w:cs="Times New Roman"/>
                <w:b/>
                <w:noProof/>
                <w:sz w:val="24"/>
                <w:szCs w:val="24"/>
                <w:lang w:val="ro-RO"/>
              </w:rPr>
            </w:pPr>
          </w:p>
          <w:p w14:paraId="38F46185" w14:textId="77777777" w:rsidR="00B67598" w:rsidRPr="00242069" w:rsidRDefault="00B67598" w:rsidP="003B4E08">
            <w:pPr>
              <w:jc w:val="center"/>
              <w:rPr>
                <w:rFonts w:cs="Times New Roman"/>
                <w:b/>
                <w:noProof/>
                <w:sz w:val="24"/>
                <w:szCs w:val="24"/>
                <w:lang w:val="ro-RO"/>
              </w:rPr>
            </w:pPr>
          </w:p>
        </w:tc>
        <w:tc>
          <w:tcPr>
            <w:tcW w:w="2499" w:type="dxa"/>
          </w:tcPr>
          <w:p w14:paraId="5A35C30B" w14:textId="5CCDCFC4" w:rsidR="00B67598" w:rsidRPr="003D18A4" w:rsidRDefault="003D18A4" w:rsidP="00DE7614">
            <w:pPr>
              <w:jc w:val="both"/>
              <w:rPr>
                <w:rFonts w:cs="Times New Roman"/>
                <w:bCs/>
                <w:noProof/>
                <w:sz w:val="24"/>
                <w:szCs w:val="24"/>
                <w:lang w:val="ro-RO"/>
              </w:rPr>
            </w:pPr>
            <w:r w:rsidRPr="003D18A4">
              <w:rPr>
                <w:rFonts w:cs="Times New Roman"/>
                <w:bCs/>
                <w:noProof/>
                <w:sz w:val="24"/>
                <w:szCs w:val="24"/>
                <w:lang w:val="ro-RO"/>
              </w:rPr>
              <w:t xml:space="preserve">Protecția temporară a fost instituită pentru prima dată în Republica Moldova la 1 martie 2023. Având în vedere </w:t>
            </w:r>
            <w:r w:rsidRPr="003D18A4">
              <w:rPr>
                <w:rFonts w:cs="Times New Roman"/>
                <w:bCs/>
                <w:noProof/>
                <w:sz w:val="24"/>
                <w:szCs w:val="24"/>
                <w:lang w:val="ro-RO"/>
              </w:rPr>
              <w:lastRenderedPageBreak/>
              <w:t>că Legea nr. 270/2008 privind azilul în Republica Moldova stipulează că p</w:t>
            </w:r>
            <w:r w:rsidRPr="003D18A4">
              <w:rPr>
                <w:rFonts w:cs="Times New Roman"/>
                <w:bCs/>
                <w:noProof/>
                <w:sz w:val="24"/>
                <w:szCs w:val="24"/>
                <w:lang w:val="ro-RO"/>
              </w:rPr>
              <w:t>rotecția temporară se acordă pe o perioadă de un an. În cazul în care motivele de protecție temporară persistă, Guvernul poate prelungi durata protecției temporare cu perioade de până la un an</w:t>
            </w:r>
            <w:r w:rsidRPr="003D18A4">
              <w:rPr>
                <w:rFonts w:cs="Times New Roman"/>
                <w:bCs/>
                <w:noProof/>
                <w:sz w:val="24"/>
                <w:szCs w:val="24"/>
                <w:lang w:val="ro-RO"/>
              </w:rPr>
              <w:t>. Respectiv, protecția temporară se prelungește până la 1 martie 2027.</w:t>
            </w:r>
          </w:p>
        </w:tc>
      </w:tr>
      <w:tr w:rsidR="00B67598" w:rsidRPr="00242069" w14:paraId="7EF94D3F" w14:textId="77777777" w:rsidTr="008B4FCA">
        <w:tc>
          <w:tcPr>
            <w:tcW w:w="6998" w:type="dxa"/>
            <w:gridSpan w:val="2"/>
          </w:tcPr>
          <w:p w14:paraId="5E86403D" w14:textId="73B95972" w:rsidR="00B67598" w:rsidRPr="00242069" w:rsidRDefault="00B67598" w:rsidP="00DE7614">
            <w:pPr>
              <w:pStyle w:val="Titrearticle"/>
              <w:spacing w:before="0" w:after="0"/>
              <w:rPr>
                <w:b/>
                <w:bCs/>
                <w:noProof/>
                <w:szCs w:val="24"/>
              </w:rPr>
            </w:pPr>
            <w:r w:rsidRPr="00242069">
              <w:rPr>
                <w:b/>
                <w:bCs/>
                <w:noProof/>
                <w:szCs w:val="24"/>
              </w:rPr>
              <w:t>Articol</w:t>
            </w:r>
            <w:r w:rsidR="00DE7614">
              <w:rPr>
                <w:b/>
                <w:bCs/>
                <w:noProof/>
                <w:szCs w:val="24"/>
              </w:rPr>
              <w:t xml:space="preserve">ul </w:t>
            </w:r>
            <w:r w:rsidRPr="00242069">
              <w:rPr>
                <w:b/>
                <w:bCs/>
                <w:noProof/>
                <w:szCs w:val="24"/>
              </w:rPr>
              <w:t>2</w:t>
            </w:r>
          </w:p>
          <w:p w14:paraId="4DC616D0" w14:textId="4368EC4C" w:rsidR="00B67598" w:rsidRPr="00242069" w:rsidRDefault="00EC1242" w:rsidP="00DE7614">
            <w:pPr>
              <w:jc w:val="both"/>
              <w:rPr>
                <w:rFonts w:eastAsia="Times New Roman" w:cs="Times New Roman"/>
                <w:kern w:val="0"/>
                <w:sz w:val="24"/>
                <w:szCs w:val="24"/>
                <w:shd w:val="clear" w:color="auto" w:fill="FFFFFF"/>
                <w:lang w:val="ro-RO"/>
                <w14:ligatures w14:val="none"/>
              </w:rPr>
            </w:pPr>
            <w:r w:rsidRPr="00242069">
              <w:rPr>
                <w:noProof/>
                <w:sz w:val="24"/>
                <w:szCs w:val="24"/>
                <w:lang w:val="ro-RO"/>
              </w:rPr>
              <w:t>Prezenta decizie intră în vigoare în a douăzecea zi de la data publicării în </w:t>
            </w:r>
            <w:r w:rsidRPr="00242069">
              <w:rPr>
                <w:i/>
                <w:iCs/>
                <w:noProof/>
                <w:sz w:val="24"/>
                <w:szCs w:val="24"/>
                <w:lang w:val="ro-RO"/>
              </w:rPr>
              <w:t>Jurnalul Oficial al Uniunii Europene</w:t>
            </w:r>
            <w:r w:rsidRPr="00242069">
              <w:rPr>
                <w:noProof/>
                <w:sz w:val="24"/>
                <w:szCs w:val="24"/>
                <w:lang w:val="ro-RO"/>
              </w:rPr>
              <w:t>.</w:t>
            </w:r>
          </w:p>
        </w:tc>
        <w:tc>
          <w:tcPr>
            <w:tcW w:w="2410" w:type="dxa"/>
          </w:tcPr>
          <w:p w14:paraId="436615E9" w14:textId="728EBD1D" w:rsidR="00B67598" w:rsidRPr="00242069" w:rsidRDefault="00B67598" w:rsidP="00DE7614">
            <w:pPr>
              <w:jc w:val="both"/>
              <w:rPr>
                <w:sz w:val="24"/>
                <w:szCs w:val="24"/>
                <w:lang w:val="ro-RO"/>
              </w:rPr>
            </w:pPr>
          </w:p>
        </w:tc>
        <w:tc>
          <w:tcPr>
            <w:tcW w:w="2552" w:type="dxa"/>
          </w:tcPr>
          <w:p w14:paraId="6F160747" w14:textId="5C4D3855" w:rsidR="00B67598" w:rsidRPr="00242069" w:rsidRDefault="00EC1242" w:rsidP="003B4E08">
            <w:pPr>
              <w:pStyle w:val="ListParagraph"/>
              <w:ind w:left="0"/>
              <w:jc w:val="center"/>
              <w:rPr>
                <w:rFonts w:cs="Times New Roman"/>
                <w:b/>
                <w:noProof/>
                <w:sz w:val="24"/>
                <w:szCs w:val="24"/>
                <w:lang w:val="ro-RO"/>
              </w:rPr>
            </w:pPr>
            <w:r w:rsidRPr="00242069">
              <w:rPr>
                <w:rFonts w:cs="Times New Roman"/>
                <w:b/>
                <w:noProof/>
                <w:sz w:val="24"/>
                <w:szCs w:val="24"/>
                <w:lang w:val="ro-RO"/>
              </w:rPr>
              <w:t>Normă UE neaplicabilă</w:t>
            </w:r>
          </w:p>
          <w:p w14:paraId="3E635826" w14:textId="77777777" w:rsidR="00B67598" w:rsidRPr="00242069" w:rsidRDefault="00B67598" w:rsidP="003B4E08">
            <w:pPr>
              <w:jc w:val="center"/>
              <w:rPr>
                <w:rFonts w:cs="Times New Roman"/>
                <w:b/>
                <w:noProof/>
                <w:sz w:val="24"/>
                <w:szCs w:val="24"/>
                <w:lang w:val="ro-RO"/>
              </w:rPr>
            </w:pPr>
          </w:p>
        </w:tc>
        <w:tc>
          <w:tcPr>
            <w:tcW w:w="2499" w:type="dxa"/>
          </w:tcPr>
          <w:p w14:paraId="5F8B52EE" w14:textId="3DDD9951" w:rsidR="00B67598" w:rsidRPr="00242069" w:rsidRDefault="00B67598" w:rsidP="00DE7614">
            <w:pPr>
              <w:jc w:val="both"/>
              <w:rPr>
                <w:rFonts w:cs="Times New Roman"/>
                <w:b/>
                <w:noProof/>
                <w:sz w:val="24"/>
                <w:szCs w:val="24"/>
                <w:lang w:val="ro-RO"/>
              </w:rPr>
            </w:pPr>
          </w:p>
        </w:tc>
      </w:tr>
    </w:tbl>
    <w:p w14:paraId="2EC1BD09" w14:textId="77777777" w:rsidR="000837AF" w:rsidRPr="00242069" w:rsidRDefault="000837AF" w:rsidP="00DE7614">
      <w:pPr>
        <w:spacing w:after="0"/>
        <w:jc w:val="both"/>
        <w:rPr>
          <w:lang w:val="ro-RO"/>
        </w:rPr>
      </w:pPr>
    </w:p>
    <w:sectPr w:rsidR="000837AF" w:rsidRPr="00242069" w:rsidSect="00D70410">
      <w:pgSz w:w="15840" w:h="12240" w:orient="landscape"/>
      <w:pgMar w:top="709" w:right="105" w:bottom="851"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3F04"/>
    <w:multiLevelType w:val="hybridMultilevel"/>
    <w:tmpl w:val="5F12A2A6"/>
    <w:lvl w:ilvl="0" w:tplc="F93E70E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40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38B"/>
    <w:rsid w:val="00047C6F"/>
    <w:rsid w:val="000837AF"/>
    <w:rsid w:val="001A71C0"/>
    <w:rsid w:val="00215AD1"/>
    <w:rsid w:val="0022550D"/>
    <w:rsid w:val="00242069"/>
    <w:rsid w:val="002747FC"/>
    <w:rsid w:val="002A3C6B"/>
    <w:rsid w:val="00332A28"/>
    <w:rsid w:val="00341ACA"/>
    <w:rsid w:val="00386D82"/>
    <w:rsid w:val="003B4E08"/>
    <w:rsid w:val="003D18A4"/>
    <w:rsid w:val="0043576B"/>
    <w:rsid w:val="004576AA"/>
    <w:rsid w:val="004B5657"/>
    <w:rsid w:val="00510BBC"/>
    <w:rsid w:val="00527E7B"/>
    <w:rsid w:val="005C2E85"/>
    <w:rsid w:val="005F68EE"/>
    <w:rsid w:val="005F6EEF"/>
    <w:rsid w:val="00697BF6"/>
    <w:rsid w:val="006B5D15"/>
    <w:rsid w:val="007239A0"/>
    <w:rsid w:val="007E269E"/>
    <w:rsid w:val="008B4FCA"/>
    <w:rsid w:val="008C4E0C"/>
    <w:rsid w:val="009C2D4B"/>
    <w:rsid w:val="009E08EA"/>
    <w:rsid w:val="009F41A3"/>
    <w:rsid w:val="00A74A01"/>
    <w:rsid w:val="00AC138B"/>
    <w:rsid w:val="00B67598"/>
    <w:rsid w:val="00B93E02"/>
    <w:rsid w:val="00BA3A77"/>
    <w:rsid w:val="00C544A9"/>
    <w:rsid w:val="00C84FF8"/>
    <w:rsid w:val="00CC0011"/>
    <w:rsid w:val="00D70410"/>
    <w:rsid w:val="00DE7614"/>
    <w:rsid w:val="00E40A8E"/>
    <w:rsid w:val="00E81B25"/>
    <w:rsid w:val="00EA0D07"/>
    <w:rsid w:val="00EB62EE"/>
    <w:rsid w:val="00EC1242"/>
    <w:rsid w:val="00ED04DC"/>
    <w:rsid w:val="00F01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58EC"/>
  <w15:chartTrackingRefBased/>
  <w15:docId w15:val="{B2ED8067-7E6E-4DDE-B7BC-EE0F6A50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8B"/>
    <w:pPr>
      <w:spacing w:line="240" w:lineRule="auto"/>
    </w:pPr>
    <w:rPr>
      <w:rFonts w:ascii="Times New Roman" w:hAnsi="Times New Roman"/>
      <w:sz w:val="28"/>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13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C138B"/>
    <w:pPr>
      <w:ind w:left="720"/>
      <w:contextualSpacing/>
    </w:pPr>
  </w:style>
  <w:style w:type="paragraph" w:styleId="BodyText">
    <w:name w:val="Body Text"/>
    <w:basedOn w:val="Normal"/>
    <w:link w:val="BodyTextChar"/>
    <w:uiPriority w:val="1"/>
    <w:qFormat/>
    <w:rsid w:val="00AC138B"/>
    <w:pPr>
      <w:widowControl w:val="0"/>
      <w:autoSpaceDE w:val="0"/>
      <w:autoSpaceDN w:val="0"/>
      <w:spacing w:after="0"/>
      <w:ind w:left="116" w:firstLine="427"/>
      <w:jc w:val="both"/>
    </w:pPr>
    <w:rPr>
      <w:rFonts w:eastAsia="Times New Roman" w:cs="Times New Roman"/>
      <w:kern w:val="0"/>
      <w:szCs w:val="28"/>
      <w:lang w:val="ro-RO"/>
      <w14:ligatures w14:val="none"/>
    </w:rPr>
  </w:style>
  <w:style w:type="character" w:customStyle="1" w:styleId="BodyTextChar">
    <w:name w:val="Body Text Char"/>
    <w:basedOn w:val="DefaultParagraphFont"/>
    <w:link w:val="BodyText"/>
    <w:uiPriority w:val="1"/>
    <w:rsid w:val="00AC138B"/>
    <w:rPr>
      <w:rFonts w:ascii="Times New Roman" w:eastAsia="Times New Roman" w:hAnsi="Times New Roman" w:cs="Times New Roman"/>
      <w:kern w:val="0"/>
      <w:sz w:val="28"/>
      <w:szCs w:val="28"/>
      <w:lang w:val="ro-RO"/>
      <w14:ligatures w14:val="none"/>
    </w:rPr>
  </w:style>
  <w:style w:type="paragraph" w:customStyle="1" w:styleId="Titrearticle">
    <w:name w:val="Titre article"/>
    <w:basedOn w:val="Normal"/>
    <w:next w:val="Normal"/>
    <w:rsid w:val="00341ACA"/>
    <w:pPr>
      <w:keepNext/>
      <w:spacing w:before="360" w:after="120"/>
      <w:jc w:val="center"/>
    </w:pPr>
    <w:rPr>
      <w:rFonts w:cs="Times New Roman"/>
      <w:i/>
      <w:kern w:val="0"/>
      <w:sz w:val="24"/>
      <w:lang w:val="ro-RO"/>
      <w14:ligatures w14:val="none"/>
    </w:rPr>
  </w:style>
  <w:style w:type="character" w:styleId="Hyperlink">
    <w:name w:val="Hyperlink"/>
    <w:basedOn w:val="DefaultParagraphFont"/>
    <w:uiPriority w:val="99"/>
    <w:unhideWhenUsed/>
    <w:rsid w:val="00697BF6"/>
    <w:rPr>
      <w:color w:val="0563C1" w:themeColor="hyperlink"/>
      <w:u w:val="single"/>
    </w:rPr>
  </w:style>
  <w:style w:type="character" w:styleId="UnresolvedMention">
    <w:name w:val="Unresolved Mention"/>
    <w:basedOn w:val="DefaultParagraphFont"/>
    <w:uiPriority w:val="99"/>
    <w:semiHidden/>
    <w:unhideWhenUsed/>
    <w:rsid w:val="00697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19610">
      <w:bodyDiv w:val="1"/>
      <w:marLeft w:val="0"/>
      <w:marRight w:val="0"/>
      <w:marTop w:val="0"/>
      <w:marBottom w:val="0"/>
      <w:divBdr>
        <w:top w:val="none" w:sz="0" w:space="0" w:color="auto"/>
        <w:left w:val="none" w:sz="0" w:space="0" w:color="auto"/>
        <w:bottom w:val="none" w:sz="0" w:space="0" w:color="auto"/>
        <w:right w:val="none" w:sz="0" w:space="0" w:color="auto"/>
      </w:divBdr>
      <w:divsChild>
        <w:div w:id="59795409">
          <w:marLeft w:val="0"/>
          <w:marRight w:val="0"/>
          <w:marTop w:val="0"/>
          <w:marBottom w:val="0"/>
          <w:divBdr>
            <w:top w:val="none" w:sz="0" w:space="0" w:color="auto"/>
            <w:left w:val="none" w:sz="0" w:space="0" w:color="auto"/>
            <w:bottom w:val="none" w:sz="0" w:space="0" w:color="auto"/>
            <w:right w:val="none" w:sz="0" w:space="0" w:color="auto"/>
          </w:divBdr>
        </w:div>
        <w:div w:id="1523472744">
          <w:marLeft w:val="0"/>
          <w:marRight w:val="0"/>
          <w:marTop w:val="0"/>
          <w:marBottom w:val="0"/>
          <w:divBdr>
            <w:top w:val="none" w:sz="0" w:space="0" w:color="auto"/>
            <w:left w:val="none" w:sz="0" w:space="0" w:color="auto"/>
            <w:bottom w:val="none" w:sz="0" w:space="0" w:color="auto"/>
            <w:right w:val="none" w:sz="0" w:space="0" w:color="auto"/>
          </w:divBdr>
        </w:div>
        <w:div w:id="222906758">
          <w:marLeft w:val="0"/>
          <w:marRight w:val="0"/>
          <w:marTop w:val="0"/>
          <w:marBottom w:val="0"/>
          <w:divBdr>
            <w:top w:val="none" w:sz="0" w:space="0" w:color="auto"/>
            <w:left w:val="none" w:sz="0" w:space="0" w:color="auto"/>
            <w:bottom w:val="none" w:sz="0" w:space="0" w:color="auto"/>
            <w:right w:val="none" w:sz="0" w:space="0" w:color="auto"/>
          </w:divBdr>
        </w:div>
        <w:div w:id="1007488364">
          <w:marLeft w:val="0"/>
          <w:marRight w:val="0"/>
          <w:marTop w:val="0"/>
          <w:marBottom w:val="0"/>
          <w:divBdr>
            <w:top w:val="none" w:sz="0" w:space="0" w:color="auto"/>
            <w:left w:val="none" w:sz="0" w:space="0" w:color="auto"/>
            <w:bottom w:val="none" w:sz="0" w:space="0" w:color="auto"/>
            <w:right w:val="none" w:sz="0" w:space="0" w:color="auto"/>
          </w:divBdr>
        </w:div>
        <w:div w:id="1896163599">
          <w:marLeft w:val="0"/>
          <w:marRight w:val="0"/>
          <w:marTop w:val="0"/>
          <w:marBottom w:val="0"/>
          <w:divBdr>
            <w:top w:val="none" w:sz="0" w:space="0" w:color="auto"/>
            <w:left w:val="none" w:sz="0" w:space="0" w:color="auto"/>
            <w:bottom w:val="none" w:sz="0" w:space="0" w:color="auto"/>
            <w:right w:val="none" w:sz="0" w:space="0" w:color="auto"/>
          </w:divBdr>
        </w:div>
        <w:div w:id="1022821958">
          <w:marLeft w:val="0"/>
          <w:marRight w:val="0"/>
          <w:marTop w:val="0"/>
          <w:marBottom w:val="0"/>
          <w:divBdr>
            <w:top w:val="none" w:sz="0" w:space="0" w:color="auto"/>
            <w:left w:val="none" w:sz="0" w:space="0" w:color="auto"/>
            <w:bottom w:val="none" w:sz="0" w:space="0" w:color="auto"/>
            <w:right w:val="none" w:sz="0" w:space="0" w:color="auto"/>
          </w:divBdr>
        </w:div>
        <w:div w:id="890917714">
          <w:marLeft w:val="0"/>
          <w:marRight w:val="0"/>
          <w:marTop w:val="0"/>
          <w:marBottom w:val="0"/>
          <w:divBdr>
            <w:top w:val="none" w:sz="0" w:space="0" w:color="auto"/>
            <w:left w:val="none" w:sz="0" w:space="0" w:color="auto"/>
            <w:bottom w:val="none" w:sz="0" w:space="0" w:color="auto"/>
            <w:right w:val="none" w:sz="0" w:space="0" w:color="auto"/>
          </w:divBdr>
        </w:div>
        <w:div w:id="1541238789">
          <w:marLeft w:val="0"/>
          <w:marRight w:val="0"/>
          <w:marTop w:val="0"/>
          <w:marBottom w:val="0"/>
          <w:divBdr>
            <w:top w:val="none" w:sz="0" w:space="0" w:color="auto"/>
            <w:left w:val="none" w:sz="0" w:space="0" w:color="auto"/>
            <w:bottom w:val="none" w:sz="0" w:space="0" w:color="auto"/>
            <w:right w:val="none" w:sz="0" w:space="0" w:color="auto"/>
          </w:divBdr>
          <w:divsChild>
            <w:div w:id="529488571">
              <w:marLeft w:val="0"/>
              <w:marRight w:val="0"/>
              <w:marTop w:val="0"/>
              <w:marBottom w:val="0"/>
              <w:divBdr>
                <w:top w:val="none" w:sz="0" w:space="0" w:color="auto"/>
                <w:left w:val="none" w:sz="0" w:space="0" w:color="auto"/>
                <w:bottom w:val="none" w:sz="0" w:space="0" w:color="auto"/>
                <w:right w:val="none" w:sz="0" w:space="0" w:color="auto"/>
              </w:divBdr>
            </w:div>
            <w:div w:id="260648091">
              <w:marLeft w:val="0"/>
              <w:marRight w:val="0"/>
              <w:marTop w:val="0"/>
              <w:marBottom w:val="0"/>
              <w:divBdr>
                <w:top w:val="none" w:sz="0" w:space="0" w:color="auto"/>
                <w:left w:val="none" w:sz="0" w:space="0" w:color="auto"/>
                <w:bottom w:val="none" w:sz="0" w:space="0" w:color="auto"/>
                <w:right w:val="none" w:sz="0" w:space="0" w:color="auto"/>
              </w:divBdr>
              <w:divsChild>
                <w:div w:id="17949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577">
          <w:marLeft w:val="0"/>
          <w:marRight w:val="0"/>
          <w:marTop w:val="0"/>
          <w:marBottom w:val="0"/>
          <w:divBdr>
            <w:top w:val="none" w:sz="0" w:space="0" w:color="auto"/>
            <w:left w:val="none" w:sz="0" w:space="0" w:color="auto"/>
            <w:bottom w:val="none" w:sz="0" w:space="0" w:color="auto"/>
            <w:right w:val="none" w:sz="0" w:space="0" w:color="auto"/>
          </w:divBdr>
        </w:div>
        <w:div w:id="530724783">
          <w:marLeft w:val="0"/>
          <w:marRight w:val="0"/>
          <w:marTop w:val="0"/>
          <w:marBottom w:val="0"/>
          <w:divBdr>
            <w:top w:val="none" w:sz="0" w:space="0" w:color="auto"/>
            <w:left w:val="none" w:sz="0" w:space="0" w:color="auto"/>
            <w:bottom w:val="none" w:sz="0" w:space="0" w:color="auto"/>
            <w:right w:val="none" w:sz="0" w:space="0" w:color="auto"/>
          </w:divBdr>
        </w:div>
        <w:div w:id="1123382821">
          <w:marLeft w:val="0"/>
          <w:marRight w:val="0"/>
          <w:marTop w:val="0"/>
          <w:marBottom w:val="0"/>
          <w:divBdr>
            <w:top w:val="none" w:sz="0" w:space="0" w:color="auto"/>
            <w:left w:val="none" w:sz="0" w:space="0" w:color="auto"/>
            <w:bottom w:val="none" w:sz="0" w:space="0" w:color="auto"/>
            <w:right w:val="none" w:sz="0" w:space="0" w:color="auto"/>
          </w:divBdr>
        </w:div>
        <w:div w:id="234321892">
          <w:marLeft w:val="0"/>
          <w:marRight w:val="0"/>
          <w:marTop w:val="0"/>
          <w:marBottom w:val="0"/>
          <w:divBdr>
            <w:top w:val="none" w:sz="0" w:space="0" w:color="auto"/>
            <w:left w:val="none" w:sz="0" w:space="0" w:color="auto"/>
            <w:bottom w:val="none" w:sz="0" w:space="0" w:color="auto"/>
            <w:right w:val="none" w:sz="0" w:space="0" w:color="auto"/>
          </w:divBdr>
        </w:div>
        <w:div w:id="339435308">
          <w:marLeft w:val="0"/>
          <w:marRight w:val="0"/>
          <w:marTop w:val="0"/>
          <w:marBottom w:val="0"/>
          <w:divBdr>
            <w:top w:val="none" w:sz="0" w:space="0" w:color="auto"/>
            <w:left w:val="none" w:sz="0" w:space="0" w:color="auto"/>
            <w:bottom w:val="none" w:sz="0" w:space="0" w:color="auto"/>
            <w:right w:val="none" w:sz="0" w:space="0" w:color="auto"/>
          </w:divBdr>
        </w:div>
        <w:div w:id="795291265">
          <w:marLeft w:val="0"/>
          <w:marRight w:val="0"/>
          <w:marTop w:val="0"/>
          <w:marBottom w:val="0"/>
          <w:divBdr>
            <w:top w:val="none" w:sz="0" w:space="0" w:color="auto"/>
            <w:left w:val="none" w:sz="0" w:space="0" w:color="auto"/>
            <w:bottom w:val="none" w:sz="0" w:space="0" w:color="auto"/>
            <w:right w:val="none" w:sz="0" w:space="0" w:color="auto"/>
          </w:divBdr>
        </w:div>
        <w:div w:id="450436405">
          <w:marLeft w:val="0"/>
          <w:marRight w:val="0"/>
          <w:marTop w:val="0"/>
          <w:marBottom w:val="0"/>
          <w:divBdr>
            <w:top w:val="none" w:sz="0" w:space="0" w:color="auto"/>
            <w:left w:val="none" w:sz="0" w:space="0" w:color="auto"/>
            <w:bottom w:val="none" w:sz="0" w:space="0" w:color="auto"/>
            <w:right w:val="none" w:sz="0" w:space="0" w:color="auto"/>
          </w:divBdr>
        </w:div>
        <w:div w:id="179242786">
          <w:marLeft w:val="0"/>
          <w:marRight w:val="0"/>
          <w:marTop w:val="0"/>
          <w:marBottom w:val="0"/>
          <w:divBdr>
            <w:top w:val="none" w:sz="0" w:space="0" w:color="auto"/>
            <w:left w:val="none" w:sz="0" w:space="0" w:color="auto"/>
            <w:bottom w:val="none" w:sz="0" w:space="0" w:color="auto"/>
            <w:right w:val="none" w:sz="0" w:space="0" w:color="auto"/>
          </w:divBdr>
        </w:div>
        <w:div w:id="205064999">
          <w:marLeft w:val="0"/>
          <w:marRight w:val="0"/>
          <w:marTop w:val="0"/>
          <w:marBottom w:val="0"/>
          <w:divBdr>
            <w:top w:val="none" w:sz="0" w:space="0" w:color="auto"/>
            <w:left w:val="none" w:sz="0" w:space="0" w:color="auto"/>
            <w:bottom w:val="none" w:sz="0" w:space="0" w:color="auto"/>
            <w:right w:val="none" w:sz="0" w:space="0" w:color="auto"/>
          </w:divBdr>
          <w:divsChild>
            <w:div w:id="709963495">
              <w:marLeft w:val="0"/>
              <w:marRight w:val="0"/>
              <w:marTop w:val="0"/>
              <w:marBottom w:val="0"/>
              <w:divBdr>
                <w:top w:val="none" w:sz="0" w:space="0" w:color="auto"/>
                <w:left w:val="none" w:sz="0" w:space="0" w:color="auto"/>
                <w:bottom w:val="none" w:sz="0" w:space="0" w:color="auto"/>
                <w:right w:val="none" w:sz="0" w:space="0" w:color="auto"/>
              </w:divBdr>
            </w:div>
            <w:div w:id="1023239142">
              <w:marLeft w:val="0"/>
              <w:marRight w:val="0"/>
              <w:marTop w:val="0"/>
              <w:marBottom w:val="0"/>
              <w:divBdr>
                <w:top w:val="none" w:sz="0" w:space="0" w:color="auto"/>
                <w:left w:val="none" w:sz="0" w:space="0" w:color="auto"/>
                <w:bottom w:val="none" w:sz="0" w:space="0" w:color="auto"/>
                <w:right w:val="none" w:sz="0" w:space="0" w:color="auto"/>
              </w:divBdr>
              <w:divsChild>
                <w:div w:id="18404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25D1460" TargetMode="External"/><Relationship Id="rId3" Type="http://schemas.openxmlformats.org/officeDocument/2006/relationships/settings" Target="settings.xml"/><Relationship Id="rId7" Type="http://schemas.openxmlformats.org/officeDocument/2006/relationships/hyperlink" Target="https://eur-lex.europa.eu/legal-content/RO/TXT/?uri=CELEX:32025D14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uri=CELEX:32025D1460" TargetMode="External"/><Relationship Id="rId11" Type="http://schemas.openxmlformats.org/officeDocument/2006/relationships/theme" Target="theme/theme1.xml"/><Relationship Id="rId5" Type="http://schemas.openxmlformats.org/officeDocument/2006/relationships/hyperlink" Target="https://eur-lex.europa.eu/legal-content/RO/TXT/?uri=CELEX:32025D146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RO/TXT/?uri=CELEX:32025D1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1545</Words>
  <Characters>8812</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Office1@mai.gov.md</cp:lastModifiedBy>
  <cp:revision>10</cp:revision>
  <dcterms:created xsi:type="dcterms:W3CDTF">2025-09-11T06:23:00Z</dcterms:created>
  <dcterms:modified xsi:type="dcterms:W3CDTF">2025-12-02T11:54:00Z</dcterms:modified>
</cp:coreProperties>
</file>