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570B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NOTA DE FUNDAMENTARE</w:t>
      </w:r>
    </w:p>
    <w:p w14:paraId="7525391A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 proiectul Hotărârii de Guvern pentru modificarea Hotărârii </w:t>
      </w:r>
      <w:r>
        <w:rPr>
          <w:b/>
          <w:color w:val="000000"/>
          <w:sz w:val="24"/>
          <w:szCs w:val="24"/>
        </w:rPr>
        <w:t>Guvernului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nr.196/2018 cu privire la organizarea și funcționarea Agenției Naționale pentru Cercetare și Dezvoltare</w:t>
      </w:r>
    </w:p>
    <w:p w14:paraId="300CA13E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</w:rPr>
      </w:pPr>
    </w:p>
    <w:tbl>
      <w:tblPr>
        <w:tblW w:w="9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109"/>
      </w:tblGrid>
      <w:tr w:rsidR="00BD4E8B" w14:paraId="65F7CD75" w14:textId="77777777" w:rsidTr="00077607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98AB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Denumirea sau numele autorului și, după caz, a/al participanților la elaborarea proiectului actului normativ</w:t>
            </w:r>
          </w:p>
        </w:tc>
      </w:tr>
      <w:tr w:rsidR="00BD4E8B" w14:paraId="6F3372A2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ECB9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Proiectul Hotărârii Guvernului pentru modificarea Hotărârii Guvernului nr. 196/2018 cu privire la organizarea și funcționarea Agenției Naționale pentru Cercetare și Dezvoltare este elaborat de Ministerul Educației și Cercetării.</w:t>
            </w:r>
          </w:p>
        </w:tc>
      </w:tr>
      <w:tr w:rsidR="00BD4E8B" w14:paraId="5919B32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B3C1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Condițiile ce au impus elaborarea proiectului actului normativ</w:t>
            </w:r>
          </w:p>
        </w:tc>
      </w:tr>
      <w:tr w:rsidR="00BD4E8B" w14:paraId="56D4521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AACD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Temeiul legal sau, după caz, sursa proiectului actului normativ</w:t>
            </w:r>
          </w:p>
        </w:tc>
      </w:tr>
      <w:tr w:rsidR="00BD4E8B" w14:paraId="503966F7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169E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conformitate cu art. 7 lit. b) din Legea nr. 136/2017 cu privire la Guvern, modul de organizare și funcționare, domeniile de activitate, structura și efectivul-limită ale ministerelor se stabilește de Guvern. Prin Hotărârea Guvernului nr. 284/2025 privind reglementarea modului de organizare și funcționare a autorităților administrației publice centrale de specialitate, Guvernul a aprobat noua Structură-tip a Regulamentului privind organizarea și funcționarea autorității administrative din subordinea ministerului.</w:t>
            </w:r>
          </w:p>
        </w:tc>
      </w:tr>
      <w:tr w:rsidR="00BD4E8B" w14:paraId="5CC016F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FB14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BD4E8B" w14:paraId="55A45CC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EBE0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prezent, modul de organizare și funcționarea a Agenției Naționale pentru Cercetare și Dezvoltare este prevăzut în Hotărârea Guvernului nr.196/2018.</w:t>
            </w:r>
          </w:p>
          <w:p w14:paraId="4C31BF6D" w14:textId="77777777" w:rsidR="00BD4E8B" w:rsidRDefault="00BD4E8B" w:rsidP="00077607">
            <w:pPr>
              <w:rPr>
                <w:sz w:val="24"/>
                <w:szCs w:val="24"/>
              </w:rPr>
            </w:pPr>
            <w:bookmarkStart w:id="0" w:name="_heading=h.etwyebuyfwsa" w:colFirst="0" w:colLast="0"/>
            <w:bookmarkEnd w:id="0"/>
            <w:r>
              <w:rPr>
                <w:sz w:val="24"/>
                <w:szCs w:val="24"/>
              </w:rPr>
              <w:t>Odată cu aprobarea Structurii-tip a Regulamentului privind organizarea și funcționarea autorității administrative din subordinea ministerului, prin Hotărârea Guvernului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nr.284/2025, a apărut necesitatea ajustării și a Regulamentului cu privire la organizarea și funcționarea Agenției Naționale pentru Cercetare și Dezvoltare, aprobat prin Hotărârea Guvernului nr.196/2018.</w:t>
            </w:r>
          </w:p>
          <w:p w14:paraId="2B898447" w14:textId="77777777" w:rsidR="00267008" w:rsidRDefault="00267008" w:rsidP="00077607">
            <w:pPr>
              <w:rPr>
                <w:sz w:val="24"/>
                <w:szCs w:val="24"/>
              </w:rPr>
            </w:pPr>
          </w:p>
        </w:tc>
      </w:tr>
      <w:tr w:rsidR="00BD4E8B" w14:paraId="2D3D6177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097A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Obiectivele urmărite și soluțiile propuse</w:t>
            </w:r>
          </w:p>
        </w:tc>
      </w:tr>
      <w:tr w:rsidR="00BD4E8B" w14:paraId="37E3616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4A86E8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0EB66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Principalele prevederi ale proiectului și evidențierea elementelor noi</w:t>
            </w:r>
          </w:p>
        </w:tc>
      </w:tr>
      <w:tr w:rsidR="00BD4E8B" w14:paraId="1B2B0C19" w14:textId="77777777" w:rsidTr="00077607">
        <w:tc>
          <w:tcPr>
            <w:tcW w:w="9109" w:type="dxa"/>
            <w:tcBorders>
              <w:top w:val="single" w:sz="8" w:space="0" w:color="4A86E8"/>
              <w:left w:val="single" w:sz="8" w:space="0" w:color="4A86E8"/>
              <w:bottom w:val="single" w:sz="8" w:space="0" w:color="4A86E8"/>
              <w:right w:val="single" w:sz="8" w:space="0" w:color="4A86E8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77FE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Proiectul prevede ajustarea Hotărârii Guvernului nr. 196/2018 cu privire la organizarea şi funcţionarea Agenției Naționale pentru Cercetare și Dezvoltare la Structura-tip a Regulamentului privind organizarea și funcționarea autorității administrative din subordinea ministerului, aprobată prin Hotărârea Guvernului nr.284/2025.</w:t>
            </w:r>
          </w:p>
          <w:p w14:paraId="1DD71621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Astfel proiectul prevede:</w:t>
            </w:r>
          </w:p>
          <w:p w14:paraId="5F78B512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1. aprobarea unui nou Regulament cu privire la organizarea şi funcţionarea Agenției Naționale pentru Cercetare și Dezvoltare;</w:t>
            </w:r>
          </w:p>
          <w:p w14:paraId="34C75F83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2. actualizarea structurii Agenției Naționale pentru Cercetare și Dezvoltare;</w:t>
            </w:r>
          </w:p>
          <w:p w14:paraId="5FA7F49D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3. abrogarea pct.7 sbp.3) din Hotărârea Guvernului nr. 196/2018, în condițiile în care competența de a aproba organigrama Agenției Naționale pentru Cercetare și Dezvoltare a trecut de la Guvern la conducătorul Agenției.</w:t>
            </w:r>
          </w:p>
          <w:p w14:paraId="49600493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 xml:space="preserve">Structura Agenției a fost suplimentată cu 3 subdiviziuni noi –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Serviciul  expertiză și evaluare a propunerilor de proiecte din domeniul cercetării și inovării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Serviciul suport în inovare și transfer tehnologic în cadrul Direcției proiecte investiționale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 și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Direcția digitalizare și management al datelor științifice</w:t>
            </w:r>
            <w:r w:rsidRPr="00387A84">
              <w:rPr>
                <w:color w:val="000000" w:themeColor="text1"/>
                <w:sz w:val="24"/>
                <w:szCs w:val="24"/>
              </w:rPr>
              <w:t>.</w:t>
            </w:r>
          </w:p>
          <w:p w14:paraId="039C5791" w14:textId="77777777" w:rsidR="00F94075" w:rsidRPr="00387A84" w:rsidRDefault="00F94075" w:rsidP="00032EB5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 xml:space="preserve">Totodată,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serviciul managementul documentelor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 se comasează cu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Serviciul juridic și resurse umane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 iar sudiviziunea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„cabinetul directorului general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 (cu statut de serviciu)” </w:t>
            </w:r>
            <w:r w:rsidRPr="006347FA">
              <w:rPr>
                <w:color w:val="000000" w:themeColor="text1"/>
                <w:sz w:val="24"/>
                <w:szCs w:val="24"/>
                <w:u w:val="single"/>
              </w:rPr>
              <w:t>se exclude din structura Agenției</w:t>
            </w:r>
            <w:r w:rsidRPr="00387A84">
              <w:rPr>
                <w:color w:val="000000" w:themeColor="text1"/>
                <w:sz w:val="24"/>
                <w:szCs w:val="24"/>
              </w:rPr>
              <w:t>, întrucât Structura-tip a autorității administrative din subordinea Ministerului aprobată prin Hotărârea Guvernului nr.284/2025 nu prevede o astfel de subdiviziune.</w:t>
            </w:r>
          </w:p>
          <w:p w14:paraId="1FD81930" w14:textId="77777777" w:rsidR="00BD4E8B" w:rsidRPr="00387A84" w:rsidRDefault="00BD4E8B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Menționăm că intervențiile propuse la Structura Agenției sunt determina</w:t>
            </w:r>
            <w:r w:rsidR="00032EB5" w:rsidRPr="00387A84">
              <w:rPr>
                <w:color w:val="000000" w:themeColor="text1"/>
                <w:sz w:val="24"/>
                <w:szCs w:val="24"/>
              </w:rPr>
              <w:t xml:space="preserve">te de </w:t>
            </w:r>
            <w:r w:rsidR="00C85006" w:rsidRPr="00387A84">
              <w:rPr>
                <w:color w:val="000000" w:themeColor="text1"/>
                <w:sz w:val="24"/>
                <w:szCs w:val="24"/>
              </w:rPr>
              <w:t xml:space="preserve">(i) </w:t>
            </w:r>
            <w:r w:rsidR="00032EB5" w:rsidRPr="00387A84">
              <w:rPr>
                <w:color w:val="000000" w:themeColor="text1"/>
                <w:sz w:val="24"/>
                <w:szCs w:val="24"/>
              </w:rPr>
              <w:t>necesitatea de delimitare</w:t>
            </w:r>
            <w:r w:rsidRPr="00387A84">
              <w:rPr>
                <w:color w:val="000000" w:themeColor="text1"/>
                <w:sz w:val="24"/>
                <w:szCs w:val="24"/>
              </w:rPr>
              <w:t xml:space="preserve"> expresă a activităților legate de expertizarea și evaluarea propunerilor de proiecte recepționate în cadrul concursurilor gestionate de cele 3 direcții </w:t>
            </w:r>
            <w:r w:rsidR="00032EB5" w:rsidRPr="00387A84">
              <w:rPr>
                <w:color w:val="000000" w:themeColor="text1"/>
                <w:sz w:val="24"/>
                <w:szCs w:val="24"/>
              </w:rPr>
              <w:t xml:space="preserve">de </w:t>
            </w:r>
            <w:r w:rsidR="00032EB5" w:rsidRPr="00387A84">
              <w:rPr>
                <w:color w:val="000000" w:themeColor="text1"/>
                <w:sz w:val="24"/>
                <w:szCs w:val="24"/>
              </w:rPr>
              <w:lastRenderedPageBreak/>
              <w:t xml:space="preserve">profil ale Agenției, </w:t>
            </w:r>
            <w:r w:rsidR="00D7454A" w:rsidRPr="00387A84">
              <w:rPr>
                <w:color w:val="000000" w:themeColor="text1"/>
                <w:sz w:val="24"/>
                <w:szCs w:val="24"/>
              </w:rPr>
              <w:t xml:space="preserve">(ii) </w:t>
            </w:r>
            <w:r w:rsidR="00C85006" w:rsidRPr="00387A84">
              <w:rPr>
                <w:color w:val="000000" w:themeColor="text1"/>
                <w:sz w:val="24"/>
                <w:szCs w:val="24"/>
              </w:rPr>
              <w:t>de o</w:t>
            </w:r>
            <w:r w:rsidRPr="00387A84">
              <w:rPr>
                <w:color w:val="000000" w:themeColor="text1"/>
                <w:sz w:val="24"/>
                <w:szCs w:val="24"/>
              </w:rPr>
              <w:t>biectivele de dezvoltare stabilite prin PNCI 2023-2027 și SMART Moldova 2024-2027 referitor la impulsionarea și sprijinirea colaborării dintre mediul academ</w:t>
            </w:r>
            <w:r w:rsidR="00D7454A" w:rsidRPr="00387A84">
              <w:rPr>
                <w:color w:val="000000" w:themeColor="text1"/>
                <w:sz w:val="24"/>
                <w:szCs w:val="24"/>
              </w:rPr>
              <w:t xml:space="preserve">ic și cel de afaceri, (iii) precum și </w:t>
            </w:r>
            <w:r w:rsidRPr="00387A84">
              <w:rPr>
                <w:color w:val="000000" w:themeColor="text1"/>
                <w:sz w:val="24"/>
                <w:szCs w:val="24"/>
              </w:rPr>
              <w:t>de acțiunile de implementare a proiectului de dezvoltare a învățământului superior și cercetării prin sprijinul Băncii Mondiale, privind digitalizarea și administrarea datelor științifice, precum și gestionarea acestora printr-un</w:t>
            </w:r>
            <w:r w:rsidR="00C85006" w:rsidRPr="00387A84">
              <w:rPr>
                <w:color w:val="000000" w:themeColor="text1"/>
                <w:sz w:val="24"/>
                <w:szCs w:val="24"/>
              </w:rPr>
              <w:t xml:space="preserve"> sistem național de cercetare.</w:t>
            </w:r>
          </w:p>
          <w:p w14:paraId="404B132A" w14:textId="77777777" w:rsidR="00BD4E8B" w:rsidRPr="00387A84" w:rsidRDefault="00C85006" w:rsidP="00077607">
            <w:pPr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Personalul din subdiviziunea</w:t>
            </w:r>
            <w:r w:rsidR="00BD4E8B" w:rsidRPr="00387A84">
              <w:rPr>
                <w:color w:val="000000" w:themeColor="text1"/>
                <w:sz w:val="24"/>
                <w:szCs w:val="24"/>
              </w:rPr>
              <w:t xml:space="preserve"> lichid</w:t>
            </w:r>
            <w:r w:rsidRPr="00387A84">
              <w:rPr>
                <w:color w:val="000000" w:themeColor="text1"/>
                <w:sz w:val="24"/>
                <w:szCs w:val="24"/>
              </w:rPr>
              <w:t>ată</w:t>
            </w:r>
            <w:r w:rsidR="00BD4E8B" w:rsidRPr="00387A84">
              <w:rPr>
                <w:color w:val="000000" w:themeColor="text1"/>
                <w:sz w:val="24"/>
                <w:szCs w:val="24"/>
              </w:rPr>
              <w:t xml:space="preserve"> va fi disponibilizat conform legislației muncii în cazul imposibilității transferului acestuia.</w:t>
            </w:r>
          </w:p>
        </w:tc>
      </w:tr>
      <w:tr w:rsidR="00BD4E8B" w14:paraId="76368180" w14:textId="77777777" w:rsidTr="00077607">
        <w:tc>
          <w:tcPr>
            <w:tcW w:w="9109" w:type="dxa"/>
            <w:tcBorders>
              <w:top w:val="single" w:sz="8" w:space="0" w:color="4A86E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ECC1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BD4E8B" w14:paraId="07F73E1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017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01D886B1" w14:textId="77777777" w:rsidTr="00077607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8426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Analiza impactului de reglementare </w:t>
            </w:r>
          </w:p>
        </w:tc>
      </w:tr>
      <w:tr w:rsidR="00BD4E8B" w14:paraId="12037827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E274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Impactul asupra sectorului public</w:t>
            </w:r>
          </w:p>
        </w:tc>
      </w:tr>
      <w:tr w:rsidR="00BD4E8B" w14:paraId="0BAADA67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2BE3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Proiectul va avea un impact pozitiv asupra sectorului public prin alinierea regulamentului de organizare și funcționare a Agenției Naționale pentru Cercetare și Dezvoltare la cadrul normativ general aprobat prin Hotărârea Guvernului nr. 284/2025.</w:t>
            </w:r>
          </w:p>
          <w:p w14:paraId="6F117463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Proiectul de Hotărâre precizează domeniile de activitate ale Agenției, funcțiile și drepturile Agenției precum și structura și modul de organizare a activității Agenției.</w:t>
            </w:r>
          </w:p>
        </w:tc>
      </w:tr>
      <w:tr w:rsidR="00BD4E8B" w14:paraId="123D35DE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4C34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Impactul financiar și argumentarea costurilor estimative</w:t>
            </w:r>
          </w:p>
        </w:tc>
      </w:tr>
      <w:tr w:rsidR="00BD4E8B" w14:paraId="4BD929DA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4A5B" w14:textId="0B51C684" w:rsidR="00BD4E8B" w:rsidRDefault="009D01F2" w:rsidP="00077607">
            <w:pPr>
              <w:rPr>
                <w:sz w:val="24"/>
                <w:szCs w:val="24"/>
              </w:rPr>
            </w:pPr>
            <w:r w:rsidRPr="00AA3F9F">
              <w:rPr>
                <w:sz w:val="24"/>
                <w:szCs w:val="24"/>
                <w:lang w:val="ro-RO"/>
              </w:rPr>
              <w:t>Implementarea prevederilor proiectului nu necesită careva cheltuieli suplimentare ce urmează a fi alocate de la bugetul de stat.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6347FA">
              <w:rPr>
                <w:sz w:val="24"/>
                <w:szCs w:val="24"/>
              </w:rPr>
              <w:t xml:space="preserve">Pentru anul 2025 la ANCD au fost aprobate cheltuieli pentru remunerarea muncii în sumă de 6653,5 mii lei, precizate – 6553,5 mii lei. Pe parcursul anului la modificările la legea bugetului de stat pentru anul 2025 nu au fost solicitări suplimentare de mijloace financiare necesare pentru retribuirea </w:t>
            </w:r>
            <w:r w:rsidR="00F43DDC">
              <w:rPr>
                <w:sz w:val="24"/>
                <w:szCs w:val="24"/>
              </w:rPr>
              <w:t>m</w:t>
            </w:r>
            <w:r w:rsidR="006347FA">
              <w:rPr>
                <w:sz w:val="24"/>
                <w:szCs w:val="24"/>
              </w:rPr>
              <w:t>u</w:t>
            </w:r>
            <w:r w:rsidR="00F43DDC">
              <w:rPr>
                <w:sz w:val="24"/>
                <w:szCs w:val="24"/>
              </w:rPr>
              <w:t>n</w:t>
            </w:r>
            <w:r w:rsidR="006347FA">
              <w:rPr>
                <w:sz w:val="24"/>
                <w:szCs w:val="24"/>
              </w:rPr>
              <w:t>cii.</w:t>
            </w:r>
            <w:r w:rsidR="009C46A6">
              <w:rPr>
                <w:sz w:val="24"/>
                <w:szCs w:val="24"/>
              </w:rPr>
              <w:t xml:space="preserve"> </w:t>
            </w:r>
            <w:r w:rsidR="009C46A6">
              <w:rPr>
                <w:sz w:val="24"/>
                <w:szCs w:val="24"/>
                <w:lang w:val="ro-RO"/>
              </w:rPr>
              <w:t>Pentru anul 2026, limitele de cheltuieli pentru remunerarea muncii</w:t>
            </w:r>
            <w:r w:rsidR="00F053A5">
              <w:rPr>
                <w:sz w:val="24"/>
                <w:szCs w:val="24"/>
                <w:lang w:val="ro-RO"/>
              </w:rPr>
              <w:t>, inclusiv contribuții,</w:t>
            </w:r>
            <w:r w:rsidR="009C46A6">
              <w:rPr>
                <w:sz w:val="24"/>
                <w:szCs w:val="24"/>
                <w:lang w:val="ro-RO"/>
              </w:rPr>
              <w:t xml:space="preserve"> constituie 6740,7 mii lei. </w:t>
            </w:r>
          </w:p>
          <w:p w14:paraId="5D59748D" w14:textId="2792A962" w:rsidR="00BD4E8B" w:rsidRPr="00757107" w:rsidRDefault="00BD4E8B" w:rsidP="00757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Precizăm că </w:t>
            </w:r>
            <w:r w:rsidR="00757107">
              <w:rPr>
                <w:color w:val="000000"/>
                <w:sz w:val="24"/>
                <w:szCs w:val="24"/>
              </w:rPr>
              <w:t xml:space="preserve">prin </w:t>
            </w:r>
            <w:r>
              <w:rPr>
                <w:color w:val="000000"/>
                <w:sz w:val="24"/>
                <w:szCs w:val="24"/>
              </w:rPr>
              <w:t xml:space="preserve">modificările în structura Agenției </w:t>
            </w:r>
            <w:r w:rsidR="00757107">
              <w:rPr>
                <w:color w:val="000000"/>
                <w:sz w:val="24"/>
                <w:szCs w:val="24"/>
              </w:rPr>
              <w:t>urmare a lichidării Cabinetului directorului general (1 unitate – 14790 lei lunar), Serviciului Audit intern (</w:t>
            </w:r>
            <w:r w:rsidR="00F053A5">
              <w:rPr>
                <w:color w:val="000000"/>
                <w:sz w:val="24"/>
                <w:szCs w:val="24"/>
              </w:rPr>
              <w:t>1</w:t>
            </w:r>
            <w:r w:rsidR="00757107">
              <w:rPr>
                <w:color w:val="000000"/>
                <w:sz w:val="24"/>
                <w:szCs w:val="24"/>
              </w:rPr>
              <w:t xml:space="preserve"> unitate – 11270 lei lunar), micșorării numărului de unități de la 9 la 5 în cadrul Direcției proiecte de cercetare (care generează o economie estimativă de 32435 lei lunar) se generează o economie totală de 58495 lei lunar. Prin reorganizarea Direcției managementului instituțional care include </w:t>
            </w:r>
            <w:r w:rsidR="00757107" w:rsidRPr="00757107">
              <w:rPr>
                <w:color w:val="000000"/>
                <w:sz w:val="24"/>
                <w:szCs w:val="24"/>
              </w:rPr>
              <w:t>Serviciul juridic și resurse umane, Serviciul managementul documentelor, Secția financiar-administrativă, Serviciul informare și comunicare cu mass-media, Serviciul tehnologiei informației și comunicațiilor</w:t>
            </w:r>
            <w:r w:rsidR="00757107">
              <w:rPr>
                <w:color w:val="000000"/>
                <w:sz w:val="24"/>
                <w:szCs w:val="24"/>
              </w:rPr>
              <w:t xml:space="preserve"> (cu 11 unități </w:t>
            </w:r>
            <w:r w:rsidR="00F053A5">
              <w:rPr>
                <w:color w:val="000000"/>
                <w:sz w:val="24"/>
                <w:szCs w:val="24"/>
              </w:rPr>
              <w:t>–</w:t>
            </w:r>
            <w:r w:rsidR="00757107">
              <w:rPr>
                <w:color w:val="000000"/>
                <w:sz w:val="24"/>
                <w:szCs w:val="24"/>
              </w:rPr>
              <w:t xml:space="preserve"> </w:t>
            </w:r>
            <w:r w:rsidR="00F053A5">
              <w:rPr>
                <w:color w:val="000000"/>
                <w:sz w:val="24"/>
                <w:szCs w:val="24"/>
              </w:rPr>
              <w:t>118395 lei lunar</w:t>
            </w:r>
            <w:r w:rsidR="00757107">
              <w:rPr>
                <w:color w:val="000000"/>
                <w:sz w:val="24"/>
                <w:szCs w:val="24"/>
              </w:rPr>
              <w:t xml:space="preserve">) în </w:t>
            </w:r>
            <w:r w:rsidR="00757107" w:rsidRPr="00757107">
              <w:rPr>
                <w:color w:val="000000"/>
                <w:sz w:val="24"/>
                <w:szCs w:val="24"/>
              </w:rPr>
              <w:t>Serviciul expertiză și evaluare a propunerilor de proiecte din domeniul cercetării și inovării, Serviciul juridic, resurse umane și  managementul documentelor</w:t>
            </w:r>
            <w:r w:rsidR="00757107">
              <w:rPr>
                <w:color w:val="000000"/>
                <w:sz w:val="24"/>
                <w:szCs w:val="24"/>
              </w:rPr>
              <w:t xml:space="preserve">, </w:t>
            </w:r>
            <w:r w:rsidR="00757107" w:rsidRPr="00757107">
              <w:rPr>
                <w:color w:val="000000"/>
                <w:sz w:val="24"/>
                <w:szCs w:val="24"/>
              </w:rPr>
              <w:t>Direcția digitalizare și management al datelor științifice cu Serviciul tehnologia informației și comunicațiilor</w:t>
            </w:r>
            <w:r w:rsidR="00F053A5">
              <w:rPr>
                <w:color w:val="000000"/>
                <w:sz w:val="24"/>
                <w:szCs w:val="24"/>
              </w:rPr>
              <w:t xml:space="preserve"> (cu 17 unități </w:t>
            </w:r>
            <w:r w:rsidR="00757107">
              <w:rPr>
                <w:color w:val="000000"/>
                <w:sz w:val="24"/>
                <w:szCs w:val="24"/>
              </w:rPr>
              <w:t xml:space="preserve"> </w:t>
            </w:r>
            <w:r w:rsidR="00F053A5">
              <w:rPr>
                <w:color w:val="000000"/>
                <w:sz w:val="24"/>
                <w:szCs w:val="24"/>
              </w:rPr>
              <w:t xml:space="preserve">- 176 380 lei lunar) </w:t>
            </w:r>
            <w:r>
              <w:rPr>
                <w:color w:val="000000"/>
                <w:sz w:val="24"/>
                <w:szCs w:val="24"/>
              </w:rPr>
              <w:t xml:space="preserve">vor fi </w:t>
            </w:r>
            <w:r w:rsidR="00F053A5">
              <w:rPr>
                <w:color w:val="000000"/>
                <w:sz w:val="24"/>
                <w:szCs w:val="24"/>
              </w:rPr>
              <w:t>necesare resurse suplimentare în valoare de 57986 lei lunar, care se încadrează</w:t>
            </w:r>
            <w:r>
              <w:rPr>
                <w:color w:val="000000"/>
                <w:sz w:val="24"/>
                <w:szCs w:val="24"/>
              </w:rPr>
              <w:t xml:space="preserve"> în limita efectivului-limită aprobat la moment, fapt pentru care cheltuieli suplimentare de personal nu </w:t>
            </w:r>
            <w:r w:rsidR="009C46A6">
              <w:rPr>
                <w:color w:val="000000"/>
                <w:sz w:val="24"/>
                <w:szCs w:val="24"/>
              </w:rPr>
              <w:t xml:space="preserve">se prevăd de a </w:t>
            </w:r>
            <w:r>
              <w:rPr>
                <w:color w:val="000000"/>
                <w:sz w:val="24"/>
                <w:szCs w:val="24"/>
              </w:rPr>
              <w:t>fi suportate.</w:t>
            </w:r>
            <w:r w:rsidR="00D70AEB">
              <w:rPr>
                <w:color w:val="000000"/>
                <w:sz w:val="24"/>
                <w:szCs w:val="24"/>
              </w:rPr>
              <w:t xml:space="preserve"> În cazul în care vor aparea careva cheltuieli neprevăzute pentru retribuirea muncii, la modificările la legea bugetului de stat vor fi propuse redistribuiri din contul economiilor ce vort fi create.</w:t>
            </w:r>
          </w:p>
        </w:tc>
      </w:tr>
      <w:tr w:rsidR="00BD4E8B" w14:paraId="33C850B1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67DC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Impactul asupra sectorului privat</w:t>
            </w:r>
          </w:p>
        </w:tc>
      </w:tr>
      <w:tr w:rsidR="00BD4E8B" w14:paraId="0C8F3FE6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741D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Proiectul de Hotărâre oferă claritate în structura Agenției, stabilește și delimitează atribuțiile acesteia, aspect care va determina o comunicare/colaborare mai eficientă între Agenție, pe de o parte și sectorul privat, societatea civilă și entitățile neguvernamentale, pe de altă parte.</w:t>
            </w:r>
          </w:p>
        </w:tc>
      </w:tr>
      <w:tr w:rsidR="00BD4E8B" w14:paraId="1C40270D" w14:textId="77777777" w:rsidTr="00077607">
        <w:trPr>
          <w:trHeight w:val="24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1958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Impactul social</w:t>
            </w:r>
          </w:p>
        </w:tc>
      </w:tr>
      <w:tr w:rsidR="00BD4E8B" w14:paraId="02DB997E" w14:textId="77777777" w:rsidTr="00077607">
        <w:trPr>
          <w:trHeight w:val="24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EEB8" w14:textId="77777777" w:rsidR="00BD4E8B" w:rsidRPr="00387A84" w:rsidRDefault="00BD4E8B" w:rsidP="00D7454A">
            <w:pPr>
              <w:ind w:firstLine="589"/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Proiectul Hotărârii de Guvern are un impact social pozitiv, prin contribuția sa la consolidarea capacității instituționale a Agenției în vederea oferirii serviciilor de calitate beneficiarilor ei.</w:t>
            </w:r>
          </w:p>
          <w:p w14:paraId="44A0F03F" w14:textId="77777777" w:rsidR="00BD4E8B" w:rsidRPr="00387A84" w:rsidRDefault="00BD4E8B" w:rsidP="00D7454A">
            <w:pPr>
              <w:ind w:firstLine="589"/>
              <w:rPr>
                <w:color w:val="000000" w:themeColor="text1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 xml:space="preserve">Modernizarea structurii interne și clarificarea funcțiilor vor permite o gestionare mai eficientă a programelor de finanțare și a proiectelor de cercetare, ceea ce va asigura o susținere </w:t>
            </w:r>
            <w:r w:rsidRPr="00387A84">
              <w:rPr>
                <w:color w:val="000000" w:themeColor="text1"/>
                <w:sz w:val="24"/>
                <w:szCs w:val="24"/>
              </w:rPr>
              <w:lastRenderedPageBreak/>
              <w:t>mai bună a comunității științifice și, implicit, o motivare sporită a cercetătorilor să se implice în activități de inovare și dezvoltare.</w:t>
            </w:r>
          </w:p>
          <w:p w14:paraId="6D2D6DD6" w14:textId="77777777" w:rsidR="00BD4E8B" w:rsidRDefault="00BD4E8B" w:rsidP="00D7454A">
            <w:pPr>
              <w:ind w:firstLine="589"/>
              <w:rPr>
                <w:color w:val="4A86E8"/>
                <w:sz w:val="24"/>
                <w:szCs w:val="24"/>
              </w:rPr>
            </w:pPr>
            <w:r w:rsidRPr="00387A84">
              <w:rPr>
                <w:color w:val="000000" w:themeColor="text1"/>
                <w:sz w:val="24"/>
                <w:szCs w:val="24"/>
              </w:rPr>
              <w:t>Totodată, eficientizarea proceselor administrative și îmbunătățirea managementului datelor științifice vor contribui la creșterea transparenței și a încrederii beneficiarilor în instituțiile publice de cercetare și inovare, aspect cu efecte pozitive asupra coeziunii și participării sociale în domeniul științei.</w:t>
            </w:r>
          </w:p>
        </w:tc>
      </w:tr>
      <w:tr w:rsidR="00BD4E8B" w14:paraId="27FFCE1A" w14:textId="77777777" w:rsidTr="00077607">
        <w:trPr>
          <w:trHeight w:val="276"/>
        </w:trPr>
        <w:tc>
          <w:tcPr>
            <w:tcW w:w="9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15DF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4.4.1. Impactul asupra datelor cu caracter personal</w:t>
            </w:r>
          </w:p>
        </w:tc>
      </w:tr>
      <w:tr w:rsidR="00BD4E8B" w14:paraId="60594FFE" w14:textId="77777777" w:rsidTr="00077607">
        <w:trPr>
          <w:trHeight w:val="276"/>
        </w:trPr>
        <w:tc>
          <w:tcPr>
            <w:tcW w:w="9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8DDE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155329F4" w14:textId="77777777" w:rsidTr="00077607">
        <w:trPr>
          <w:trHeight w:val="300"/>
        </w:trPr>
        <w:tc>
          <w:tcPr>
            <w:tcW w:w="9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B503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4.4.2. Impactul asupra echității și egalității de gen</w:t>
            </w:r>
          </w:p>
        </w:tc>
      </w:tr>
      <w:tr w:rsidR="00BD4E8B" w14:paraId="0AC3E5DA" w14:textId="77777777" w:rsidTr="00077607">
        <w:trPr>
          <w:trHeight w:val="300"/>
        </w:trPr>
        <w:tc>
          <w:tcPr>
            <w:tcW w:w="9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44C4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27781402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D16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Impactul asupra mediului</w:t>
            </w:r>
          </w:p>
        </w:tc>
      </w:tr>
      <w:tr w:rsidR="00BD4E8B" w14:paraId="71377E41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6159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2C7D0FA5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652B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Alte impacturi și informații relevante</w:t>
            </w:r>
          </w:p>
        </w:tc>
      </w:tr>
      <w:tr w:rsidR="00BD4E8B" w14:paraId="7AD0A766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EB81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39D593C6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F7B4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Compatibilitatea proiectului actului normativ cu legislația UE </w:t>
            </w:r>
          </w:p>
        </w:tc>
      </w:tr>
      <w:tr w:rsidR="00BD4E8B" w14:paraId="0DE2641C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F589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BD4E8B" w14:paraId="1B456B2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49C2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 este aplicabil.</w:t>
            </w:r>
          </w:p>
        </w:tc>
      </w:tr>
      <w:tr w:rsidR="00BD4E8B" w14:paraId="51E4677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4CB4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Măsuri normative care urmăresc crearea cadrului juridic intern necesar pentru implementarea legislației UE</w:t>
            </w:r>
          </w:p>
        </w:tc>
      </w:tr>
      <w:tr w:rsidR="00BD4E8B" w14:paraId="1FB86C92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098E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 este aplicabil. </w:t>
            </w:r>
          </w:p>
        </w:tc>
      </w:tr>
      <w:tr w:rsidR="00BD4E8B" w14:paraId="401C5C7E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AAB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Avizarea și consultarea publică a proiectului actului normativ</w:t>
            </w:r>
          </w:p>
        </w:tc>
      </w:tr>
      <w:tr w:rsidR="00BD4E8B" w14:paraId="23DA0E75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145C" w14:textId="77777777" w:rsidR="00BD4E8B" w:rsidRDefault="00BD4E8B" w:rsidP="00077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116" w:firstLine="6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În scopul respectării prevederilor Legii nr. 239/2008 privind transparența în procesul decizional, anunțul de inițiere a elaborării proiectului Hotărârii de Guvern a fost plasat pe pagina web oficială a Ministerului Educației și Cercetării </w:t>
            </w:r>
            <w:hyperlink r:id="rId6">
              <w:r>
                <w:rPr>
                  <w:color w:val="000000"/>
                  <w:sz w:val="24"/>
                  <w:szCs w:val="24"/>
                  <w:u w:val="single"/>
                </w:rPr>
                <w:t>www.mec.gov.md</w:t>
              </w:r>
            </w:hyperlink>
            <w:r>
              <w:rPr>
                <w:color w:val="000000"/>
                <w:sz w:val="24"/>
                <w:szCs w:val="24"/>
                <w:u w:val="single"/>
              </w:rPr>
              <w:t xml:space="preserve"> (https://mec.gov.md/ro/content/modul-de-participare)</w:t>
            </w:r>
            <w:r>
              <w:rPr>
                <w:color w:val="000000"/>
                <w:sz w:val="24"/>
                <w:szCs w:val="24"/>
              </w:rPr>
              <w:t xml:space="preserve">, compartimentul Transparența decizională, precum și pe pagina web </w:t>
            </w:r>
            <w:hyperlink r:id="rId7">
              <w:r>
                <w:rPr>
                  <w:color w:val="000000"/>
                  <w:sz w:val="24"/>
                  <w:szCs w:val="24"/>
                  <w:u w:val="single"/>
                </w:rPr>
                <w:t>www.particip.gov.md</w:t>
              </w:r>
            </w:hyperlink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https://particip.gov.md/ro/document/stages/ministerul-educatiei-si-cercetarii-anunta-despre-initierea-procesului-de-elaborare-a-proiectului-hotararii-guvernului-cu-privire-la-modificarea-regulamentului-privind-organizarea-si-functionarea-ministerului-educatiei-si-cercetarii-mec-si-a-regulamentelor-privind-organizarea-si-functionarea-autoritatilor-administrative-din-subordinrea-mec/15075</w:t>
            </w:r>
            <w:r>
              <w:rPr>
                <w:color w:val="000000"/>
              </w:rPr>
              <w:t xml:space="preserve">). </w:t>
            </w:r>
          </w:p>
          <w:p w14:paraId="12BAD069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Proiectul urmează a fi avizat la Cancelaria de Stat și Ministerul Finanțelor.</w:t>
            </w:r>
          </w:p>
        </w:tc>
      </w:tr>
      <w:tr w:rsidR="00BD4E8B" w14:paraId="0ACD8A12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6ED3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Concluziile expertizelor</w:t>
            </w:r>
          </w:p>
        </w:tc>
      </w:tr>
      <w:tr w:rsidR="00BD4E8B" w14:paraId="66F06B7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79EF" w14:textId="021B777B" w:rsidR="00BD4E8B" w:rsidRDefault="00FF1E4E" w:rsidP="000776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Proiectul </w:t>
            </w:r>
            <w:r w:rsidR="00BD4E8B">
              <w:rPr>
                <w:color w:val="000000"/>
                <w:sz w:val="24"/>
                <w:szCs w:val="24"/>
              </w:rPr>
              <w:t>Hotărârii de Guvern urmează a fi expertizat la Ministerul Justiției și Centrul Național Anticorupție.</w:t>
            </w:r>
          </w:p>
        </w:tc>
      </w:tr>
      <w:tr w:rsidR="00BD4E8B" w14:paraId="02C21D90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8892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Modul de încorporare a actului în cadrul normativ existent</w:t>
            </w:r>
          </w:p>
        </w:tc>
      </w:tr>
      <w:tr w:rsidR="00BD4E8B" w14:paraId="2959AE4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CC97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Aprobarea prezentului proiect nu va necesita modificarea sau aprobarea altor acte normative.</w:t>
            </w:r>
          </w:p>
        </w:tc>
      </w:tr>
      <w:tr w:rsidR="00BD4E8B" w14:paraId="0E54EC5D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8AAC" w14:textId="77777777" w:rsidR="00BD4E8B" w:rsidRDefault="00BD4E8B" w:rsidP="000776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Măsurile necesare pentru implementarea prevederilor proiectului actului normativ</w:t>
            </w:r>
          </w:p>
        </w:tc>
      </w:tr>
      <w:tr w:rsidR="00BD4E8B" w14:paraId="6D1373B4" w14:textId="77777777" w:rsidTr="00077607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5345" w14:textId="77777777" w:rsidR="00BD4E8B" w:rsidRDefault="00BD4E8B" w:rsidP="0007760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Pentru implementarea prevederilor proiectului actului normativ va fi necesară </w:t>
            </w:r>
            <w:r>
              <w:rPr>
                <w:sz w:val="24"/>
                <w:szCs w:val="24"/>
              </w:rPr>
              <w:t>elaborarea și aprobarea Ordinului cu privire la aprobarea organigramei Agenției Naționale pentru Cercetare și Dezvoltare.</w:t>
            </w:r>
          </w:p>
        </w:tc>
      </w:tr>
    </w:tbl>
    <w:p w14:paraId="1E4AA120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rPr>
          <w:sz w:val="24"/>
          <w:szCs w:val="24"/>
        </w:rPr>
      </w:pPr>
    </w:p>
    <w:p w14:paraId="30140F49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rPr>
          <w:sz w:val="24"/>
          <w:szCs w:val="24"/>
        </w:rPr>
      </w:pPr>
    </w:p>
    <w:p w14:paraId="0C9B2203" w14:textId="77777777" w:rsidR="00BD4E8B" w:rsidRDefault="00BD4E8B" w:rsidP="00BD4E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rPr>
          <w:sz w:val="24"/>
          <w:szCs w:val="24"/>
        </w:rPr>
      </w:pPr>
    </w:p>
    <w:p w14:paraId="317DE3C4" w14:textId="25EE8776" w:rsidR="00267008" w:rsidRPr="008029EA" w:rsidRDefault="00ED2137" w:rsidP="008029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96"/>
        </w:tabs>
        <w:ind w:right="28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Ministru</w:t>
      </w:r>
      <w:r w:rsidR="00BD4E8B">
        <w:rPr>
          <w:b/>
          <w:sz w:val="24"/>
          <w:szCs w:val="24"/>
        </w:rPr>
        <w:tab/>
      </w:r>
      <w:r w:rsidR="00BD4E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1" w:name="_GoBack"/>
      <w:bookmarkEnd w:id="1"/>
      <w:r w:rsidR="00BD4E8B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Dan PERCIUN</w:t>
      </w:r>
    </w:p>
    <w:p w14:paraId="4597A7A6" w14:textId="7D18DE0E" w:rsidR="00267008" w:rsidRDefault="00267008" w:rsidP="00BD4E8B">
      <w:pPr>
        <w:ind w:firstLine="0"/>
      </w:pPr>
    </w:p>
    <w:p w14:paraId="3E0BACEE" w14:textId="77777777" w:rsidR="00D746EE" w:rsidRDefault="00D746EE" w:rsidP="00BD4E8B">
      <w:pPr>
        <w:ind w:firstLine="0"/>
      </w:pPr>
    </w:p>
    <w:p w14:paraId="66077627" w14:textId="77777777" w:rsidR="00BD4E8B" w:rsidRDefault="00BD4E8B" w:rsidP="00BD4E8B">
      <w:pPr>
        <w:ind w:firstLine="0"/>
      </w:pPr>
    </w:p>
    <w:p w14:paraId="474C90C2" w14:textId="77777777" w:rsidR="00BD4E8B" w:rsidRDefault="00BD4E8B" w:rsidP="00BD4E8B">
      <w:pPr>
        <w:ind w:firstLine="0"/>
      </w:pPr>
    </w:p>
    <w:p w14:paraId="5F5A2D1B" w14:textId="77777777" w:rsidR="00BD4E8B" w:rsidRPr="00D746EE" w:rsidRDefault="00BD4E8B" w:rsidP="00BD4E8B">
      <w:pPr>
        <w:ind w:firstLine="0"/>
        <w:rPr>
          <w:sz w:val="16"/>
          <w:szCs w:val="16"/>
        </w:rPr>
      </w:pPr>
      <w:r w:rsidRPr="00D746EE">
        <w:rPr>
          <w:sz w:val="16"/>
          <w:szCs w:val="16"/>
        </w:rPr>
        <w:t>Ex. Vasile Secrieru, consultant juridic</w:t>
      </w:r>
    </w:p>
    <w:p w14:paraId="21813B5A" w14:textId="77777777" w:rsidR="00C46F9A" w:rsidRPr="00D746EE" w:rsidRDefault="00BD4E8B" w:rsidP="002024A0">
      <w:pPr>
        <w:ind w:firstLine="0"/>
        <w:rPr>
          <w:sz w:val="16"/>
          <w:szCs w:val="16"/>
        </w:rPr>
      </w:pPr>
      <w:r w:rsidRPr="00D746EE">
        <w:rPr>
          <w:sz w:val="16"/>
          <w:szCs w:val="16"/>
        </w:rPr>
        <w:t>Tel. 068269785</w:t>
      </w:r>
    </w:p>
    <w:sectPr w:rsidR="00C46F9A" w:rsidRPr="00D746EE" w:rsidSect="00D746EE">
      <w:footerReference w:type="default" r:id="rId8"/>
      <w:headerReference w:type="first" r:id="rId9"/>
      <w:footerReference w:type="first" r:id="rId10"/>
      <w:pgSz w:w="11907" w:h="16840"/>
      <w:pgMar w:top="851" w:right="567" w:bottom="993" w:left="1985" w:header="709" w:footer="2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1C594" w14:textId="77777777" w:rsidR="00C24E29" w:rsidRDefault="00C24E29">
      <w:r>
        <w:separator/>
      </w:r>
    </w:p>
  </w:endnote>
  <w:endnote w:type="continuationSeparator" w:id="0">
    <w:p w14:paraId="79004C71" w14:textId="77777777" w:rsidR="00C24E29" w:rsidRDefault="00C2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90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F3C66C" w14:textId="58AD464A" w:rsidR="00D746EE" w:rsidRDefault="00D746EE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1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 xml:space="preserve">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1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155C3" w14:textId="77777777" w:rsidR="00D746EE" w:rsidRDefault="00D746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353450"/>
      <w:docPartObj>
        <w:docPartGallery w:val="Page Numbers (Bottom of Page)"/>
        <w:docPartUnique/>
      </w:docPartObj>
    </w:sdtPr>
    <w:sdtEndPr/>
    <w:sdtContent>
      <w:sdt>
        <w:sdtPr>
          <w:id w:val="1413362989"/>
          <w:docPartObj>
            <w:docPartGallery w:val="Page Numbers (Top of Page)"/>
            <w:docPartUnique/>
          </w:docPartObj>
        </w:sdtPr>
        <w:sdtEndPr/>
        <w:sdtContent>
          <w:p w14:paraId="7773B300" w14:textId="67FA00B7" w:rsidR="00D746EE" w:rsidRDefault="00D746EE">
            <w:pPr>
              <w:pStyle w:val="a5"/>
              <w:jc w:val="right"/>
            </w:pPr>
            <w:r>
              <w:t>Pagina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1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 xml:space="preserve"> </w:t>
            </w:r>
            <w:r>
              <w:t>din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213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EEA00" w14:textId="77777777" w:rsidR="00D746EE" w:rsidRDefault="00D746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6E17" w14:textId="77777777" w:rsidR="00C24E29" w:rsidRDefault="00C24E29">
      <w:r>
        <w:separator/>
      </w:r>
    </w:p>
  </w:footnote>
  <w:footnote w:type="continuationSeparator" w:id="0">
    <w:p w14:paraId="5DDC0044" w14:textId="77777777" w:rsidR="00C24E29" w:rsidRDefault="00C2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8BF2F" w14:textId="77777777" w:rsidR="00F6505B" w:rsidRDefault="00F650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A"/>
    <w:rsid w:val="00032EB5"/>
    <w:rsid w:val="002024A0"/>
    <w:rsid w:val="00232CDF"/>
    <w:rsid w:val="00267008"/>
    <w:rsid w:val="00304694"/>
    <w:rsid w:val="00387A84"/>
    <w:rsid w:val="00396DD5"/>
    <w:rsid w:val="005B1DED"/>
    <w:rsid w:val="006347FA"/>
    <w:rsid w:val="006649A8"/>
    <w:rsid w:val="00757107"/>
    <w:rsid w:val="007B230A"/>
    <w:rsid w:val="007E082F"/>
    <w:rsid w:val="008029EA"/>
    <w:rsid w:val="00854807"/>
    <w:rsid w:val="009C46A6"/>
    <w:rsid w:val="009D01F2"/>
    <w:rsid w:val="00AC65FE"/>
    <w:rsid w:val="00AE37CA"/>
    <w:rsid w:val="00BD4E8B"/>
    <w:rsid w:val="00C24E29"/>
    <w:rsid w:val="00C46F9A"/>
    <w:rsid w:val="00C85006"/>
    <w:rsid w:val="00D70AEB"/>
    <w:rsid w:val="00D7454A"/>
    <w:rsid w:val="00D746EE"/>
    <w:rsid w:val="00D842A0"/>
    <w:rsid w:val="00DB4710"/>
    <w:rsid w:val="00ED2137"/>
    <w:rsid w:val="00EF187D"/>
    <w:rsid w:val="00F053A5"/>
    <w:rsid w:val="00F43DDC"/>
    <w:rsid w:val="00F6505B"/>
    <w:rsid w:val="00F94075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21B0E"/>
  <w15:chartTrackingRefBased/>
  <w15:docId w15:val="{3CFC4131-7E7C-4FDE-B48F-B885607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4E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E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a5">
    <w:name w:val="footer"/>
    <w:basedOn w:val="a"/>
    <w:link w:val="a6"/>
    <w:uiPriority w:val="99"/>
    <w:unhideWhenUsed/>
    <w:rsid w:val="00D74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EE"/>
    <w:rPr>
      <w:rFonts w:ascii="Times New Roman" w:eastAsia="Times New Roman" w:hAnsi="Times New Roman" w:cs="Times New Roman"/>
      <w:sz w:val="20"/>
      <w:szCs w:val="20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articip.gov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gov.m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1566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2025-10-31T13:08:00Z</dcterms:created>
  <dcterms:modified xsi:type="dcterms:W3CDTF">2025-12-06T19:21:00Z</dcterms:modified>
</cp:coreProperties>
</file>