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4FF" w:rsidRPr="00C4754A" w:rsidRDefault="00BB3AA2" w:rsidP="00A137EF">
      <w:pPr>
        <w:spacing w:after="0" w:line="240" w:lineRule="auto"/>
        <w:jc w:val="center"/>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NOTA DE FUNDAMENTARE</w:t>
      </w:r>
    </w:p>
    <w:p w:rsidR="00C264FF" w:rsidRDefault="00BB3AA2">
      <w:pPr>
        <w:pBdr>
          <w:top w:val="nil"/>
          <w:left w:val="nil"/>
          <w:bottom w:val="nil"/>
          <w:right w:val="nil"/>
          <w:between w:val="nil"/>
        </w:pBdr>
        <w:spacing w:after="0" w:line="240" w:lineRule="auto"/>
        <w:ind w:right="141"/>
        <w:jc w:val="center"/>
        <w:rPr>
          <w:rFonts w:ascii="Times New Roman" w:eastAsia="Times New Roman" w:hAnsi="Times New Roman" w:cs="Times New Roman"/>
          <w:b/>
          <w:color w:val="000000"/>
          <w:sz w:val="24"/>
          <w:szCs w:val="24"/>
          <w:lang w:val="ro-MD"/>
        </w:rPr>
      </w:pPr>
      <w:r w:rsidRPr="00C4754A">
        <w:rPr>
          <w:rFonts w:ascii="Times New Roman" w:eastAsia="Times New Roman" w:hAnsi="Times New Roman" w:cs="Times New Roman"/>
          <w:b/>
          <w:color w:val="000000"/>
          <w:sz w:val="24"/>
          <w:szCs w:val="24"/>
          <w:lang w:val="ro-MD"/>
        </w:rPr>
        <w:t>la proiectul Hotărârii Guvernului pentru modificarea Hotărâr</w:t>
      </w:r>
      <w:r w:rsidR="002E389C">
        <w:rPr>
          <w:rFonts w:ascii="Times New Roman" w:eastAsia="Times New Roman" w:hAnsi="Times New Roman" w:cs="Times New Roman"/>
          <w:b/>
          <w:color w:val="000000"/>
          <w:sz w:val="24"/>
          <w:szCs w:val="24"/>
          <w:lang w:val="ro-MD"/>
        </w:rPr>
        <w:t>ii</w:t>
      </w:r>
      <w:r w:rsidRPr="00C4754A">
        <w:rPr>
          <w:rFonts w:ascii="Times New Roman" w:eastAsia="Times New Roman" w:hAnsi="Times New Roman" w:cs="Times New Roman"/>
          <w:b/>
          <w:color w:val="000000"/>
          <w:sz w:val="24"/>
          <w:szCs w:val="24"/>
          <w:lang w:val="ro-MD"/>
        </w:rPr>
        <w:t xml:space="preserve"> Guvernului nr.868/2014 privind </w:t>
      </w:r>
      <w:proofErr w:type="spellStart"/>
      <w:r w:rsidRPr="00C4754A">
        <w:rPr>
          <w:rFonts w:ascii="Times New Roman" w:eastAsia="Times New Roman" w:hAnsi="Times New Roman" w:cs="Times New Roman"/>
          <w:b/>
          <w:color w:val="000000"/>
          <w:sz w:val="24"/>
          <w:szCs w:val="24"/>
          <w:lang w:val="ro-MD"/>
        </w:rPr>
        <w:t>finanţarea</w:t>
      </w:r>
      <w:proofErr w:type="spellEnd"/>
      <w:r w:rsidRPr="00C4754A">
        <w:rPr>
          <w:rFonts w:ascii="Times New Roman" w:eastAsia="Times New Roman" w:hAnsi="Times New Roman" w:cs="Times New Roman"/>
          <w:b/>
          <w:color w:val="000000"/>
          <w:sz w:val="24"/>
          <w:szCs w:val="24"/>
          <w:lang w:val="ro-MD"/>
        </w:rPr>
        <w:t xml:space="preserve"> în bază de cost standard per elev a instituțiilor de învățământ primar </w:t>
      </w:r>
      <w:proofErr w:type="spellStart"/>
      <w:r w:rsidRPr="00C4754A">
        <w:rPr>
          <w:rFonts w:ascii="Times New Roman" w:eastAsia="Times New Roman" w:hAnsi="Times New Roman" w:cs="Times New Roman"/>
          <w:b/>
          <w:color w:val="000000"/>
          <w:sz w:val="24"/>
          <w:szCs w:val="24"/>
          <w:lang w:val="ro-MD"/>
        </w:rPr>
        <w:t>şi</w:t>
      </w:r>
      <w:proofErr w:type="spellEnd"/>
      <w:r w:rsidRPr="00C4754A">
        <w:rPr>
          <w:rFonts w:ascii="Times New Roman" w:eastAsia="Times New Roman" w:hAnsi="Times New Roman" w:cs="Times New Roman"/>
          <w:b/>
          <w:color w:val="000000"/>
          <w:sz w:val="24"/>
          <w:szCs w:val="24"/>
          <w:lang w:val="ro-MD"/>
        </w:rPr>
        <w:t xml:space="preserve"> secundar </w:t>
      </w:r>
      <w:r w:rsidR="007D54C5">
        <w:rPr>
          <w:rFonts w:ascii="Times New Roman" w:eastAsia="Times New Roman" w:hAnsi="Times New Roman" w:cs="Times New Roman"/>
          <w:b/>
          <w:color w:val="000000"/>
          <w:sz w:val="24"/>
          <w:szCs w:val="24"/>
          <w:lang w:val="ro-MD"/>
        </w:rPr>
        <w:t>(ciclul I și II)</w:t>
      </w:r>
      <w:r w:rsidRPr="00C4754A">
        <w:rPr>
          <w:rFonts w:ascii="Times New Roman" w:eastAsia="Times New Roman" w:hAnsi="Times New Roman" w:cs="Times New Roman"/>
          <w:b/>
          <w:color w:val="000000"/>
          <w:sz w:val="24"/>
          <w:szCs w:val="24"/>
          <w:lang w:val="ro-MD"/>
        </w:rPr>
        <w:t xml:space="preserve"> din subordinea </w:t>
      </w:r>
      <w:proofErr w:type="spellStart"/>
      <w:r w:rsidRPr="00C4754A">
        <w:rPr>
          <w:rFonts w:ascii="Times New Roman" w:eastAsia="Times New Roman" w:hAnsi="Times New Roman" w:cs="Times New Roman"/>
          <w:b/>
          <w:color w:val="000000"/>
          <w:sz w:val="24"/>
          <w:szCs w:val="24"/>
          <w:lang w:val="ro-MD"/>
        </w:rPr>
        <w:t>autorităţilor</w:t>
      </w:r>
      <w:proofErr w:type="spellEnd"/>
      <w:r w:rsidRPr="00C4754A">
        <w:rPr>
          <w:rFonts w:ascii="Times New Roman" w:eastAsia="Times New Roman" w:hAnsi="Times New Roman" w:cs="Times New Roman"/>
          <w:b/>
          <w:color w:val="000000"/>
          <w:sz w:val="24"/>
          <w:szCs w:val="24"/>
          <w:lang w:val="ro-MD"/>
        </w:rPr>
        <w:t xml:space="preserve"> publice locale de nivelul al doilea </w:t>
      </w:r>
    </w:p>
    <w:p w:rsidR="00C264FF" w:rsidRPr="00C4754A" w:rsidRDefault="00C264FF">
      <w:pPr>
        <w:spacing w:after="0" w:line="240" w:lineRule="auto"/>
        <w:ind w:right="141"/>
        <w:jc w:val="both"/>
        <w:rPr>
          <w:rFonts w:ascii="Times New Roman" w:eastAsia="Times New Roman" w:hAnsi="Times New Roman" w:cs="Times New Roman"/>
          <w:b/>
          <w:color w:val="000000"/>
          <w:sz w:val="24"/>
          <w:szCs w:val="24"/>
          <w:highlight w:val="yellow"/>
          <w:lang w:val="ro-MD"/>
        </w:rPr>
      </w:pPr>
    </w:p>
    <w:tbl>
      <w:tblPr>
        <w:tblStyle w:val="a"/>
        <w:tblW w:w="9781" w:type="dxa"/>
        <w:tblInd w:w="-147" w:type="dxa"/>
        <w:tblLayout w:type="fixed"/>
        <w:tblLook w:val="0000" w:firstRow="0" w:lastRow="0" w:firstColumn="0" w:lastColumn="0" w:noHBand="0" w:noVBand="0"/>
      </w:tblPr>
      <w:tblGrid>
        <w:gridCol w:w="9781"/>
      </w:tblGrid>
      <w:tr w:rsidR="00C264FF" w:rsidRPr="00F8231E" w:rsidTr="00142E43">
        <w:trPr>
          <w:trHeight w:val="194"/>
        </w:trPr>
        <w:tc>
          <w:tcPr>
            <w:tcW w:w="9781"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F8231E" w:rsidRDefault="00BB3AA2" w:rsidP="00F8231E">
            <w:pPr>
              <w:spacing w:before="120" w:line="240" w:lineRule="auto"/>
              <w:ind w:right="141"/>
              <w:rPr>
                <w:rFonts w:ascii="Times New Roman" w:eastAsia="Times New Roman" w:hAnsi="Times New Roman" w:cs="Times New Roman"/>
                <w:sz w:val="24"/>
                <w:szCs w:val="24"/>
                <w:highlight w:val="yellow"/>
                <w:lang w:val="ro-MD"/>
              </w:rPr>
            </w:pPr>
            <w:r w:rsidRPr="00F8231E">
              <w:rPr>
                <w:rFonts w:ascii="Times New Roman" w:eastAsia="Times New Roman" w:hAnsi="Times New Roman" w:cs="Times New Roman"/>
                <w:b/>
                <w:sz w:val="24"/>
                <w:szCs w:val="24"/>
                <w:lang w:val="ro-MD"/>
              </w:rPr>
              <w:t>1. Denumirea sau numele autorului și, după caz, a/al participanților la elaborarea proiectului actului normativ</w:t>
            </w:r>
          </w:p>
        </w:tc>
      </w:tr>
      <w:tr w:rsidR="00C264FF" w:rsidRPr="00F8231E" w:rsidTr="00142E43">
        <w:trPr>
          <w:trHeight w:val="1"/>
        </w:trPr>
        <w:tc>
          <w:tcPr>
            <w:tcW w:w="9781" w:type="dxa"/>
            <w:tcBorders>
              <w:top w:val="single" w:sz="4" w:space="0" w:color="000000"/>
              <w:left w:val="single" w:sz="4" w:space="0" w:color="000000"/>
              <w:bottom w:val="single" w:sz="4" w:space="0" w:color="000000"/>
              <w:right w:val="single" w:sz="4" w:space="0" w:color="000000"/>
            </w:tcBorders>
            <w:shd w:val="clear" w:color="auto" w:fill="FFFFFF"/>
          </w:tcPr>
          <w:p w:rsidR="00C264FF" w:rsidRPr="00F8231E" w:rsidRDefault="00BB3AA2" w:rsidP="002E389C">
            <w:pPr>
              <w:pBdr>
                <w:top w:val="nil"/>
                <w:left w:val="nil"/>
                <w:bottom w:val="nil"/>
                <w:right w:val="nil"/>
                <w:between w:val="nil"/>
              </w:pBdr>
              <w:spacing w:before="120" w:line="240" w:lineRule="auto"/>
              <w:ind w:right="142" w:firstLine="272"/>
              <w:jc w:val="both"/>
              <w:rPr>
                <w:rFonts w:ascii="Times New Roman" w:eastAsia="Times New Roman" w:hAnsi="Times New Roman" w:cs="Times New Roman"/>
                <w:color w:val="000000"/>
                <w:sz w:val="24"/>
                <w:szCs w:val="24"/>
                <w:highlight w:val="yellow"/>
                <w:lang w:val="ro-MD"/>
              </w:rPr>
            </w:pPr>
            <w:r w:rsidRPr="00F8231E">
              <w:rPr>
                <w:rFonts w:ascii="Times New Roman" w:eastAsia="Times New Roman" w:hAnsi="Times New Roman" w:cs="Times New Roman"/>
                <w:color w:val="000000"/>
                <w:sz w:val="24"/>
                <w:szCs w:val="24"/>
                <w:lang w:val="ro-MD"/>
              </w:rPr>
              <w:t>Prezentul proiect de Hotărâre de Guvern pentru modificarea Hotărâr</w:t>
            </w:r>
            <w:r w:rsidR="002E389C">
              <w:rPr>
                <w:rFonts w:ascii="Times New Roman" w:eastAsia="Times New Roman" w:hAnsi="Times New Roman" w:cs="Times New Roman"/>
                <w:color w:val="000000"/>
                <w:sz w:val="24"/>
                <w:szCs w:val="24"/>
                <w:lang w:val="ro-MD"/>
              </w:rPr>
              <w:t>ii</w:t>
            </w:r>
            <w:r w:rsidRPr="00F8231E">
              <w:rPr>
                <w:rFonts w:ascii="Times New Roman" w:eastAsia="Times New Roman" w:hAnsi="Times New Roman" w:cs="Times New Roman"/>
                <w:color w:val="000000"/>
                <w:sz w:val="24"/>
                <w:szCs w:val="24"/>
                <w:lang w:val="ro-MD"/>
              </w:rPr>
              <w:t xml:space="preserve"> Guvernului nr.868/2014 privind </w:t>
            </w:r>
            <w:proofErr w:type="spellStart"/>
            <w:r w:rsidRPr="00F8231E">
              <w:rPr>
                <w:rFonts w:ascii="Times New Roman" w:eastAsia="Times New Roman" w:hAnsi="Times New Roman" w:cs="Times New Roman"/>
                <w:color w:val="000000"/>
                <w:sz w:val="24"/>
                <w:szCs w:val="24"/>
                <w:lang w:val="ro-MD"/>
              </w:rPr>
              <w:t>finanţarea</w:t>
            </w:r>
            <w:proofErr w:type="spellEnd"/>
            <w:r w:rsidRPr="00F8231E">
              <w:rPr>
                <w:rFonts w:ascii="Times New Roman" w:eastAsia="Times New Roman" w:hAnsi="Times New Roman" w:cs="Times New Roman"/>
                <w:color w:val="000000"/>
                <w:sz w:val="24"/>
                <w:szCs w:val="24"/>
                <w:lang w:val="ro-MD"/>
              </w:rPr>
              <w:t xml:space="preserve"> în bază de cost standard per elev a instituțiilor de învățământ primar </w:t>
            </w:r>
            <w:proofErr w:type="spellStart"/>
            <w:r w:rsidRPr="00F8231E">
              <w:rPr>
                <w:rFonts w:ascii="Times New Roman" w:eastAsia="Times New Roman" w:hAnsi="Times New Roman" w:cs="Times New Roman"/>
                <w:color w:val="000000"/>
                <w:sz w:val="24"/>
                <w:szCs w:val="24"/>
                <w:lang w:val="ro-MD"/>
              </w:rPr>
              <w:t>şi</w:t>
            </w:r>
            <w:proofErr w:type="spellEnd"/>
            <w:r w:rsidRPr="00F8231E">
              <w:rPr>
                <w:rFonts w:ascii="Times New Roman" w:eastAsia="Times New Roman" w:hAnsi="Times New Roman" w:cs="Times New Roman"/>
                <w:color w:val="000000"/>
                <w:sz w:val="24"/>
                <w:szCs w:val="24"/>
                <w:lang w:val="ro-MD"/>
              </w:rPr>
              <w:t xml:space="preserve"> secundar </w:t>
            </w:r>
            <w:r w:rsidR="007D54C5" w:rsidRPr="00F8231E">
              <w:rPr>
                <w:rFonts w:ascii="Times New Roman" w:eastAsia="Times New Roman" w:hAnsi="Times New Roman" w:cs="Times New Roman"/>
                <w:color w:val="000000"/>
                <w:sz w:val="24"/>
                <w:szCs w:val="24"/>
                <w:lang w:val="ro-MD"/>
              </w:rPr>
              <w:t>(ciclul I și II)</w:t>
            </w:r>
            <w:r w:rsidRPr="00F8231E">
              <w:rPr>
                <w:rFonts w:ascii="Times New Roman" w:eastAsia="Times New Roman" w:hAnsi="Times New Roman" w:cs="Times New Roman"/>
                <w:color w:val="000000"/>
                <w:sz w:val="24"/>
                <w:szCs w:val="24"/>
                <w:lang w:val="ro-MD"/>
              </w:rPr>
              <w:t xml:space="preserve"> din subordinea </w:t>
            </w:r>
            <w:proofErr w:type="spellStart"/>
            <w:r w:rsidRPr="00F8231E">
              <w:rPr>
                <w:rFonts w:ascii="Times New Roman" w:eastAsia="Times New Roman" w:hAnsi="Times New Roman" w:cs="Times New Roman"/>
                <w:color w:val="000000"/>
                <w:sz w:val="24"/>
                <w:szCs w:val="24"/>
                <w:lang w:val="ro-MD"/>
              </w:rPr>
              <w:t>autorităţilor</w:t>
            </w:r>
            <w:proofErr w:type="spellEnd"/>
            <w:r w:rsidRPr="00F8231E">
              <w:rPr>
                <w:rFonts w:ascii="Times New Roman" w:eastAsia="Times New Roman" w:hAnsi="Times New Roman" w:cs="Times New Roman"/>
                <w:color w:val="000000"/>
                <w:sz w:val="24"/>
                <w:szCs w:val="24"/>
                <w:lang w:val="ro-MD"/>
              </w:rPr>
              <w:t xml:space="preserve"> publice locale de nivelul al doilea este elaborat de către Ministerul Educației și Cercetării.</w:t>
            </w:r>
          </w:p>
        </w:tc>
      </w:tr>
      <w:tr w:rsidR="00C264FF" w:rsidRPr="00F8231E" w:rsidTr="00142E43">
        <w:trPr>
          <w:trHeight w:val="132"/>
        </w:trPr>
        <w:tc>
          <w:tcPr>
            <w:tcW w:w="9781"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F8231E" w:rsidRDefault="00BB3AA2" w:rsidP="00F8231E">
            <w:pPr>
              <w:tabs>
                <w:tab w:val="left" w:pos="884"/>
                <w:tab w:val="left" w:pos="1196"/>
              </w:tabs>
              <w:spacing w:before="120" w:line="240" w:lineRule="auto"/>
              <w:ind w:right="141"/>
              <w:jc w:val="both"/>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t>2. Condițiile ce au impus elaborarea proiectului actului normativ</w:t>
            </w:r>
          </w:p>
        </w:tc>
      </w:tr>
      <w:tr w:rsidR="00C264FF" w:rsidRPr="00F8231E" w:rsidTr="00142E43">
        <w:trPr>
          <w:trHeight w:val="132"/>
        </w:trPr>
        <w:tc>
          <w:tcPr>
            <w:tcW w:w="978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C264FF" w:rsidRPr="00F8231E" w:rsidRDefault="00BB3AA2" w:rsidP="00F8231E">
            <w:pPr>
              <w:tabs>
                <w:tab w:val="left" w:pos="884"/>
                <w:tab w:val="left" w:pos="1196"/>
              </w:tabs>
              <w:spacing w:before="120" w:line="240" w:lineRule="auto"/>
              <w:ind w:right="141"/>
              <w:jc w:val="both"/>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t>2.1. Temeiul legal sau, după caz, sursa proiectului actului normativ</w:t>
            </w:r>
          </w:p>
        </w:tc>
      </w:tr>
      <w:tr w:rsidR="00C264FF" w:rsidRPr="00F8231E" w:rsidTr="00142E43">
        <w:trPr>
          <w:trHeight w:val="132"/>
        </w:trPr>
        <w:tc>
          <w:tcPr>
            <w:tcW w:w="9781" w:type="dxa"/>
            <w:tcBorders>
              <w:top w:val="single" w:sz="4" w:space="0" w:color="000000"/>
              <w:left w:val="single" w:sz="4" w:space="0" w:color="000000"/>
              <w:bottom w:val="single" w:sz="4" w:space="0" w:color="000000"/>
              <w:right w:val="single" w:sz="4" w:space="0" w:color="000000"/>
            </w:tcBorders>
            <w:vAlign w:val="center"/>
          </w:tcPr>
          <w:p w:rsidR="002F1B0A" w:rsidRPr="002E389C" w:rsidRDefault="002F1B0A" w:rsidP="00F8231E">
            <w:pPr>
              <w:spacing w:before="120" w:line="240" w:lineRule="auto"/>
              <w:jc w:val="both"/>
              <w:rPr>
                <w:rFonts w:ascii="Times New Roman" w:eastAsia="Times New Roman" w:hAnsi="Times New Roman" w:cs="Times New Roman"/>
                <w:sz w:val="24"/>
                <w:szCs w:val="24"/>
                <w:lang w:val="ro-MD"/>
              </w:rPr>
            </w:pPr>
            <w:r w:rsidRPr="002E389C">
              <w:rPr>
                <w:rFonts w:ascii="Times New Roman" w:eastAsia="Times New Roman" w:hAnsi="Times New Roman" w:cs="Times New Roman"/>
                <w:sz w:val="24"/>
                <w:szCs w:val="24"/>
                <w:lang w:val="ro-MD"/>
              </w:rPr>
              <w:t xml:space="preserve">Temeiul legal al elaborării proiectului de Hotărâre îl constituie </w:t>
            </w:r>
            <w:r w:rsidRPr="002E389C">
              <w:rPr>
                <w:rFonts w:ascii="Times New Roman" w:eastAsia="Times New Roman" w:hAnsi="Times New Roman" w:cs="Times New Roman"/>
                <w:bCs/>
                <w:sz w:val="24"/>
                <w:szCs w:val="24"/>
                <w:lang w:val="ro-MD"/>
              </w:rPr>
              <w:t>art. 139 lit. c)</w:t>
            </w:r>
            <w:r w:rsidRPr="002E389C">
              <w:rPr>
                <w:rFonts w:ascii="Times New Roman" w:eastAsia="Times New Roman" w:hAnsi="Times New Roman" w:cs="Times New Roman"/>
                <w:sz w:val="24"/>
                <w:szCs w:val="24"/>
                <w:lang w:val="ro-MD"/>
              </w:rPr>
              <w:t xml:space="preserve"> și </w:t>
            </w:r>
            <w:r w:rsidRPr="002E389C">
              <w:rPr>
                <w:rFonts w:ascii="Times New Roman" w:eastAsia="Times New Roman" w:hAnsi="Times New Roman" w:cs="Times New Roman"/>
                <w:bCs/>
                <w:sz w:val="24"/>
                <w:szCs w:val="24"/>
                <w:lang w:val="ro-MD"/>
              </w:rPr>
              <w:t>art. 140 alin. (1)</w:t>
            </w:r>
            <w:r w:rsidRPr="002E389C">
              <w:rPr>
                <w:rFonts w:ascii="Times New Roman" w:eastAsia="Times New Roman" w:hAnsi="Times New Roman" w:cs="Times New Roman"/>
                <w:sz w:val="24"/>
                <w:szCs w:val="24"/>
                <w:lang w:val="ro-MD"/>
              </w:rPr>
              <w:t xml:space="preserve"> din </w:t>
            </w:r>
            <w:r w:rsidRPr="002E389C">
              <w:rPr>
                <w:rFonts w:ascii="Times New Roman" w:eastAsia="Times New Roman" w:hAnsi="Times New Roman" w:cs="Times New Roman"/>
                <w:bCs/>
                <w:sz w:val="24"/>
                <w:szCs w:val="24"/>
                <w:lang w:val="ro-MD"/>
              </w:rPr>
              <w:t>Codul educației al Republicii Moldova nr. 152/2014</w:t>
            </w:r>
            <w:r w:rsidRPr="002E389C">
              <w:rPr>
                <w:rFonts w:ascii="Times New Roman" w:eastAsia="Times New Roman" w:hAnsi="Times New Roman" w:cs="Times New Roman"/>
                <w:sz w:val="24"/>
                <w:szCs w:val="24"/>
                <w:lang w:val="ro-MD"/>
              </w:rPr>
              <w:t xml:space="preserve"> (Monitorul Oficial al Republicii Moldova, 2014, nr. 319–324, art. 634), cu modificările ulterioare, care stabilesc competența Guvernului de a aproba acte normative în domeniul finanțării și administrării sistemului educațional.</w:t>
            </w:r>
          </w:p>
          <w:p w:rsidR="006B6A3B" w:rsidRPr="002E389C" w:rsidRDefault="002F1B0A" w:rsidP="00F8231E">
            <w:pPr>
              <w:spacing w:before="120" w:line="240" w:lineRule="auto"/>
              <w:jc w:val="both"/>
              <w:rPr>
                <w:rFonts w:ascii="Times New Roman" w:eastAsia="Times New Roman" w:hAnsi="Times New Roman" w:cs="Times New Roman"/>
                <w:bCs/>
                <w:sz w:val="24"/>
                <w:szCs w:val="24"/>
                <w:lang w:val="ro-MD"/>
              </w:rPr>
            </w:pPr>
            <w:r w:rsidRPr="002E389C">
              <w:rPr>
                <w:rFonts w:ascii="Times New Roman" w:eastAsia="Times New Roman" w:hAnsi="Times New Roman" w:cs="Times New Roman"/>
                <w:sz w:val="24"/>
                <w:szCs w:val="24"/>
                <w:lang w:val="ro-MD"/>
              </w:rPr>
              <w:t xml:space="preserve">De asemenea, proiectul este elaborat în baza </w:t>
            </w:r>
            <w:r w:rsidRPr="002E389C">
              <w:rPr>
                <w:rFonts w:ascii="Times New Roman" w:eastAsia="Times New Roman" w:hAnsi="Times New Roman" w:cs="Times New Roman"/>
                <w:bCs/>
                <w:sz w:val="24"/>
                <w:szCs w:val="24"/>
                <w:lang w:val="ro-MD"/>
              </w:rPr>
              <w:t>Legii nr. 305/2024</w:t>
            </w:r>
            <w:r w:rsidRPr="002E389C">
              <w:rPr>
                <w:rFonts w:ascii="Times New Roman" w:eastAsia="Times New Roman" w:hAnsi="Times New Roman" w:cs="Times New Roman"/>
                <w:sz w:val="24"/>
                <w:szCs w:val="24"/>
                <w:lang w:val="ro-MD"/>
              </w:rPr>
              <w:t xml:space="preserve"> pentru modificarea </w:t>
            </w:r>
            <w:r w:rsidRPr="002E389C">
              <w:rPr>
                <w:rFonts w:ascii="Times New Roman" w:eastAsia="Times New Roman" w:hAnsi="Times New Roman" w:cs="Times New Roman"/>
                <w:bCs/>
                <w:sz w:val="24"/>
                <w:szCs w:val="24"/>
                <w:lang w:val="ro-MD"/>
              </w:rPr>
              <w:t>Legii nr. 270/2018</w:t>
            </w:r>
            <w:r w:rsidRPr="002E389C">
              <w:rPr>
                <w:rFonts w:ascii="Times New Roman" w:eastAsia="Times New Roman" w:hAnsi="Times New Roman" w:cs="Times New Roman"/>
                <w:sz w:val="24"/>
                <w:szCs w:val="24"/>
                <w:lang w:val="ro-MD"/>
              </w:rPr>
              <w:t xml:space="preserve"> privind sistemul unitar de salarizare în sectorul bugetar, prin care a fost modificat </w:t>
            </w:r>
            <w:r w:rsidRPr="002E389C">
              <w:rPr>
                <w:rFonts w:ascii="Times New Roman" w:eastAsia="Times New Roman" w:hAnsi="Times New Roman" w:cs="Times New Roman"/>
                <w:bCs/>
                <w:sz w:val="24"/>
                <w:szCs w:val="24"/>
                <w:lang w:val="ro-MD"/>
              </w:rPr>
              <w:t>punctul 11 din Note la tabelul 1 din anexa nr. 7</w:t>
            </w:r>
            <w:r w:rsidRPr="002E389C">
              <w:rPr>
                <w:rFonts w:ascii="Times New Roman" w:eastAsia="Times New Roman" w:hAnsi="Times New Roman" w:cs="Times New Roman"/>
                <w:sz w:val="24"/>
                <w:szCs w:val="24"/>
                <w:lang w:val="ro-MD"/>
              </w:rPr>
              <w:t xml:space="preserve">, ce prevede stabilirea unor </w:t>
            </w:r>
            <w:r w:rsidRPr="002E389C">
              <w:rPr>
                <w:rFonts w:ascii="Times New Roman" w:eastAsia="Times New Roman" w:hAnsi="Times New Roman" w:cs="Times New Roman"/>
                <w:bCs/>
                <w:sz w:val="24"/>
                <w:szCs w:val="24"/>
                <w:lang w:val="ro-MD"/>
              </w:rPr>
              <w:t>sporuri fixe pentru gradele didactice</w:t>
            </w:r>
            <w:r w:rsidRPr="002E389C">
              <w:rPr>
                <w:rFonts w:ascii="Times New Roman" w:eastAsia="Times New Roman" w:hAnsi="Times New Roman" w:cs="Times New Roman"/>
                <w:sz w:val="24"/>
                <w:szCs w:val="24"/>
                <w:lang w:val="ro-MD"/>
              </w:rPr>
              <w:t>.</w:t>
            </w:r>
          </w:p>
          <w:p w:rsidR="002E389C" w:rsidRPr="00F8231E" w:rsidRDefault="002E389C" w:rsidP="00F8231E">
            <w:pPr>
              <w:spacing w:before="120" w:line="240" w:lineRule="auto"/>
              <w:jc w:val="both"/>
              <w:rPr>
                <w:rFonts w:ascii="Times New Roman" w:eastAsia="Times New Roman" w:hAnsi="Times New Roman" w:cs="Times New Roman"/>
                <w:sz w:val="24"/>
                <w:szCs w:val="24"/>
                <w:lang w:val="en-US"/>
              </w:rPr>
            </w:pPr>
            <w:r w:rsidRPr="002E389C">
              <w:rPr>
                <w:rFonts w:ascii="Times New Roman" w:eastAsia="Times New Roman" w:hAnsi="Times New Roman" w:cs="Times New Roman"/>
                <w:bCs/>
                <w:sz w:val="24"/>
                <w:szCs w:val="24"/>
                <w:lang w:val="ro-MD"/>
              </w:rPr>
              <w:t xml:space="preserve">Totodată, </w:t>
            </w:r>
            <w:r w:rsidRPr="002E389C">
              <w:rPr>
                <w:rFonts w:ascii="Times New Roman" w:eastAsia="Times New Roman" w:hAnsi="Times New Roman" w:cs="Times New Roman"/>
                <w:bCs/>
                <w:sz w:val="24"/>
                <w:szCs w:val="24"/>
                <w:lang w:val="ro-MD"/>
              </w:rPr>
              <w:t xml:space="preserve">promovarea </w:t>
            </w:r>
            <w:r w:rsidRPr="002E389C">
              <w:rPr>
                <w:rFonts w:ascii="Times New Roman" w:eastAsia="Times New Roman" w:hAnsi="Times New Roman" w:cs="Times New Roman"/>
                <w:bCs/>
                <w:sz w:val="24"/>
                <w:szCs w:val="24"/>
                <w:lang w:val="ro-MD"/>
              </w:rPr>
              <w:t>proiectul</w:t>
            </w:r>
            <w:r w:rsidRPr="002E389C">
              <w:rPr>
                <w:rFonts w:ascii="Times New Roman" w:eastAsia="Times New Roman" w:hAnsi="Times New Roman" w:cs="Times New Roman"/>
                <w:bCs/>
                <w:sz w:val="24"/>
                <w:szCs w:val="24"/>
                <w:lang w:val="ro-MD"/>
              </w:rPr>
              <w:t>ui</w:t>
            </w:r>
            <w:r w:rsidRPr="002E389C">
              <w:rPr>
                <w:rFonts w:ascii="Times New Roman" w:eastAsia="Times New Roman" w:hAnsi="Times New Roman" w:cs="Times New Roman"/>
                <w:bCs/>
                <w:sz w:val="24"/>
                <w:szCs w:val="24"/>
                <w:lang w:val="ro-MD"/>
              </w:rPr>
              <w:t xml:space="preserve"> este justificat</w:t>
            </w:r>
            <w:r w:rsidRPr="002E389C">
              <w:rPr>
                <w:rFonts w:ascii="Times New Roman" w:eastAsia="Times New Roman" w:hAnsi="Times New Roman" w:cs="Times New Roman"/>
                <w:bCs/>
                <w:sz w:val="24"/>
                <w:szCs w:val="24"/>
                <w:lang w:val="ro-MD"/>
              </w:rPr>
              <w:t>ă</w:t>
            </w:r>
            <w:r w:rsidRPr="002E389C">
              <w:rPr>
                <w:rFonts w:ascii="Times New Roman" w:eastAsia="Times New Roman" w:hAnsi="Times New Roman" w:cs="Times New Roman"/>
                <w:bCs/>
                <w:sz w:val="24"/>
                <w:szCs w:val="24"/>
                <w:lang w:val="ro-MD"/>
              </w:rPr>
              <w:t xml:space="preserve"> de identificarea unei </w:t>
            </w:r>
            <w:r w:rsidRPr="002E389C">
              <w:rPr>
                <w:rFonts w:ascii="Times New Roman" w:eastAsia="Times New Roman" w:hAnsi="Times New Roman" w:cs="Times New Roman"/>
                <w:bCs/>
                <w:sz w:val="24"/>
                <w:szCs w:val="24"/>
                <w:lang w:val="ro-MD"/>
              </w:rPr>
              <w:t>lacune normative</w:t>
            </w:r>
            <w:r w:rsidRPr="002E389C">
              <w:rPr>
                <w:rFonts w:ascii="Times New Roman" w:eastAsia="Times New Roman" w:hAnsi="Times New Roman" w:cs="Times New Roman"/>
                <w:bCs/>
                <w:sz w:val="24"/>
                <w:szCs w:val="24"/>
                <w:lang w:val="ro-MD"/>
              </w:rPr>
              <w:t xml:space="preserve"> în ceea ce privește posibilitatea autorităților publice locale de nivelul II de a susține financiar autoritățile publice locale de nivelul I în asigurarea contribuției proprii pentru proiecte investiționale destinate instituțiilor de învățământ primar și secundar. În lipsa unui mecanism reglementat, implementarea proiectelor finanțate din surse naționale și internaționale este adesea blocată din cauza capacității financiare reduse a APL I.</w:t>
            </w:r>
          </w:p>
        </w:tc>
      </w:tr>
      <w:tr w:rsidR="00C264FF" w:rsidRPr="00F8231E" w:rsidTr="00142E43">
        <w:trPr>
          <w:trHeight w:val="132"/>
        </w:trPr>
        <w:tc>
          <w:tcPr>
            <w:tcW w:w="978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C264FF" w:rsidRPr="00F8231E" w:rsidRDefault="00BB3AA2" w:rsidP="00F8231E">
            <w:pPr>
              <w:tabs>
                <w:tab w:val="left" w:pos="884"/>
                <w:tab w:val="left" w:pos="1196"/>
              </w:tabs>
              <w:spacing w:before="120" w:line="240" w:lineRule="auto"/>
              <w:ind w:right="141"/>
              <w:jc w:val="both"/>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t>2.2. Descrierea situației actuale și a problemelor care impun intervenția, inclusiv a cadrului normativ aplicabil și a deficiențelor/lacunelor normative</w:t>
            </w:r>
          </w:p>
        </w:tc>
      </w:tr>
      <w:tr w:rsidR="00C264FF" w:rsidRPr="00F8231E" w:rsidTr="00142E43">
        <w:trPr>
          <w:trHeight w:val="1"/>
        </w:trPr>
        <w:tc>
          <w:tcPr>
            <w:tcW w:w="9781" w:type="dxa"/>
            <w:tcBorders>
              <w:top w:val="single" w:sz="4" w:space="0" w:color="000000"/>
              <w:left w:val="single" w:sz="4" w:space="0" w:color="000000"/>
              <w:bottom w:val="single" w:sz="4" w:space="0" w:color="000000"/>
              <w:right w:val="single" w:sz="4" w:space="0" w:color="000000"/>
            </w:tcBorders>
            <w:shd w:val="clear" w:color="auto" w:fill="FFFFFF"/>
          </w:tcPr>
          <w:p w:rsidR="00C81EC1" w:rsidRPr="00C81EC1" w:rsidRDefault="00C81EC1" w:rsidP="00F8231E">
            <w:pPr>
              <w:spacing w:before="120" w:line="240" w:lineRule="auto"/>
              <w:jc w:val="both"/>
              <w:rPr>
                <w:rFonts w:ascii="Times New Roman" w:eastAsia="Times New Roman" w:hAnsi="Times New Roman" w:cs="Times New Roman"/>
                <w:sz w:val="24"/>
                <w:szCs w:val="24"/>
                <w:lang w:val="ro-MD"/>
              </w:rPr>
            </w:pPr>
            <w:r w:rsidRPr="00C81EC1">
              <w:rPr>
                <w:rFonts w:ascii="Times New Roman" w:eastAsia="Times New Roman" w:hAnsi="Times New Roman" w:cs="Times New Roman"/>
                <w:sz w:val="24"/>
                <w:szCs w:val="24"/>
                <w:lang w:val="ro-MD"/>
              </w:rPr>
              <w:t xml:space="preserve">Finanțarea instituțiilor publice de învățământ primar și secundar (ciclul I și II) este reglementată prin </w:t>
            </w:r>
            <w:r w:rsidRPr="00F8231E">
              <w:rPr>
                <w:rFonts w:ascii="Times New Roman" w:eastAsia="Times New Roman" w:hAnsi="Times New Roman" w:cs="Times New Roman"/>
                <w:bCs/>
                <w:sz w:val="24"/>
                <w:szCs w:val="24"/>
                <w:lang w:val="ro-MD"/>
              </w:rPr>
              <w:t>Hotărârea Guvernului nr. 868/2014</w:t>
            </w:r>
            <w:r w:rsidRPr="00C81EC1">
              <w:rPr>
                <w:rFonts w:ascii="Times New Roman" w:eastAsia="Times New Roman" w:hAnsi="Times New Roman" w:cs="Times New Roman"/>
                <w:sz w:val="24"/>
                <w:szCs w:val="24"/>
                <w:lang w:val="ro-MD"/>
              </w:rPr>
              <w:t>, care stabilește mecanismul de finanțare per elev și formulele de calcul ale transferurilor de la bugetul de stat către bugetele autorităților publice locale (APL) de nivelul al doilea. Acest sistem de finanțare se bazează pe o formulă unică, aplicată diferențiat în funcție de nivelul bugetelor și de specificul instituțiilor, fiind utilizată în limitele plafoanelor de cheltuieli aprobate.</w:t>
            </w:r>
          </w:p>
          <w:p w:rsidR="00C81EC1" w:rsidRPr="00C81EC1" w:rsidRDefault="00C81EC1" w:rsidP="00F8231E">
            <w:pPr>
              <w:spacing w:before="120" w:line="240" w:lineRule="auto"/>
              <w:jc w:val="both"/>
              <w:rPr>
                <w:rFonts w:ascii="Times New Roman" w:eastAsia="Times New Roman" w:hAnsi="Times New Roman" w:cs="Times New Roman"/>
                <w:sz w:val="24"/>
                <w:szCs w:val="24"/>
                <w:lang w:val="ro-MD"/>
              </w:rPr>
            </w:pPr>
            <w:r w:rsidRPr="00C81EC1">
              <w:rPr>
                <w:rFonts w:ascii="Times New Roman" w:eastAsia="Times New Roman" w:hAnsi="Times New Roman" w:cs="Times New Roman"/>
                <w:sz w:val="24"/>
                <w:szCs w:val="24"/>
                <w:lang w:val="ro-MD"/>
              </w:rPr>
              <w:t xml:space="preserve">Prin </w:t>
            </w:r>
            <w:r w:rsidRPr="00F8231E">
              <w:rPr>
                <w:rFonts w:ascii="Times New Roman" w:eastAsia="Times New Roman" w:hAnsi="Times New Roman" w:cs="Times New Roman"/>
                <w:bCs/>
                <w:sz w:val="24"/>
                <w:szCs w:val="24"/>
                <w:lang w:val="ro-MD"/>
              </w:rPr>
              <w:t>Legea nr. 305/2024</w:t>
            </w:r>
            <w:r w:rsidRPr="00C81EC1">
              <w:rPr>
                <w:rFonts w:ascii="Times New Roman" w:eastAsia="Times New Roman" w:hAnsi="Times New Roman" w:cs="Times New Roman"/>
                <w:sz w:val="24"/>
                <w:szCs w:val="24"/>
                <w:lang w:val="ro-MD"/>
              </w:rPr>
              <w:t xml:space="preserve"> au fost operate modificări substanțiale în </w:t>
            </w:r>
            <w:r w:rsidRPr="00F8231E">
              <w:rPr>
                <w:rFonts w:ascii="Times New Roman" w:eastAsia="Times New Roman" w:hAnsi="Times New Roman" w:cs="Times New Roman"/>
                <w:bCs/>
                <w:sz w:val="24"/>
                <w:szCs w:val="24"/>
                <w:lang w:val="ro-MD"/>
              </w:rPr>
              <w:t>sistemul de salarizare</w:t>
            </w:r>
            <w:r w:rsidRPr="00C81EC1">
              <w:rPr>
                <w:rFonts w:ascii="Times New Roman" w:eastAsia="Times New Roman" w:hAnsi="Times New Roman" w:cs="Times New Roman"/>
                <w:sz w:val="24"/>
                <w:szCs w:val="24"/>
                <w:lang w:val="ro-MD"/>
              </w:rPr>
              <w:t xml:space="preserve"> al personalului didactic. Sporurile pentru gradele didactice (superior, I și II) nu mai sunt acordate prin clase de salarizare suplimentare, ci sub forma unor </w:t>
            </w:r>
            <w:r w:rsidRPr="00F8231E">
              <w:rPr>
                <w:rFonts w:ascii="Times New Roman" w:eastAsia="Times New Roman" w:hAnsi="Times New Roman" w:cs="Times New Roman"/>
                <w:bCs/>
                <w:sz w:val="24"/>
                <w:szCs w:val="24"/>
                <w:lang w:val="ro-MD"/>
              </w:rPr>
              <w:t>sume fixe lunare</w:t>
            </w:r>
            <w:r w:rsidRPr="00C81EC1">
              <w:rPr>
                <w:rFonts w:ascii="Times New Roman" w:eastAsia="Times New Roman" w:hAnsi="Times New Roman" w:cs="Times New Roman"/>
                <w:sz w:val="24"/>
                <w:szCs w:val="24"/>
                <w:lang w:val="ro-MD"/>
              </w:rPr>
              <w:t>. Deși acest nou mecanism a intrat în vigoare</w:t>
            </w:r>
            <w:r w:rsidR="007F5584" w:rsidRPr="00F8231E">
              <w:rPr>
                <w:rFonts w:ascii="Times New Roman" w:eastAsia="Times New Roman" w:hAnsi="Times New Roman" w:cs="Times New Roman"/>
                <w:sz w:val="24"/>
                <w:szCs w:val="24"/>
                <w:lang w:val="ro-MD"/>
              </w:rPr>
              <w:t xml:space="preserve"> în 2025</w:t>
            </w:r>
            <w:r w:rsidRPr="00C81EC1">
              <w:rPr>
                <w:rFonts w:ascii="Times New Roman" w:eastAsia="Times New Roman" w:hAnsi="Times New Roman" w:cs="Times New Roman"/>
                <w:sz w:val="24"/>
                <w:szCs w:val="24"/>
                <w:lang w:val="ro-MD"/>
              </w:rPr>
              <w:t>, formulele de calcul prevăzute în anexa nr. 1 la HG nr. 868/2014 continuă să se raporteze la sistemul vechi de salarizare, ceea ce generează inconsecvențe normative și dificultăți în estimarea corectă a necesarului de resurse financiare</w:t>
            </w:r>
            <w:r w:rsidR="007F5584" w:rsidRPr="00F8231E">
              <w:rPr>
                <w:rFonts w:ascii="Times New Roman" w:eastAsia="Times New Roman" w:hAnsi="Times New Roman" w:cs="Times New Roman"/>
                <w:sz w:val="24"/>
                <w:szCs w:val="24"/>
                <w:lang w:val="ro-MD"/>
              </w:rPr>
              <w:t xml:space="preserve"> pentru anul 2026</w:t>
            </w:r>
            <w:r w:rsidRPr="00C81EC1">
              <w:rPr>
                <w:rFonts w:ascii="Times New Roman" w:eastAsia="Times New Roman" w:hAnsi="Times New Roman" w:cs="Times New Roman"/>
                <w:sz w:val="24"/>
                <w:szCs w:val="24"/>
                <w:lang w:val="ro-MD"/>
              </w:rPr>
              <w:t>.</w:t>
            </w:r>
          </w:p>
          <w:p w:rsidR="00C81EC1" w:rsidRPr="00C81EC1" w:rsidRDefault="00C81EC1" w:rsidP="00F8231E">
            <w:pPr>
              <w:spacing w:after="0" w:line="240" w:lineRule="auto"/>
              <w:jc w:val="both"/>
              <w:rPr>
                <w:rFonts w:ascii="Times New Roman" w:eastAsia="Times New Roman" w:hAnsi="Times New Roman" w:cs="Times New Roman"/>
                <w:sz w:val="24"/>
                <w:szCs w:val="24"/>
                <w:lang w:val="ro-MD"/>
              </w:rPr>
            </w:pPr>
            <w:r w:rsidRPr="00C81EC1">
              <w:rPr>
                <w:rFonts w:ascii="Times New Roman" w:eastAsia="Times New Roman" w:hAnsi="Times New Roman" w:cs="Times New Roman"/>
                <w:sz w:val="24"/>
                <w:szCs w:val="24"/>
                <w:lang w:val="ro-MD"/>
              </w:rPr>
              <w:t>Această necorelare între legislația salarială și mecanismul de finanțare a instituțiilor de învățământ produce:</w:t>
            </w:r>
          </w:p>
          <w:p w:rsidR="00C81EC1" w:rsidRPr="00C81EC1" w:rsidRDefault="00C81EC1" w:rsidP="00F8231E">
            <w:pPr>
              <w:numPr>
                <w:ilvl w:val="0"/>
                <w:numId w:val="7"/>
              </w:numPr>
              <w:spacing w:after="0" w:line="240" w:lineRule="auto"/>
              <w:ind w:left="714" w:hanging="357"/>
              <w:jc w:val="both"/>
              <w:rPr>
                <w:rFonts w:ascii="Times New Roman" w:eastAsia="Times New Roman" w:hAnsi="Times New Roman" w:cs="Times New Roman"/>
                <w:sz w:val="24"/>
                <w:szCs w:val="24"/>
                <w:lang w:val="ro-MD"/>
              </w:rPr>
            </w:pPr>
            <w:r w:rsidRPr="00C81EC1">
              <w:rPr>
                <w:rFonts w:ascii="Times New Roman" w:eastAsia="Times New Roman" w:hAnsi="Times New Roman" w:cs="Times New Roman"/>
                <w:sz w:val="24"/>
                <w:szCs w:val="24"/>
                <w:lang w:val="ro-MD"/>
              </w:rPr>
              <w:t xml:space="preserve">riscuri de </w:t>
            </w:r>
            <w:r w:rsidRPr="00F8231E">
              <w:rPr>
                <w:rFonts w:ascii="Times New Roman" w:eastAsia="Times New Roman" w:hAnsi="Times New Roman" w:cs="Times New Roman"/>
                <w:bCs/>
                <w:sz w:val="24"/>
                <w:szCs w:val="24"/>
                <w:lang w:val="ro-MD"/>
              </w:rPr>
              <w:t>aplicare neuniformă</w:t>
            </w:r>
            <w:r w:rsidRPr="00C81EC1">
              <w:rPr>
                <w:rFonts w:ascii="Times New Roman" w:eastAsia="Times New Roman" w:hAnsi="Times New Roman" w:cs="Times New Roman"/>
                <w:sz w:val="24"/>
                <w:szCs w:val="24"/>
                <w:lang w:val="ro-MD"/>
              </w:rPr>
              <w:t xml:space="preserve"> a cadrului normativ;</w:t>
            </w:r>
          </w:p>
          <w:p w:rsidR="00C81EC1" w:rsidRPr="00C81EC1" w:rsidRDefault="00C81EC1" w:rsidP="00F8231E">
            <w:pPr>
              <w:numPr>
                <w:ilvl w:val="0"/>
                <w:numId w:val="7"/>
              </w:numPr>
              <w:spacing w:after="0" w:line="240" w:lineRule="auto"/>
              <w:ind w:left="714" w:hanging="357"/>
              <w:jc w:val="both"/>
              <w:rPr>
                <w:rFonts w:ascii="Times New Roman" w:eastAsia="Times New Roman" w:hAnsi="Times New Roman" w:cs="Times New Roman"/>
                <w:sz w:val="24"/>
                <w:szCs w:val="24"/>
                <w:lang w:val="ro-MD"/>
              </w:rPr>
            </w:pPr>
            <w:r w:rsidRPr="00F8231E">
              <w:rPr>
                <w:rFonts w:ascii="Times New Roman" w:eastAsia="Times New Roman" w:hAnsi="Times New Roman" w:cs="Times New Roman"/>
                <w:bCs/>
                <w:sz w:val="24"/>
                <w:szCs w:val="24"/>
                <w:lang w:val="ro-MD"/>
              </w:rPr>
              <w:t>dificultăți în planificarea bugetară</w:t>
            </w:r>
            <w:r w:rsidRPr="00C81EC1">
              <w:rPr>
                <w:rFonts w:ascii="Times New Roman" w:eastAsia="Times New Roman" w:hAnsi="Times New Roman" w:cs="Times New Roman"/>
                <w:sz w:val="24"/>
                <w:szCs w:val="24"/>
                <w:lang w:val="ro-MD"/>
              </w:rPr>
              <w:t xml:space="preserve"> la nivelul APL de nivelul II;</w:t>
            </w:r>
          </w:p>
          <w:p w:rsidR="00C81EC1" w:rsidRPr="00C81EC1" w:rsidRDefault="00C81EC1" w:rsidP="00F8231E">
            <w:pPr>
              <w:numPr>
                <w:ilvl w:val="0"/>
                <w:numId w:val="7"/>
              </w:numPr>
              <w:spacing w:after="0" w:line="240" w:lineRule="auto"/>
              <w:ind w:left="714" w:hanging="357"/>
              <w:jc w:val="both"/>
              <w:rPr>
                <w:rFonts w:ascii="Times New Roman" w:eastAsia="Times New Roman" w:hAnsi="Times New Roman" w:cs="Times New Roman"/>
                <w:sz w:val="24"/>
                <w:szCs w:val="24"/>
                <w:lang w:val="ro-MD"/>
              </w:rPr>
            </w:pPr>
            <w:r w:rsidRPr="00C81EC1">
              <w:rPr>
                <w:rFonts w:ascii="Times New Roman" w:eastAsia="Times New Roman" w:hAnsi="Times New Roman" w:cs="Times New Roman"/>
                <w:sz w:val="24"/>
                <w:szCs w:val="24"/>
                <w:lang w:val="ro-MD"/>
              </w:rPr>
              <w:lastRenderedPageBreak/>
              <w:t xml:space="preserve">posibilitatea unor </w:t>
            </w:r>
            <w:r w:rsidRPr="00F8231E">
              <w:rPr>
                <w:rFonts w:ascii="Times New Roman" w:eastAsia="Times New Roman" w:hAnsi="Times New Roman" w:cs="Times New Roman"/>
                <w:bCs/>
                <w:sz w:val="24"/>
                <w:szCs w:val="24"/>
                <w:lang w:val="ro-MD"/>
              </w:rPr>
              <w:t>estimări eronate</w:t>
            </w:r>
            <w:r w:rsidRPr="00C81EC1">
              <w:rPr>
                <w:rFonts w:ascii="Times New Roman" w:eastAsia="Times New Roman" w:hAnsi="Times New Roman" w:cs="Times New Roman"/>
                <w:sz w:val="24"/>
                <w:szCs w:val="24"/>
                <w:lang w:val="ro-MD"/>
              </w:rPr>
              <w:t xml:space="preserve"> ale transferurilor categoriale;</w:t>
            </w:r>
          </w:p>
          <w:p w:rsidR="00C81EC1" w:rsidRPr="00C81EC1" w:rsidRDefault="00C81EC1" w:rsidP="00F8231E">
            <w:pPr>
              <w:numPr>
                <w:ilvl w:val="0"/>
                <w:numId w:val="7"/>
              </w:numPr>
              <w:spacing w:after="0" w:line="240" w:lineRule="auto"/>
              <w:ind w:left="714" w:hanging="357"/>
              <w:jc w:val="both"/>
              <w:rPr>
                <w:rFonts w:ascii="Times New Roman" w:eastAsia="Times New Roman" w:hAnsi="Times New Roman" w:cs="Times New Roman"/>
                <w:sz w:val="24"/>
                <w:szCs w:val="24"/>
                <w:lang w:val="ro-MD"/>
              </w:rPr>
            </w:pPr>
            <w:r w:rsidRPr="00C81EC1">
              <w:rPr>
                <w:rFonts w:ascii="Times New Roman" w:eastAsia="Times New Roman" w:hAnsi="Times New Roman" w:cs="Times New Roman"/>
                <w:sz w:val="24"/>
                <w:szCs w:val="24"/>
                <w:lang w:val="ro-MD"/>
              </w:rPr>
              <w:t xml:space="preserve">riscuri de </w:t>
            </w:r>
            <w:r w:rsidRPr="00F8231E">
              <w:rPr>
                <w:rFonts w:ascii="Times New Roman" w:eastAsia="Times New Roman" w:hAnsi="Times New Roman" w:cs="Times New Roman"/>
                <w:bCs/>
                <w:sz w:val="24"/>
                <w:szCs w:val="24"/>
                <w:lang w:val="ro-MD"/>
              </w:rPr>
              <w:t>subfinanțare</w:t>
            </w:r>
            <w:r w:rsidRPr="00C81EC1">
              <w:rPr>
                <w:rFonts w:ascii="Times New Roman" w:eastAsia="Times New Roman" w:hAnsi="Times New Roman" w:cs="Times New Roman"/>
                <w:sz w:val="24"/>
                <w:szCs w:val="24"/>
                <w:lang w:val="ro-MD"/>
              </w:rPr>
              <w:t xml:space="preserve"> a instituțiilor de învățământ.</w:t>
            </w:r>
          </w:p>
          <w:p w:rsidR="00C81EC1" w:rsidRPr="00F8231E" w:rsidRDefault="00C81EC1" w:rsidP="00F8231E">
            <w:pPr>
              <w:spacing w:before="120" w:line="240" w:lineRule="auto"/>
              <w:jc w:val="both"/>
              <w:rPr>
                <w:rFonts w:ascii="Times New Roman" w:eastAsia="Times New Roman" w:hAnsi="Times New Roman" w:cs="Times New Roman"/>
                <w:sz w:val="24"/>
                <w:szCs w:val="24"/>
                <w:lang w:val="ro-MD"/>
              </w:rPr>
            </w:pPr>
            <w:r w:rsidRPr="00C81EC1">
              <w:rPr>
                <w:rFonts w:ascii="Times New Roman" w:eastAsia="Times New Roman" w:hAnsi="Times New Roman" w:cs="Times New Roman"/>
                <w:sz w:val="24"/>
                <w:szCs w:val="24"/>
                <w:lang w:val="ro-MD"/>
              </w:rPr>
              <w:t xml:space="preserve">Prin urmare, se impune ajustarea formulelor prevăzute la pct. 6 </w:t>
            </w:r>
            <w:proofErr w:type="spellStart"/>
            <w:r w:rsidRPr="00C81EC1">
              <w:rPr>
                <w:rFonts w:ascii="Times New Roman" w:eastAsia="Times New Roman" w:hAnsi="Times New Roman" w:cs="Times New Roman"/>
                <w:sz w:val="24"/>
                <w:szCs w:val="24"/>
                <w:lang w:val="ro-MD"/>
              </w:rPr>
              <w:t>subpct</w:t>
            </w:r>
            <w:proofErr w:type="spellEnd"/>
            <w:r w:rsidRPr="00C81EC1">
              <w:rPr>
                <w:rFonts w:ascii="Times New Roman" w:eastAsia="Times New Roman" w:hAnsi="Times New Roman" w:cs="Times New Roman"/>
                <w:sz w:val="24"/>
                <w:szCs w:val="24"/>
                <w:lang w:val="ro-MD"/>
              </w:rPr>
              <w:t>. 2</w:t>
            </w:r>
            <w:r w:rsidRPr="00C81EC1">
              <w:rPr>
                <w:rFonts w:ascii="Times New Roman" w:eastAsia="Times New Roman" w:hAnsi="Times New Roman" w:cs="Times New Roman"/>
                <w:sz w:val="24"/>
                <w:szCs w:val="24"/>
                <w:vertAlign w:val="superscript"/>
                <w:lang w:val="ro-MD"/>
              </w:rPr>
              <w:t>1</w:t>
            </w:r>
            <w:r w:rsidRPr="00C81EC1">
              <w:rPr>
                <w:rFonts w:ascii="Times New Roman" w:eastAsia="Times New Roman" w:hAnsi="Times New Roman" w:cs="Times New Roman"/>
                <w:sz w:val="24"/>
                <w:szCs w:val="24"/>
                <w:lang w:val="ro-MD"/>
              </w:rPr>
              <w:t xml:space="preserve">) și pct. 7 </w:t>
            </w:r>
            <w:proofErr w:type="spellStart"/>
            <w:r w:rsidRPr="00C81EC1">
              <w:rPr>
                <w:rFonts w:ascii="Times New Roman" w:eastAsia="Times New Roman" w:hAnsi="Times New Roman" w:cs="Times New Roman"/>
                <w:sz w:val="24"/>
                <w:szCs w:val="24"/>
                <w:lang w:val="ro-MD"/>
              </w:rPr>
              <w:t>subpct</w:t>
            </w:r>
            <w:proofErr w:type="spellEnd"/>
            <w:r w:rsidRPr="00C81EC1">
              <w:rPr>
                <w:rFonts w:ascii="Times New Roman" w:eastAsia="Times New Roman" w:hAnsi="Times New Roman" w:cs="Times New Roman"/>
                <w:sz w:val="24"/>
                <w:szCs w:val="24"/>
                <w:lang w:val="ro-MD"/>
              </w:rPr>
              <w:t>. 3) din anexa nr. 1 la HG nr. 868/2014 pentru a reflecta corect mecanismul nou de acordare a sporurilor în sume fixe, în conformitate cu prevederile Legii nr. 305/2024.</w:t>
            </w:r>
          </w:p>
          <w:p w:rsidR="00CF3436" w:rsidRPr="00CF3436" w:rsidRDefault="00CF3436" w:rsidP="00F8231E">
            <w:pPr>
              <w:spacing w:before="120" w:line="240" w:lineRule="auto"/>
              <w:jc w:val="both"/>
              <w:rPr>
                <w:rFonts w:ascii="Times New Roman" w:eastAsia="Times New Roman" w:hAnsi="Times New Roman" w:cs="Times New Roman"/>
                <w:sz w:val="24"/>
                <w:szCs w:val="24"/>
                <w:lang w:val="ro-MD"/>
              </w:rPr>
            </w:pPr>
            <w:r w:rsidRPr="00CF3436">
              <w:rPr>
                <w:rFonts w:ascii="Times New Roman" w:eastAsia="Times New Roman" w:hAnsi="Times New Roman" w:cs="Times New Roman"/>
                <w:sz w:val="24"/>
                <w:szCs w:val="24"/>
                <w:lang w:val="ro-MD"/>
              </w:rPr>
              <w:t xml:space="preserve">O altă problemă identificată o reprezintă absența unui mecanism normativ clar care să permită autorităților publice locale de nivelul II să aloce </w:t>
            </w:r>
            <w:r w:rsidRPr="00F8231E">
              <w:rPr>
                <w:rFonts w:ascii="Times New Roman" w:eastAsia="Times New Roman" w:hAnsi="Times New Roman" w:cs="Times New Roman"/>
                <w:bCs/>
                <w:sz w:val="24"/>
                <w:szCs w:val="24"/>
                <w:lang w:val="ro-MD"/>
              </w:rPr>
              <w:t>transferuri cu destinație specială către APL I</w:t>
            </w:r>
            <w:r w:rsidRPr="00CF3436">
              <w:rPr>
                <w:rFonts w:ascii="Times New Roman" w:eastAsia="Times New Roman" w:hAnsi="Times New Roman" w:cs="Times New Roman"/>
                <w:sz w:val="24"/>
                <w:szCs w:val="24"/>
                <w:lang w:val="ro-MD"/>
              </w:rPr>
              <w:t xml:space="preserve"> pentru cofinanțarea proiectelor de reparație, modernizare, dotare și dezvoltare a infrastructurii instituțiilor de învățământ primar și secundar (ciclul I și II).</w:t>
            </w:r>
          </w:p>
          <w:p w:rsidR="00CF3436" w:rsidRPr="00CF3436" w:rsidRDefault="00CF3436" w:rsidP="00F8231E">
            <w:pPr>
              <w:spacing w:before="120" w:line="240" w:lineRule="auto"/>
              <w:jc w:val="both"/>
              <w:rPr>
                <w:rFonts w:ascii="Times New Roman" w:eastAsia="Times New Roman" w:hAnsi="Times New Roman" w:cs="Times New Roman"/>
                <w:sz w:val="24"/>
                <w:szCs w:val="24"/>
                <w:lang w:val="ro-MD"/>
              </w:rPr>
            </w:pPr>
            <w:r w:rsidRPr="00CF3436">
              <w:rPr>
                <w:rFonts w:ascii="Times New Roman" w:eastAsia="Times New Roman" w:hAnsi="Times New Roman" w:cs="Times New Roman"/>
                <w:sz w:val="24"/>
                <w:szCs w:val="24"/>
                <w:lang w:val="ro-MD"/>
              </w:rPr>
              <w:t xml:space="preserve">În prezent, numeroase programe de investiții – inclusiv cele ce vizează modernizarea infrastructurii, dotarea cu echipamente, reparațiile capitale sau măsurile de eficiență energetică – sunt implementate prin proiecte naționale și internaționale, la care </w:t>
            </w:r>
            <w:r w:rsidRPr="00F8231E">
              <w:rPr>
                <w:rFonts w:ascii="Times New Roman" w:eastAsia="Times New Roman" w:hAnsi="Times New Roman" w:cs="Times New Roman"/>
                <w:bCs/>
                <w:sz w:val="24"/>
                <w:szCs w:val="24"/>
                <w:lang w:val="ro-MD"/>
              </w:rPr>
              <w:t>APL I este eligibilă să aplice</w:t>
            </w:r>
            <w:r w:rsidRPr="00CF3436">
              <w:rPr>
                <w:rFonts w:ascii="Times New Roman" w:eastAsia="Times New Roman" w:hAnsi="Times New Roman" w:cs="Times New Roman"/>
                <w:sz w:val="24"/>
                <w:szCs w:val="24"/>
                <w:lang w:val="ro-MD"/>
              </w:rPr>
              <w:t xml:space="preserve">, întrucât instituția educațională se află pe teritoriul său. Totuși, aceste programe solicită, de regulă, </w:t>
            </w:r>
            <w:r w:rsidRPr="00F8231E">
              <w:rPr>
                <w:rFonts w:ascii="Times New Roman" w:eastAsia="Times New Roman" w:hAnsi="Times New Roman" w:cs="Times New Roman"/>
                <w:bCs/>
                <w:sz w:val="24"/>
                <w:szCs w:val="24"/>
                <w:lang w:val="ro-MD"/>
              </w:rPr>
              <w:t xml:space="preserve">cofinanțare din partea </w:t>
            </w:r>
            <w:proofErr w:type="spellStart"/>
            <w:r w:rsidRPr="00F8231E">
              <w:rPr>
                <w:rFonts w:ascii="Times New Roman" w:eastAsia="Times New Roman" w:hAnsi="Times New Roman" w:cs="Times New Roman"/>
                <w:bCs/>
                <w:sz w:val="24"/>
                <w:szCs w:val="24"/>
                <w:lang w:val="ro-MD"/>
              </w:rPr>
              <w:t>aplicantului</w:t>
            </w:r>
            <w:proofErr w:type="spellEnd"/>
            <w:r w:rsidRPr="00CF3436">
              <w:rPr>
                <w:rFonts w:ascii="Times New Roman" w:eastAsia="Times New Roman" w:hAnsi="Times New Roman" w:cs="Times New Roman"/>
                <w:sz w:val="24"/>
                <w:szCs w:val="24"/>
                <w:lang w:val="ro-MD"/>
              </w:rPr>
              <w:t>, ca element de asigurare a sustenabilității, responsabilității și implicării active în procesul de implementare.</w:t>
            </w:r>
          </w:p>
          <w:p w:rsidR="00CF3436" w:rsidRPr="00CF3436" w:rsidRDefault="00CF3436" w:rsidP="00F8231E">
            <w:pPr>
              <w:spacing w:before="120" w:line="240" w:lineRule="auto"/>
              <w:jc w:val="both"/>
              <w:rPr>
                <w:rFonts w:ascii="Times New Roman" w:eastAsia="Times New Roman" w:hAnsi="Times New Roman" w:cs="Times New Roman"/>
                <w:sz w:val="24"/>
                <w:szCs w:val="24"/>
                <w:lang w:val="ro-MD"/>
              </w:rPr>
            </w:pPr>
            <w:r w:rsidRPr="00CF3436">
              <w:rPr>
                <w:rFonts w:ascii="Times New Roman" w:eastAsia="Times New Roman" w:hAnsi="Times New Roman" w:cs="Times New Roman"/>
                <w:sz w:val="24"/>
                <w:szCs w:val="24"/>
                <w:lang w:val="ro-MD"/>
              </w:rPr>
              <w:t xml:space="preserve">Pentru a aplica la astfel de proiecte, autoritățile publice locale trebuie să dispună de </w:t>
            </w:r>
            <w:r w:rsidRPr="00F8231E">
              <w:rPr>
                <w:rFonts w:ascii="Times New Roman" w:eastAsia="Times New Roman" w:hAnsi="Times New Roman" w:cs="Times New Roman"/>
                <w:bCs/>
                <w:sz w:val="24"/>
                <w:szCs w:val="24"/>
                <w:lang w:val="ro-MD"/>
              </w:rPr>
              <w:t>capacitate financiară adecvată</w:t>
            </w:r>
            <w:r w:rsidRPr="00CF3436">
              <w:rPr>
                <w:rFonts w:ascii="Times New Roman" w:eastAsia="Times New Roman" w:hAnsi="Times New Roman" w:cs="Times New Roman"/>
                <w:sz w:val="24"/>
                <w:szCs w:val="24"/>
                <w:lang w:val="ro-MD"/>
              </w:rPr>
              <w:t xml:space="preserve"> pentru a acoperi contribuția proprie, în conformitate cu regulamentele programelor de finanțare. Aceasta presupune o gestionare eficientă a resurselor bugetare locale și identificarea oportună a surselor de cofinanțare.</w:t>
            </w:r>
          </w:p>
          <w:p w:rsidR="00CF3436" w:rsidRPr="00CF3436" w:rsidRDefault="00CF3436" w:rsidP="00F8231E">
            <w:pPr>
              <w:spacing w:before="120" w:line="240" w:lineRule="auto"/>
              <w:jc w:val="both"/>
              <w:rPr>
                <w:rFonts w:ascii="Times New Roman" w:eastAsia="Times New Roman" w:hAnsi="Times New Roman" w:cs="Times New Roman"/>
                <w:sz w:val="24"/>
                <w:szCs w:val="24"/>
                <w:lang w:val="ro-MD"/>
              </w:rPr>
            </w:pPr>
            <w:r w:rsidRPr="00CF3436">
              <w:rPr>
                <w:rFonts w:ascii="Times New Roman" w:eastAsia="Times New Roman" w:hAnsi="Times New Roman" w:cs="Times New Roman"/>
                <w:sz w:val="24"/>
                <w:szCs w:val="24"/>
                <w:lang w:val="ro-MD"/>
              </w:rPr>
              <w:t xml:space="preserve">În cazul instituțiilor de învățământ primar și secundar, această situație este complicată de faptul că </w:t>
            </w:r>
            <w:r w:rsidRPr="00F8231E">
              <w:rPr>
                <w:rFonts w:ascii="Times New Roman" w:eastAsia="Times New Roman" w:hAnsi="Times New Roman" w:cs="Times New Roman"/>
                <w:bCs/>
                <w:sz w:val="24"/>
                <w:szCs w:val="24"/>
                <w:lang w:val="ro-MD"/>
              </w:rPr>
              <w:t>fondatorul legal al școlilor este APL II</w:t>
            </w:r>
            <w:r w:rsidRPr="00CF3436">
              <w:rPr>
                <w:rFonts w:ascii="Times New Roman" w:eastAsia="Times New Roman" w:hAnsi="Times New Roman" w:cs="Times New Roman"/>
                <w:sz w:val="24"/>
                <w:szCs w:val="24"/>
                <w:lang w:val="ro-MD"/>
              </w:rPr>
              <w:t xml:space="preserve">, care poartă responsabilitatea pentru funcționarea și infrastructura acestora, în timp ce </w:t>
            </w:r>
            <w:r w:rsidRPr="00F8231E">
              <w:rPr>
                <w:rFonts w:ascii="Times New Roman" w:eastAsia="Times New Roman" w:hAnsi="Times New Roman" w:cs="Times New Roman"/>
                <w:bCs/>
                <w:sz w:val="24"/>
                <w:szCs w:val="24"/>
                <w:lang w:val="ro-MD"/>
              </w:rPr>
              <w:t>APL I este entitatea eligibilă pentru a depune proiecte</w:t>
            </w:r>
            <w:r w:rsidRPr="00CF3436">
              <w:rPr>
                <w:rFonts w:ascii="Times New Roman" w:eastAsia="Times New Roman" w:hAnsi="Times New Roman" w:cs="Times New Roman"/>
                <w:sz w:val="24"/>
                <w:szCs w:val="24"/>
                <w:lang w:val="ro-MD"/>
              </w:rPr>
              <w:t xml:space="preserve">. Pentru a sprijini APL I în accesarea finanțărilor destinate școlilor și pentru a asigura realizarea unui interes comun, se impune crearea unui mecanism care să permită </w:t>
            </w:r>
            <w:r w:rsidRPr="00F8231E">
              <w:rPr>
                <w:rFonts w:ascii="Times New Roman" w:eastAsia="Times New Roman" w:hAnsi="Times New Roman" w:cs="Times New Roman"/>
                <w:bCs/>
                <w:sz w:val="24"/>
                <w:szCs w:val="24"/>
                <w:lang w:val="ro-MD"/>
              </w:rPr>
              <w:t>APL II să transfere sume cu destinație specială către APL I</w:t>
            </w:r>
            <w:r w:rsidRPr="00CF3436">
              <w:rPr>
                <w:rFonts w:ascii="Times New Roman" w:eastAsia="Times New Roman" w:hAnsi="Times New Roman" w:cs="Times New Roman"/>
                <w:sz w:val="24"/>
                <w:szCs w:val="24"/>
                <w:lang w:val="ro-MD"/>
              </w:rPr>
              <w:t>, exclusiv pentru acoperirea contribuției financiare necesare implementării proiectelor investiționale.</w:t>
            </w:r>
          </w:p>
          <w:p w:rsidR="00C459A6" w:rsidRPr="00F8231E" w:rsidRDefault="00CF3436" w:rsidP="00F8231E">
            <w:pPr>
              <w:spacing w:before="120" w:after="0" w:line="240" w:lineRule="auto"/>
              <w:jc w:val="both"/>
              <w:rPr>
                <w:rFonts w:ascii="Times New Roman" w:eastAsia="Times New Roman" w:hAnsi="Times New Roman" w:cs="Times New Roman"/>
                <w:sz w:val="24"/>
                <w:szCs w:val="24"/>
                <w:lang w:val="ro-MD"/>
              </w:rPr>
            </w:pPr>
            <w:r w:rsidRPr="00CF3436">
              <w:rPr>
                <w:rFonts w:ascii="Times New Roman" w:eastAsia="Times New Roman" w:hAnsi="Times New Roman" w:cs="Times New Roman"/>
                <w:sz w:val="24"/>
                <w:szCs w:val="24"/>
                <w:lang w:val="ro-MD"/>
              </w:rPr>
              <w:t>Această dualitate instituțională creează situația specifică în care:</w:t>
            </w:r>
          </w:p>
          <w:p w:rsidR="00C459A6" w:rsidRPr="00F8231E" w:rsidRDefault="00CF3436" w:rsidP="00F8231E">
            <w:pPr>
              <w:pStyle w:val="ListParagraph"/>
              <w:numPr>
                <w:ilvl w:val="0"/>
                <w:numId w:val="11"/>
              </w:numPr>
              <w:spacing w:after="0" w:line="240" w:lineRule="auto"/>
              <w:ind w:left="669" w:hanging="357"/>
              <w:contextualSpacing w:val="0"/>
              <w:jc w:val="both"/>
              <w:rPr>
                <w:rFonts w:ascii="Times New Roman" w:eastAsia="Times New Roman" w:hAnsi="Times New Roman" w:cs="Times New Roman"/>
                <w:sz w:val="24"/>
                <w:szCs w:val="24"/>
                <w:lang w:val="ro-MD"/>
              </w:rPr>
            </w:pPr>
            <w:r w:rsidRPr="00F8231E">
              <w:rPr>
                <w:rFonts w:ascii="Times New Roman" w:eastAsia="Times New Roman" w:hAnsi="Times New Roman" w:cs="Times New Roman"/>
                <w:sz w:val="24"/>
                <w:szCs w:val="24"/>
                <w:lang w:val="ro-MD"/>
              </w:rPr>
              <w:t>APL I este eligibilă și poate aplica la proiecte;</w:t>
            </w:r>
          </w:p>
          <w:p w:rsidR="00C459A6" w:rsidRPr="00F8231E" w:rsidRDefault="00CF3436" w:rsidP="00F8231E">
            <w:pPr>
              <w:pStyle w:val="ListParagraph"/>
              <w:numPr>
                <w:ilvl w:val="0"/>
                <w:numId w:val="11"/>
              </w:numPr>
              <w:spacing w:after="0" w:line="240" w:lineRule="auto"/>
              <w:ind w:left="669" w:hanging="357"/>
              <w:contextualSpacing w:val="0"/>
              <w:jc w:val="both"/>
              <w:rPr>
                <w:rFonts w:ascii="Times New Roman" w:eastAsia="Times New Roman" w:hAnsi="Times New Roman" w:cs="Times New Roman"/>
                <w:sz w:val="24"/>
                <w:szCs w:val="24"/>
                <w:lang w:val="ro-MD"/>
              </w:rPr>
            </w:pPr>
            <w:r w:rsidRPr="00F8231E">
              <w:rPr>
                <w:rFonts w:ascii="Times New Roman" w:eastAsia="Times New Roman" w:hAnsi="Times New Roman" w:cs="Times New Roman"/>
                <w:sz w:val="24"/>
                <w:szCs w:val="24"/>
                <w:lang w:val="ro-MD"/>
              </w:rPr>
              <w:t>APL II este responsabilă de instituția vizată;</w:t>
            </w:r>
          </w:p>
          <w:p w:rsidR="00C459A6" w:rsidRPr="00F8231E" w:rsidRDefault="00CF3436" w:rsidP="00F8231E">
            <w:pPr>
              <w:pStyle w:val="ListParagraph"/>
              <w:numPr>
                <w:ilvl w:val="0"/>
                <w:numId w:val="11"/>
              </w:numPr>
              <w:spacing w:after="0" w:line="240" w:lineRule="auto"/>
              <w:ind w:left="669" w:hanging="357"/>
              <w:contextualSpacing w:val="0"/>
              <w:jc w:val="both"/>
              <w:rPr>
                <w:rFonts w:ascii="Times New Roman" w:eastAsia="Times New Roman" w:hAnsi="Times New Roman" w:cs="Times New Roman"/>
                <w:sz w:val="24"/>
                <w:szCs w:val="24"/>
                <w:lang w:val="ro-MD"/>
              </w:rPr>
            </w:pPr>
            <w:r w:rsidRPr="00F8231E">
              <w:rPr>
                <w:rFonts w:ascii="Times New Roman" w:eastAsia="Times New Roman" w:hAnsi="Times New Roman" w:cs="Times New Roman"/>
                <w:sz w:val="24"/>
                <w:szCs w:val="24"/>
                <w:lang w:val="ro-MD"/>
              </w:rPr>
              <w:t>proiectele sunt de interes comun pentru ambele niveluri administrative;</w:t>
            </w:r>
          </w:p>
          <w:p w:rsidR="00CF3436" w:rsidRPr="00F8231E" w:rsidRDefault="00CF3436" w:rsidP="00F8231E">
            <w:pPr>
              <w:pStyle w:val="ListParagraph"/>
              <w:numPr>
                <w:ilvl w:val="0"/>
                <w:numId w:val="11"/>
              </w:numPr>
              <w:spacing w:after="0" w:line="240" w:lineRule="auto"/>
              <w:ind w:left="669" w:hanging="357"/>
              <w:contextualSpacing w:val="0"/>
              <w:jc w:val="both"/>
              <w:rPr>
                <w:rFonts w:ascii="Times New Roman" w:eastAsia="Times New Roman" w:hAnsi="Times New Roman" w:cs="Times New Roman"/>
                <w:sz w:val="24"/>
                <w:szCs w:val="24"/>
                <w:lang w:val="ro-MD"/>
              </w:rPr>
            </w:pPr>
            <w:r w:rsidRPr="00F8231E">
              <w:rPr>
                <w:rFonts w:ascii="Times New Roman" w:eastAsia="Times New Roman" w:hAnsi="Times New Roman" w:cs="Times New Roman"/>
                <w:sz w:val="24"/>
                <w:szCs w:val="24"/>
                <w:lang w:val="ro-MD"/>
              </w:rPr>
              <w:t>APL I trebuie să asigure contribuția financiară proprie, ceea ce nu este întotdeauna posibil din cauza capacității sale financiare limitate.</w:t>
            </w:r>
          </w:p>
          <w:p w:rsidR="00C459A6" w:rsidRPr="00F8231E" w:rsidRDefault="00CF3436" w:rsidP="00F8231E">
            <w:pPr>
              <w:spacing w:before="120" w:after="0" w:line="240" w:lineRule="auto"/>
              <w:jc w:val="both"/>
              <w:rPr>
                <w:rFonts w:ascii="Times New Roman" w:eastAsia="Times New Roman" w:hAnsi="Times New Roman" w:cs="Times New Roman"/>
                <w:sz w:val="24"/>
                <w:szCs w:val="24"/>
                <w:lang w:val="ro-MD"/>
              </w:rPr>
            </w:pPr>
            <w:r w:rsidRPr="00CF3436">
              <w:rPr>
                <w:rFonts w:ascii="Times New Roman" w:eastAsia="Times New Roman" w:hAnsi="Times New Roman" w:cs="Times New Roman"/>
                <w:sz w:val="24"/>
                <w:szCs w:val="24"/>
                <w:lang w:val="ro-MD"/>
              </w:rPr>
              <w:t>Lipsa unui mecanism normativ care să permită APL II să susțină APL I în astfel de situații generează o serie de consecințe negative:</w:t>
            </w:r>
          </w:p>
          <w:p w:rsidR="00C459A6" w:rsidRPr="00F8231E" w:rsidRDefault="0002323B" w:rsidP="00F8231E">
            <w:pPr>
              <w:pStyle w:val="ListParagraph"/>
              <w:numPr>
                <w:ilvl w:val="0"/>
                <w:numId w:val="11"/>
              </w:numPr>
              <w:spacing w:after="0" w:line="240" w:lineRule="auto"/>
              <w:ind w:left="669" w:hanging="357"/>
              <w:contextualSpacing w:val="0"/>
              <w:jc w:val="both"/>
              <w:rPr>
                <w:rFonts w:ascii="Times New Roman" w:eastAsia="Times New Roman" w:hAnsi="Times New Roman" w:cs="Times New Roman"/>
                <w:sz w:val="24"/>
                <w:szCs w:val="24"/>
                <w:lang w:val="ro-MD"/>
              </w:rPr>
            </w:pPr>
            <w:r w:rsidRPr="00F8231E">
              <w:rPr>
                <w:rFonts w:ascii="Times New Roman" w:eastAsia="Times New Roman" w:hAnsi="Times New Roman" w:cs="Times New Roman"/>
                <w:sz w:val="24"/>
                <w:szCs w:val="24"/>
                <w:lang w:val="ro-MD"/>
              </w:rPr>
              <w:t xml:space="preserve">riscul </w:t>
            </w:r>
            <w:r w:rsidR="00CF3436" w:rsidRPr="00F8231E">
              <w:rPr>
                <w:rFonts w:ascii="Times New Roman" w:eastAsia="Times New Roman" w:hAnsi="Times New Roman" w:cs="Times New Roman"/>
                <w:sz w:val="24"/>
                <w:szCs w:val="24"/>
                <w:lang w:val="ro-MD"/>
              </w:rPr>
              <w:t>neimplement</w:t>
            </w:r>
            <w:r w:rsidRPr="00F8231E">
              <w:rPr>
                <w:rFonts w:ascii="Times New Roman" w:eastAsia="Times New Roman" w:hAnsi="Times New Roman" w:cs="Times New Roman"/>
                <w:sz w:val="24"/>
                <w:szCs w:val="24"/>
                <w:lang w:val="ro-MD"/>
              </w:rPr>
              <w:t>ării</w:t>
            </w:r>
            <w:r w:rsidR="00CF3436" w:rsidRPr="00F8231E">
              <w:rPr>
                <w:rFonts w:ascii="Times New Roman" w:eastAsia="Times New Roman" w:hAnsi="Times New Roman" w:cs="Times New Roman"/>
                <w:sz w:val="24"/>
                <w:szCs w:val="24"/>
                <w:lang w:val="ro-MD"/>
              </w:rPr>
              <w:t xml:space="preserve"> proiectelor aprobate;</w:t>
            </w:r>
          </w:p>
          <w:p w:rsidR="00C459A6" w:rsidRPr="00F8231E" w:rsidRDefault="00CF3436" w:rsidP="00F8231E">
            <w:pPr>
              <w:pStyle w:val="ListParagraph"/>
              <w:numPr>
                <w:ilvl w:val="0"/>
                <w:numId w:val="11"/>
              </w:numPr>
              <w:spacing w:after="0" w:line="240" w:lineRule="auto"/>
              <w:ind w:left="669" w:hanging="357"/>
              <w:contextualSpacing w:val="0"/>
              <w:jc w:val="both"/>
              <w:rPr>
                <w:rFonts w:ascii="Times New Roman" w:eastAsia="Times New Roman" w:hAnsi="Times New Roman" w:cs="Times New Roman"/>
                <w:sz w:val="24"/>
                <w:szCs w:val="24"/>
                <w:lang w:val="ro-MD"/>
              </w:rPr>
            </w:pPr>
            <w:r w:rsidRPr="00F8231E">
              <w:rPr>
                <w:rFonts w:ascii="Times New Roman" w:eastAsia="Times New Roman" w:hAnsi="Times New Roman" w:cs="Times New Roman"/>
                <w:sz w:val="24"/>
                <w:szCs w:val="24"/>
                <w:lang w:val="ro-MD"/>
              </w:rPr>
              <w:t>blocarea investițiilor esențiale în infrastructura școlară;</w:t>
            </w:r>
          </w:p>
          <w:p w:rsidR="00C459A6" w:rsidRPr="00F8231E" w:rsidRDefault="00CF3436" w:rsidP="00F8231E">
            <w:pPr>
              <w:pStyle w:val="ListParagraph"/>
              <w:numPr>
                <w:ilvl w:val="0"/>
                <w:numId w:val="11"/>
              </w:numPr>
              <w:spacing w:after="0" w:line="240" w:lineRule="auto"/>
              <w:ind w:left="669" w:hanging="357"/>
              <w:contextualSpacing w:val="0"/>
              <w:jc w:val="both"/>
              <w:rPr>
                <w:rFonts w:ascii="Times New Roman" w:eastAsia="Times New Roman" w:hAnsi="Times New Roman" w:cs="Times New Roman"/>
                <w:sz w:val="24"/>
                <w:szCs w:val="24"/>
                <w:lang w:val="ro-MD"/>
              </w:rPr>
            </w:pPr>
            <w:r w:rsidRPr="00F8231E">
              <w:rPr>
                <w:rFonts w:ascii="Times New Roman" w:eastAsia="Times New Roman" w:hAnsi="Times New Roman" w:cs="Times New Roman"/>
                <w:sz w:val="24"/>
                <w:szCs w:val="24"/>
                <w:lang w:val="ro-MD"/>
              </w:rPr>
              <w:t>riscuri de pierdere a finanțărilor naționale</w:t>
            </w:r>
            <w:r w:rsidR="0002323B" w:rsidRPr="00F8231E">
              <w:rPr>
                <w:rFonts w:ascii="Times New Roman" w:eastAsia="Times New Roman" w:hAnsi="Times New Roman" w:cs="Times New Roman"/>
                <w:sz w:val="24"/>
                <w:szCs w:val="24"/>
                <w:lang w:val="ro-MD"/>
              </w:rPr>
              <w:t>/externe</w:t>
            </w:r>
            <w:r w:rsidRPr="00F8231E">
              <w:rPr>
                <w:rFonts w:ascii="Times New Roman" w:eastAsia="Times New Roman" w:hAnsi="Times New Roman" w:cs="Times New Roman"/>
                <w:sz w:val="24"/>
                <w:szCs w:val="24"/>
                <w:lang w:val="ro-MD"/>
              </w:rPr>
              <w:t>;</w:t>
            </w:r>
          </w:p>
          <w:p w:rsidR="00C459A6" w:rsidRPr="00F8231E" w:rsidRDefault="00CF3436" w:rsidP="00F8231E">
            <w:pPr>
              <w:pStyle w:val="ListParagraph"/>
              <w:numPr>
                <w:ilvl w:val="0"/>
                <w:numId w:val="11"/>
              </w:numPr>
              <w:spacing w:after="0" w:line="240" w:lineRule="auto"/>
              <w:ind w:left="669" w:hanging="357"/>
              <w:contextualSpacing w:val="0"/>
              <w:jc w:val="both"/>
              <w:rPr>
                <w:rFonts w:ascii="Times New Roman" w:eastAsia="Times New Roman" w:hAnsi="Times New Roman" w:cs="Times New Roman"/>
                <w:sz w:val="24"/>
                <w:szCs w:val="24"/>
                <w:lang w:val="ro-MD"/>
              </w:rPr>
            </w:pPr>
            <w:r w:rsidRPr="00F8231E">
              <w:rPr>
                <w:rFonts w:ascii="Times New Roman" w:eastAsia="Times New Roman" w:hAnsi="Times New Roman" w:cs="Times New Roman"/>
                <w:sz w:val="24"/>
                <w:szCs w:val="24"/>
                <w:lang w:val="ro-MD"/>
              </w:rPr>
              <w:t>adâncirea inechităților teritoriale între comunitățile cu capacitate financiară diferită;</w:t>
            </w:r>
          </w:p>
          <w:p w:rsidR="00CF3436" w:rsidRPr="00F8231E" w:rsidRDefault="00CF3436" w:rsidP="00F8231E">
            <w:pPr>
              <w:pStyle w:val="ListParagraph"/>
              <w:numPr>
                <w:ilvl w:val="0"/>
                <w:numId w:val="11"/>
              </w:numPr>
              <w:spacing w:after="0" w:line="240" w:lineRule="auto"/>
              <w:ind w:left="669" w:hanging="357"/>
              <w:contextualSpacing w:val="0"/>
              <w:jc w:val="both"/>
              <w:rPr>
                <w:rFonts w:ascii="Times New Roman" w:eastAsia="Times New Roman" w:hAnsi="Times New Roman" w:cs="Times New Roman"/>
                <w:sz w:val="24"/>
                <w:szCs w:val="24"/>
                <w:lang w:val="ro-MD"/>
              </w:rPr>
            </w:pPr>
            <w:r w:rsidRPr="00F8231E">
              <w:rPr>
                <w:rFonts w:ascii="Times New Roman" w:eastAsia="Times New Roman" w:hAnsi="Times New Roman" w:cs="Times New Roman"/>
                <w:sz w:val="24"/>
                <w:szCs w:val="24"/>
                <w:lang w:val="ro-MD"/>
              </w:rPr>
              <w:t>imposibilitatea modernizării infrastructurii școlare într-un ritm uniform la nivel național.</w:t>
            </w:r>
          </w:p>
          <w:p w:rsidR="000E4806" w:rsidRPr="00F8231E" w:rsidRDefault="00CF3436" w:rsidP="00F8231E">
            <w:pPr>
              <w:spacing w:before="120" w:line="240" w:lineRule="auto"/>
              <w:jc w:val="both"/>
              <w:rPr>
                <w:rFonts w:ascii="Times New Roman" w:eastAsia="Times New Roman" w:hAnsi="Times New Roman" w:cs="Times New Roman"/>
                <w:sz w:val="24"/>
                <w:szCs w:val="24"/>
                <w:lang w:val="ro-MD"/>
              </w:rPr>
            </w:pPr>
            <w:r w:rsidRPr="00CF3436">
              <w:rPr>
                <w:rFonts w:ascii="Times New Roman" w:eastAsia="Times New Roman" w:hAnsi="Times New Roman" w:cs="Times New Roman"/>
                <w:sz w:val="24"/>
                <w:szCs w:val="24"/>
                <w:lang w:val="ro-MD"/>
              </w:rPr>
              <w:t>Astfel, instituirea unui mecanism clar de colaborare financiară între APL I și APL II este indispensabilă pentru valorificarea fondurilor disponibile și pentru dezvoltarea echitabilă a infrastructurii educaționale.</w:t>
            </w:r>
          </w:p>
        </w:tc>
      </w:tr>
      <w:tr w:rsidR="00C264FF" w:rsidRPr="00F8231E" w:rsidTr="00142E43">
        <w:trPr>
          <w:trHeight w:val="1"/>
        </w:trPr>
        <w:tc>
          <w:tcPr>
            <w:tcW w:w="9781" w:type="dxa"/>
            <w:tcBorders>
              <w:top w:val="single" w:sz="4" w:space="0" w:color="000000"/>
              <w:left w:val="single" w:sz="4" w:space="0" w:color="000000"/>
              <w:bottom w:val="single" w:sz="4" w:space="0" w:color="000000"/>
              <w:right w:val="single" w:sz="4" w:space="0" w:color="000000"/>
            </w:tcBorders>
            <w:shd w:val="clear" w:color="auto" w:fill="3D85C6"/>
          </w:tcPr>
          <w:p w:rsidR="00C264FF" w:rsidRPr="00F8231E" w:rsidRDefault="00BB3AA2" w:rsidP="00F8231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right="141"/>
              <w:rPr>
                <w:rFonts w:ascii="Times New Roman" w:eastAsia="Times New Roman" w:hAnsi="Times New Roman" w:cs="Times New Roman"/>
                <w:b/>
                <w:color w:val="000000"/>
                <w:sz w:val="24"/>
                <w:szCs w:val="24"/>
                <w:lang w:val="ro-MD"/>
              </w:rPr>
            </w:pPr>
            <w:r w:rsidRPr="00F8231E">
              <w:rPr>
                <w:rFonts w:ascii="Times New Roman" w:eastAsia="Times New Roman" w:hAnsi="Times New Roman" w:cs="Times New Roman"/>
                <w:b/>
                <w:color w:val="000000"/>
                <w:sz w:val="24"/>
                <w:szCs w:val="24"/>
                <w:lang w:val="ro-MD"/>
              </w:rPr>
              <w:lastRenderedPageBreak/>
              <w:t xml:space="preserve">3. </w:t>
            </w:r>
            <w:r w:rsidRPr="00F8231E">
              <w:rPr>
                <w:rFonts w:ascii="Times New Roman" w:eastAsia="Times New Roman" w:hAnsi="Times New Roman" w:cs="Times New Roman"/>
                <w:b/>
                <w:sz w:val="24"/>
                <w:szCs w:val="24"/>
                <w:lang w:val="ro-MD"/>
              </w:rPr>
              <w:t>Obiectivele urmărite și soluțiile propuse</w:t>
            </w:r>
          </w:p>
        </w:tc>
      </w:tr>
      <w:tr w:rsidR="00C264FF" w:rsidRPr="00F8231E" w:rsidTr="00142E43">
        <w:trPr>
          <w:trHeight w:val="1"/>
        </w:trPr>
        <w:tc>
          <w:tcPr>
            <w:tcW w:w="9781" w:type="dxa"/>
            <w:tcBorders>
              <w:top w:val="single" w:sz="4" w:space="0" w:color="000000"/>
              <w:left w:val="single" w:sz="4" w:space="0" w:color="000000"/>
              <w:bottom w:val="single" w:sz="4" w:space="0" w:color="000000"/>
              <w:right w:val="single" w:sz="4" w:space="0" w:color="000000"/>
            </w:tcBorders>
            <w:shd w:val="clear" w:color="auto" w:fill="A4C2F4"/>
          </w:tcPr>
          <w:p w:rsidR="00C264FF" w:rsidRPr="00F8231E" w:rsidRDefault="00BB3AA2" w:rsidP="00F8231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right="141"/>
              <w:rPr>
                <w:rFonts w:ascii="Times New Roman" w:eastAsia="Times New Roman" w:hAnsi="Times New Roman" w:cs="Times New Roman"/>
                <w:b/>
                <w:color w:val="000000"/>
                <w:sz w:val="24"/>
                <w:szCs w:val="24"/>
                <w:lang w:val="ro-MD"/>
              </w:rPr>
            </w:pPr>
            <w:r w:rsidRPr="00F8231E">
              <w:rPr>
                <w:rFonts w:ascii="Times New Roman" w:eastAsia="Times New Roman" w:hAnsi="Times New Roman" w:cs="Times New Roman"/>
                <w:b/>
                <w:sz w:val="24"/>
                <w:szCs w:val="24"/>
                <w:lang w:val="ro-MD"/>
              </w:rPr>
              <w:t>3.1. Principalele prevederi ale proiectului și evidențierea elementelor noi</w:t>
            </w:r>
          </w:p>
        </w:tc>
      </w:tr>
      <w:tr w:rsidR="00C264FF" w:rsidRPr="00F8231E" w:rsidTr="00142E43">
        <w:trPr>
          <w:trHeight w:val="1"/>
        </w:trPr>
        <w:tc>
          <w:tcPr>
            <w:tcW w:w="9781" w:type="dxa"/>
            <w:tcBorders>
              <w:top w:val="single" w:sz="4" w:space="0" w:color="000000"/>
              <w:left w:val="single" w:sz="4" w:space="0" w:color="000000"/>
              <w:bottom w:val="single" w:sz="4" w:space="0" w:color="000000"/>
              <w:right w:val="single" w:sz="4" w:space="0" w:color="000000"/>
            </w:tcBorders>
          </w:tcPr>
          <w:p w:rsidR="00801CAB" w:rsidRPr="00F8231E" w:rsidRDefault="00801CAB" w:rsidP="00F8231E">
            <w:pPr>
              <w:pStyle w:val="NormalWeb"/>
              <w:spacing w:before="120" w:after="120"/>
            </w:pPr>
            <w:r w:rsidRPr="00F8231E">
              <w:t xml:space="preserve">Proiectul de Hotărâre a Guvernului propune modificarea Anexei nr. 1 și Anexei nr. 2 la Hotărârea Guvernului nr. 868/2014, cu scopul de a corela mecanismul de finanțare per elev cu </w:t>
            </w:r>
            <w:r w:rsidRPr="00F8231E">
              <w:lastRenderedPageBreak/>
              <w:t>modificările introduse de Legea nr. 305/2024 privind salarizarea personalului didactic, precum și de a crea un instrument financiar suplimentar destinat sprijinirii implementării proiectelor investiționale la nivel local. Principalele prevederi sunt următoarele:</w:t>
            </w:r>
          </w:p>
          <w:p w:rsidR="00801CAB" w:rsidRPr="00F8231E" w:rsidRDefault="00801CAB" w:rsidP="00F8231E">
            <w:pPr>
              <w:pStyle w:val="NormalWeb"/>
              <w:spacing w:before="120" w:after="120"/>
            </w:pPr>
            <w:r w:rsidRPr="00F8231E">
              <w:t xml:space="preserve">Se modifică </w:t>
            </w:r>
            <w:r w:rsidRPr="00F8231E">
              <w:t xml:space="preserve">în Anexa nr. 1 </w:t>
            </w:r>
            <w:r w:rsidRPr="00F8231E">
              <w:t>punctul 6 subpunctul 2</w:t>
            </w:r>
            <w:r w:rsidRPr="00F8231E">
              <w:rPr>
                <w:vertAlign w:val="superscript"/>
              </w:rPr>
              <w:t>1</w:t>
            </w:r>
            <w:r w:rsidRPr="00F8231E">
              <w:t xml:space="preserve">) și punctul 7 subpunctul 3) pentru a introduce formule noi, care reflectă mecanismul actual de salarizare bazat pe </w:t>
            </w:r>
            <w:r w:rsidRPr="00F8231E">
              <w:rPr>
                <w:rStyle w:val="Strong"/>
                <w:b w:val="0"/>
              </w:rPr>
              <w:t>sume fixe pentru gradele didactice</w:t>
            </w:r>
            <w:r w:rsidRPr="00F8231E">
              <w:t>, în conformitate cu Legea nr. 305/2024.</w:t>
            </w:r>
          </w:p>
          <w:p w:rsidR="00801CAB" w:rsidRPr="00F8231E" w:rsidRDefault="00801CAB" w:rsidP="00E84D89">
            <w:pPr>
              <w:pStyle w:val="Heading3"/>
              <w:spacing w:before="120" w:after="0" w:line="240" w:lineRule="auto"/>
              <w:rPr>
                <w:rFonts w:ascii="Times New Roman" w:hAnsi="Times New Roman" w:cs="Times New Roman"/>
                <w:sz w:val="24"/>
                <w:szCs w:val="24"/>
              </w:rPr>
            </w:pPr>
            <w:r w:rsidRPr="00F8231E">
              <w:rPr>
                <w:rStyle w:val="Strong"/>
                <w:rFonts w:ascii="Times New Roman" w:hAnsi="Times New Roman" w:cs="Times New Roman"/>
                <w:bCs w:val="0"/>
                <w:sz w:val="24"/>
                <w:szCs w:val="24"/>
              </w:rPr>
              <w:t>Elemente noi:</w:t>
            </w:r>
          </w:p>
          <w:p w:rsidR="00801CAB" w:rsidRPr="00F8231E" w:rsidRDefault="00801CAB" w:rsidP="00E84D89">
            <w:pPr>
              <w:pStyle w:val="NormalWeb"/>
              <w:numPr>
                <w:ilvl w:val="0"/>
                <w:numId w:val="13"/>
              </w:numPr>
              <w:ind w:left="714" w:hanging="357"/>
              <w:jc w:val="left"/>
            </w:pPr>
            <w:r w:rsidRPr="00F8231E">
              <w:t xml:space="preserve">Eliminarea referințelor la „clase de salarizare suplimentare”, înlocuite cu sporurile </w:t>
            </w:r>
            <w:r w:rsidRPr="00F8231E">
              <w:rPr>
                <w:rStyle w:val="Strong"/>
                <w:b w:val="0"/>
              </w:rPr>
              <w:t>fixe</w:t>
            </w:r>
            <w:r w:rsidRPr="00F8231E">
              <w:t xml:space="preserve"> prevăzute de legislația în vigoare (</w:t>
            </w:r>
            <w:proofErr w:type="spellStart"/>
            <w:r w:rsidRPr="00F8231E">
              <w:t>Ps</w:t>
            </w:r>
            <w:proofErr w:type="spellEnd"/>
            <w:r w:rsidRPr="00F8231E">
              <w:t>, P1, P2).</w:t>
            </w:r>
          </w:p>
          <w:p w:rsidR="00801CAB" w:rsidRPr="00F8231E" w:rsidRDefault="00801CAB" w:rsidP="00E84D89">
            <w:pPr>
              <w:pStyle w:val="NormalWeb"/>
              <w:numPr>
                <w:ilvl w:val="0"/>
                <w:numId w:val="13"/>
              </w:numPr>
              <w:ind w:left="714" w:hanging="357"/>
              <w:jc w:val="left"/>
            </w:pPr>
            <w:r w:rsidRPr="00F8231E">
              <w:t>Ajustarea</w:t>
            </w:r>
            <w:r w:rsidRPr="00F8231E">
              <w:t xml:space="preserve"> formule</w:t>
            </w:r>
            <w:r w:rsidRPr="00F8231E">
              <w:t>lor</w:t>
            </w:r>
            <w:r w:rsidRPr="00F8231E">
              <w:t xml:space="preserve"> de calcul al alocațiilor, aplicabile atât la nivelul unității administrativ-teritoriale (UTA), cât și la nivelul fiecărei instituții de învățământ.</w:t>
            </w:r>
          </w:p>
          <w:p w:rsidR="00801CAB" w:rsidRPr="00F8231E" w:rsidRDefault="00801CAB" w:rsidP="00F8231E">
            <w:pPr>
              <w:pStyle w:val="NormalWeb"/>
              <w:spacing w:before="120" w:after="120"/>
            </w:pPr>
            <w:r w:rsidRPr="00F8231E">
              <w:t>Aceste modificări permit calcularea transparentă și uniformă a necesarului de resurse financiare pentru salarizarea cadrelor didactice cu grade didactice, în conformitate cu noul sistem de salarizare.</w:t>
            </w:r>
          </w:p>
          <w:p w:rsidR="00801CAB" w:rsidRPr="00F8231E" w:rsidRDefault="00801CAB" w:rsidP="00F8231E">
            <w:pPr>
              <w:pStyle w:val="Heading3"/>
              <w:spacing w:before="120" w:after="120" w:line="240" w:lineRule="auto"/>
              <w:jc w:val="both"/>
              <w:rPr>
                <w:rFonts w:ascii="Times New Roman" w:hAnsi="Times New Roman" w:cs="Times New Roman"/>
                <w:b w:val="0"/>
                <w:sz w:val="24"/>
                <w:szCs w:val="24"/>
              </w:rPr>
            </w:pPr>
            <w:r w:rsidRPr="00F8231E">
              <w:rPr>
                <w:rStyle w:val="Strong"/>
                <w:rFonts w:ascii="Times New Roman" w:hAnsi="Times New Roman" w:cs="Times New Roman"/>
                <w:bCs w:val="0"/>
                <w:sz w:val="24"/>
                <w:szCs w:val="24"/>
              </w:rPr>
              <w:t xml:space="preserve">O altă modificare se referă la punctul 5 din Anexa nr.2. </w:t>
            </w:r>
            <w:r w:rsidRPr="00F8231E">
              <w:rPr>
                <w:rFonts w:ascii="Times New Roman" w:hAnsi="Times New Roman" w:cs="Times New Roman"/>
                <w:b w:val="0"/>
                <w:sz w:val="24"/>
                <w:szCs w:val="24"/>
              </w:rPr>
              <w:t xml:space="preserve">Se modifică textul introductiv, prin extinderea domeniilor de finanțare de la „1)-5)” la </w:t>
            </w:r>
            <w:r w:rsidRPr="00F8231E">
              <w:rPr>
                <w:rStyle w:val="Strong"/>
                <w:rFonts w:ascii="Times New Roman" w:hAnsi="Times New Roman" w:cs="Times New Roman"/>
                <w:sz w:val="24"/>
                <w:szCs w:val="24"/>
              </w:rPr>
              <w:t>„1)-6)”</w:t>
            </w:r>
            <w:r w:rsidRPr="00F8231E">
              <w:rPr>
                <w:rFonts w:ascii="Times New Roman" w:hAnsi="Times New Roman" w:cs="Times New Roman"/>
                <w:b w:val="0"/>
                <w:sz w:val="24"/>
                <w:szCs w:val="24"/>
              </w:rPr>
              <w:t xml:space="preserve">, și se introduce un </w:t>
            </w:r>
            <w:r w:rsidRPr="00F8231E">
              <w:rPr>
                <w:rStyle w:val="Strong"/>
                <w:rFonts w:ascii="Times New Roman" w:hAnsi="Times New Roman" w:cs="Times New Roman"/>
                <w:sz w:val="24"/>
                <w:szCs w:val="24"/>
              </w:rPr>
              <w:t>alineat nou (6)</w:t>
            </w:r>
            <w:r w:rsidRPr="00F8231E">
              <w:rPr>
                <w:rFonts w:ascii="Times New Roman" w:hAnsi="Times New Roman" w:cs="Times New Roman"/>
                <w:b w:val="0"/>
                <w:sz w:val="24"/>
                <w:szCs w:val="24"/>
              </w:rPr>
              <w:t xml:space="preserve"> privind susținerea autorităților publice locale de nivelul I.</w:t>
            </w:r>
          </w:p>
          <w:p w:rsidR="00801CAB" w:rsidRPr="00F8231E" w:rsidRDefault="00801CAB" w:rsidP="00E84D89">
            <w:pPr>
              <w:pStyle w:val="Heading3"/>
              <w:spacing w:before="120" w:after="0" w:line="240" w:lineRule="auto"/>
              <w:jc w:val="both"/>
              <w:rPr>
                <w:rFonts w:ascii="Times New Roman" w:hAnsi="Times New Roman" w:cs="Times New Roman"/>
                <w:sz w:val="24"/>
                <w:szCs w:val="24"/>
              </w:rPr>
            </w:pPr>
            <w:r w:rsidRPr="00F8231E">
              <w:rPr>
                <w:rStyle w:val="Strong"/>
                <w:rFonts w:ascii="Times New Roman" w:hAnsi="Times New Roman" w:cs="Times New Roman"/>
                <w:bCs w:val="0"/>
                <w:sz w:val="24"/>
                <w:szCs w:val="24"/>
              </w:rPr>
              <w:t>Elemente noi:</w:t>
            </w:r>
          </w:p>
          <w:p w:rsidR="00801CAB" w:rsidRPr="00F8231E" w:rsidRDefault="00801CAB" w:rsidP="00E84D89">
            <w:pPr>
              <w:pStyle w:val="NormalWeb"/>
              <w:numPr>
                <w:ilvl w:val="0"/>
                <w:numId w:val="14"/>
              </w:numPr>
              <w:ind w:left="714" w:hanging="357"/>
            </w:pPr>
            <w:r w:rsidRPr="00F8231E">
              <w:t xml:space="preserve">Oferirea posibilității de a </w:t>
            </w:r>
            <w:r w:rsidRPr="00F8231E">
              <w:rPr>
                <w:rStyle w:val="Strong"/>
                <w:b w:val="0"/>
              </w:rPr>
              <w:t xml:space="preserve">sprijini </w:t>
            </w:r>
            <w:r w:rsidRPr="00F8231E">
              <w:rPr>
                <w:rStyle w:val="Strong"/>
                <w:b w:val="0"/>
              </w:rPr>
              <w:t>APL I</w:t>
            </w:r>
            <w:r w:rsidRPr="00F8231E">
              <w:rPr>
                <w:rStyle w:val="Strong"/>
                <w:b w:val="0"/>
              </w:rPr>
              <w:t xml:space="preserve"> din resursele acumulate în componenta administrativ-teritorială </w:t>
            </w:r>
            <w:r w:rsidRPr="00F8231E">
              <w:rPr>
                <w:rStyle w:val="Strong"/>
                <w:b w:val="0"/>
              </w:rPr>
              <w:t>în asigurarea contribuției financiare proprii pentru proiecte investiționale destinate instituțiilor de învățământ primar și secundar aflate în subordinea APL II</w:t>
            </w:r>
            <w:r w:rsidRPr="00F8231E">
              <w:rPr>
                <w:b/>
              </w:rPr>
              <w:t>;</w:t>
            </w:r>
          </w:p>
          <w:p w:rsidR="00801CAB" w:rsidRPr="00F8231E" w:rsidRDefault="00801CAB" w:rsidP="00E84D89">
            <w:pPr>
              <w:pStyle w:val="NormalWeb"/>
              <w:numPr>
                <w:ilvl w:val="0"/>
                <w:numId w:val="14"/>
              </w:numPr>
              <w:ind w:left="714" w:hanging="357"/>
            </w:pPr>
            <w:r w:rsidRPr="00F8231E">
              <w:t>Aceste completări vor</w:t>
            </w:r>
            <w:r w:rsidRPr="00F8231E">
              <w:t xml:space="preserve"> </w:t>
            </w:r>
            <w:r w:rsidRPr="00F8231E">
              <w:t>e</w:t>
            </w:r>
            <w:r w:rsidRPr="00F8231E">
              <w:t>vita blocajel</w:t>
            </w:r>
            <w:r w:rsidRPr="00F8231E">
              <w:t>e</w:t>
            </w:r>
            <w:r w:rsidRPr="00F8231E">
              <w:t xml:space="preserve"> administrative</w:t>
            </w:r>
            <w:r w:rsidRPr="00F8231E">
              <w:t xml:space="preserve"> și vor </w:t>
            </w:r>
            <w:r w:rsidRPr="00F8231E">
              <w:t xml:space="preserve">permite valorificarea eficientă a fondurilor naționale și internaționale, </w:t>
            </w:r>
            <w:r w:rsidRPr="00F8231E">
              <w:t>ce ar contribui la promovarea unei dezvoltări mai echitabile a infrastructurii educaționale la nivel local</w:t>
            </w:r>
            <w:r w:rsidRPr="00F8231E">
              <w:t>.</w:t>
            </w:r>
          </w:p>
          <w:p w:rsidR="00C81EC1" w:rsidRPr="00F8231E" w:rsidRDefault="00801CAB" w:rsidP="00F8231E">
            <w:pPr>
              <w:pStyle w:val="NormalWeb"/>
              <w:spacing w:before="120" w:after="120"/>
            </w:pPr>
            <w:r w:rsidRPr="00F8231E">
              <w:t xml:space="preserve">Hotărârea este stabilită să intre în vigoare la </w:t>
            </w:r>
            <w:r w:rsidRPr="00F8231E">
              <w:rPr>
                <w:rStyle w:val="Strong"/>
                <w:b w:val="0"/>
              </w:rPr>
              <w:t>01 ianuarie 2026</w:t>
            </w:r>
            <w:r w:rsidRPr="00F8231E">
              <w:t>, asigurând timpul necesar pentru ajustarea proceselor bugetare la nivel local.</w:t>
            </w:r>
          </w:p>
        </w:tc>
      </w:tr>
      <w:tr w:rsidR="00C264FF" w:rsidRPr="00F8231E" w:rsidTr="00142E43">
        <w:trPr>
          <w:trHeight w:val="1"/>
        </w:trPr>
        <w:tc>
          <w:tcPr>
            <w:tcW w:w="9781" w:type="dxa"/>
            <w:tcBorders>
              <w:top w:val="single" w:sz="4" w:space="0" w:color="000000"/>
              <w:left w:val="single" w:sz="4" w:space="0" w:color="000000"/>
              <w:bottom w:val="single" w:sz="4" w:space="0" w:color="000000"/>
              <w:right w:val="single" w:sz="4" w:space="0" w:color="000000"/>
            </w:tcBorders>
            <w:shd w:val="clear" w:color="auto" w:fill="A4C2F4"/>
          </w:tcPr>
          <w:p w:rsidR="00C264FF" w:rsidRPr="00F8231E" w:rsidRDefault="00BB3AA2" w:rsidP="00F8231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right="141"/>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lastRenderedPageBreak/>
              <w:t>3.2. Opțiunile alternative analizate și motivele pentru care acestea nu au fost luate în considerare</w:t>
            </w:r>
          </w:p>
        </w:tc>
      </w:tr>
      <w:tr w:rsidR="00C264FF" w:rsidRPr="00F8231E" w:rsidTr="00142E43">
        <w:trPr>
          <w:trHeight w:val="746"/>
        </w:trPr>
        <w:tc>
          <w:tcPr>
            <w:tcW w:w="9781" w:type="dxa"/>
            <w:tcBorders>
              <w:top w:val="single" w:sz="4" w:space="0" w:color="000000"/>
              <w:left w:val="single" w:sz="4" w:space="0" w:color="000000"/>
              <w:bottom w:val="single" w:sz="4" w:space="0" w:color="000000"/>
              <w:right w:val="single" w:sz="4" w:space="0" w:color="000000"/>
            </w:tcBorders>
            <w:shd w:val="clear" w:color="auto" w:fill="FFFFFF"/>
          </w:tcPr>
          <w:p w:rsidR="00667D52" w:rsidRPr="00F8231E" w:rsidRDefault="00667D52" w:rsidP="00F8231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right="142" w:firstLine="176"/>
              <w:jc w:val="both"/>
              <w:rPr>
                <w:rFonts w:ascii="Times New Roman" w:eastAsia="Times New Roman" w:hAnsi="Times New Roman" w:cs="Times New Roman"/>
                <w:color w:val="000000"/>
                <w:sz w:val="24"/>
                <w:szCs w:val="24"/>
                <w:lang w:val="ro-MD"/>
              </w:rPr>
            </w:pPr>
            <w:r w:rsidRPr="00F8231E">
              <w:rPr>
                <w:rFonts w:ascii="Times New Roman" w:eastAsia="Times New Roman" w:hAnsi="Times New Roman" w:cs="Times New Roman"/>
                <w:sz w:val="24"/>
                <w:szCs w:val="24"/>
                <w:lang w:val="ro-MD"/>
              </w:rPr>
              <w:t xml:space="preserve"> </w:t>
            </w:r>
            <w:r w:rsidR="002F1B0A" w:rsidRPr="00F8231E">
              <w:rPr>
                <w:rFonts w:ascii="Times New Roman" w:eastAsia="Times New Roman" w:hAnsi="Times New Roman" w:cs="Times New Roman"/>
                <w:bCs/>
                <w:sz w:val="24"/>
                <w:szCs w:val="24"/>
                <w:lang w:val="ro-MD"/>
              </w:rPr>
              <w:t xml:space="preserve">Nu a fost necesar, deoarece modificările vin să asigure </w:t>
            </w:r>
            <w:r w:rsidR="002F1B0A" w:rsidRPr="00F8231E">
              <w:rPr>
                <w:rFonts w:ascii="Times New Roman" w:eastAsia="Times New Roman" w:hAnsi="Times New Roman" w:cs="Times New Roman"/>
                <w:sz w:val="24"/>
                <w:szCs w:val="24"/>
                <w:lang w:val="ro-MD"/>
              </w:rPr>
              <w:t>armonizarea cadrului normativ existent</w:t>
            </w:r>
            <w:r w:rsidR="002F1B0A" w:rsidRPr="00F8231E">
              <w:rPr>
                <w:rFonts w:ascii="Times New Roman" w:eastAsia="Times New Roman" w:hAnsi="Times New Roman" w:cs="Times New Roman"/>
                <w:bCs/>
                <w:sz w:val="24"/>
                <w:szCs w:val="24"/>
                <w:lang w:val="ro-MD"/>
              </w:rPr>
              <w:t xml:space="preserve"> cu modificările legislative recente, asigurând în același timp </w:t>
            </w:r>
            <w:r w:rsidR="002F1B0A" w:rsidRPr="00F8231E">
              <w:rPr>
                <w:rFonts w:ascii="Times New Roman" w:eastAsia="Times New Roman" w:hAnsi="Times New Roman" w:cs="Times New Roman"/>
                <w:sz w:val="24"/>
                <w:szCs w:val="24"/>
                <w:lang w:val="ro-MD"/>
              </w:rPr>
              <w:t>transparență, simplitate administrativă și continuitate în mecanismul de finanțare</w:t>
            </w:r>
            <w:r w:rsidR="002F1B0A" w:rsidRPr="00F8231E">
              <w:rPr>
                <w:rFonts w:ascii="Times New Roman" w:eastAsia="Times New Roman" w:hAnsi="Times New Roman" w:cs="Times New Roman"/>
                <w:bCs/>
                <w:sz w:val="24"/>
                <w:szCs w:val="24"/>
                <w:lang w:val="ro-MD"/>
              </w:rPr>
              <w:t xml:space="preserve"> a instituțiilor publice de învățământ general.</w:t>
            </w:r>
          </w:p>
        </w:tc>
      </w:tr>
      <w:tr w:rsidR="00C264FF" w:rsidRPr="00F8231E" w:rsidTr="00142E43">
        <w:trPr>
          <w:trHeight w:val="378"/>
        </w:trPr>
        <w:tc>
          <w:tcPr>
            <w:tcW w:w="9781"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F8231E" w:rsidRDefault="00BB3AA2" w:rsidP="00F8231E">
            <w:pPr>
              <w:spacing w:before="120" w:line="240" w:lineRule="auto"/>
              <w:ind w:right="141"/>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t xml:space="preserve">4. Analiza impactului de reglementare </w:t>
            </w:r>
          </w:p>
        </w:tc>
      </w:tr>
      <w:tr w:rsidR="00C264FF" w:rsidRPr="00F8231E" w:rsidTr="00142E43">
        <w:trPr>
          <w:trHeight w:val="378"/>
        </w:trPr>
        <w:tc>
          <w:tcPr>
            <w:tcW w:w="9781"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rsidR="00C264FF" w:rsidRPr="00F8231E" w:rsidRDefault="00BB3AA2" w:rsidP="00F8231E">
            <w:pPr>
              <w:spacing w:before="120" w:line="240" w:lineRule="auto"/>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t>4.1. Impactul asupra sectorului public</w:t>
            </w:r>
          </w:p>
        </w:tc>
      </w:tr>
      <w:tr w:rsidR="00C264FF" w:rsidRPr="00F8231E" w:rsidTr="00142E43">
        <w:trPr>
          <w:trHeight w:val="378"/>
        </w:trPr>
        <w:tc>
          <w:tcPr>
            <w:tcW w:w="978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767EF6" w:rsidRPr="00767EF6" w:rsidRDefault="00767EF6" w:rsidP="00767EF6">
            <w:pPr>
              <w:spacing w:before="120" w:line="240" w:lineRule="auto"/>
              <w:jc w:val="both"/>
              <w:rPr>
                <w:rFonts w:ascii="Times New Roman" w:eastAsia="Times New Roman" w:hAnsi="Times New Roman" w:cs="Times New Roman"/>
                <w:sz w:val="24"/>
                <w:szCs w:val="24"/>
                <w:lang w:val="ro-MD"/>
              </w:rPr>
            </w:pPr>
            <w:r w:rsidRPr="00767EF6">
              <w:rPr>
                <w:rFonts w:ascii="Times New Roman" w:eastAsia="Times New Roman" w:hAnsi="Times New Roman" w:cs="Times New Roman"/>
                <w:sz w:val="24"/>
                <w:szCs w:val="24"/>
                <w:lang w:val="ro-MD"/>
              </w:rPr>
              <w:t xml:space="preserve">Proiectul Hotărârii de Guvern </w:t>
            </w:r>
            <w:r w:rsidRPr="00F8231E">
              <w:rPr>
                <w:rFonts w:ascii="Times New Roman" w:eastAsia="Times New Roman" w:hAnsi="Times New Roman" w:cs="Times New Roman"/>
                <w:color w:val="000000"/>
                <w:sz w:val="24"/>
                <w:szCs w:val="24"/>
                <w:lang w:val="ro-MD"/>
              </w:rPr>
              <w:t>pentru modificarea Hotărâr</w:t>
            </w:r>
            <w:r>
              <w:rPr>
                <w:rFonts w:ascii="Times New Roman" w:eastAsia="Times New Roman" w:hAnsi="Times New Roman" w:cs="Times New Roman"/>
                <w:color w:val="000000"/>
                <w:sz w:val="24"/>
                <w:szCs w:val="24"/>
                <w:lang w:val="ro-MD"/>
              </w:rPr>
              <w:t>ii</w:t>
            </w:r>
            <w:r w:rsidRPr="00F8231E">
              <w:rPr>
                <w:rFonts w:ascii="Times New Roman" w:eastAsia="Times New Roman" w:hAnsi="Times New Roman" w:cs="Times New Roman"/>
                <w:color w:val="000000"/>
                <w:sz w:val="24"/>
                <w:szCs w:val="24"/>
                <w:lang w:val="ro-MD"/>
              </w:rPr>
              <w:t xml:space="preserve"> Guvernului nr.868/2014 privind </w:t>
            </w:r>
            <w:proofErr w:type="spellStart"/>
            <w:r w:rsidRPr="00F8231E">
              <w:rPr>
                <w:rFonts w:ascii="Times New Roman" w:eastAsia="Times New Roman" w:hAnsi="Times New Roman" w:cs="Times New Roman"/>
                <w:color w:val="000000"/>
                <w:sz w:val="24"/>
                <w:szCs w:val="24"/>
                <w:lang w:val="ro-MD"/>
              </w:rPr>
              <w:t>finanţarea</w:t>
            </w:r>
            <w:proofErr w:type="spellEnd"/>
            <w:r w:rsidRPr="00F8231E">
              <w:rPr>
                <w:rFonts w:ascii="Times New Roman" w:eastAsia="Times New Roman" w:hAnsi="Times New Roman" w:cs="Times New Roman"/>
                <w:color w:val="000000"/>
                <w:sz w:val="24"/>
                <w:szCs w:val="24"/>
                <w:lang w:val="ro-MD"/>
              </w:rPr>
              <w:t xml:space="preserve"> în bază de cost standard per elev a instituțiilor de învățământ primar </w:t>
            </w:r>
            <w:proofErr w:type="spellStart"/>
            <w:r w:rsidRPr="00F8231E">
              <w:rPr>
                <w:rFonts w:ascii="Times New Roman" w:eastAsia="Times New Roman" w:hAnsi="Times New Roman" w:cs="Times New Roman"/>
                <w:color w:val="000000"/>
                <w:sz w:val="24"/>
                <w:szCs w:val="24"/>
                <w:lang w:val="ro-MD"/>
              </w:rPr>
              <w:t>şi</w:t>
            </w:r>
            <w:proofErr w:type="spellEnd"/>
            <w:r w:rsidRPr="00F8231E">
              <w:rPr>
                <w:rFonts w:ascii="Times New Roman" w:eastAsia="Times New Roman" w:hAnsi="Times New Roman" w:cs="Times New Roman"/>
                <w:color w:val="000000"/>
                <w:sz w:val="24"/>
                <w:szCs w:val="24"/>
                <w:lang w:val="ro-MD"/>
              </w:rPr>
              <w:t xml:space="preserve"> secundar (ciclul I și II) din subordinea </w:t>
            </w:r>
            <w:proofErr w:type="spellStart"/>
            <w:r w:rsidRPr="00F8231E">
              <w:rPr>
                <w:rFonts w:ascii="Times New Roman" w:eastAsia="Times New Roman" w:hAnsi="Times New Roman" w:cs="Times New Roman"/>
                <w:color w:val="000000"/>
                <w:sz w:val="24"/>
                <w:szCs w:val="24"/>
                <w:lang w:val="ro-MD"/>
              </w:rPr>
              <w:t>autorităţilor</w:t>
            </w:r>
            <w:proofErr w:type="spellEnd"/>
            <w:r w:rsidRPr="00F8231E">
              <w:rPr>
                <w:rFonts w:ascii="Times New Roman" w:eastAsia="Times New Roman" w:hAnsi="Times New Roman" w:cs="Times New Roman"/>
                <w:color w:val="000000"/>
                <w:sz w:val="24"/>
                <w:szCs w:val="24"/>
                <w:lang w:val="ro-MD"/>
              </w:rPr>
              <w:t xml:space="preserve"> publice locale de nivelul al doilea</w:t>
            </w:r>
            <w:r>
              <w:rPr>
                <w:rFonts w:ascii="Times New Roman" w:eastAsia="Times New Roman" w:hAnsi="Times New Roman" w:cs="Times New Roman"/>
                <w:color w:val="000000"/>
                <w:sz w:val="24"/>
                <w:szCs w:val="24"/>
                <w:lang w:val="ro-MD"/>
              </w:rPr>
              <w:t xml:space="preserve"> </w:t>
            </w:r>
            <w:r w:rsidRPr="00767EF6">
              <w:rPr>
                <w:rFonts w:ascii="Times New Roman" w:eastAsia="Times New Roman" w:hAnsi="Times New Roman" w:cs="Times New Roman"/>
                <w:sz w:val="24"/>
                <w:szCs w:val="24"/>
                <w:lang w:val="ro-MD"/>
              </w:rPr>
              <w:t>are un impact pozitiv asupra sectorului public, prin consolidarea mecanismelor de planificare bugetară și prin îmbunătățirea cooperării administrative între nivelurile de guvernare locală.</w:t>
            </w:r>
          </w:p>
          <w:p w:rsidR="00767EF6" w:rsidRPr="00767EF6" w:rsidRDefault="00767EF6" w:rsidP="00767EF6">
            <w:pPr>
              <w:spacing w:before="120" w:line="240" w:lineRule="auto"/>
              <w:jc w:val="both"/>
              <w:rPr>
                <w:rFonts w:ascii="Times New Roman" w:eastAsia="Times New Roman" w:hAnsi="Times New Roman" w:cs="Times New Roman"/>
                <w:sz w:val="24"/>
                <w:szCs w:val="24"/>
                <w:lang w:val="ro-MD"/>
              </w:rPr>
            </w:pPr>
            <w:r w:rsidRPr="00767EF6">
              <w:rPr>
                <w:rFonts w:ascii="Times New Roman" w:eastAsia="Times New Roman" w:hAnsi="Times New Roman" w:cs="Times New Roman"/>
                <w:sz w:val="24"/>
                <w:szCs w:val="24"/>
                <w:lang w:val="ro-MD"/>
              </w:rPr>
              <w:t>Actualizarea formulelor de calcul pentru sporurile aferente gradelor didactice contribuie la o administrare mai eficientă și predictibilă a fondurilor publice destinate salarizării personalului didactic. Implementarea formulelor noi permite alinierea cadrului secundar la legislația primară, reducând riscul de interpretări neuniforme și facilitând procesul de estimare a buget</w:t>
            </w:r>
            <w:r>
              <w:rPr>
                <w:rFonts w:ascii="Times New Roman" w:eastAsia="Times New Roman" w:hAnsi="Times New Roman" w:cs="Times New Roman"/>
                <w:sz w:val="24"/>
                <w:szCs w:val="24"/>
                <w:lang w:val="ro-MD"/>
              </w:rPr>
              <w:t>ului</w:t>
            </w:r>
            <w:r w:rsidRPr="00767EF6">
              <w:rPr>
                <w:rFonts w:ascii="Times New Roman" w:eastAsia="Times New Roman" w:hAnsi="Times New Roman" w:cs="Times New Roman"/>
                <w:sz w:val="24"/>
                <w:szCs w:val="24"/>
                <w:lang w:val="ro-MD"/>
              </w:rPr>
              <w:t xml:space="preserve"> atât la nivel central, cât și la nivelul autorităților publice locale.</w:t>
            </w:r>
          </w:p>
          <w:p w:rsidR="00767EF6" w:rsidRPr="00767EF6" w:rsidRDefault="00767EF6" w:rsidP="00767EF6">
            <w:pPr>
              <w:spacing w:before="120" w:line="240" w:lineRule="auto"/>
              <w:jc w:val="both"/>
              <w:rPr>
                <w:rFonts w:ascii="Times New Roman" w:eastAsia="Times New Roman" w:hAnsi="Times New Roman" w:cs="Times New Roman"/>
                <w:sz w:val="24"/>
                <w:szCs w:val="24"/>
                <w:lang w:val="ro-MD"/>
              </w:rPr>
            </w:pPr>
            <w:r w:rsidRPr="00767EF6">
              <w:rPr>
                <w:rFonts w:ascii="Times New Roman" w:eastAsia="Times New Roman" w:hAnsi="Times New Roman" w:cs="Times New Roman"/>
                <w:sz w:val="24"/>
                <w:szCs w:val="24"/>
                <w:lang w:val="ro-MD"/>
              </w:rPr>
              <w:lastRenderedPageBreak/>
              <w:t xml:space="preserve">Prin introducerea posibilității ca APL II să </w:t>
            </w:r>
            <w:r>
              <w:rPr>
                <w:rFonts w:ascii="Times New Roman" w:eastAsia="Times New Roman" w:hAnsi="Times New Roman" w:cs="Times New Roman"/>
                <w:sz w:val="24"/>
                <w:szCs w:val="24"/>
                <w:lang w:val="ro-MD"/>
              </w:rPr>
              <w:t xml:space="preserve">poată </w:t>
            </w:r>
            <w:r w:rsidRPr="00767EF6">
              <w:rPr>
                <w:rFonts w:ascii="Times New Roman" w:eastAsia="Times New Roman" w:hAnsi="Times New Roman" w:cs="Times New Roman"/>
                <w:sz w:val="24"/>
                <w:szCs w:val="24"/>
                <w:lang w:val="ro-MD"/>
              </w:rPr>
              <w:t>aloc</w:t>
            </w:r>
            <w:r>
              <w:rPr>
                <w:rFonts w:ascii="Times New Roman" w:eastAsia="Times New Roman" w:hAnsi="Times New Roman" w:cs="Times New Roman"/>
                <w:sz w:val="24"/>
                <w:szCs w:val="24"/>
                <w:lang w:val="ro-MD"/>
              </w:rPr>
              <w:t>a</w:t>
            </w:r>
            <w:r w:rsidRPr="00767EF6">
              <w:rPr>
                <w:rFonts w:ascii="Times New Roman" w:eastAsia="Times New Roman" w:hAnsi="Times New Roman" w:cs="Times New Roman"/>
                <w:sz w:val="24"/>
                <w:szCs w:val="24"/>
                <w:lang w:val="ro-MD"/>
              </w:rPr>
              <w:t xml:space="preserve"> transferuri cu destinație specială către APL I pentru cofinanțarea proiectelor de investiții, se creează un mecanism de colaborare interinstituțională care contribuie la utilizarea eficientă a fondurilor naționale și internaționale. Această măsură sprijină implementarea proiectelor de interes comun și reduce presiunea asupra APL I, în special în comunitățile cu resurse financiare limitate.</w:t>
            </w:r>
          </w:p>
          <w:p w:rsidR="00C264FF" w:rsidRPr="00767EF6" w:rsidRDefault="00767EF6" w:rsidP="00767EF6">
            <w:pPr>
              <w:spacing w:before="120" w:line="240" w:lineRule="auto"/>
              <w:jc w:val="both"/>
              <w:rPr>
                <w:rFonts w:ascii="Times New Roman" w:eastAsia="Times New Roman" w:hAnsi="Times New Roman" w:cs="Times New Roman"/>
                <w:sz w:val="24"/>
                <w:szCs w:val="24"/>
                <w:lang w:val="ro-MD"/>
              </w:rPr>
            </w:pPr>
            <w:r w:rsidRPr="00767EF6">
              <w:rPr>
                <w:rFonts w:ascii="Times New Roman" w:eastAsia="Times New Roman" w:hAnsi="Times New Roman" w:cs="Times New Roman"/>
                <w:sz w:val="24"/>
                <w:szCs w:val="24"/>
                <w:lang w:val="ro-MD"/>
              </w:rPr>
              <w:t>În ansamblu, proiectul îmbunătățește capacitatea sectorului public de a planifica, implementa și monitoriza investițiile în educație, crește coerența proceselor financiare și administrative și consolidează rolul autorităților publice în asigurarea unui sistem educațional modern și funcțional.</w:t>
            </w:r>
          </w:p>
        </w:tc>
      </w:tr>
      <w:tr w:rsidR="00C264FF" w:rsidRPr="00F8231E" w:rsidTr="00142E43">
        <w:trPr>
          <w:trHeight w:val="378"/>
        </w:trPr>
        <w:tc>
          <w:tcPr>
            <w:tcW w:w="9781"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rsidR="00C264FF" w:rsidRPr="00767EF6" w:rsidRDefault="00BB3AA2" w:rsidP="00767EF6">
            <w:pPr>
              <w:spacing w:before="120" w:line="240" w:lineRule="auto"/>
              <w:jc w:val="both"/>
              <w:rPr>
                <w:rFonts w:ascii="Times New Roman" w:eastAsia="Times New Roman" w:hAnsi="Times New Roman" w:cs="Times New Roman"/>
                <w:b/>
                <w:sz w:val="24"/>
                <w:szCs w:val="24"/>
                <w:lang w:val="ro-MD"/>
              </w:rPr>
            </w:pPr>
            <w:r w:rsidRPr="00767EF6">
              <w:rPr>
                <w:rFonts w:ascii="Times New Roman" w:eastAsia="Times New Roman" w:hAnsi="Times New Roman" w:cs="Times New Roman"/>
                <w:b/>
                <w:sz w:val="24"/>
                <w:szCs w:val="24"/>
                <w:lang w:val="ro-MD"/>
              </w:rPr>
              <w:lastRenderedPageBreak/>
              <w:t>4.2. Impactul financiar și argumentarea costurilor estimative</w:t>
            </w:r>
          </w:p>
        </w:tc>
      </w:tr>
      <w:tr w:rsidR="00C264FF" w:rsidRPr="00F8231E" w:rsidTr="00142E43">
        <w:trPr>
          <w:trHeight w:val="378"/>
        </w:trPr>
        <w:tc>
          <w:tcPr>
            <w:tcW w:w="978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Default="002F1B0A" w:rsidP="003D1F95">
            <w:pPr>
              <w:spacing w:before="120" w:line="240" w:lineRule="auto"/>
              <w:ind w:right="34"/>
              <w:jc w:val="both"/>
              <w:rPr>
                <w:rFonts w:ascii="Times New Roman" w:eastAsia="Times New Roman" w:hAnsi="Times New Roman" w:cs="Times New Roman"/>
                <w:sz w:val="24"/>
                <w:szCs w:val="24"/>
                <w:lang w:val="ro-MD"/>
              </w:rPr>
            </w:pPr>
            <w:r w:rsidRPr="00F8231E">
              <w:rPr>
                <w:rFonts w:ascii="Times New Roman" w:eastAsia="Times New Roman" w:hAnsi="Times New Roman" w:cs="Times New Roman"/>
                <w:sz w:val="24"/>
                <w:szCs w:val="24"/>
                <w:lang w:val="ro-MD"/>
              </w:rPr>
              <w:t xml:space="preserve">Proiectul nu implică </w:t>
            </w:r>
            <w:r w:rsidRPr="00F8231E">
              <w:rPr>
                <w:rFonts w:ascii="Times New Roman" w:eastAsia="Times New Roman" w:hAnsi="Times New Roman" w:cs="Times New Roman"/>
                <w:bCs/>
                <w:sz w:val="24"/>
                <w:szCs w:val="24"/>
                <w:lang w:val="ro-MD"/>
              </w:rPr>
              <w:t>cheltuieli suplimentare</w:t>
            </w:r>
            <w:r w:rsidRPr="00F8231E">
              <w:rPr>
                <w:rFonts w:ascii="Times New Roman" w:eastAsia="Times New Roman" w:hAnsi="Times New Roman" w:cs="Times New Roman"/>
                <w:sz w:val="24"/>
                <w:szCs w:val="24"/>
                <w:lang w:val="ro-MD"/>
              </w:rPr>
              <w:t xml:space="preserve"> față de cele deja prevăzute în </w:t>
            </w:r>
            <w:r w:rsidRPr="00F8231E">
              <w:rPr>
                <w:rFonts w:ascii="Times New Roman" w:eastAsia="Times New Roman" w:hAnsi="Times New Roman" w:cs="Times New Roman"/>
                <w:bCs/>
                <w:sz w:val="24"/>
                <w:szCs w:val="24"/>
                <w:lang w:val="ro-MD"/>
              </w:rPr>
              <w:t>Legea bugetului de stat pentru anul 202</w:t>
            </w:r>
            <w:r w:rsidR="003D1F95">
              <w:rPr>
                <w:rFonts w:ascii="Times New Roman" w:eastAsia="Times New Roman" w:hAnsi="Times New Roman" w:cs="Times New Roman"/>
                <w:bCs/>
                <w:sz w:val="24"/>
                <w:szCs w:val="24"/>
                <w:lang w:val="ro-MD"/>
              </w:rPr>
              <w:t>6</w:t>
            </w:r>
            <w:r w:rsidRPr="00F8231E">
              <w:rPr>
                <w:rFonts w:ascii="Times New Roman" w:eastAsia="Times New Roman" w:hAnsi="Times New Roman" w:cs="Times New Roman"/>
                <w:sz w:val="24"/>
                <w:szCs w:val="24"/>
                <w:lang w:val="ro-MD"/>
              </w:rPr>
              <w:t xml:space="preserve">, întrucât ajustarea formulelor are caracter </w:t>
            </w:r>
            <w:proofErr w:type="spellStart"/>
            <w:r w:rsidRPr="00F8231E">
              <w:rPr>
                <w:rFonts w:ascii="Times New Roman" w:eastAsia="Times New Roman" w:hAnsi="Times New Roman" w:cs="Times New Roman"/>
                <w:bCs/>
                <w:sz w:val="24"/>
                <w:szCs w:val="24"/>
                <w:lang w:val="ro-MD"/>
              </w:rPr>
              <w:t>tehnico</w:t>
            </w:r>
            <w:proofErr w:type="spellEnd"/>
            <w:r w:rsidRPr="00F8231E">
              <w:rPr>
                <w:rFonts w:ascii="Times New Roman" w:eastAsia="Times New Roman" w:hAnsi="Times New Roman" w:cs="Times New Roman"/>
                <w:bCs/>
                <w:sz w:val="24"/>
                <w:szCs w:val="24"/>
                <w:lang w:val="ro-MD"/>
              </w:rPr>
              <w:t>-normativ</w:t>
            </w:r>
            <w:r w:rsidRPr="00F8231E">
              <w:rPr>
                <w:rFonts w:ascii="Times New Roman" w:eastAsia="Times New Roman" w:hAnsi="Times New Roman" w:cs="Times New Roman"/>
                <w:sz w:val="24"/>
                <w:szCs w:val="24"/>
                <w:lang w:val="ro-MD"/>
              </w:rPr>
              <w:t xml:space="preserve"> și urmărește exclusiv </w:t>
            </w:r>
            <w:r w:rsidRPr="00F8231E">
              <w:rPr>
                <w:rFonts w:ascii="Times New Roman" w:eastAsia="Times New Roman" w:hAnsi="Times New Roman" w:cs="Times New Roman"/>
                <w:bCs/>
                <w:sz w:val="24"/>
                <w:szCs w:val="24"/>
                <w:lang w:val="ro-MD"/>
              </w:rPr>
              <w:t>alinierea cadrului metodologic</w:t>
            </w:r>
            <w:r w:rsidRPr="00F8231E">
              <w:rPr>
                <w:rFonts w:ascii="Times New Roman" w:eastAsia="Times New Roman" w:hAnsi="Times New Roman" w:cs="Times New Roman"/>
                <w:sz w:val="24"/>
                <w:szCs w:val="24"/>
                <w:lang w:val="ro-MD"/>
              </w:rPr>
              <w:t xml:space="preserve"> de finanțare la modificările operate în legislația privind salarizarea în sectorul bugetar.</w:t>
            </w:r>
          </w:p>
          <w:p w:rsidR="003D1F95" w:rsidRPr="003D1F95" w:rsidRDefault="003D1F95" w:rsidP="003D1F95">
            <w:pPr>
              <w:spacing w:before="120" w:line="240" w:lineRule="auto"/>
              <w:rPr>
                <w:rFonts w:ascii="Times New Roman" w:eastAsia="Times New Roman" w:hAnsi="Times New Roman" w:cs="Times New Roman"/>
                <w:sz w:val="24"/>
                <w:szCs w:val="24"/>
                <w:lang w:val="ro-MD"/>
              </w:rPr>
            </w:pPr>
            <w:r w:rsidRPr="003D1F95">
              <w:rPr>
                <w:rFonts w:ascii="Times New Roman" w:eastAsia="Times New Roman" w:hAnsi="Times New Roman" w:cs="Times New Roman"/>
                <w:sz w:val="24"/>
                <w:szCs w:val="24"/>
                <w:lang w:val="ro-MD"/>
              </w:rPr>
              <w:t xml:space="preserve">Introducerea posibilității de alocare a transferurilor cu destinație specială de la APL II către APL I nu implică cheltuieli noi la nivel central, aceasta reprezentând o redistribuire internă a resurselor în cadrul bugetelor locale, conform priorităților stabilite de autoritățile </w:t>
            </w:r>
            <w:r>
              <w:rPr>
                <w:rFonts w:ascii="Times New Roman" w:eastAsia="Times New Roman" w:hAnsi="Times New Roman" w:cs="Times New Roman"/>
                <w:sz w:val="24"/>
                <w:szCs w:val="24"/>
                <w:lang w:val="ro-MD"/>
              </w:rPr>
              <w:t xml:space="preserve">publice locale </w:t>
            </w:r>
            <w:r w:rsidRPr="003D1F95">
              <w:rPr>
                <w:rFonts w:ascii="Times New Roman" w:eastAsia="Times New Roman" w:hAnsi="Times New Roman" w:cs="Times New Roman"/>
                <w:sz w:val="24"/>
                <w:szCs w:val="24"/>
                <w:lang w:val="ro-MD"/>
              </w:rPr>
              <w:t>de nivelul II.</w:t>
            </w:r>
          </w:p>
        </w:tc>
      </w:tr>
      <w:tr w:rsidR="00C264FF" w:rsidRPr="00F8231E" w:rsidTr="00142E43">
        <w:trPr>
          <w:trHeight w:val="378"/>
        </w:trPr>
        <w:tc>
          <w:tcPr>
            <w:tcW w:w="9781"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rsidR="00C264FF" w:rsidRPr="00F8231E" w:rsidRDefault="00BB3AA2" w:rsidP="00F8231E">
            <w:pPr>
              <w:spacing w:before="120" w:line="240" w:lineRule="auto"/>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t>4.3. Impactul asupra sectorului privat</w:t>
            </w:r>
          </w:p>
        </w:tc>
      </w:tr>
      <w:tr w:rsidR="00C264FF" w:rsidRPr="00F8231E" w:rsidTr="00142E43">
        <w:trPr>
          <w:trHeight w:val="378"/>
        </w:trPr>
        <w:tc>
          <w:tcPr>
            <w:tcW w:w="978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618EA" w:rsidRPr="001618EA" w:rsidRDefault="001618EA" w:rsidP="001618EA">
            <w:pPr>
              <w:spacing w:before="120" w:after="0" w:line="240" w:lineRule="auto"/>
              <w:jc w:val="both"/>
              <w:rPr>
                <w:rFonts w:ascii="Times New Roman" w:eastAsia="Times New Roman" w:hAnsi="Times New Roman" w:cs="Times New Roman"/>
                <w:sz w:val="24"/>
                <w:szCs w:val="24"/>
                <w:lang w:val="ro-MD"/>
              </w:rPr>
            </w:pPr>
            <w:r w:rsidRPr="001618EA">
              <w:rPr>
                <w:rFonts w:ascii="Times New Roman" w:eastAsia="Times New Roman" w:hAnsi="Times New Roman" w:cs="Times New Roman"/>
                <w:sz w:val="24"/>
                <w:szCs w:val="24"/>
                <w:lang w:val="ro-MD"/>
              </w:rPr>
              <w:t>Proiectul nu generează costuri sau sarcini administrative suplimentare pentru mediul de afaceri. Modificările propuse se referă exclusiv la mecanisme interne ale administrației publice și la modul de distribuire a resurselor bugetare între nivelurile administrației publice locale.</w:t>
            </w:r>
          </w:p>
          <w:p w:rsidR="00C264FF" w:rsidRPr="001618EA" w:rsidRDefault="001618EA" w:rsidP="001618EA">
            <w:pPr>
              <w:spacing w:before="120" w:line="240" w:lineRule="auto"/>
              <w:jc w:val="both"/>
              <w:rPr>
                <w:rFonts w:ascii="Times New Roman" w:eastAsia="Times New Roman" w:hAnsi="Times New Roman" w:cs="Times New Roman"/>
                <w:sz w:val="24"/>
                <w:szCs w:val="24"/>
                <w:lang w:val="en-US"/>
              </w:rPr>
            </w:pPr>
            <w:r w:rsidRPr="001618EA">
              <w:rPr>
                <w:rFonts w:ascii="Times New Roman" w:eastAsia="Times New Roman" w:hAnsi="Times New Roman" w:cs="Times New Roman"/>
                <w:sz w:val="24"/>
                <w:szCs w:val="24"/>
                <w:lang w:val="ro-MD"/>
              </w:rPr>
              <w:t>Indirect, măsurile pot avea un impact pozitiv prin stimularea implementării proiectelor investiționale în infrastructură, ceea ce poate conduce la creșterea cererii de servicii și lucrări de construcții, reparații, modernizare, echipamente și dotări, activități ce implică operatori economici din domeniu. Acest impact este însă unul pozitiv și nu presupune impunerea de obligații sau restricții noi mediului privat.</w:t>
            </w:r>
          </w:p>
        </w:tc>
      </w:tr>
      <w:tr w:rsidR="00C264FF" w:rsidRPr="00F8231E" w:rsidTr="00142E43">
        <w:trPr>
          <w:trHeight w:val="378"/>
        </w:trPr>
        <w:tc>
          <w:tcPr>
            <w:tcW w:w="9781"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rsidR="00C264FF" w:rsidRPr="00F8231E" w:rsidRDefault="00BB3AA2" w:rsidP="00F8231E">
            <w:pPr>
              <w:spacing w:before="120" w:line="240" w:lineRule="auto"/>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t>4.4. Impactul social</w:t>
            </w:r>
          </w:p>
        </w:tc>
      </w:tr>
      <w:tr w:rsidR="00C264FF" w:rsidRPr="00F8231E" w:rsidTr="00142E43">
        <w:trPr>
          <w:trHeight w:val="378"/>
        </w:trPr>
        <w:tc>
          <w:tcPr>
            <w:tcW w:w="978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04F43" w:rsidRPr="00BD116B" w:rsidRDefault="000226A9" w:rsidP="00F8231E">
            <w:pPr>
              <w:spacing w:before="120" w:line="240"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M</w:t>
            </w:r>
            <w:r w:rsidR="00A137EF" w:rsidRPr="00BD116B">
              <w:rPr>
                <w:rFonts w:ascii="Times New Roman" w:eastAsia="Times New Roman" w:hAnsi="Times New Roman" w:cs="Times New Roman"/>
                <w:color w:val="000000"/>
                <w:sz w:val="24"/>
                <w:szCs w:val="24"/>
                <w:lang w:val="ro-MD"/>
              </w:rPr>
              <w:t xml:space="preserve">odificarea Anexei nr.1 la Hotărârea Guvernului nr.868/2014 privind </w:t>
            </w:r>
            <w:proofErr w:type="spellStart"/>
            <w:r w:rsidR="00A137EF" w:rsidRPr="00BD116B">
              <w:rPr>
                <w:rFonts w:ascii="Times New Roman" w:eastAsia="Times New Roman" w:hAnsi="Times New Roman" w:cs="Times New Roman"/>
                <w:color w:val="000000"/>
                <w:sz w:val="24"/>
                <w:szCs w:val="24"/>
                <w:lang w:val="ro-MD"/>
              </w:rPr>
              <w:t>finanţarea</w:t>
            </w:r>
            <w:proofErr w:type="spellEnd"/>
            <w:r w:rsidR="00A137EF" w:rsidRPr="00BD116B">
              <w:rPr>
                <w:rFonts w:ascii="Times New Roman" w:eastAsia="Times New Roman" w:hAnsi="Times New Roman" w:cs="Times New Roman"/>
                <w:color w:val="000000"/>
                <w:sz w:val="24"/>
                <w:szCs w:val="24"/>
                <w:lang w:val="ro-MD"/>
              </w:rPr>
              <w:t xml:space="preserve"> în bază de cost standard per elev a instituțiilor de învățământ primar </w:t>
            </w:r>
            <w:proofErr w:type="spellStart"/>
            <w:r w:rsidR="00A137EF" w:rsidRPr="00BD116B">
              <w:rPr>
                <w:rFonts w:ascii="Times New Roman" w:eastAsia="Times New Roman" w:hAnsi="Times New Roman" w:cs="Times New Roman"/>
                <w:color w:val="000000"/>
                <w:sz w:val="24"/>
                <w:szCs w:val="24"/>
                <w:lang w:val="ro-MD"/>
              </w:rPr>
              <w:t>şi</w:t>
            </w:r>
            <w:proofErr w:type="spellEnd"/>
            <w:r w:rsidR="00A137EF" w:rsidRPr="00BD116B">
              <w:rPr>
                <w:rFonts w:ascii="Times New Roman" w:eastAsia="Times New Roman" w:hAnsi="Times New Roman" w:cs="Times New Roman"/>
                <w:color w:val="000000"/>
                <w:sz w:val="24"/>
                <w:szCs w:val="24"/>
                <w:lang w:val="ro-MD"/>
              </w:rPr>
              <w:t xml:space="preserve"> secundar (ciclul I și II) din subordinea </w:t>
            </w:r>
            <w:proofErr w:type="spellStart"/>
            <w:r w:rsidR="00A137EF" w:rsidRPr="00BD116B">
              <w:rPr>
                <w:rFonts w:ascii="Times New Roman" w:eastAsia="Times New Roman" w:hAnsi="Times New Roman" w:cs="Times New Roman"/>
                <w:color w:val="000000"/>
                <w:sz w:val="24"/>
                <w:szCs w:val="24"/>
                <w:lang w:val="ro-MD"/>
              </w:rPr>
              <w:t>autorităţilor</w:t>
            </w:r>
            <w:proofErr w:type="spellEnd"/>
            <w:r w:rsidR="00A137EF" w:rsidRPr="00BD116B">
              <w:rPr>
                <w:rFonts w:ascii="Times New Roman" w:eastAsia="Times New Roman" w:hAnsi="Times New Roman" w:cs="Times New Roman"/>
                <w:color w:val="000000"/>
                <w:sz w:val="24"/>
                <w:szCs w:val="24"/>
                <w:lang w:val="ro-MD"/>
              </w:rPr>
              <w:t xml:space="preserve"> publice locale de nivelul al doilea </w:t>
            </w:r>
            <w:r w:rsidR="005B2E1F" w:rsidRPr="00BD116B">
              <w:rPr>
                <w:rFonts w:ascii="Times New Roman" w:eastAsia="Times New Roman" w:hAnsi="Times New Roman" w:cs="Times New Roman"/>
                <w:sz w:val="24"/>
                <w:szCs w:val="24"/>
                <w:lang w:val="ro-MD"/>
              </w:rPr>
              <w:t xml:space="preserve">va avea un </w:t>
            </w:r>
            <w:r w:rsidR="005B2E1F" w:rsidRPr="00BD116B">
              <w:rPr>
                <w:rFonts w:ascii="Times New Roman" w:eastAsia="Times New Roman" w:hAnsi="Times New Roman" w:cs="Times New Roman"/>
                <w:bCs/>
                <w:sz w:val="24"/>
                <w:szCs w:val="24"/>
                <w:lang w:val="ro-MD"/>
              </w:rPr>
              <w:t>impact social pozitiv</w:t>
            </w:r>
            <w:r w:rsidR="005B2E1F" w:rsidRPr="00BD116B">
              <w:rPr>
                <w:rFonts w:ascii="Times New Roman" w:eastAsia="Times New Roman" w:hAnsi="Times New Roman" w:cs="Times New Roman"/>
                <w:sz w:val="24"/>
                <w:szCs w:val="24"/>
                <w:lang w:val="ro-MD"/>
              </w:rPr>
              <w:t xml:space="preserve">, contribuind la </w:t>
            </w:r>
            <w:r w:rsidR="005B2E1F" w:rsidRPr="00BD116B">
              <w:rPr>
                <w:rFonts w:ascii="Times New Roman" w:eastAsia="Times New Roman" w:hAnsi="Times New Roman" w:cs="Times New Roman"/>
                <w:bCs/>
                <w:sz w:val="24"/>
                <w:szCs w:val="24"/>
                <w:lang w:val="ro-MD"/>
              </w:rPr>
              <w:t>creșterea motivației profesionale a cadrelor didactice</w:t>
            </w:r>
            <w:r w:rsidR="005B2E1F" w:rsidRPr="00BD116B">
              <w:rPr>
                <w:rFonts w:ascii="Times New Roman" w:eastAsia="Times New Roman" w:hAnsi="Times New Roman" w:cs="Times New Roman"/>
                <w:sz w:val="24"/>
                <w:szCs w:val="24"/>
                <w:lang w:val="ro-MD"/>
              </w:rPr>
              <w:t xml:space="preserve"> și la </w:t>
            </w:r>
            <w:r w:rsidR="005B2E1F" w:rsidRPr="00BD116B">
              <w:rPr>
                <w:rFonts w:ascii="Times New Roman" w:eastAsia="Times New Roman" w:hAnsi="Times New Roman" w:cs="Times New Roman"/>
                <w:bCs/>
                <w:sz w:val="24"/>
                <w:szCs w:val="24"/>
                <w:lang w:val="ro-MD"/>
              </w:rPr>
              <w:t>sporirea atractivității profesiei de pedagog</w:t>
            </w:r>
            <w:r w:rsidR="005B2E1F" w:rsidRPr="00BD116B">
              <w:rPr>
                <w:rFonts w:ascii="Times New Roman" w:eastAsia="Times New Roman" w:hAnsi="Times New Roman" w:cs="Times New Roman"/>
                <w:sz w:val="24"/>
                <w:szCs w:val="24"/>
                <w:lang w:val="ro-MD"/>
              </w:rPr>
              <w:t xml:space="preserve"> în instituțiile publice de învățământ primar și secundar.</w:t>
            </w:r>
          </w:p>
          <w:p w:rsidR="005B2E1F" w:rsidRPr="00F8231E" w:rsidRDefault="005B2E1F" w:rsidP="00BD116B">
            <w:pPr>
              <w:spacing w:before="120" w:line="240" w:lineRule="auto"/>
              <w:jc w:val="both"/>
              <w:rPr>
                <w:rFonts w:ascii="Times New Roman" w:eastAsia="Times New Roman" w:hAnsi="Times New Roman" w:cs="Times New Roman"/>
                <w:sz w:val="24"/>
                <w:szCs w:val="24"/>
                <w:lang w:val="ro-MD"/>
              </w:rPr>
            </w:pPr>
            <w:r w:rsidRPr="00F8231E">
              <w:rPr>
                <w:rFonts w:ascii="Times New Roman" w:eastAsia="Times New Roman" w:hAnsi="Times New Roman" w:cs="Times New Roman"/>
                <w:sz w:val="24"/>
                <w:szCs w:val="24"/>
                <w:lang w:val="ro-MD"/>
              </w:rPr>
              <w:t xml:space="preserve">Prin stabilirea </w:t>
            </w:r>
            <w:r w:rsidRPr="00F8231E">
              <w:rPr>
                <w:rFonts w:ascii="Times New Roman" w:eastAsia="Times New Roman" w:hAnsi="Times New Roman" w:cs="Times New Roman"/>
                <w:bCs/>
                <w:sz w:val="24"/>
                <w:szCs w:val="24"/>
                <w:lang w:val="ro-MD"/>
              </w:rPr>
              <w:t>sporuri</w:t>
            </w:r>
            <w:r w:rsidR="00404F43" w:rsidRPr="00F8231E">
              <w:rPr>
                <w:rFonts w:ascii="Times New Roman" w:eastAsia="Times New Roman" w:hAnsi="Times New Roman" w:cs="Times New Roman"/>
                <w:bCs/>
                <w:sz w:val="24"/>
                <w:szCs w:val="24"/>
                <w:lang w:val="ro-MD"/>
              </w:rPr>
              <w:t>lor</w:t>
            </w:r>
            <w:r w:rsidRPr="00F8231E">
              <w:rPr>
                <w:rFonts w:ascii="Times New Roman" w:eastAsia="Times New Roman" w:hAnsi="Times New Roman" w:cs="Times New Roman"/>
                <w:bCs/>
                <w:sz w:val="24"/>
                <w:szCs w:val="24"/>
                <w:lang w:val="ro-MD"/>
              </w:rPr>
              <w:t xml:space="preserve"> lunare fixe pentru gradele didactice</w:t>
            </w:r>
            <w:r w:rsidR="00404F43" w:rsidRPr="00F8231E">
              <w:rPr>
                <w:rFonts w:ascii="Times New Roman" w:eastAsia="Times New Roman" w:hAnsi="Times New Roman" w:cs="Times New Roman"/>
                <w:sz w:val="24"/>
                <w:szCs w:val="24"/>
                <w:lang w:val="ro-MD"/>
              </w:rPr>
              <w:t xml:space="preserve">, sistemul de salarizare devine </w:t>
            </w:r>
            <w:r w:rsidRPr="00F8231E">
              <w:rPr>
                <w:rFonts w:ascii="Times New Roman" w:eastAsia="Times New Roman" w:hAnsi="Times New Roman" w:cs="Times New Roman"/>
                <w:bCs/>
                <w:sz w:val="24"/>
                <w:szCs w:val="24"/>
                <w:lang w:val="ro-MD"/>
              </w:rPr>
              <w:t>mai transparent și mai ușor de înțeles</w:t>
            </w:r>
            <w:r w:rsidRPr="00F8231E">
              <w:rPr>
                <w:rFonts w:ascii="Times New Roman" w:eastAsia="Times New Roman" w:hAnsi="Times New Roman" w:cs="Times New Roman"/>
                <w:sz w:val="24"/>
                <w:szCs w:val="24"/>
                <w:lang w:val="ro-MD"/>
              </w:rPr>
              <w:t xml:space="preserve"> pentru angajați, eliminând diferențele nejustificate generate anterior de aplicarea variabilă a claselor de salarizare.</w:t>
            </w:r>
          </w:p>
          <w:p w:rsidR="00C264FF" w:rsidRDefault="005B2E1F" w:rsidP="00BD116B">
            <w:pPr>
              <w:spacing w:before="120" w:line="240" w:lineRule="auto"/>
              <w:jc w:val="both"/>
              <w:rPr>
                <w:rFonts w:ascii="Times New Roman" w:eastAsia="Times New Roman" w:hAnsi="Times New Roman" w:cs="Times New Roman"/>
                <w:sz w:val="24"/>
                <w:szCs w:val="24"/>
                <w:lang w:val="ro-MD"/>
              </w:rPr>
            </w:pPr>
            <w:r w:rsidRPr="00F8231E">
              <w:rPr>
                <w:rFonts w:ascii="Times New Roman" w:eastAsia="Times New Roman" w:hAnsi="Times New Roman" w:cs="Times New Roman"/>
                <w:sz w:val="24"/>
                <w:szCs w:val="24"/>
                <w:lang w:val="ro-MD"/>
              </w:rPr>
              <w:t xml:space="preserve">În ansamblu, proiectul sprijină </w:t>
            </w:r>
            <w:r w:rsidRPr="00F8231E">
              <w:rPr>
                <w:rFonts w:ascii="Times New Roman" w:eastAsia="Times New Roman" w:hAnsi="Times New Roman" w:cs="Times New Roman"/>
                <w:bCs/>
                <w:sz w:val="24"/>
                <w:szCs w:val="24"/>
                <w:lang w:val="ro-MD"/>
              </w:rPr>
              <w:t>consolidarea prestigiului profesiei didactice</w:t>
            </w:r>
            <w:r w:rsidRPr="00F8231E">
              <w:rPr>
                <w:rFonts w:ascii="Times New Roman" w:eastAsia="Times New Roman" w:hAnsi="Times New Roman" w:cs="Times New Roman"/>
                <w:sz w:val="24"/>
                <w:szCs w:val="24"/>
                <w:lang w:val="ro-MD"/>
              </w:rPr>
              <w:t xml:space="preserve"> și </w:t>
            </w:r>
            <w:r w:rsidRPr="00F8231E">
              <w:rPr>
                <w:rFonts w:ascii="Times New Roman" w:eastAsia="Times New Roman" w:hAnsi="Times New Roman" w:cs="Times New Roman"/>
                <w:bCs/>
                <w:sz w:val="24"/>
                <w:szCs w:val="24"/>
                <w:lang w:val="ro-MD"/>
              </w:rPr>
              <w:t>asigurarea unui cadru de remunerare echitabil</w:t>
            </w:r>
            <w:r w:rsidRPr="00F8231E">
              <w:rPr>
                <w:rFonts w:ascii="Times New Roman" w:eastAsia="Times New Roman" w:hAnsi="Times New Roman" w:cs="Times New Roman"/>
                <w:sz w:val="24"/>
                <w:szCs w:val="24"/>
                <w:lang w:val="ro-MD"/>
              </w:rPr>
              <w:t>, cu efecte benefice asupra calității actului educațional și asupra percepției publice a sistemului de învățământ.</w:t>
            </w:r>
          </w:p>
          <w:p w:rsidR="00BD116B" w:rsidRDefault="00BD116B" w:rsidP="00BD116B">
            <w:pPr>
              <w:spacing w:before="120" w:line="240" w:lineRule="auto"/>
              <w:jc w:val="both"/>
              <w:rPr>
                <w:rFonts w:ascii="Times New Roman" w:eastAsia="Times New Roman" w:hAnsi="Times New Roman" w:cs="Times New Roman"/>
                <w:sz w:val="24"/>
                <w:szCs w:val="24"/>
                <w:lang w:val="ro-MD"/>
              </w:rPr>
            </w:pPr>
            <w:r w:rsidRPr="00BD116B">
              <w:rPr>
                <w:rFonts w:ascii="Times New Roman" w:eastAsia="Times New Roman" w:hAnsi="Times New Roman" w:cs="Times New Roman"/>
                <w:sz w:val="24"/>
                <w:szCs w:val="24"/>
                <w:lang w:val="ro-MD"/>
              </w:rPr>
              <w:t>Totodată, c</w:t>
            </w:r>
            <w:r>
              <w:rPr>
                <w:rFonts w:ascii="Times New Roman" w:eastAsia="Times New Roman" w:hAnsi="Times New Roman" w:cs="Times New Roman"/>
                <w:sz w:val="24"/>
                <w:szCs w:val="24"/>
                <w:lang w:val="ro-MD"/>
              </w:rPr>
              <w:t>ompletarea punctului 5 din Anexa nr.</w:t>
            </w:r>
            <w:r w:rsidR="000226A9">
              <w:rPr>
                <w:rFonts w:ascii="Times New Roman" w:eastAsia="Times New Roman" w:hAnsi="Times New Roman" w:cs="Times New Roman"/>
                <w:sz w:val="24"/>
                <w:szCs w:val="24"/>
                <w:lang w:val="ro-MD"/>
              </w:rPr>
              <w:t>2</w:t>
            </w:r>
            <w:r>
              <w:rPr>
                <w:rFonts w:ascii="Times New Roman" w:eastAsia="Times New Roman" w:hAnsi="Times New Roman" w:cs="Times New Roman"/>
                <w:sz w:val="24"/>
                <w:szCs w:val="24"/>
                <w:lang w:val="ro-MD"/>
              </w:rPr>
              <w:t xml:space="preserve"> cu punctul 6) va avea </w:t>
            </w:r>
            <w:r w:rsidRPr="00BD116B">
              <w:rPr>
                <w:rFonts w:ascii="Times New Roman" w:eastAsia="Times New Roman" w:hAnsi="Times New Roman" w:cs="Times New Roman"/>
                <w:sz w:val="24"/>
                <w:szCs w:val="24"/>
                <w:lang w:val="ro-MD"/>
              </w:rPr>
              <w:t>un impact social pozitiv prin îmbunătățirea condițiilor de studiu pentru elevi și creșterea echității în accesul la infrastructură educațională modernă. Introducerea mecanismului care permite APL II să sprijine financiar APL I facilitează implementarea proiectelor de reparație, modernizare și dotare, reducând riscul de neimplementare din cauza lipsei contribuției proprii.</w:t>
            </w:r>
            <w:r>
              <w:rPr>
                <w:rFonts w:ascii="Times New Roman" w:eastAsia="Times New Roman" w:hAnsi="Times New Roman" w:cs="Times New Roman"/>
                <w:sz w:val="24"/>
                <w:szCs w:val="24"/>
                <w:lang w:val="ro-MD"/>
              </w:rPr>
              <w:t xml:space="preserve"> </w:t>
            </w:r>
            <w:r w:rsidRPr="00BD116B">
              <w:rPr>
                <w:rFonts w:ascii="Times New Roman" w:eastAsia="Times New Roman" w:hAnsi="Times New Roman" w:cs="Times New Roman"/>
                <w:sz w:val="24"/>
                <w:szCs w:val="24"/>
                <w:lang w:val="ro-MD"/>
              </w:rPr>
              <w:t xml:space="preserve">Măsura contribuie la diminuarea discrepanțelor teritoriale, în special în localitățile cu capacitate financiară redusă, și asigură un acces mai uniform la servicii educaționale de calitate. </w:t>
            </w:r>
          </w:p>
          <w:p w:rsidR="00BD116B" w:rsidRPr="00BD116B" w:rsidRDefault="00BD116B" w:rsidP="00BD116B">
            <w:pPr>
              <w:spacing w:before="120" w:line="240" w:lineRule="auto"/>
              <w:jc w:val="both"/>
              <w:rPr>
                <w:rFonts w:ascii="Times New Roman" w:eastAsia="Times New Roman" w:hAnsi="Times New Roman" w:cs="Times New Roman"/>
                <w:sz w:val="24"/>
                <w:szCs w:val="24"/>
                <w:lang w:val="ro-MD"/>
              </w:rPr>
            </w:pPr>
            <w:r w:rsidRPr="00BD116B">
              <w:rPr>
                <w:rFonts w:ascii="Times New Roman" w:eastAsia="Times New Roman" w:hAnsi="Times New Roman" w:cs="Times New Roman"/>
                <w:sz w:val="24"/>
                <w:szCs w:val="24"/>
                <w:lang w:val="ro-MD"/>
              </w:rPr>
              <w:lastRenderedPageBreak/>
              <w:t>Per ansamblu, proiectul are un impact social pozitiv prin îmbunătățirea infrastructurii educaționale, creșterea echității teritoriale și consolidarea calității serviciilor oferite elevilor și comunităților locale.</w:t>
            </w:r>
          </w:p>
        </w:tc>
      </w:tr>
      <w:tr w:rsidR="00C264FF" w:rsidRPr="00F8231E" w:rsidTr="00142E43">
        <w:trPr>
          <w:trHeight w:val="378"/>
        </w:trPr>
        <w:tc>
          <w:tcPr>
            <w:tcW w:w="9781"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rsidR="00C264FF" w:rsidRPr="00F8231E" w:rsidRDefault="00BB3AA2" w:rsidP="00F8231E">
            <w:pPr>
              <w:spacing w:before="120" w:line="240" w:lineRule="auto"/>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lastRenderedPageBreak/>
              <w:t>4.4.1. Impactul asupra datelor cu caracter personal</w:t>
            </w:r>
          </w:p>
        </w:tc>
      </w:tr>
      <w:tr w:rsidR="00C264FF" w:rsidRPr="00F8231E" w:rsidTr="00142E43">
        <w:trPr>
          <w:trHeight w:val="378"/>
        </w:trPr>
        <w:tc>
          <w:tcPr>
            <w:tcW w:w="978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Pr="00F8231E" w:rsidRDefault="006B6A3B" w:rsidP="00F8231E">
            <w:pPr>
              <w:spacing w:before="120" w:line="240" w:lineRule="auto"/>
              <w:rPr>
                <w:rFonts w:ascii="Times New Roman" w:eastAsia="Times New Roman" w:hAnsi="Times New Roman" w:cs="Times New Roman"/>
                <w:sz w:val="24"/>
                <w:szCs w:val="24"/>
                <w:lang w:val="ro-MD"/>
              </w:rPr>
            </w:pPr>
            <w:r w:rsidRPr="00F8231E">
              <w:rPr>
                <w:rFonts w:ascii="Times New Roman" w:hAnsi="Times New Roman" w:cs="Times New Roman"/>
                <w:sz w:val="24"/>
                <w:szCs w:val="24"/>
                <w:lang w:val="ro-MD"/>
              </w:rPr>
              <w:t>Nu este aplicabil</w:t>
            </w:r>
          </w:p>
        </w:tc>
      </w:tr>
      <w:tr w:rsidR="00C264FF" w:rsidRPr="00F8231E" w:rsidTr="00142E43">
        <w:trPr>
          <w:trHeight w:val="378"/>
        </w:trPr>
        <w:tc>
          <w:tcPr>
            <w:tcW w:w="9781"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rsidR="00C264FF" w:rsidRPr="00F8231E" w:rsidRDefault="00BB3AA2" w:rsidP="00F8231E">
            <w:pPr>
              <w:spacing w:before="120" w:line="240" w:lineRule="auto"/>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t>4.4.2. Impactul asupra echității și egalității de gen</w:t>
            </w:r>
          </w:p>
        </w:tc>
      </w:tr>
      <w:tr w:rsidR="00C264FF" w:rsidRPr="00F8231E" w:rsidTr="00142E43">
        <w:trPr>
          <w:trHeight w:val="378"/>
        </w:trPr>
        <w:tc>
          <w:tcPr>
            <w:tcW w:w="978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3316C" w:rsidRPr="0013316C" w:rsidRDefault="0013316C" w:rsidP="0013316C">
            <w:pPr>
              <w:spacing w:before="120" w:line="240" w:lineRule="auto"/>
              <w:jc w:val="both"/>
              <w:rPr>
                <w:rFonts w:ascii="Times New Roman" w:eastAsia="Times New Roman" w:hAnsi="Times New Roman" w:cs="Times New Roman"/>
                <w:sz w:val="24"/>
                <w:szCs w:val="24"/>
                <w:lang w:val="ro-MD"/>
              </w:rPr>
            </w:pPr>
            <w:r w:rsidRPr="0013316C">
              <w:rPr>
                <w:rFonts w:ascii="Times New Roman" w:eastAsia="Times New Roman" w:hAnsi="Times New Roman" w:cs="Times New Roman"/>
                <w:sz w:val="24"/>
                <w:szCs w:val="24"/>
                <w:lang w:val="ro-MD"/>
              </w:rPr>
              <w:t>Proiectul nu generează efecte diferențiate pe criterii de gen și se aplică uniform tuturor beneficiarilor. Modificările propuse au caracter tehnic și financiar și nu influențează distribuția resurselor în funcție de sexul persoanelor implicate.</w:t>
            </w:r>
          </w:p>
          <w:p w:rsidR="00C264FF" w:rsidRPr="0013316C" w:rsidRDefault="0013316C" w:rsidP="0013316C">
            <w:pPr>
              <w:spacing w:before="120" w:line="240" w:lineRule="auto"/>
              <w:jc w:val="both"/>
              <w:rPr>
                <w:rFonts w:ascii="Times New Roman" w:eastAsia="Times New Roman" w:hAnsi="Times New Roman" w:cs="Times New Roman"/>
                <w:sz w:val="24"/>
                <w:szCs w:val="24"/>
                <w:lang w:val="en-US"/>
              </w:rPr>
            </w:pPr>
            <w:r w:rsidRPr="0013316C">
              <w:rPr>
                <w:rFonts w:ascii="Times New Roman" w:eastAsia="Times New Roman" w:hAnsi="Times New Roman" w:cs="Times New Roman"/>
                <w:sz w:val="24"/>
                <w:szCs w:val="24"/>
                <w:lang w:val="ro-MD"/>
              </w:rPr>
              <w:t>Indirect, proiectul poate contribui pozitiv la echitate, prin îmbunătățirea condițiilor de muncă în sistemul educațional și modernizarea infrastructurii școlare, aspecte care sprijină în mod egal femeile și bărbații. Proiectul este compatibil cu principiile egalității de șanse și nu generează riscuri de discriminare.</w:t>
            </w:r>
          </w:p>
        </w:tc>
      </w:tr>
      <w:tr w:rsidR="00C264FF" w:rsidRPr="00F8231E" w:rsidTr="00142E43">
        <w:trPr>
          <w:trHeight w:val="378"/>
        </w:trPr>
        <w:tc>
          <w:tcPr>
            <w:tcW w:w="9781"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rsidR="00C264FF" w:rsidRPr="00F8231E" w:rsidRDefault="00BB3AA2" w:rsidP="00F8231E">
            <w:pPr>
              <w:spacing w:before="120" w:line="240" w:lineRule="auto"/>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t>4.5. Impactul asupra mediului</w:t>
            </w:r>
          </w:p>
        </w:tc>
      </w:tr>
      <w:tr w:rsidR="00C264FF" w:rsidRPr="00F8231E" w:rsidTr="00142E43">
        <w:trPr>
          <w:trHeight w:val="378"/>
        </w:trPr>
        <w:tc>
          <w:tcPr>
            <w:tcW w:w="978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618EA" w:rsidRPr="001618EA" w:rsidRDefault="001618EA" w:rsidP="001618EA">
            <w:pPr>
              <w:spacing w:before="120" w:line="240" w:lineRule="auto"/>
              <w:jc w:val="both"/>
              <w:rPr>
                <w:rFonts w:ascii="Times New Roman" w:eastAsia="Times New Roman" w:hAnsi="Times New Roman" w:cs="Times New Roman"/>
                <w:sz w:val="24"/>
                <w:szCs w:val="24"/>
                <w:lang w:val="ro-MD"/>
              </w:rPr>
            </w:pPr>
            <w:r w:rsidRPr="001618EA">
              <w:rPr>
                <w:rFonts w:ascii="Times New Roman" w:eastAsia="Times New Roman" w:hAnsi="Times New Roman" w:cs="Times New Roman"/>
                <w:sz w:val="24"/>
                <w:szCs w:val="24"/>
                <w:lang w:val="ro-MD"/>
              </w:rPr>
              <w:t>Proiectul nu are impact negativ asupra mediului. Măsurile reglementate vizează mecanisme financiare și administrative, fără implicații asupra activităților cu efect asupra mediului.</w:t>
            </w:r>
          </w:p>
          <w:p w:rsidR="00C264FF" w:rsidRPr="001618EA" w:rsidRDefault="001618EA" w:rsidP="001618EA">
            <w:pPr>
              <w:spacing w:before="120" w:line="240" w:lineRule="auto"/>
              <w:jc w:val="both"/>
              <w:rPr>
                <w:rFonts w:ascii="Times New Roman" w:eastAsia="Times New Roman" w:hAnsi="Times New Roman" w:cs="Times New Roman"/>
                <w:sz w:val="24"/>
                <w:szCs w:val="24"/>
                <w:lang w:val="en-US"/>
              </w:rPr>
            </w:pPr>
            <w:r w:rsidRPr="001618EA">
              <w:rPr>
                <w:rFonts w:ascii="Times New Roman" w:eastAsia="Times New Roman" w:hAnsi="Times New Roman" w:cs="Times New Roman"/>
                <w:sz w:val="24"/>
                <w:szCs w:val="24"/>
                <w:lang w:val="ro-MD"/>
              </w:rPr>
              <w:t xml:space="preserve">Indirect, prin facilitarea modernizării </w:t>
            </w:r>
            <w:r>
              <w:rPr>
                <w:rFonts w:ascii="Times New Roman" w:eastAsia="Times New Roman" w:hAnsi="Times New Roman" w:cs="Times New Roman"/>
                <w:sz w:val="24"/>
                <w:szCs w:val="24"/>
                <w:lang w:val="ro-MD"/>
              </w:rPr>
              <w:t>infrastructurii</w:t>
            </w:r>
            <w:r w:rsidRPr="001618EA">
              <w:rPr>
                <w:rFonts w:ascii="Times New Roman" w:eastAsia="Times New Roman" w:hAnsi="Times New Roman" w:cs="Times New Roman"/>
                <w:sz w:val="24"/>
                <w:szCs w:val="24"/>
                <w:lang w:val="ro-MD"/>
              </w:rPr>
              <w:t xml:space="preserve"> școlare, proiectul poate contribui la îmbunătățirea eficienței energetice a acestora, prin implementarea lucrărilor eligibile în proiectele naționale și internaționale (izolare termică, reabilitare, iluminat eficient etc.), ceea ce produce un impact pozitiv asupra mediului.</w:t>
            </w:r>
          </w:p>
        </w:tc>
      </w:tr>
      <w:tr w:rsidR="00C264FF" w:rsidRPr="00F8231E" w:rsidTr="00142E43">
        <w:trPr>
          <w:trHeight w:val="378"/>
        </w:trPr>
        <w:tc>
          <w:tcPr>
            <w:tcW w:w="9781"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rsidR="00C264FF" w:rsidRPr="00F8231E" w:rsidRDefault="00BB3AA2" w:rsidP="00F8231E">
            <w:pPr>
              <w:spacing w:before="120" w:line="240" w:lineRule="auto"/>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t>4.6. Alte impacturi și informații relevante</w:t>
            </w:r>
          </w:p>
        </w:tc>
      </w:tr>
      <w:tr w:rsidR="00C264FF" w:rsidRPr="00F8231E" w:rsidTr="00142E43">
        <w:trPr>
          <w:trHeight w:val="303"/>
        </w:trPr>
        <w:tc>
          <w:tcPr>
            <w:tcW w:w="978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Pr="00F8231E" w:rsidRDefault="006B6A3B" w:rsidP="00F8231E">
            <w:pPr>
              <w:spacing w:before="120" w:line="240" w:lineRule="auto"/>
              <w:rPr>
                <w:rFonts w:ascii="Times New Roman" w:eastAsia="Times New Roman" w:hAnsi="Times New Roman" w:cs="Times New Roman"/>
                <w:sz w:val="24"/>
                <w:szCs w:val="24"/>
                <w:lang w:val="ro-MD"/>
              </w:rPr>
            </w:pPr>
            <w:r w:rsidRPr="00F8231E">
              <w:rPr>
                <w:rFonts w:ascii="Times New Roman" w:hAnsi="Times New Roman" w:cs="Times New Roman"/>
                <w:sz w:val="24"/>
                <w:szCs w:val="24"/>
                <w:lang w:val="ro-MD"/>
              </w:rPr>
              <w:t>Nu este aplicabil</w:t>
            </w:r>
          </w:p>
        </w:tc>
      </w:tr>
      <w:tr w:rsidR="00C264FF" w:rsidRPr="00F8231E" w:rsidTr="00142E43">
        <w:trPr>
          <w:trHeight w:val="368"/>
        </w:trPr>
        <w:tc>
          <w:tcPr>
            <w:tcW w:w="9781"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F8231E" w:rsidRDefault="00BB3AA2" w:rsidP="00F8231E">
            <w:pPr>
              <w:spacing w:before="120" w:line="240" w:lineRule="auto"/>
              <w:ind w:right="141"/>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t xml:space="preserve">5. Compatibilitatea proiectului actului normativ cu legislația UE </w:t>
            </w:r>
          </w:p>
        </w:tc>
      </w:tr>
      <w:tr w:rsidR="00C264FF" w:rsidRPr="00F8231E" w:rsidTr="00142E43">
        <w:trPr>
          <w:trHeight w:val="201"/>
        </w:trPr>
        <w:tc>
          <w:tcPr>
            <w:tcW w:w="9781" w:type="dxa"/>
            <w:tcBorders>
              <w:top w:val="nil"/>
              <w:left w:val="single" w:sz="5" w:space="0" w:color="000000"/>
              <w:bottom w:val="single" w:sz="5" w:space="0" w:color="000000"/>
              <w:right w:val="single" w:sz="5" w:space="0" w:color="000000"/>
            </w:tcBorders>
            <w:shd w:val="clear" w:color="auto" w:fill="C9DAF8"/>
            <w:tcMar>
              <w:top w:w="0" w:type="dxa"/>
              <w:left w:w="100" w:type="dxa"/>
              <w:bottom w:w="0" w:type="dxa"/>
              <w:right w:w="100" w:type="dxa"/>
            </w:tcMar>
          </w:tcPr>
          <w:p w:rsidR="00C264FF" w:rsidRPr="00F8231E" w:rsidRDefault="00BB3AA2" w:rsidP="00F8231E">
            <w:pPr>
              <w:spacing w:before="120" w:line="240" w:lineRule="auto"/>
              <w:jc w:val="both"/>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t>5.1. Măsuri normative necesare pentru transpunerea actelor juridice ale UE în legislația națională</w:t>
            </w:r>
          </w:p>
        </w:tc>
      </w:tr>
      <w:tr w:rsidR="00C264FF" w:rsidRPr="00F8231E" w:rsidTr="00142E43">
        <w:trPr>
          <w:trHeight w:val="737"/>
        </w:trPr>
        <w:tc>
          <w:tcPr>
            <w:tcW w:w="97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64FF" w:rsidRPr="00F8231E" w:rsidRDefault="00BB3AA2" w:rsidP="00F8231E">
            <w:pPr>
              <w:spacing w:before="120" w:line="240" w:lineRule="auto"/>
              <w:ind w:right="141" w:firstLine="176"/>
              <w:rPr>
                <w:rFonts w:ascii="Times New Roman" w:eastAsia="Times New Roman" w:hAnsi="Times New Roman" w:cs="Times New Roman"/>
                <w:b/>
                <w:sz w:val="24"/>
                <w:szCs w:val="24"/>
                <w:lang w:val="ro-MD"/>
              </w:rPr>
            </w:pPr>
            <w:r w:rsidRPr="00F8231E">
              <w:rPr>
                <w:rFonts w:ascii="Times New Roman" w:eastAsia="Times New Roman" w:hAnsi="Times New Roman" w:cs="Times New Roman"/>
                <w:sz w:val="24"/>
                <w:szCs w:val="24"/>
                <w:lang w:val="ro-MD"/>
              </w:rPr>
              <w:t>Proiectul nu intră în categoria actelor normative care necesită expertiza de compatibilitate cu legislația Uniunii Europene.</w:t>
            </w:r>
          </w:p>
        </w:tc>
      </w:tr>
      <w:tr w:rsidR="00C264FF" w:rsidRPr="00F8231E" w:rsidTr="00142E43">
        <w:trPr>
          <w:trHeight w:val="443"/>
        </w:trPr>
        <w:tc>
          <w:tcPr>
            <w:tcW w:w="9781" w:type="dxa"/>
            <w:tcBorders>
              <w:top w:val="nil"/>
              <w:left w:val="single" w:sz="5" w:space="0" w:color="000000"/>
              <w:bottom w:val="single" w:sz="5" w:space="0" w:color="000000"/>
              <w:right w:val="single" w:sz="5" w:space="0" w:color="000000"/>
            </w:tcBorders>
            <w:shd w:val="clear" w:color="auto" w:fill="C9DAF8"/>
            <w:tcMar>
              <w:top w:w="0" w:type="dxa"/>
              <w:left w:w="100" w:type="dxa"/>
              <w:bottom w:w="0" w:type="dxa"/>
              <w:right w:w="100" w:type="dxa"/>
            </w:tcMar>
          </w:tcPr>
          <w:p w:rsidR="00C264FF" w:rsidRPr="00F8231E" w:rsidRDefault="00BB3AA2" w:rsidP="00F8231E">
            <w:pPr>
              <w:spacing w:before="120" w:line="240" w:lineRule="auto"/>
              <w:jc w:val="both"/>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t>5.2. Măsuri normative care urmăresc crearea cadrului juridic intern necesar pentru implementarea legislației UE</w:t>
            </w:r>
          </w:p>
        </w:tc>
      </w:tr>
      <w:tr w:rsidR="00C264FF" w:rsidRPr="00F8231E" w:rsidTr="00142E43">
        <w:trPr>
          <w:trHeight w:val="737"/>
        </w:trPr>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C264FF" w:rsidRPr="00F8231E" w:rsidRDefault="00BB3AA2" w:rsidP="00F82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right="142" w:firstLine="176"/>
              <w:jc w:val="both"/>
              <w:rPr>
                <w:rFonts w:ascii="Times New Roman" w:eastAsia="Times New Roman" w:hAnsi="Times New Roman" w:cs="Times New Roman"/>
                <w:sz w:val="24"/>
                <w:szCs w:val="24"/>
                <w:highlight w:val="white"/>
                <w:lang w:val="ro-MD"/>
              </w:rPr>
            </w:pPr>
            <w:r w:rsidRPr="00F8231E">
              <w:rPr>
                <w:rFonts w:ascii="Times New Roman" w:eastAsia="Times New Roman" w:hAnsi="Times New Roman" w:cs="Times New Roman"/>
                <w:sz w:val="24"/>
                <w:szCs w:val="24"/>
                <w:lang w:val="ro-MD"/>
              </w:rPr>
              <w:t xml:space="preserve">Proiectul Hotărârii Guvernului pentru modificarea Hotărârii Guvernului nr.868/2014 privind </w:t>
            </w:r>
            <w:proofErr w:type="spellStart"/>
            <w:r w:rsidRPr="00F8231E">
              <w:rPr>
                <w:rFonts w:ascii="Times New Roman" w:eastAsia="Times New Roman" w:hAnsi="Times New Roman" w:cs="Times New Roman"/>
                <w:sz w:val="24"/>
                <w:szCs w:val="24"/>
                <w:lang w:val="ro-MD"/>
              </w:rPr>
              <w:t>finanţarea</w:t>
            </w:r>
            <w:proofErr w:type="spellEnd"/>
            <w:r w:rsidRPr="00F8231E">
              <w:rPr>
                <w:rFonts w:ascii="Times New Roman" w:eastAsia="Times New Roman" w:hAnsi="Times New Roman" w:cs="Times New Roman"/>
                <w:sz w:val="24"/>
                <w:szCs w:val="24"/>
                <w:lang w:val="ro-MD"/>
              </w:rPr>
              <w:t xml:space="preserve"> în bază de cost standard per elev a instituțiilor de învățământ primar </w:t>
            </w:r>
            <w:proofErr w:type="spellStart"/>
            <w:r w:rsidRPr="00F8231E">
              <w:rPr>
                <w:rFonts w:ascii="Times New Roman" w:eastAsia="Times New Roman" w:hAnsi="Times New Roman" w:cs="Times New Roman"/>
                <w:sz w:val="24"/>
                <w:szCs w:val="24"/>
                <w:lang w:val="ro-MD"/>
              </w:rPr>
              <w:t>şi</w:t>
            </w:r>
            <w:proofErr w:type="spellEnd"/>
            <w:r w:rsidRPr="00F8231E">
              <w:rPr>
                <w:rFonts w:ascii="Times New Roman" w:eastAsia="Times New Roman" w:hAnsi="Times New Roman" w:cs="Times New Roman"/>
                <w:sz w:val="24"/>
                <w:szCs w:val="24"/>
                <w:lang w:val="ro-MD"/>
              </w:rPr>
              <w:t xml:space="preserve"> secundar</w:t>
            </w:r>
            <w:r w:rsidR="007D54C5" w:rsidRPr="00F8231E">
              <w:rPr>
                <w:rFonts w:ascii="Times New Roman" w:eastAsia="Times New Roman" w:hAnsi="Times New Roman" w:cs="Times New Roman"/>
                <w:sz w:val="24"/>
                <w:szCs w:val="24"/>
                <w:lang w:val="ro-MD"/>
              </w:rPr>
              <w:t xml:space="preserve"> (ciclul I și II) </w:t>
            </w:r>
            <w:r w:rsidRPr="00F8231E">
              <w:rPr>
                <w:rFonts w:ascii="Times New Roman" w:eastAsia="Times New Roman" w:hAnsi="Times New Roman" w:cs="Times New Roman"/>
                <w:sz w:val="24"/>
                <w:szCs w:val="24"/>
                <w:lang w:val="ro-MD"/>
              </w:rPr>
              <w:t xml:space="preserve">din subordinea </w:t>
            </w:r>
            <w:proofErr w:type="spellStart"/>
            <w:r w:rsidRPr="00F8231E">
              <w:rPr>
                <w:rFonts w:ascii="Times New Roman" w:eastAsia="Times New Roman" w:hAnsi="Times New Roman" w:cs="Times New Roman"/>
                <w:sz w:val="24"/>
                <w:szCs w:val="24"/>
                <w:lang w:val="ro-MD"/>
              </w:rPr>
              <w:t>autorităţilor</w:t>
            </w:r>
            <w:proofErr w:type="spellEnd"/>
            <w:r w:rsidRPr="00F8231E">
              <w:rPr>
                <w:rFonts w:ascii="Times New Roman" w:eastAsia="Times New Roman" w:hAnsi="Times New Roman" w:cs="Times New Roman"/>
                <w:sz w:val="24"/>
                <w:szCs w:val="24"/>
                <w:lang w:val="ro-MD"/>
              </w:rPr>
              <w:t xml:space="preserve"> publice locale de nivelul al doilea nu are ca scop armonizarea </w:t>
            </w:r>
            <w:proofErr w:type="spellStart"/>
            <w:r w:rsidRPr="00F8231E">
              <w:rPr>
                <w:rFonts w:ascii="Times New Roman" w:eastAsia="Times New Roman" w:hAnsi="Times New Roman" w:cs="Times New Roman"/>
                <w:sz w:val="24"/>
                <w:szCs w:val="24"/>
                <w:lang w:val="ro-MD"/>
              </w:rPr>
              <w:t>legislaţiei</w:t>
            </w:r>
            <w:proofErr w:type="spellEnd"/>
            <w:r w:rsidRPr="00F8231E">
              <w:rPr>
                <w:rFonts w:ascii="Times New Roman" w:eastAsia="Times New Roman" w:hAnsi="Times New Roman" w:cs="Times New Roman"/>
                <w:sz w:val="24"/>
                <w:szCs w:val="24"/>
                <w:lang w:val="ro-MD"/>
              </w:rPr>
              <w:t xml:space="preserve"> </w:t>
            </w:r>
            <w:proofErr w:type="spellStart"/>
            <w:r w:rsidRPr="00F8231E">
              <w:rPr>
                <w:rFonts w:ascii="Times New Roman" w:eastAsia="Times New Roman" w:hAnsi="Times New Roman" w:cs="Times New Roman"/>
                <w:sz w:val="24"/>
                <w:szCs w:val="24"/>
                <w:lang w:val="ro-MD"/>
              </w:rPr>
              <w:t>naţionale</w:t>
            </w:r>
            <w:proofErr w:type="spellEnd"/>
            <w:r w:rsidRPr="00F8231E">
              <w:rPr>
                <w:rFonts w:ascii="Times New Roman" w:eastAsia="Times New Roman" w:hAnsi="Times New Roman" w:cs="Times New Roman"/>
                <w:sz w:val="24"/>
                <w:szCs w:val="24"/>
                <w:lang w:val="ro-MD"/>
              </w:rPr>
              <w:t xml:space="preserve"> cu </w:t>
            </w:r>
            <w:proofErr w:type="spellStart"/>
            <w:r w:rsidRPr="00F8231E">
              <w:rPr>
                <w:rFonts w:ascii="Times New Roman" w:eastAsia="Times New Roman" w:hAnsi="Times New Roman" w:cs="Times New Roman"/>
                <w:sz w:val="24"/>
                <w:szCs w:val="24"/>
                <w:lang w:val="ro-MD"/>
              </w:rPr>
              <w:t>legislaţia</w:t>
            </w:r>
            <w:proofErr w:type="spellEnd"/>
            <w:r w:rsidRPr="00F8231E">
              <w:rPr>
                <w:rFonts w:ascii="Times New Roman" w:eastAsia="Times New Roman" w:hAnsi="Times New Roman" w:cs="Times New Roman"/>
                <w:sz w:val="24"/>
                <w:szCs w:val="24"/>
                <w:lang w:val="ro-MD"/>
              </w:rPr>
              <w:t xml:space="preserve"> Uniunii Europene și nu necesită descrierea gradului de compatibilitate.</w:t>
            </w:r>
          </w:p>
        </w:tc>
      </w:tr>
      <w:tr w:rsidR="00C264FF" w:rsidRPr="00F8231E" w:rsidTr="00142E43">
        <w:trPr>
          <w:trHeight w:val="423"/>
        </w:trPr>
        <w:tc>
          <w:tcPr>
            <w:tcW w:w="9781"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F8231E" w:rsidRDefault="00BB3AA2" w:rsidP="00F8231E">
            <w:pPr>
              <w:spacing w:before="120" w:line="240" w:lineRule="auto"/>
              <w:ind w:right="141"/>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t>6. Avizarea și consultarea publică a proiectului actului normativ</w:t>
            </w:r>
          </w:p>
        </w:tc>
      </w:tr>
      <w:tr w:rsidR="00C264FF" w:rsidRPr="00F8231E" w:rsidTr="00142E43">
        <w:trPr>
          <w:trHeight w:val="1"/>
        </w:trPr>
        <w:tc>
          <w:tcPr>
            <w:tcW w:w="9781" w:type="dxa"/>
            <w:tcBorders>
              <w:top w:val="single" w:sz="4" w:space="0" w:color="000000"/>
              <w:left w:val="single" w:sz="4" w:space="0" w:color="000000"/>
              <w:bottom w:val="single" w:sz="4" w:space="0" w:color="000000"/>
              <w:right w:val="single" w:sz="4" w:space="0" w:color="000000"/>
            </w:tcBorders>
            <w:shd w:val="clear" w:color="auto" w:fill="FFFFFF"/>
          </w:tcPr>
          <w:p w:rsidR="00C264FF" w:rsidRPr="00F8231E" w:rsidRDefault="00BB3AA2" w:rsidP="00F8231E">
            <w:pPr>
              <w:spacing w:before="120" w:line="240" w:lineRule="auto"/>
              <w:ind w:firstLine="164"/>
              <w:jc w:val="both"/>
              <w:rPr>
                <w:rFonts w:ascii="Times New Roman" w:eastAsia="Times New Roman" w:hAnsi="Times New Roman" w:cs="Times New Roman"/>
                <w:sz w:val="24"/>
                <w:szCs w:val="24"/>
                <w:lang w:val="ro-MD"/>
              </w:rPr>
            </w:pPr>
            <w:r w:rsidRPr="00F8231E">
              <w:rPr>
                <w:rFonts w:ascii="Times New Roman" w:eastAsia="Times New Roman" w:hAnsi="Times New Roman" w:cs="Times New Roman"/>
                <w:sz w:val="24"/>
                <w:szCs w:val="24"/>
                <w:lang w:val="ro-MD"/>
              </w:rPr>
              <w:t xml:space="preserve">În scopul respectării Legii nr.239/2008 privind transparența în procesul decizional, anunțul de inițiere a elaborării proiectului a fost plasat pe pagina web a Ministerului Educației și Cercetării, la secțiunea Transparența decizională, modulul de participare, </w:t>
            </w:r>
            <w:r w:rsidR="00404F43" w:rsidRPr="00F8231E">
              <w:rPr>
                <w:rFonts w:ascii="Times New Roman" w:eastAsia="Times New Roman" w:hAnsi="Times New Roman" w:cs="Times New Roman"/>
                <w:sz w:val="24"/>
                <w:szCs w:val="24"/>
                <w:lang w:val="ro-MD"/>
              </w:rPr>
              <w:t>la data de 10.11.2025</w:t>
            </w:r>
            <w:r w:rsidR="00A137EF" w:rsidRPr="00F8231E">
              <w:rPr>
                <w:rFonts w:ascii="Times New Roman" w:eastAsia="Times New Roman" w:hAnsi="Times New Roman" w:cs="Times New Roman"/>
                <w:sz w:val="24"/>
                <w:szCs w:val="24"/>
                <w:lang w:val="ro-MD"/>
              </w:rPr>
              <w:t xml:space="preserve"> </w:t>
            </w:r>
            <w:hyperlink r:id="rId8" w:history="1">
              <w:r w:rsidR="00A137EF" w:rsidRPr="00F8231E">
                <w:rPr>
                  <w:rStyle w:val="Hyperlink"/>
                  <w:rFonts w:ascii="Times New Roman" w:eastAsia="Times New Roman" w:hAnsi="Times New Roman" w:cs="Times New Roman"/>
                  <w:sz w:val="24"/>
                  <w:szCs w:val="24"/>
                  <w:lang w:val="ro-MD"/>
                </w:rPr>
                <w:t>https://particip.gov.md/ro/document/stages/in-conformitate-cu-prevederile-legii-nr2392008-</w:t>
              </w:r>
              <w:r w:rsidR="00A137EF" w:rsidRPr="00F8231E">
                <w:rPr>
                  <w:rStyle w:val="Hyperlink"/>
                  <w:rFonts w:ascii="Times New Roman" w:eastAsia="Times New Roman" w:hAnsi="Times New Roman" w:cs="Times New Roman"/>
                  <w:sz w:val="24"/>
                  <w:szCs w:val="24"/>
                  <w:lang w:val="ro-MD"/>
                </w:rPr>
                <w:lastRenderedPageBreak/>
                <w:t>privind-transparenta-in-procesul-decizional-ministerul-educatiei-si-cercetarii-anunta-ca-a-fost-initiat-procesul-de-elaborare-a-proiectului-hotararii-guvernului-cu-privire-la-modificarea-anexei-nr1-la-hotararea-guvernului-nr8682014-privind-finantarea-in-baza-de-cost-standard-per-elev-a-institutiilor-de-invatamant-primar-si-secundar-ciclul-i-si-ii-din-subordinea-autoritatilor-publice-locale-de-nivelul-al-doilea-este-elaborat-de-catre-ministerul-educatiei-si-cercetarii/15478</w:t>
              </w:r>
            </w:hyperlink>
            <w:r w:rsidR="00A137EF" w:rsidRPr="00F8231E">
              <w:rPr>
                <w:rFonts w:ascii="Times New Roman" w:eastAsia="Times New Roman" w:hAnsi="Times New Roman" w:cs="Times New Roman"/>
                <w:sz w:val="24"/>
                <w:szCs w:val="24"/>
                <w:lang w:val="ro-MD"/>
              </w:rPr>
              <w:t xml:space="preserve"> </w:t>
            </w:r>
            <w:r w:rsidR="00404F43" w:rsidRPr="00F8231E">
              <w:rPr>
                <w:rFonts w:ascii="Times New Roman" w:eastAsia="Times New Roman" w:hAnsi="Times New Roman" w:cs="Times New Roman"/>
                <w:sz w:val="24"/>
                <w:szCs w:val="24"/>
                <w:lang w:val="ro-MD"/>
              </w:rPr>
              <w:t>.</w:t>
            </w:r>
          </w:p>
          <w:p w:rsidR="000E4806" w:rsidRPr="00F8231E" w:rsidRDefault="003007BB" w:rsidP="00F8231E">
            <w:pPr>
              <w:spacing w:before="120" w:line="240" w:lineRule="auto"/>
              <w:ind w:firstLine="164"/>
              <w:jc w:val="both"/>
              <w:rPr>
                <w:rFonts w:ascii="Times New Roman" w:eastAsia="Times New Roman" w:hAnsi="Times New Roman" w:cs="Times New Roman"/>
                <w:sz w:val="24"/>
                <w:szCs w:val="24"/>
                <w:lang w:val="ro-MD"/>
              </w:rPr>
            </w:pPr>
            <w:r w:rsidRPr="00F8231E">
              <w:rPr>
                <w:rFonts w:ascii="Times New Roman" w:eastAsia="Times New Roman" w:hAnsi="Times New Roman" w:cs="Times New Roman"/>
                <w:sz w:val="24"/>
                <w:szCs w:val="24"/>
                <w:lang w:val="ro-MD"/>
              </w:rPr>
              <w:t xml:space="preserve">De asemenea, proiectul </w:t>
            </w:r>
            <w:r w:rsidR="00514459" w:rsidRPr="00F8231E">
              <w:rPr>
                <w:rFonts w:ascii="Times New Roman" w:eastAsia="Times New Roman" w:hAnsi="Times New Roman" w:cs="Times New Roman"/>
                <w:sz w:val="24"/>
                <w:szCs w:val="24"/>
                <w:lang w:val="ro-MD"/>
              </w:rPr>
              <w:t>v</w:t>
            </w:r>
            <w:r w:rsidR="000F5727" w:rsidRPr="00F8231E">
              <w:rPr>
                <w:rFonts w:ascii="Times New Roman" w:eastAsia="Times New Roman" w:hAnsi="Times New Roman" w:cs="Times New Roman"/>
                <w:sz w:val="24"/>
                <w:szCs w:val="24"/>
                <w:lang w:val="ro-MD"/>
              </w:rPr>
              <w:t>a</w:t>
            </w:r>
            <w:r w:rsidR="00BB3AA2" w:rsidRPr="00F8231E">
              <w:rPr>
                <w:rFonts w:ascii="Times New Roman" w:eastAsia="Times New Roman" w:hAnsi="Times New Roman" w:cs="Times New Roman"/>
                <w:sz w:val="24"/>
                <w:szCs w:val="24"/>
                <w:lang w:val="ro-MD"/>
              </w:rPr>
              <w:t xml:space="preserve"> </w:t>
            </w:r>
            <w:r w:rsidR="00404F43" w:rsidRPr="00F8231E">
              <w:rPr>
                <w:rFonts w:ascii="Times New Roman" w:eastAsia="Times New Roman" w:hAnsi="Times New Roman" w:cs="Times New Roman"/>
                <w:sz w:val="24"/>
                <w:szCs w:val="24"/>
                <w:lang w:val="ro-MD"/>
              </w:rPr>
              <w:t xml:space="preserve">fi </w:t>
            </w:r>
            <w:r w:rsidR="00BB3AA2" w:rsidRPr="00F8231E">
              <w:rPr>
                <w:rFonts w:ascii="Times New Roman" w:eastAsia="Times New Roman" w:hAnsi="Times New Roman" w:cs="Times New Roman"/>
                <w:sz w:val="24"/>
                <w:szCs w:val="24"/>
                <w:lang w:val="ro-MD"/>
              </w:rPr>
              <w:t>supus consultărilor publice</w:t>
            </w:r>
            <w:r w:rsidR="00D821C2" w:rsidRPr="00F8231E">
              <w:rPr>
                <w:rFonts w:ascii="Times New Roman" w:eastAsia="Times New Roman" w:hAnsi="Times New Roman" w:cs="Times New Roman"/>
                <w:sz w:val="24"/>
                <w:szCs w:val="24"/>
                <w:lang w:val="ro-MD"/>
              </w:rPr>
              <w:t xml:space="preserve"> și </w:t>
            </w:r>
            <w:r w:rsidR="001C669E" w:rsidRPr="00F8231E">
              <w:rPr>
                <w:rFonts w:ascii="Times New Roman" w:eastAsia="Times New Roman" w:hAnsi="Times New Roman" w:cs="Times New Roman"/>
                <w:sz w:val="24"/>
                <w:szCs w:val="24"/>
                <w:lang w:val="ro-MD"/>
              </w:rPr>
              <w:t>avizării</w:t>
            </w:r>
            <w:r w:rsidR="00404F43" w:rsidRPr="00F8231E">
              <w:rPr>
                <w:rFonts w:ascii="Times New Roman" w:eastAsia="Times New Roman" w:hAnsi="Times New Roman" w:cs="Times New Roman"/>
                <w:sz w:val="24"/>
                <w:szCs w:val="24"/>
                <w:lang w:val="ro-MD"/>
              </w:rPr>
              <w:t xml:space="preserve"> de </w:t>
            </w:r>
            <w:r w:rsidR="00B1655C" w:rsidRPr="00F8231E">
              <w:rPr>
                <w:rFonts w:ascii="Times New Roman" w:eastAsia="Times New Roman" w:hAnsi="Times New Roman" w:cs="Times New Roman"/>
                <w:sz w:val="24"/>
                <w:szCs w:val="24"/>
                <w:lang w:val="ro-MD"/>
              </w:rPr>
              <w:t xml:space="preserve">către </w:t>
            </w:r>
            <w:r w:rsidR="00404F43" w:rsidRPr="00F8231E">
              <w:rPr>
                <w:rFonts w:ascii="Times New Roman" w:eastAsia="Times New Roman" w:hAnsi="Times New Roman" w:cs="Times New Roman"/>
                <w:sz w:val="24"/>
                <w:szCs w:val="24"/>
                <w:lang w:val="ro-MD"/>
              </w:rPr>
              <w:t>Ministerul Finanțelor.</w:t>
            </w:r>
          </w:p>
        </w:tc>
      </w:tr>
      <w:tr w:rsidR="00C264FF" w:rsidRPr="00F8231E" w:rsidTr="00142E43">
        <w:trPr>
          <w:trHeight w:val="483"/>
        </w:trPr>
        <w:tc>
          <w:tcPr>
            <w:tcW w:w="9781"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F8231E" w:rsidRDefault="00BB3AA2" w:rsidP="00F8231E">
            <w:pPr>
              <w:spacing w:before="120" w:line="240" w:lineRule="auto"/>
              <w:ind w:right="141"/>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lastRenderedPageBreak/>
              <w:t>7. Concluziile expertizelor</w:t>
            </w:r>
          </w:p>
        </w:tc>
      </w:tr>
      <w:tr w:rsidR="00C264FF" w:rsidRPr="00F8231E" w:rsidTr="00142E43">
        <w:trPr>
          <w:trHeight w:val="483"/>
        </w:trPr>
        <w:tc>
          <w:tcPr>
            <w:tcW w:w="9781" w:type="dxa"/>
            <w:tcBorders>
              <w:top w:val="single" w:sz="4" w:space="0" w:color="000000"/>
              <w:left w:val="single" w:sz="4" w:space="0" w:color="000000"/>
              <w:bottom w:val="single" w:sz="4" w:space="0" w:color="000000"/>
              <w:right w:val="single" w:sz="4" w:space="0" w:color="000000"/>
            </w:tcBorders>
            <w:vAlign w:val="center"/>
          </w:tcPr>
          <w:p w:rsidR="00700BDC" w:rsidRPr="00F8231E" w:rsidRDefault="00404F43" w:rsidP="00F8231E">
            <w:pPr>
              <w:tabs>
                <w:tab w:val="left" w:pos="993"/>
              </w:tabs>
              <w:spacing w:before="120" w:line="240" w:lineRule="auto"/>
              <w:jc w:val="both"/>
              <w:rPr>
                <w:rFonts w:ascii="Times New Roman" w:eastAsia="Times New Roman" w:hAnsi="Times New Roman" w:cs="Times New Roman"/>
                <w:sz w:val="24"/>
                <w:szCs w:val="24"/>
                <w:lang w:val="ro-MD"/>
              </w:rPr>
            </w:pPr>
            <w:r w:rsidRPr="00F8231E">
              <w:rPr>
                <w:rFonts w:ascii="Times New Roman" w:eastAsia="Times New Roman" w:hAnsi="Times New Roman" w:cs="Times New Roman"/>
                <w:sz w:val="24"/>
                <w:szCs w:val="24"/>
                <w:lang w:val="ro-MD"/>
              </w:rPr>
              <w:t xml:space="preserve">Proiectul de Hotărâre va fi supus </w:t>
            </w:r>
            <w:r w:rsidRPr="00F8231E">
              <w:rPr>
                <w:rFonts w:ascii="Times New Roman" w:eastAsia="Times New Roman" w:hAnsi="Times New Roman" w:cs="Times New Roman"/>
                <w:bCs/>
                <w:sz w:val="24"/>
                <w:szCs w:val="24"/>
                <w:lang w:val="ro-MD"/>
              </w:rPr>
              <w:t>expertizei juridice</w:t>
            </w:r>
            <w:r w:rsidRPr="00F8231E">
              <w:rPr>
                <w:rFonts w:ascii="Times New Roman" w:eastAsia="Times New Roman" w:hAnsi="Times New Roman" w:cs="Times New Roman"/>
                <w:sz w:val="24"/>
                <w:szCs w:val="24"/>
                <w:lang w:val="ro-MD"/>
              </w:rPr>
              <w:t xml:space="preserve"> de către </w:t>
            </w:r>
            <w:r w:rsidRPr="00F8231E">
              <w:rPr>
                <w:rFonts w:ascii="Times New Roman" w:eastAsia="Times New Roman" w:hAnsi="Times New Roman" w:cs="Times New Roman"/>
                <w:bCs/>
                <w:sz w:val="24"/>
                <w:szCs w:val="24"/>
                <w:lang w:val="ro-MD"/>
              </w:rPr>
              <w:t>Ministerul Justiției</w:t>
            </w:r>
            <w:r w:rsidRPr="00F8231E">
              <w:rPr>
                <w:rFonts w:ascii="Times New Roman" w:eastAsia="Times New Roman" w:hAnsi="Times New Roman" w:cs="Times New Roman"/>
                <w:sz w:val="24"/>
                <w:szCs w:val="24"/>
                <w:lang w:val="ro-MD"/>
              </w:rPr>
              <w:t xml:space="preserve"> și </w:t>
            </w:r>
            <w:r w:rsidRPr="00F8231E">
              <w:rPr>
                <w:rFonts w:ascii="Times New Roman" w:eastAsia="Times New Roman" w:hAnsi="Times New Roman" w:cs="Times New Roman"/>
                <w:bCs/>
                <w:sz w:val="24"/>
                <w:szCs w:val="24"/>
                <w:lang w:val="ro-MD"/>
              </w:rPr>
              <w:t>expertizei anticorupție</w:t>
            </w:r>
            <w:r w:rsidRPr="00F8231E">
              <w:rPr>
                <w:rFonts w:ascii="Times New Roman" w:eastAsia="Times New Roman" w:hAnsi="Times New Roman" w:cs="Times New Roman"/>
                <w:sz w:val="24"/>
                <w:szCs w:val="24"/>
                <w:lang w:val="ro-MD"/>
              </w:rPr>
              <w:t xml:space="preserve"> de către </w:t>
            </w:r>
            <w:r w:rsidRPr="00F8231E">
              <w:rPr>
                <w:rFonts w:ascii="Times New Roman" w:eastAsia="Times New Roman" w:hAnsi="Times New Roman" w:cs="Times New Roman"/>
                <w:bCs/>
                <w:sz w:val="24"/>
                <w:szCs w:val="24"/>
                <w:lang w:val="ro-MD"/>
              </w:rPr>
              <w:t>Centrul Național Anticorupție</w:t>
            </w:r>
            <w:r w:rsidRPr="00F8231E">
              <w:rPr>
                <w:rFonts w:ascii="Times New Roman" w:eastAsia="Times New Roman" w:hAnsi="Times New Roman" w:cs="Times New Roman"/>
                <w:sz w:val="24"/>
                <w:szCs w:val="24"/>
                <w:lang w:val="ro-MD"/>
              </w:rPr>
              <w:t xml:space="preserve">, în conformitate cu prevederile </w:t>
            </w:r>
            <w:r w:rsidRPr="00F8231E">
              <w:rPr>
                <w:rFonts w:ascii="Times New Roman" w:eastAsia="Times New Roman" w:hAnsi="Times New Roman" w:cs="Times New Roman"/>
                <w:bCs/>
                <w:sz w:val="24"/>
                <w:szCs w:val="24"/>
                <w:lang w:val="ro-MD"/>
              </w:rPr>
              <w:t>Legii nr. 100/2017 privind actele normative</w:t>
            </w:r>
            <w:r w:rsidRPr="00F8231E">
              <w:rPr>
                <w:rFonts w:ascii="Times New Roman" w:eastAsia="Times New Roman" w:hAnsi="Times New Roman" w:cs="Times New Roman"/>
                <w:sz w:val="24"/>
                <w:szCs w:val="24"/>
                <w:lang w:val="ro-MD"/>
              </w:rPr>
              <w:t>.</w:t>
            </w:r>
          </w:p>
        </w:tc>
      </w:tr>
      <w:tr w:rsidR="00C264FF" w:rsidRPr="00F8231E" w:rsidTr="00142E43">
        <w:trPr>
          <w:trHeight w:val="483"/>
        </w:trPr>
        <w:tc>
          <w:tcPr>
            <w:tcW w:w="9781"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F8231E" w:rsidRDefault="00BB3AA2" w:rsidP="00F8231E">
            <w:pPr>
              <w:spacing w:before="120" w:line="240" w:lineRule="auto"/>
              <w:ind w:right="141"/>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t>8. Modul de încorporare a actului în cadrul normativ existent</w:t>
            </w:r>
          </w:p>
        </w:tc>
      </w:tr>
      <w:tr w:rsidR="00C264FF" w:rsidRPr="00F8231E" w:rsidTr="00142E43">
        <w:trPr>
          <w:trHeight w:val="483"/>
        </w:trPr>
        <w:tc>
          <w:tcPr>
            <w:tcW w:w="9781" w:type="dxa"/>
            <w:tcBorders>
              <w:top w:val="single" w:sz="4" w:space="0" w:color="000000"/>
              <w:left w:val="single" w:sz="4" w:space="0" w:color="000000"/>
              <w:bottom w:val="single" w:sz="4" w:space="0" w:color="000000"/>
              <w:right w:val="single" w:sz="4" w:space="0" w:color="000000"/>
            </w:tcBorders>
            <w:vAlign w:val="center"/>
          </w:tcPr>
          <w:p w:rsidR="000226A9" w:rsidRPr="000226A9" w:rsidRDefault="00C50068" w:rsidP="000226A9">
            <w:pPr>
              <w:spacing w:before="120" w:line="240" w:lineRule="auto"/>
              <w:jc w:val="both"/>
              <w:rPr>
                <w:rFonts w:ascii="Times New Roman" w:eastAsia="Times New Roman" w:hAnsi="Times New Roman" w:cs="Times New Roman"/>
                <w:bCs/>
                <w:sz w:val="24"/>
                <w:szCs w:val="24"/>
                <w:lang w:val="ro-MD"/>
              </w:rPr>
            </w:pPr>
            <w:r w:rsidRPr="00F8231E">
              <w:rPr>
                <w:rFonts w:ascii="Times New Roman" w:eastAsia="Times New Roman" w:hAnsi="Times New Roman" w:cs="Times New Roman"/>
                <w:sz w:val="24"/>
                <w:szCs w:val="24"/>
                <w:lang w:val="ro-MD"/>
              </w:rPr>
              <w:t xml:space="preserve">Modificările propuse urmăresc </w:t>
            </w:r>
            <w:r w:rsidR="002E14DB" w:rsidRPr="00F8231E">
              <w:rPr>
                <w:rFonts w:ascii="Times New Roman" w:eastAsia="Times New Roman" w:hAnsi="Times New Roman" w:cs="Times New Roman"/>
                <w:bCs/>
                <w:sz w:val="24"/>
                <w:szCs w:val="24"/>
                <w:lang w:val="ro-MD"/>
              </w:rPr>
              <w:t xml:space="preserve">racordarea </w:t>
            </w:r>
            <w:r w:rsidR="002E14DB" w:rsidRPr="00F8231E">
              <w:rPr>
                <w:rFonts w:ascii="Times New Roman" w:eastAsia="Times New Roman" w:hAnsi="Times New Roman" w:cs="Times New Roman"/>
                <w:color w:val="000000"/>
                <w:sz w:val="24"/>
                <w:szCs w:val="24"/>
                <w:lang w:val="ro-MD"/>
              </w:rPr>
              <w:t xml:space="preserve">Hotărârii Guvernului nr.868/2014 privind </w:t>
            </w:r>
            <w:proofErr w:type="spellStart"/>
            <w:r w:rsidR="002E14DB" w:rsidRPr="00F8231E">
              <w:rPr>
                <w:rFonts w:ascii="Times New Roman" w:eastAsia="Times New Roman" w:hAnsi="Times New Roman" w:cs="Times New Roman"/>
                <w:color w:val="000000"/>
                <w:sz w:val="24"/>
                <w:szCs w:val="24"/>
                <w:lang w:val="ro-MD"/>
              </w:rPr>
              <w:t>finanţarea</w:t>
            </w:r>
            <w:proofErr w:type="spellEnd"/>
            <w:r w:rsidR="002E14DB" w:rsidRPr="00F8231E">
              <w:rPr>
                <w:rFonts w:ascii="Times New Roman" w:eastAsia="Times New Roman" w:hAnsi="Times New Roman" w:cs="Times New Roman"/>
                <w:color w:val="000000"/>
                <w:sz w:val="24"/>
                <w:szCs w:val="24"/>
                <w:lang w:val="ro-MD"/>
              </w:rPr>
              <w:t xml:space="preserve"> în bază de cost standard per elev a instituțiilor de învățământ primar </w:t>
            </w:r>
            <w:proofErr w:type="spellStart"/>
            <w:r w:rsidR="002E14DB" w:rsidRPr="00F8231E">
              <w:rPr>
                <w:rFonts w:ascii="Times New Roman" w:eastAsia="Times New Roman" w:hAnsi="Times New Roman" w:cs="Times New Roman"/>
                <w:color w:val="000000"/>
                <w:sz w:val="24"/>
                <w:szCs w:val="24"/>
                <w:lang w:val="ro-MD"/>
              </w:rPr>
              <w:t>şi</w:t>
            </w:r>
            <w:proofErr w:type="spellEnd"/>
            <w:r w:rsidR="002E14DB" w:rsidRPr="00F8231E">
              <w:rPr>
                <w:rFonts w:ascii="Times New Roman" w:eastAsia="Times New Roman" w:hAnsi="Times New Roman" w:cs="Times New Roman"/>
                <w:color w:val="000000"/>
                <w:sz w:val="24"/>
                <w:szCs w:val="24"/>
                <w:lang w:val="ro-MD"/>
              </w:rPr>
              <w:t xml:space="preserve"> secundar (ciclul I și II) din subordinea </w:t>
            </w:r>
            <w:proofErr w:type="spellStart"/>
            <w:r w:rsidR="002E14DB" w:rsidRPr="00F8231E">
              <w:rPr>
                <w:rFonts w:ascii="Times New Roman" w:eastAsia="Times New Roman" w:hAnsi="Times New Roman" w:cs="Times New Roman"/>
                <w:color w:val="000000"/>
                <w:sz w:val="24"/>
                <w:szCs w:val="24"/>
                <w:lang w:val="ro-MD"/>
              </w:rPr>
              <w:t>autorităţilor</w:t>
            </w:r>
            <w:proofErr w:type="spellEnd"/>
            <w:r w:rsidR="002E14DB" w:rsidRPr="00F8231E">
              <w:rPr>
                <w:rFonts w:ascii="Times New Roman" w:eastAsia="Times New Roman" w:hAnsi="Times New Roman" w:cs="Times New Roman"/>
                <w:color w:val="000000"/>
                <w:sz w:val="24"/>
                <w:szCs w:val="24"/>
                <w:lang w:val="ro-MD"/>
              </w:rPr>
              <w:t xml:space="preserve"> publice locale de nivelul al doilea</w:t>
            </w:r>
            <w:r w:rsidRPr="00F8231E">
              <w:rPr>
                <w:rFonts w:ascii="Times New Roman" w:eastAsia="Times New Roman" w:hAnsi="Times New Roman" w:cs="Times New Roman"/>
                <w:sz w:val="24"/>
                <w:szCs w:val="24"/>
                <w:lang w:val="ro-MD"/>
              </w:rPr>
              <w:t xml:space="preserve"> </w:t>
            </w:r>
            <w:r w:rsidR="002E14DB" w:rsidRPr="00F8231E">
              <w:rPr>
                <w:rFonts w:ascii="Times New Roman" w:eastAsia="Times New Roman" w:hAnsi="Times New Roman" w:cs="Times New Roman"/>
                <w:bCs/>
                <w:sz w:val="24"/>
                <w:szCs w:val="24"/>
                <w:lang w:val="ro-MD"/>
              </w:rPr>
              <w:t xml:space="preserve">la prevederile </w:t>
            </w:r>
            <w:r w:rsidRPr="00F8231E">
              <w:rPr>
                <w:rFonts w:ascii="Times New Roman" w:eastAsia="Times New Roman" w:hAnsi="Times New Roman" w:cs="Times New Roman"/>
                <w:bCs/>
                <w:sz w:val="24"/>
                <w:szCs w:val="24"/>
                <w:lang w:val="ro-MD"/>
              </w:rPr>
              <w:t>Legii nr. 305/2024</w:t>
            </w:r>
            <w:r w:rsidRPr="00F8231E">
              <w:rPr>
                <w:rFonts w:ascii="Times New Roman" w:eastAsia="Times New Roman" w:hAnsi="Times New Roman" w:cs="Times New Roman"/>
                <w:sz w:val="24"/>
                <w:szCs w:val="24"/>
                <w:lang w:val="ro-MD"/>
              </w:rPr>
              <w:t xml:space="preserve"> pentru modificarea </w:t>
            </w:r>
            <w:r w:rsidRPr="00F8231E">
              <w:rPr>
                <w:rFonts w:ascii="Times New Roman" w:eastAsia="Times New Roman" w:hAnsi="Times New Roman" w:cs="Times New Roman"/>
                <w:bCs/>
                <w:sz w:val="24"/>
                <w:szCs w:val="24"/>
                <w:lang w:val="ro-MD"/>
              </w:rPr>
              <w:t>Legii nr. 270/2018</w:t>
            </w:r>
            <w:r w:rsidRPr="00F8231E">
              <w:rPr>
                <w:rFonts w:ascii="Times New Roman" w:eastAsia="Times New Roman" w:hAnsi="Times New Roman" w:cs="Times New Roman"/>
                <w:sz w:val="24"/>
                <w:szCs w:val="24"/>
                <w:lang w:val="ro-MD"/>
              </w:rPr>
              <w:t xml:space="preserve"> privind sistemul unitar de salarizare în sectorul bugetar, prin care a fost modificat </w:t>
            </w:r>
            <w:r w:rsidRPr="00F8231E">
              <w:rPr>
                <w:rFonts w:ascii="Times New Roman" w:eastAsia="Times New Roman" w:hAnsi="Times New Roman" w:cs="Times New Roman"/>
                <w:bCs/>
                <w:sz w:val="24"/>
                <w:szCs w:val="24"/>
                <w:lang w:val="ro-MD"/>
              </w:rPr>
              <w:t>punctul 11 din Notele la tabelul 1 din anexa nr. 7</w:t>
            </w:r>
            <w:r w:rsidRPr="00F8231E">
              <w:rPr>
                <w:rFonts w:ascii="Times New Roman" w:eastAsia="Times New Roman" w:hAnsi="Times New Roman" w:cs="Times New Roman"/>
                <w:sz w:val="24"/>
                <w:szCs w:val="24"/>
                <w:lang w:val="ro-MD"/>
              </w:rPr>
              <w:t xml:space="preserve">, stabilindu-se </w:t>
            </w:r>
            <w:r w:rsidRPr="00F8231E">
              <w:rPr>
                <w:rFonts w:ascii="Times New Roman" w:eastAsia="Times New Roman" w:hAnsi="Times New Roman" w:cs="Times New Roman"/>
                <w:bCs/>
                <w:sz w:val="24"/>
                <w:szCs w:val="24"/>
                <w:lang w:val="ro-MD"/>
              </w:rPr>
              <w:t xml:space="preserve">sporuri </w:t>
            </w:r>
            <w:r w:rsidR="002E14DB" w:rsidRPr="00F8231E">
              <w:rPr>
                <w:rFonts w:ascii="Times New Roman" w:eastAsia="Times New Roman" w:hAnsi="Times New Roman" w:cs="Times New Roman"/>
                <w:bCs/>
                <w:sz w:val="24"/>
                <w:szCs w:val="24"/>
                <w:lang w:val="ro-MD"/>
              </w:rPr>
              <w:t xml:space="preserve">în valori </w:t>
            </w:r>
            <w:r w:rsidRPr="00F8231E">
              <w:rPr>
                <w:rFonts w:ascii="Times New Roman" w:eastAsia="Times New Roman" w:hAnsi="Times New Roman" w:cs="Times New Roman"/>
                <w:bCs/>
                <w:sz w:val="24"/>
                <w:szCs w:val="24"/>
                <w:lang w:val="ro-MD"/>
              </w:rPr>
              <w:t>fixe pentru gradele didactice</w:t>
            </w:r>
            <w:r w:rsidRPr="00F8231E">
              <w:rPr>
                <w:rFonts w:ascii="Times New Roman" w:eastAsia="Times New Roman" w:hAnsi="Times New Roman" w:cs="Times New Roman"/>
                <w:sz w:val="24"/>
                <w:szCs w:val="24"/>
                <w:lang w:val="ro-MD"/>
              </w:rPr>
              <w:t>.</w:t>
            </w:r>
            <w:r w:rsidR="000226A9">
              <w:rPr>
                <w:rFonts w:ascii="Times New Roman" w:eastAsia="Times New Roman" w:hAnsi="Times New Roman" w:cs="Times New Roman"/>
                <w:sz w:val="24"/>
                <w:szCs w:val="24"/>
                <w:lang w:val="ro-MD"/>
              </w:rPr>
              <w:t xml:space="preserve"> </w:t>
            </w:r>
          </w:p>
          <w:p w:rsidR="00C50068" w:rsidRPr="000226A9" w:rsidRDefault="000226A9" w:rsidP="000226A9">
            <w:pPr>
              <w:spacing w:before="120" w:line="240" w:lineRule="auto"/>
              <w:jc w:val="both"/>
              <w:rPr>
                <w:rFonts w:ascii="Times New Roman" w:eastAsia="Times New Roman" w:hAnsi="Times New Roman" w:cs="Times New Roman"/>
                <w:bCs/>
                <w:sz w:val="24"/>
                <w:szCs w:val="24"/>
                <w:lang w:val="ro-MD"/>
              </w:rPr>
            </w:pPr>
            <w:r w:rsidRPr="000226A9">
              <w:rPr>
                <w:rFonts w:ascii="Times New Roman" w:eastAsia="Times New Roman" w:hAnsi="Times New Roman" w:cs="Times New Roman"/>
                <w:sz w:val="24"/>
                <w:szCs w:val="24"/>
                <w:lang w:val="ro-MD"/>
              </w:rPr>
              <w:t xml:space="preserve">Completarea </w:t>
            </w:r>
            <w:r w:rsidRPr="000226A9">
              <w:rPr>
                <w:rFonts w:ascii="Times New Roman" w:eastAsia="Times New Roman" w:hAnsi="Times New Roman" w:cs="Times New Roman"/>
                <w:bCs/>
                <w:sz w:val="24"/>
                <w:szCs w:val="24"/>
                <w:lang w:val="ro-MD"/>
              </w:rPr>
              <w:t>Anex</w:t>
            </w:r>
            <w:r>
              <w:rPr>
                <w:rFonts w:ascii="Times New Roman" w:eastAsia="Times New Roman" w:hAnsi="Times New Roman" w:cs="Times New Roman"/>
                <w:bCs/>
                <w:sz w:val="24"/>
                <w:szCs w:val="24"/>
                <w:lang w:val="ro-MD"/>
              </w:rPr>
              <w:t>ei</w:t>
            </w:r>
            <w:r w:rsidRPr="000226A9">
              <w:rPr>
                <w:rFonts w:ascii="Times New Roman" w:eastAsia="Times New Roman" w:hAnsi="Times New Roman" w:cs="Times New Roman"/>
                <w:bCs/>
                <w:sz w:val="24"/>
                <w:szCs w:val="24"/>
                <w:lang w:val="ro-MD"/>
              </w:rPr>
              <w:t xml:space="preserve"> nr. 2 cu un nou alineat, </w:t>
            </w:r>
            <w:r>
              <w:rPr>
                <w:rFonts w:ascii="Times New Roman" w:eastAsia="Times New Roman" w:hAnsi="Times New Roman" w:cs="Times New Roman"/>
                <w:bCs/>
                <w:sz w:val="24"/>
                <w:szCs w:val="24"/>
                <w:lang w:val="ro-MD"/>
              </w:rPr>
              <w:t xml:space="preserve">va </w:t>
            </w:r>
            <w:r w:rsidRPr="000226A9">
              <w:rPr>
                <w:rFonts w:ascii="Times New Roman" w:eastAsia="Times New Roman" w:hAnsi="Times New Roman" w:cs="Times New Roman"/>
                <w:bCs/>
                <w:sz w:val="24"/>
                <w:szCs w:val="24"/>
                <w:lang w:val="ro-MD"/>
              </w:rPr>
              <w:t>reglement</w:t>
            </w:r>
            <w:r>
              <w:rPr>
                <w:rFonts w:ascii="Times New Roman" w:eastAsia="Times New Roman" w:hAnsi="Times New Roman" w:cs="Times New Roman"/>
                <w:bCs/>
                <w:sz w:val="24"/>
                <w:szCs w:val="24"/>
                <w:lang w:val="ro-MD"/>
              </w:rPr>
              <w:t>a</w:t>
            </w:r>
            <w:r w:rsidRPr="000226A9">
              <w:rPr>
                <w:rFonts w:ascii="Times New Roman" w:eastAsia="Times New Roman" w:hAnsi="Times New Roman" w:cs="Times New Roman"/>
                <w:bCs/>
                <w:sz w:val="24"/>
                <w:szCs w:val="24"/>
                <w:lang w:val="ro-MD"/>
              </w:rPr>
              <w:t xml:space="preserve"> posibilitatea APL II de a acorda transferuri cu destinație specială către APL I pentru cofinanțarea proiectelor destinate infrastructurii școlare. Această completare se integrează în schema existentă a finanțărilor prin transferuri cu destinație specială, consolidând un mecanism deja prevăzut de HG nr. 868/2014.</w:t>
            </w:r>
          </w:p>
          <w:p w:rsidR="000226A9" w:rsidRPr="000226A9" w:rsidRDefault="00C50068" w:rsidP="000226A9">
            <w:pPr>
              <w:spacing w:before="120" w:line="240" w:lineRule="auto"/>
              <w:jc w:val="both"/>
              <w:rPr>
                <w:rFonts w:ascii="Times New Roman" w:eastAsia="Times New Roman" w:hAnsi="Times New Roman" w:cs="Times New Roman"/>
                <w:bCs/>
                <w:sz w:val="24"/>
                <w:szCs w:val="24"/>
                <w:lang w:val="ro-MD"/>
              </w:rPr>
            </w:pPr>
            <w:r w:rsidRPr="000226A9">
              <w:rPr>
                <w:rFonts w:ascii="Times New Roman" w:eastAsia="Times New Roman" w:hAnsi="Times New Roman" w:cs="Times New Roman"/>
                <w:bCs/>
                <w:sz w:val="24"/>
                <w:szCs w:val="24"/>
                <w:lang w:val="ro-MD"/>
              </w:rPr>
              <w:t xml:space="preserve">Prin urmare, proiectul </w:t>
            </w:r>
            <w:r w:rsidRPr="00F8231E">
              <w:rPr>
                <w:rFonts w:ascii="Times New Roman" w:eastAsia="Times New Roman" w:hAnsi="Times New Roman" w:cs="Times New Roman"/>
                <w:bCs/>
                <w:sz w:val="24"/>
                <w:szCs w:val="24"/>
                <w:lang w:val="ro-MD"/>
              </w:rPr>
              <w:t>nu generează suprapuneri normative</w:t>
            </w:r>
            <w:r w:rsidRPr="000226A9">
              <w:rPr>
                <w:rFonts w:ascii="Times New Roman" w:eastAsia="Times New Roman" w:hAnsi="Times New Roman" w:cs="Times New Roman"/>
                <w:bCs/>
                <w:sz w:val="24"/>
                <w:szCs w:val="24"/>
                <w:lang w:val="ro-MD"/>
              </w:rPr>
              <w:t xml:space="preserve"> și </w:t>
            </w:r>
            <w:r w:rsidRPr="00F8231E">
              <w:rPr>
                <w:rFonts w:ascii="Times New Roman" w:eastAsia="Times New Roman" w:hAnsi="Times New Roman" w:cs="Times New Roman"/>
                <w:bCs/>
                <w:sz w:val="24"/>
                <w:szCs w:val="24"/>
                <w:lang w:val="ro-MD"/>
              </w:rPr>
              <w:t>nu contravine actelor legislative și guvernamentale în vigoare</w:t>
            </w:r>
            <w:r w:rsidRPr="000226A9">
              <w:rPr>
                <w:rFonts w:ascii="Times New Roman" w:eastAsia="Times New Roman" w:hAnsi="Times New Roman" w:cs="Times New Roman"/>
                <w:bCs/>
                <w:sz w:val="24"/>
                <w:szCs w:val="24"/>
                <w:lang w:val="ro-MD"/>
              </w:rPr>
              <w:t xml:space="preserve">, ci contribuie la </w:t>
            </w:r>
            <w:r w:rsidRPr="00F8231E">
              <w:rPr>
                <w:rFonts w:ascii="Times New Roman" w:eastAsia="Times New Roman" w:hAnsi="Times New Roman" w:cs="Times New Roman"/>
                <w:bCs/>
                <w:sz w:val="24"/>
                <w:szCs w:val="24"/>
                <w:lang w:val="ro-MD"/>
              </w:rPr>
              <w:t>consolidarea coerenței cadrului de reglementare</w:t>
            </w:r>
            <w:r w:rsidRPr="000226A9">
              <w:rPr>
                <w:rFonts w:ascii="Times New Roman" w:eastAsia="Times New Roman" w:hAnsi="Times New Roman" w:cs="Times New Roman"/>
                <w:bCs/>
                <w:sz w:val="24"/>
                <w:szCs w:val="24"/>
                <w:lang w:val="ro-MD"/>
              </w:rPr>
              <w:t xml:space="preserve"> privind finanțarea și salarizarea personalului didactic din instituțiile publice de învățământ general.</w:t>
            </w:r>
          </w:p>
        </w:tc>
      </w:tr>
      <w:tr w:rsidR="00C264FF" w:rsidRPr="00F8231E" w:rsidTr="00142E43">
        <w:trPr>
          <w:trHeight w:val="483"/>
        </w:trPr>
        <w:tc>
          <w:tcPr>
            <w:tcW w:w="9781"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F8231E" w:rsidRDefault="00BB3AA2" w:rsidP="00F8231E">
            <w:pPr>
              <w:spacing w:before="120" w:line="240" w:lineRule="auto"/>
              <w:ind w:right="141"/>
              <w:rPr>
                <w:rFonts w:ascii="Times New Roman" w:eastAsia="Times New Roman" w:hAnsi="Times New Roman" w:cs="Times New Roman"/>
                <w:b/>
                <w:sz w:val="24"/>
                <w:szCs w:val="24"/>
                <w:lang w:val="ro-MD"/>
              </w:rPr>
            </w:pPr>
            <w:r w:rsidRPr="00F8231E">
              <w:rPr>
                <w:rFonts w:ascii="Times New Roman" w:eastAsia="Times New Roman" w:hAnsi="Times New Roman" w:cs="Times New Roman"/>
                <w:b/>
                <w:sz w:val="24"/>
                <w:szCs w:val="24"/>
                <w:lang w:val="ro-MD"/>
              </w:rPr>
              <w:t>9. Măsurile necesare pentru implementarea prevederilor proiectului actului normativ</w:t>
            </w:r>
          </w:p>
        </w:tc>
      </w:tr>
      <w:tr w:rsidR="00C264FF" w:rsidRPr="00F8231E" w:rsidTr="00142E43">
        <w:trPr>
          <w:trHeight w:val="483"/>
        </w:trPr>
        <w:tc>
          <w:tcPr>
            <w:tcW w:w="9781" w:type="dxa"/>
            <w:tcBorders>
              <w:top w:val="single" w:sz="4" w:space="0" w:color="000000"/>
              <w:left w:val="single" w:sz="4" w:space="0" w:color="000000"/>
              <w:bottom w:val="single" w:sz="4" w:space="0" w:color="000000"/>
              <w:right w:val="single" w:sz="4" w:space="0" w:color="000000"/>
            </w:tcBorders>
            <w:vAlign w:val="center"/>
          </w:tcPr>
          <w:p w:rsidR="00C264FF" w:rsidRPr="00F8231E" w:rsidRDefault="003007BB" w:rsidP="000226A9">
            <w:pPr>
              <w:spacing w:before="120" w:line="240" w:lineRule="auto"/>
              <w:jc w:val="both"/>
              <w:rPr>
                <w:rFonts w:ascii="Times New Roman" w:eastAsia="Times New Roman" w:hAnsi="Times New Roman" w:cs="Times New Roman"/>
                <w:sz w:val="24"/>
                <w:szCs w:val="24"/>
                <w:lang w:val="ro-MD"/>
              </w:rPr>
            </w:pPr>
            <w:r w:rsidRPr="00F8231E">
              <w:rPr>
                <w:rFonts w:ascii="Times New Roman" w:eastAsia="Times New Roman" w:hAnsi="Times New Roman" w:cs="Times New Roman"/>
                <w:sz w:val="24"/>
                <w:szCs w:val="24"/>
                <w:lang w:val="ro-MD"/>
              </w:rPr>
              <w:t xml:space="preserve">Se propune implementarea </w:t>
            </w:r>
            <w:r w:rsidRPr="00F8231E">
              <w:rPr>
                <w:rFonts w:ascii="Times New Roman" w:eastAsia="Times New Roman" w:hAnsi="Times New Roman" w:cs="Times New Roman"/>
                <w:color w:val="000000"/>
                <w:sz w:val="24"/>
                <w:szCs w:val="24"/>
                <w:lang w:val="ro-MD"/>
              </w:rPr>
              <w:t>Hotărârii de Guvern pentru modificarea Hotărâr</w:t>
            </w:r>
            <w:r w:rsidR="000226A9">
              <w:rPr>
                <w:rFonts w:ascii="Times New Roman" w:eastAsia="Times New Roman" w:hAnsi="Times New Roman" w:cs="Times New Roman"/>
                <w:color w:val="000000"/>
                <w:sz w:val="24"/>
                <w:szCs w:val="24"/>
                <w:lang w:val="ro-MD"/>
              </w:rPr>
              <w:t>ii</w:t>
            </w:r>
            <w:r w:rsidRPr="00F8231E">
              <w:rPr>
                <w:rFonts w:ascii="Times New Roman" w:eastAsia="Times New Roman" w:hAnsi="Times New Roman" w:cs="Times New Roman"/>
                <w:color w:val="000000"/>
                <w:sz w:val="24"/>
                <w:szCs w:val="24"/>
                <w:lang w:val="ro-MD"/>
              </w:rPr>
              <w:t xml:space="preserve"> Guvernului nr.868/2014 privind </w:t>
            </w:r>
            <w:proofErr w:type="spellStart"/>
            <w:r w:rsidRPr="00F8231E">
              <w:rPr>
                <w:rFonts w:ascii="Times New Roman" w:eastAsia="Times New Roman" w:hAnsi="Times New Roman" w:cs="Times New Roman"/>
                <w:color w:val="000000"/>
                <w:sz w:val="24"/>
                <w:szCs w:val="24"/>
                <w:lang w:val="ro-MD"/>
              </w:rPr>
              <w:t>finanţarea</w:t>
            </w:r>
            <w:proofErr w:type="spellEnd"/>
            <w:r w:rsidRPr="00F8231E">
              <w:rPr>
                <w:rFonts w:ascii="Times New Roman" w:eastAsia="Times New Roman" w:hAnsi="Times New Roman" w:cs="Times New Roman"/>
                <w:color w:val="000000"/>
                <w:sz w:val="24"/>
                <w:szCs w:val="24"/>
                <w:lang w:val="ro-MD"/>
              </w:rPr>
              <w:t xml:space="preserve"> în bază de cost standard per elev a instituțiilor de învățământ primar </w:t>
            </w:r>
            <w:proofErr w:type="spellStart"/>
            <w:r w:rsidRPr="00F8231E">
              <w:rPr>
                <w:rFonts w:ascii="Times New Roman" w:eastAsia="Times New Roman" w:hAnsi="Times New Roman" w:cs="Times New Roman"/>
                <w:color w:val="000000"/>
                <w:sz w:val="24"/>
                <w:szCs w:val="24"/>
                <w:lang w:val="ro-MD"/>
              </w:rPr>
              <w:t>şi</w:t>
            </w:r>
            <w:proofErr w:type="spellEnd"/>
            <w:r w:rsidRPr="00F8231E">
              <w:rPr>
                <w:rFonts w:ascii="Times New Roman" w:eastAsia="Times New Roman" w:hAnsi="Times New Roman" w:cs="Times New Roman"/>
                <w:color w:val="000000"/>
                <w:sz w:val="24"/>
                <w:szCs w:val="24"/>
                <w:lang w:val="ro-MD"/>
              </w:rPr>
              <w:t xml:space="preserve"> secundar</w:t>
            </w:r>
            <w:r w:rsidR="007D54C5" w:rsidRPr="00F8231E">
              <w:rPr>
                <w:rFonts w:ascii="Times New Roman" w:eastAsia="Times New Roman" w:hAnsi="Times New Roman" w:cs="Times New Roman"/>
                <w:color w:val="000000"/>
                <w:sz w:val="24"/>
                <w:szCs w:val="24"/>
                <w:lang w:val="ro-MD"/>
              </w:rPr>
              <w:t xml:space="preserve"> (ciclul I și II) </w:t>
            </w:r>
            <w:r w:rsidRPr="00F8231E">
              <w:rPr>
                <w:rFonts w:ascii="Times New Roman" w:eastAsia="Times New Roman" w:hAnsi="Times New Roman" w:cs="Times New Roman"/>
                <w:color w:val="000000"/>
                <w:sz w:val="24"/>
                <w:szCs w:val="24"/>
                <w:lang w:val="ro-MD"/>
              </w:rPr>
              <w:t xml:space="preserve">din subordinea </w:t>
            </w:r>
            <w:proofErr w:type="spellStart"/>
            <w:r w:rsidRPr="00F8231E">
              <w:rPr>
                <w:rFonts w:ascii="Times New Roman" w:eastAsia="Times New Roman" w:hAnsi="Times New Roman" w:cs="Times New Roman"/>
                <w:color w:val="000000"/>
                <w:sz w:val="24"/>
                <w:szCs w:val="24"/>
                <w:lang w:val="ro-MD"/>
              </w:rPr>
              <w:t>autorităţilor</w:t>
            </w:r>
            <w:proofErr w:type="spellEnd"/>
            <w:r w:rsidRPr="00F8231E">
              <w:rPr>
                <w:rFonts w:ascii="Times New Roman" w:eastAsia="Times New Roman" w:hAnsi="Times New Roman" w:cs="Times New Roman"/>
                <w:color w:val="000000"/>
                <w:sz w:val="24"/>
                <w:szCs w:val="24"/>
                <w:lang w:val="ro-MD"/>
              </w:rPr>
              <w:t xml:space="preserve"> publice locale de nivelul al doilea încep</w:t>
            </w:r>
            <w:r w:rsidR="00C50068" w:rsidRPr="00F8231E">
              <w:rPr>
                <w:rFonts w:ascii="Times New Roman" w:eastAsia="Times New Roman" w:hAnsi="Times New Roman" w:cs="Times New Roman"/>
                <w:color w:val="000000"/>
                <w:sz w:val="24"/>
                <w:szCs w:val="24"/>
                <w:lang w:val="ro-MD"/>
              </w:rPr>
              <w:t xml:space="preserve">ând cu data de 01 ianuarie 2026. </w:t>
            </w:r>
          </w:p>
        </w:tc>
      </w:tr>
    </w:tbl>
    <w:p w:rsidR="00C264FF" w:rsidRPr="00C4754A"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rsidR="00C264FF" w:rsidRPr="00C4754A"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rsidR="00C264FF" w:rsidRPr="00C4754A"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rsidR="00C264FF" w:rsidRPr="00C4754A"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BB3AA2">
      <w:pPr>
        <w:spacing w:after="0" w:line="240" w:lineRule="auto"/>
        <w:ind w:right="141"/>
        <w:jc w:val="center"/>
        <w:rPr>
          <w:rFonts w:ascii="Times New Roman" w:eastAsia="Times New Roman" w:hAnsi="Times New Roman" w:cs="Times New Roman"/>
          <w:b/>
          <w:color w:val="000000"/>
          <w:sz w:val="24"/>
          <w:szCs w:val="24"/>
          <w:lang w:val="ro-MD"/>
        </w:rPr>
      </w:pPr>
      <w:r w:rsidRPr="00C4754A">
        <w:rPr>
          <w:rFonts w:ascii="Times New Roman" w:eastAsia="Times New Roman" w:hAnsi="Times New Roman" w:cs="Times New Roman"/>
          <w:b/>
          <w:color w:val="000000"/>
          <w:sz w:val="24"/>
          <w:szCs w:val="24"/>
          <w:lang w:val="ro-MD"/>
        </w:rPr>
        <w:t>Ministru                                         Dan PERCIUN</w:t>
      </w: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50068" w:rsidRDefault="00060693" w:rsidP="00060693">
      <w:pPr>
        <w:tabs>
          <w:tab w:val="left" w:pos="4320"/>
        </w:tabs>
        <w:spacing w:after="0" w:line="240" w:lineRule="auto"/>
        <w:ind w:right="141"/>
        <w:rPr>
          <w:rFonts w:ascii="Times New Roman" w:eastAsia="Times New Roman" w:hAnsi="Times New Roman" w:cs="Times New Roman"/>
          <w:b/>
          <w:color w:val="000000"/>
          <w:sz w:val="24"/>
          <w:szCs w:val="24"/>
          <w:lang w:val="ro-MD"/>
        </w:rPr>
      </w:pPr>
      <w:r>
        <w:rPr>
          <w:rFonts w:ascii="Times New Roman" w:eastAsia="Times New Roman" w:hAnsi="Times New Roman" w:cs="Times New Roman"/>
          <w:b/>
          <w:color w:val="000000"/>
          <w:sz w:val="24"/>
          <w:szCs w:val="24"/>
          <w:lang w:val="ro-MD"/>
        </w:rPr>
        <w:tab/>
      </w:r>
    </w:p>
    <w:p w:rsidR="00C50068" w:rsidRDefault="00C50068">
      <w:pPr>
        <w:spacing w:after="0" w:line="240" w:lineRule="auto"/>
        <w:ind w:right="141"/>
        <w:jc w:val="center"/>
        <w:rPr>
          <w:rFonts w:ascii="Times New Roman" w:eastAsia="Times New Roman" w:hAnsi="Times New Roman" w:cs="Times New Roman"/>
          <w:b/>
          <w:color w:val="000000"/>
          <w:sz w:val="24"/>
          <w:szCs w:val="24"/>
          <w:lang w:val="ro-MD"/>
        </w:rPr>
      </w:pPr>
      <w:bookmarkStart w:id="0" w:name="_GoBack"/>
      <w:bookmarkEnd w:id="0"/>
    </w:p>
    <w:p w:rsidR="00C50068" w:rsidRPr="00C4754A" w:rsidRDefault="00C50068">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C4754A" w:rsidRDefault="00BB3AA2">
      <w:pPr>
        <w:spacing w:after="0" w:line="240" w:lineRule="auto"/>
        <w:ind w:right="141"/>
        <w:rPr>
          <w:rFonts w:ascii="Times New Roman" w:eastAsia="Times New Roman" w:hAnsi="Times New Roman" w:cs="Times New Roman"/>
          <w:color w:val="000000"/>
          <w:sz w:val="20"/>
          <w:szCs w:val="20"/>
          <w:lang w:val="ro-MD"/>
        </w:rPr>
      </w:pPr>
      <w:r w:rsidRPr="00C4754A">
        <w:rPr>
          <w:rFonts w:ascii="Times New Roman" w:eastAsia="Times New Roman" w:hAnsi="Times New Roman" w:cs="Times New Roman"/>
          <w:color w:val="000000"/>
          <w:sz w:val="20"/>
          <w:szCs w:val="20"/>
          <w:lang w:val="ro-MD"/>
        </w:rPr>
        <w:t>Ex.: Angela Prisăcaru, 022-232785</w:t>
      </w:r>
    </w:p>
    <w:sectPr w:rsidR="00C264FF" w:rsidRPr="00C4754A" w:rsidSect="00A137EF">
      <w:footerReference w:type="default" r:id="rId9"/>
      <w:pgSz w:w="11906" w:h="16838"/>
      <w:pgMar w:top="993" w:right="707" w:bottom="993" w:left="1276"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0EE" w:rsidRDefault="00C840EE">
      <w:pPr>
        <w:spacing w:after="0" w:line="240" w:lineRule="auto"/>
      </w:pPr>
      <w:r>
        <w:separator/>
      </w:r>
    </w:p>
  </w:endnote>
  <w:endnote w:type="continuationSeparator" w:id="0">
    <w:p w:rsidR="00C840EE" w:rsidRDefault="00C8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984" w:rsidRDefault="00620984">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060693">
      <w:rPr>
        <w:rFonts w:eastAsia="Calibri"/>
        <w:noProof/>
        <w:color w:val="000000"/>
      </w:rPr>
      <w:t>6</w:t>
    </w:r>
    <w:r>
      <w:rPr>
        <w:rFonts w:eastAsia="Calibri"/>
        <w:color w:val="000000"/>
      </w:rPr>
      <w:fldChar w:fldCharType="end"/>
    </w:r>
  </w:p>
  <w:p w:rsidR="00620984" w:rsidRDefault="00620984">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0EE" w:rsidRDefault="00C840EE">
      <w:pPr>
        <w:spacing w:after="0" w:line="240" w:lineRule="auto"/>
      </w:pPr>
      <w:r>
        <w:separator/>
      </w:r>
    </w:p>
  </w:footnote>
  <w:footnote w:type="continuationSeparator" w:id="0">
    <w:p w:rsidR="00C840EE" w:rsidRDefault="00C84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A4F6B"/>
    <w:multiLevelType w:val="hybridMultilevel"/>
    <w:tmpl w:val="D8105EEC"/>
    <w:lvl w:ilvl="0" w:tplc="D7F43F0A">
      <w:numFmt w:val="bullet"/>
      <w:lvlText w:val="•"/>
      <w:lvlJc w:val="left"/>
      <w:pPr>
        <w:ind w:left="671" w:hanging="360"/>
      </w:pPr>
      <w:rPr>
        <w:rFonts w:ascii="Times New Roman" w:eastAsia="Times New Roman" w:hAnsi="Times New Roman" w:cs="Times New Roman" w:hint="default"/>
      </w:rPr>
    </w:lvl>
    <w:lvl w:ilvl="1" w:tplc="04090003" w:tentative="1">
      <w:start w:val="1"/>
      <w:numFmt w:val="bullet"/>
      <w:lvlText w:val="o"/>
      <w:lvlJc w:val="left"/>
      <w:pPr>
        <w:ind w:left="1391" w:hanging="360"/>
      </w:pPr>
      <w:rPr>
        <w:rFonts w:ascii="Courier New" w:hAnsi="Courier New" w:cs="Courier New" w:hint="default"/>
      </w:rPr>
    </w:lvl>
    <w:lvl w:ilvl="2" w:tplc="04090005" w:tentative="1">
      <w:start w:val="1"/>
      <w:numFmt w:val="bullet"/>
      <w:lvlText w:val=""/>
      <w:lvlJc w:val="left"/>
      <w:pPr>
        <w:ind w:left="2111" w:hanging="360"/>
      </w:pPr>
      <w:rPr>
        <w:rFonts w:ascii="Wingdings" w:hAnsi="Wingdings" w:hint="default"/>
      </w:rPr>
    </w:lvl>
    <w:lvl w:ilvl="3" w:tplc="04090001" w:tentative="1">
      <w:start w:val="1"/>
      <w:numFmt w:val="bullet"/>
      <w:lvlText w:val=""/>
      <w:lvlJc w:val="left"/>
      <w:pPr>
        <w:ind w:left="2831" w:hanging="360"/>
      </w:pPr>
      <w:rPr>
        <w:rFonts w:ascii="Symbol" w:hAnsi="Symbol" w:hint="default"/>
      </w:rPr>
    </w:lvl>
    <w:lvl w:ilvl="4" w:tplc="04090003" w:tentative="1">
      <w:start w:val="1"/>
      <w:numFmt w:val="bullet"/>
      <w:lvlText w:val="o"/>
      <w:lvlJc w:val="left"/>
      <w:pPr>
        <w:ind w:left="3551" w:hanging="360"/>
      </w:pPr>
      <w:rPr>
        <w:rFonts w:ascii="Courier New" w:hAnsi="Courier New" w:cs="Courier New" w:hint="default"/>
      </w:rPr>
    </w:lvl>
    <w:lvl w:ilvl="5" w:tplc="04090005" w:tentative="1">
      <w:start w:val="1"/>
      <w:numFmt w:val="bullet"/>
      <w:lvlText w:val=""/>
      <w:lvlJc w:val="left"/>
      <w:pPr>
        <w:ind w:left="4271" w:hanging="360"/>
      </w:pPr>
      <w:rPr>
        <w:rFonts w:ascii="Wingdings" w:hAnsi="Wingdings" w:hint="default"/>
      </w:rPr>
    </w:lvl>
    <w:lvl w:ilvl="6" w:tplc="04090001" w:tentative="1">
      <w:start w:val="1"/>
      <w:numFmt w:val="bullet"/>
      <w:lvlText w:val=""/>
      <w:lvlJc w:val="left"/>
      <w:pPr>
        <w:ind w:left="4991" w:hanging="360"/>
      </w:pPr>
      <w:rPr>
        <w:rFonts w:ascii="Symbol" w:hAnsi="Symbol" w:hint="default"/>
      </w:rPr>
    </w:lvl>
    <w:lvl w:ilvl="7" w:tplc="04090003" w:tentative="1">
      <w:start w:val="1"/>
      <w:numFmt w:val="bullet"/>
      <w:lvlText w:val="o"/>
      <w:lvlJc w:val="left"/>
      <w:pPr>
        <w:ind w:left="5711" w:hanging="360"/>
      </w:pPr>
      <w:rPr>
        <w:rFonts w:ascii="Courier New" w:hAnsi="Courier New" w:cs="Courier New" w:hint="default"/>
      </w:rPr>
    </w:lvl>
    <w:lvl w:ilvl="8" w:tplc="04090005" w:tentative="1">
      <w:start w:val="1"/>
      <w:numFmt w:val="bullet"/>
      <w:lvlText w:val=""/>
      <w:lvlJc w:val="left"/>
      <w:pPr>
        <w:ind w:left="6431" w:hanging="360"/>
      </w:pPr>
      <w:rPr>
        <w:rFonts w:ascii="Wingdings" w:hAnsi="Wingdings" w:hint="default"/>
      </w:rPr>
    </w:lvl>
  </w:abstractNum>
  <w:abstractNum w:abstractNumId="1" w15:restartNumberingAfterBreak="0">
    <w:nsid w:val="2B0A582D"/>
    <w:multiLevelType w:val="hybridMultilevel"/>
    <w:tmpl w:val="11322EBE"/>
    <w:lvl w:ilvl="0" w:tplc="D7F43F0A">
      <w:numFmt w:val="bullet"/>
      <w:lvlText w:val="•"/>
      <w:lvlJc w:val="left"/>
      <w:pPr>
        <w:ind w:left="982" w:hanging="360"/>
      </w:pPr>
      <w:rPr>
        <w:rFonts w:ascii="Times New Roman" w:eastAsia="Times New Roman" w:hAnsi="Times New Roman" w:cs="Times New Roman"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2" w15:restartNumberingAfterBreak="0">
    <w:nsid w:val="2E0C3765"/>
    <w:multiLevelType w:val="multilevel"/>
    <w:tmpl w:val="DACC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E0CDF"/>
    <w:multiLevelType w:val="multilevel"/>
    <w:tmpl w:val="E48C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E146A"/>
    <w:multiLevelType w:val="multilevel"/>
    <w:tmpl w:val="CD26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65230"/>
    <w:multiLevelType w:val="multilevel"/>
    <w:tmpl w:val="7520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03661A"/>
    <w:multiLevelType w:val="multilevel"/>
    <w:tmpl w:val="8AA8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A205B"/>
    <w:multiLevelType w:val="multilevel"/>
    <w:tmpl w:val="E410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B63EE8"/>
    <w:multiLevelType w:val="multilevel"/>
    <w:tmpl w:val="1228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B6DC1"/>
    <w:multiLevelType w:val="multilevel"/>
    <w:tmpl w:val="AC50E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8B53606"/>
    <w:multiLevelType w:val="hybridMultilevel"/>
    <w:tmpl w:val="802A286C"/>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11" w15:restartNumberingAfterBreak="0">
    <w:nsid w:val="6F392B79"/>
    <w:multiLevelType w:val="multilevel"/>
    <w:tmpl w:val="F302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65F97"/>
    <w:multiLevelType w:val="multilevel"/>
    <w:tmpl w:val="BF1E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8E2E84"/>
    <w:multiLevelType w:val="multilevel"/>
    <w:tmpl w:val="7DF2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7"/>
  </w:num>
  <w:num w:numId="4">
    <w:abstractNumId w:val="11"/>
  </w:num>
  <w:num w:numId="5">
    <w:abstractNumId w:val="13"/>
  </w:num>
  <w:num w:numId="6">
    <w:abstractNumId w:val="2"/>
  </w:num>
  <w:num w:numId="7">
    <w:abstractNumId w:val="5"/>
  </w:num>
  <w:num w:numId="8">
    <w:abstractNumId w:val="12"/>
  </w:num>
  <w:num w:numId="9">
    <w:abstractNumId w:val="8"/>
  </w:num>
  <w:num w:numId="10">
    <w:abstractNumId w:val="10"/>
  </w:num>
  <w:num w:numId="11">
    <w:abstractNumId w:val="0"/>
  </w:num>
  <w:num w:numId="12">
    <w:abstractNumId w:val="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FF"/>
    <w:rsid w:val="000226A9"/>
    <w:rsid w:val="0002323B"/>
    <w:rsid w:val="00024E50"/>
    <w:rsid w:val="00060693"/>
    <w:rsid w:val="000C3C46"/>
    <w:rsid w:val="000E473E"/>
    <w:rsid w:val="000E4806"/>
    <w:rsid w:val="000F5727"/>
    <w:rsid w:val="0013316C"/>
    <w:rsid w:val="00142E43"/>
    <w:rsid w:val="00152D90"/>
    <w:rsid w:val="001618EA"/>
    <w:rsid w:val="00167B99"/>
    <w:rsid w:val="00172A0F"/>
    <w:rsid w:val="00175A3F"/>
    <w:rsid w:val="001A7CB8"/>
    <w:rsid w:val="001C669E"/>
    <w:rsid w:val="00220DE1"/>
    <w:rsid w:val="00223FDA"/>
    <w:rsid w:val="0025532F"/>
    <w:rsid w:val="00257685"/>
    <w:rsid w:val="002B5F77"/>
    <w:rsid w:val="002D3E1E"/>
    <w:rsid w:val="002E14DB"/>
    <w:rsid w:val="002E389C"/>
    <w:rsid w:val="002F1B0A"/>
    <w:rsid w:val="003007BB"/>
    <w:rsid w:val="0030515C"/>
    <w:rsid w:val="00310C28"/>
    <w:rsid w:val="003344C6"/>
    <w:rsid w:val="00356E40"/>
    <w:rsid w:val="00362367"/>
    <w:rsid w:val="00365C29"/>
    <w:rsid w:val="0037039C"/>
    <w:rsid w:val="003D1F95"/>
    <w:rsid w:val="00404F43"/>
    <w:rsid w:val="00427D52"/>
    <w:rsid w:val="00464C28"/>
    <w:rsid w:val="00474885"/>
    <w:rsid w:val="00514459"/>
    <w:rsid w:val="00525039"/>
    <w:rsid w:val="0053529C"/>
    <w:rsid w:val="00547216"/>
    <w:rsid w:val="00547834"/>
    <w:rsid w:val="005902DE"/>
    <w:rsid w:val="005A07A0"/>
    <w:rsid w:val="005A2347"/>
    <w:rsid w:val="005B2E1F"/>
    <w:rsid w:val="0062049F"/>
    <w:rsid w:val="00620984"/>
    <w:rsid w:val="00632761"/>
    <w:rsid w:val="00667D52"/>
    <w:rsid w:val="006B6A3B"/>
    <w:rsid w:val="006D4981"/>
    <w:rsid w:val="00700BDC"/>
    <w:rsid w:val="00767EF6"/>
    <w:rsid w:val="007833CC"/>
    <w:rsid w:val="007D54C5"/>
    <w:rsid w:val="007E4008"/>
    <w:rsid w:val="007F5584"/>
    <w:rsid w:val="007F69FB"/>
    <w:rsid w:val="007F6AA7"/>
    <w:rsid w:val="00801CAB"/>
    <w:rsid w:val="008617FE"/>
    <w:rsid w:val="008817AD"/>
    <w:rsid w:val="008C646C"/>
    <w:rsid w:val="00986A7E"/>
    <w:rsid w:val="009F501D"/>
    <w:rsid w:val="009F57E1"/>
    <w:rsid w:val="00A113E7"/>
    <w:rsid w:val="00A137EF"/>
    <w:rsid w:val="00AE1F9E"/>
    <w:rsid w:val="00B1655C"/>
    <w:rsid w:val="00B219BE"/>
    <w:rsid w:val="00B46018"/>
    <w:rsid w:val="00B85259"/>
    <w:rsid w:val="00BB3AA2"/>
    <w:rsid w:val="00BC025E"/>
    <w:rsid w:val="00BD036A"/>
    <w:rsid w:val="00BD116B"/>
    <w:rsid w:val="00C05826"/>
    <w:rsid w:val="00C264FF"/>
    <w:rsid w:val="00C459A6"/>
    <w:rsid w:val="00C4754A"/>
    <w:rsid w:val="00C50068"/>
    <w:rsid w:val="00C72447"/>
    <w:rsid w:val="00C80BE6"/>
    <w:rsid w:val="00C81EC1"/>
    <w:rsid w:val="00C840EE"/>
    <w:rsid w:val="00C92635"/>
    <w:rsid w:val="00CE132A"/>
    <w:rsid w:val="00CE3EDC"/>
    <w:rsid w:val="00CF3436"/>
    <w:rsid w:val="00D00BA3"/>
    <w:rsid w:val="00D41F03"/>
    <w:rsid w:val="00D821C2"/>
    <w:rsid w:val="00D842A9"/>
    <w:rsid w:val="00DC150E"/>
    <w:rsid w:val="00E00D95"/>
    <w:rsid w:val="00E043A0"/>
    <w:rsid w:val="00E049E9"/>
    <w:rsid w:val="00E61443"/>
    <w:rsid w:val="00E81587"/>
    <w:rsid w:val="00E84D89"/>
    <w:rsid w:val="00E9382E"/>
    <w:rsid w:val="00EB3090"/>
    <w:rsid w:val="00EC0111"/>
    <w:rsid w:val="00EC4508"/>
    <w:rsid w:val="00EF3647"/>
    <w:rsid w:val="00F011AB"/>
    <w:rsid w:val="00F26F15"/>
    <w:rsid w:val="00F30510"/>
    <w:rsid w:val="00F8231E"/>
    <w:rsid w:val="00FA0563"/>
    <w:rsid w:val="00FB465C"/>
    <w:rsid w:val="00FF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FFCA0-4523-4B63-9068-A9485B0D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1"/>
        <w:szCs w:val="21"/>
        <w:lang w:val="ro-RO"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5E3"/>
    <w:rPr>
      <w:rFonts w:eastAsiaTheme="minorEastAsia"/>
    </w:rPr>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A6124F"/>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NormalWeb">
    <w:name w:val="Normal (Web)"/>
    <w:basedOn w:val="Normal"/>
    <w:uiPriority w:val="99"/>
    <w:rsid w:val="000948CB"/>
    <w:pPr>
      <w:spacing w:after="0" w:line="240" w:lineRule="auto"/>
      <w:ind w:firstLine="567"/>
      <w:jc w:val="both"/>
    </w:pPr>
    <w:rPr>
      <w:rFonts w:ascii="Times New Roman" w:eastAsia="Calibri" w:hAnsi="Times New Roman" w:cs="Times New Roman"/>
      <w:sz w:val="24"/>
      <w:szCs w:val="24"/>
      <w:lang w:eastAsia="ru-RU"/>
    </w:rPr>
  </w:style>
  <w:style w:type="paragraph" w:styleId="BodyTextIndent">
    <w:name w:val="Body Text Indent"/>
    <w:basedOn w:val="Normal"/>
    <w:link w:val="BodyTextIndentChar"/>
    <w:rsid w:val="000948CB"/>
    <w:pPr>
      <w:autoSpaceDE w:val="0"/>
      <w:autoSpaceDN w:val="0"/>
      <w:spacing w:after="0" w:line="240" w:lineRule="auto"/>
      <w:ind w:firstLine="540"/>
      <w:jc w:val="both"/>
    </w:pPr>
    <w:rPr>
      <w:rFonts w:ascii="Times New Roman" w:eastAsia="Times New Roman" w:hAnsi="Times New Roman" w:cs="Arial"/>
      <w:sz w:val="28"/>
      <w:szCs w:val="20"/>
      <w:lang w:eastAsia="ru-RU"/>
    </w:rPr>
  </w:style>
  <w:style w:type="character" w:customStyle="1" w:styleId="BodyTextIndentChar">
    <w:name w:val="Body Text Indent Char"/>
    <w:basedOn w:val="DefaultParagraphFont"/>
    <w:link w:val="BodyTextIndent"/>
    <w:rsid w:val="000948CB"/>
    <w:rPr>
      <w:rFonts w:ascii="Times New Roman" w:eastAsia="Times New Roman" w:hAnsi="Times New Roman" w:cs="Arial"/>
      <w:sz w:val="28"/>
      <w:szCs w:val="20"/>
      <w:lang w:val="ro-RO" w:eastAsia="ru-RU"/>
    </w:rPr>
  </w:style>
  <w:style w:type="paragraph" w:styleId="HTMLPreformatted">
    <w:name w:val="HTML Preformatted"/>
    <w:basedOn w:val="Normal"/>
    <w:link w:val="HTMLPreformattedChar"/>
    <w:rsid w:val="0009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rsid w:val="000948CB"/>
    <w:rPr>
      <w:rFonts w:ascii="Courier New" w:eastAsia="Times New Roman" w:hAnsi="Courier New" w:cs="Courier New"/>
      <w:sz w:val="20"/>
      <w:szCs w:val="20"/>
      <w:lang w:eastAsia="ru-RU"/>
    </w:rPr>
  </w:style>
  <w:style w:type="paragraph" w:styleId="ListParagraph">
    <w:name w:val="List Paragraph"/>
    <w:basedOn w:val="Normal"/>
    <w:uiPriority w:val="34"/>
    <w:qFormat/>
    <w:rsid w:val="005A16C1"/>
    <w:pPr>
      <w:ind w:left="720"/>
      <w:contextualSpacing/>
    </w:pPr>
  </w:style>
  <w:style w:type="character" w:styleId="Hyperlink">
    <w:name w:val="Hyperlink"/>
    <w:uiPriority w:val="99"/>
    <w:unhideWhenUsed/>
    <w:rsid w:val="006A4428"/>
    <w:rPr>
      <w:color w:val="0563C1"/>
      <w:u w:val="single"/>
    </w:rPr>
  </w:style>
  <w:style w:type="paragraph" w:styleId="BalloonText">
    <w:name w:val="Balloon Text"/>
    <w:basedOn w:val="Normal"/>
    <w:link w:val="BalloonTextChar"/>
    <w:uiPriority w:val="99"/>
    <w:semiHidden/>
    <w:unhideWhenUsed/>
    <w:rsid w:val="00684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DF8"/>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416C98"/>
    <w:rPr>
      <w:sz w:val="16"/>
      <w:szCs w:val="16"/>
    </w:rPr>
  </w:style>
  <w:style w:type="paragraph" w:styleId="CommentText">
    <w:name w:val="annotation text"/>
    <w:basedOn w:val="Normal"/>
    <w:link w:val="CommentTextChar"/>
    <w:uiPriority w:val="99"/>
    <w:semiHidden/>
    <w:unhideWhenUsed/>
    <w:rsid w:val="00416C98"/>
    <w:pPr>
      <w:spacing w:line="240" w:lineRule="auto"/>
    </w:pPr>
    <w:rPr>
      <w:sz w:val="20"/>
      <w:szCs w:val="20"/>
    </w:rPr>
  </w:style>
  <w:style w:type="character" w:customStyle="1" w:styleId="CommentTextChar">
    <w:name w:val="Comment Text Char"/>
    <w:basedOn w:val="DefaultParagraphFont"/>
    <w:link w:val="CommentText"/>
    <w:uiPriority w:val="99"/>
    <w:semiHidden/>
    <w:rsid w:val="00416C9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16C98"/>
    <w:rPr>
      <w:b/>
      <w:bCs/>
    </w:rPr>
  </w:style>
  <w:style w:type="character" w:customStyle="1" w:styleId="CommentSubjectChar">
    <w:name w:val="Comment Subject Char"/>
    <w:basedOn w:val="CommentTextChar"/>
    <w:link w:val="CommentSubject"/>
    <w:uiPriority w:val="99"/>
    <w:semiHidden/>
    <w:rsid w:val="00416C98"/>
    <w:rPr>
      <w:rFonts w:eastAsiaTheme="minorEastAsia"/>
      <w:b/>
      <w:bCs/>
      <w:sz w:val="20"/>
      <w:szCs w:val="20"/>
    </w:rPr>
  </w:style>
  <w:style w:type="paragraph" w:styleId="Revision">
    <w:name w:val="Revision"/>
    <w:hidden/>
    <w:uiPriority w:val="99"/>
    <w:semiHidden/>
    <w:rsid w:val="00001EFD"/>
    <w:pPr>
      <w:spacing w:after="0" w:line="240" w:lineRule="auto"/>
    </w:pPr>
    <w:rPr>
      <w:rFonts w:eastAsiaTheme="minorEastAsia"/>
    </w:rPr>
  </w:style>
  <w:style w:type="character" w:customStyle="1" w:styleId="object">
    <w:name w:val="object"/>
    <w:basedOn w:val="DefaultParagraphFont"/>
    <w:rsid w:val="00DA5D62"/>
  </w:style>
  <w:style w:type="character" w:styleId="Emphasis">
    <w:name w:val="Emphasis"/>
    <w:basedOn w:val="DefaultParagraphFont"/>
    <w:uiPriority w:val="20"/>
    <w:qFormat/>
    <w:rsid w:val="00DA5D62"/>
    <w:rPr>
      <w:i/>
      <w:iCs/>
    </w:rPr>
  </w:style>
  <w:style w:type="character" w:customStyle="1" w:styleId="Heading4Char">
    <w:name w:val="Heading 4 Char"/>
    <w:basedOn w:val="DefaultParagraphFont"/>
    <w:link w:val="Heading4"/>
    <w:uiPriority w:val="9"/>
    <w:rsid w:val="00A6124F"/>
    <w:rPr>
      <w:rFonts w:ascii="Times New Roman" w:eastAsia="Times New Roman" w:hAnsi="Times New Roman" w:cs="Times New Roman"/>
      <w:b/>
      <w:bCs/>
      <w:sz w:val="24"/>
      <w:szCs w:val="24"/>
      <w:lang w:val="en-US"/>
    </w:rPr>
  </w:style>
  <w:style w:type="character" w:styleId="Strong">
    <w:name w:val="Strong"/>
    <w:basedOn w:val="DefaultParagraphFont"/>
    <w:uiPriority w:val="22"/>
    <w:qFormat/>
    <w:rsid w:val="00A6124F"/>
    <w:rPr>
      <w:b/>
      <w:bCs/>
    </w:rPr>
  </w:style>
  <w:style w:type="paragraph" w:styleId="Header">
    <w:name w:val="header"/>
    <w:basedOn w:val="Normal"/>
    <w:link w:val="HeaderChar"/>
    <w:uiPriority w:val="99"/>
    <w:unhideWhenUsed/>
    <w:rsid w:val="007B0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32A"/>
    <w:rPr>
      <w:rFonts w:eastAsiaTheme="minorEastAsia"/>
      <w:sz w:val="21"/>
      <w:szCs w:val="21"/>
    </w:rPr>
  </w:style>
  <w:style w:type="paragraph" w:styleId="Footer">
    <w:name w:val="footer"/>
    <w:basedOn w:val="Normal"/>
    <w:link w:val="FooterChar"/>
    <w:uiPriority w:val="99"/>
    <w:unhideWhenUsed/>
    <w:rsid w:val="007B0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32A"/>
    <w:rPr>
      <w:rFonts w:eastAsiaTheme="minorEastAsia"/>
      <w:sz w:val="21"/>
      <w:szCs w:val="2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3331">
      <w:bodyDiv w:val="1"/>
      <w:marLeft w:val="0"/>
      <w:marRight w:val="0"/>
      <w:marTop w:val="0"/>
      <w:marBottom w:val="0"/>
      <w:divBdr>
        <w:top w:val="none" w:sz="0" w:space="0" w:color="auto"/>
        <w:left w:val="none" w:sz="0" w:space="0" w:color="auto"/>
        <w:bottom w:val="none" w:sz="0" w:space="0" w:color="auto"/>
        <w:right w:val="none" w:sz="0" w:space="0" w:color="auto"/>
      </w:divBdr>
    </w:div>
    <w:div w:id="67775603">
      <w:bodyDiv w:val="1"/>
      <w:marLeft w:val="0"/>
      <w:marRight w:val="0"/>
      <w:marTop w:val="0"/>
      <w:marBottom w:val="0"/>
      <w:divBdr>
        <w:top w:val="none" w:sz="0" w:space="0" w:color="auto"/>
        <w:left w:val="none" w:sz="0" w:space="0" w:color="auto"/>
        <w:bottom w:val="none" w:sz="0" w:space="0" w:color="auto"/>
        <w:right w:val="none" w:sz="0" w:space="0" w:color="auto"/>
      </w:divBdr>
    </w:div>
    <w:div w:id="99570313">
      <w:bodyDiv w:val="1"/>
      <w:marLeft w:val="0"/>
      <w:marRight w:val="0"/>
      <w:marTop w:val="0"/>
      <w:marBottom w:val="0"/>
      <w:divBdr>
        <w:top w:val="none" w:sz="0" w:space="0" w:color="auto"/>
        <w:left w:val="none" w:sz="0" w:space="0" w:color="auto"/>
        <w:bottom w:val="none" w:sz="0" w:space="0" w:color="auto"/>
        <w:right w:val="none" w:sz="0" w:space="0" w:color="auto"/>
      </w:divBdr>
    </w:div>
    <w:div w:id="184904614">
      <w:bodyDiv w:val="1"/>
      <w:marLeft w:val="0"/>
      <w:marRight w:val="0"/>
      <w:marTop w:val="0"/>
      <w:marBottom w:val="0"/>
      <w:divBdr>
        <w:top w:val="none" w:sz="0" w:space="0" w:color="auto"/>
        <w:left w:val="none" w:sz="0" w:space="0" w:color="auto"/>
        <w:bottom w:val="none" w:sz="0" w:space="0" w:color="auto"/>
        <w:right w:val="none" w:sz="0" w:space="0" w:color="auto"/>
      </w:divBdr>
    </w:div>
    <w:div w:id="345837522">
      <w:bodyDiv w:val="1"/>
      <w:marLeft w:val="0"/>
      <w:marRight w:val="0"/>
      <w:marTop w:val="0"/>
      <w:marBottom w:val="0"/>
      <w:divBdr>
        <w:top w:val="none" w:sz="0" w:space="0" w:color="auto"/>
        <w:left w:val="none" w:sz="0" w:space="0" w:color="auto"/>
        <w:bottom w:val="none" w:sz="0" w:space="0" w:color="auto"/>
        <w:right w:val="none" w:sz="0" w:space="0" w:color="auto"/>
      </w:divBdr>
    </w:div>
    <w:div w:id="370613528">
      <w:bodyDiv w:val="1"/>
      <w:marLeft w:val="0"/>
      <w:marRight w:val="0"/>
      <w:marTop w:val="0"/>
      <w:marBottom w:val="0"/>
      <w:divBdr>
        <w:top w:val="none" w:sz="0" w:space="0" w:color="auto"/>
        <w:left w:val="none" w:sz="0" w:space="0" w:color="auto"/>
        <w:bottom w:val="none" w:sz="0" w:space="0" w:color="auto"/>
        <w:right w:val="none" w:sz="0" w:space="0" w:color="auto"/>
      </w:divBdr>
    </w:div>
    <w:div w:id="432827624">
      <w:bodyDiv w:val="1"/>
      <w:marLeft w:val="0"/>
      <w:marRight w:val="0"/>
      <w:marTop w:val="0"/>
      <w:marBottom w:val="0"/>
      <w:divBdr>
        <w:top w:val="none" w:sz="0" w:space="0" w:color="auto"/>
        <w:left w:val="none" w:sz="0" w:space="0" w:color="auto"/>
        <w:bottom w:val="none" w:sz="0" w:space="0" w:color="auto"/>
        <w:right w:val="none" w:sz="0" w:space="0" w:color="auto"/>
      </w:divBdr>
    </w:div>
    <w:div w:id="471675187">
      <w:bodyDiv w:val="1"/>
      <w:marLeft w:val="0"/>
      <w:marRight w:val="0"/>
      <w:marTop w:val="0"/>
      <w:marBottom w:val="0"/>
      <w:divBdr>
        <w:top w:val="none" w:sz="0" w:space="0" w:color="auto"/>
        <w:left w:val="none" w:sz="0" w:space="0" w:color="auto"/>
        <w:bottom w:val="none" w:sz="0" w:space="0" w:color="auto"/>
        <w:right w:val="none" w:sz="0" w:space="0" w:color="auto"/>
      </w:divBdr>
    </w:div>
    <w:div w:id="667026034">
      <w:bodyDiv w:val="1"/>
      <w:marLeft w:val="0"/>
      <w:marRight w:val="0"/>
      <w:marTop w:val="0"/>
      <w:marBottom w:val="0"/>
      <w:divBdr>
        <w:top w:val="none" w:sz="0" w:space="0" w:color="auto"/>
        <w:left w:val="none" w:sz="0" w:space="0" w:color="auto"/>
        <w:bottom w:val="none" w:sz="0" w:space="0" w:color="auto"/>
        <w:right w:val="none" w:sz="0" w:space="0" w:color="auto"/>
      </w:divBdr>
    </w:div>
    <w:div w:id="682439097">
      <w:bodyDiv w:val="1"/>
      <w:marLeft w:val="0"/>
      <w:marRight w:val="0"/>
      <w:marTop w:val="0"/>
      <w:marBottom w:val="0"/>
      <w:divBdr>
        <w:top w:val="none" w:sz="0" w:space="0" w:color="auto"/>
        <w:left w:val="none" w:sz="0" w:space="0" w:color="auto"/>
        <w:bottom w:val="none" w:sz="0" w:space="0" w:color="auto"/>
        <w:right w:val="none" w:sz="0" w:space="0" w:color="auto"/>
      </w:divBdr>
    </w:div>
    <w:div w:id="743070124">
      <w:bodyDiv w:val="1"/>
      <w:marLeft w:val="0"/>
      <w:marRight w:val="0"/>
      <w:marTop w:val="0"/>
      <w:marBottom w:val="0"/>
      <w:divBdr>
        <w:top w:val="none" w:sz="0" w:space="0" w:color="auto"/>
        <w:left w:val="none" w:sz="0" w:space="0" w:color="auto"/>
        <w:bottom w:val="none" w:sz="0" w:space="0" w:color="auto"/>
        <w:right w:val="none" w:sz="0" w:space="0" w:color="auto"/>
      </w:divBdr>
    </w:div>
    <w:div w:id="823935375">
      <w:bodyDiv w:val="1"/>
      <w:marLeft w:val="0"/>
      <w:marRight w:val="0"/>
      <w:marTop w:val="0"/>
      <w:marBottom w:val="0"/>
      <w:divBdr>
        <w:top w:val="none" w:sz="0" w:space="0" w:color="auto"/>
        <w:left w:val="none" w:sz="0" w:space="0" w:color="auto"/>
        <w:bottom w:val="none" w:sz="0" w:space="0" w:color="auto"/>
        <w:right w:val="none" w:sz="0" w:space="0" w:color="auto"/>
      </w:divBdr>
    </w:div>
    <w:div w:id="848369903">
      <w:bodyDiv w:val="1"/>
      <w:marLeft w:val="0"/>
      <w:marRight w:val="0"/>
      <w:marTop w:val="0"/>
      <w:marBottom w:val="0"/>
      <w:divBdr>
        <w:top w:val="none" w:sz="0" w:space="0" w:color="auto"/>
        <w:left w:val="none" w:sz="0" w:space="0" w:color="auto"/>
        <w:bottom w:val="none" w:sz="0" w:space="0" w:color="auto"/>
        <w:right w:val="none" w:sz="0" w:space="0" w:color="auto"/>
      </w:divBdr>
    </w:div>
    <w:div w:id="865560203">
      <w:bodyDiv w:val="1"/>
      <w:marLeft w:val="0"/>
      <w:marRight w:val="0"/>
      <w:marTop w:val="0"/>
      <w:marBottom w:val="0"/>
      <w:divBdr>
        <w:top w:val="none" w:sz="0" w:space="0" w:color="auto"/>
        <w:left w:val="none" w:sz="0" w:space="0" w:color="auto"/>
        <w:bottom w:val="none" w:sz="0" w:space="0" w:color="auto"/>
        <w:right w:val="none" w:sz="0" w:space="0" w:color="auto"/>
      </w:divBdr>
    </w:div>
    <w:div w:id="1118990051">
      <w:bodyDiv w:val="1"/>
      <w:marLeft w:val="0"/>
      <w:marRight w:val="0"/>
      <w:marTop w:val="0"/>
      <w:marBottom w:val="0"/>
      <w:divBdr>
        <w:top w:val="none" w:sz="0" w:space="0" w:color="auto"/>
        <w:left w:val="none" w:sz="0" w:space="0" w:color="auto"/>
        <w:bottom w:val="none" w:sz="0" w:space="0" w:color="auto"/>
        <w:right w:val="none" w:sz="0" w:space="0" w:color="auto"/>
      </w:divBdr>
    </w:div>
    <w:div w:id="1192953898">
      <w:bodyDiv w:val="1"/>
      <w:marLeft w:val="0"/>
      <w:marRight w:val="0"/>
      <w:marTop w:val="0"/>
      <w:marBottom w:val="0"/>
      <w:divBdr>
        <w:top w:val="none" w:sz="0" w:space="0" w:color="auto"/>
        <w:left w:val="none" w:sz="0" w:space="0" w:color="auto"/>
        <w:bottom w:val="none" w:sz="0" w:space="0" w:color="auto"/>
        <w:right w:val="none" w:sz="0" w:space="0" w:color="auto"/>
      </w:divBdr>
    </w:div>
    <w:div w:id="1220939224">
      <w:bodyDiv w:val="1"/>
      <w:marLeft w:val="0"/>
      <w:marRight w:val="0"/>
      <w:marTop w:val="0"/>
      <w:marBottom w:val="0"/>
      <w:divBdr>
        <w:top w:val="none" w:sz="0" w:space="0" w:color="auto"/>
        <w:left w:val="none" w:sz="0" w:space="0" w:color="auto"/>
        <w:bottom w:val="none" w:sz="0" w:space="0" w:color="auto"/>
        <w:right w:val="none" w:sz="0" w:space="0" w:color="auto"/>
      </w:divBdr>
    </w:div>
    <w:div w:id="1261059453">
      <w:bodyDiv w:val="1"/>
      <w:marLeft w:val="0"/>
      <w:marRight w:val="0"/>
      <w:marTop w:val="0"/>
      <w:marBottom w:val="0"/>
      <w:divBdr>
        <w:top w:val="none" w:sz="0" w:space="0" w:color="auto"/>
        <w:left w:val="none" w:sz="0" w:space="0" w:color="auto"/>
        <w:bottom w:val="none" w:sz="0" w:space="0" w:color="auto"/>
        <w:right w:val="none" w:sz="0" w:space="0" w:color="auto"/>
      </w:divBdr>
    </w:div>
    <w:div w:id="1326014231">
      <w:bodyDiv w:val="1"/>
      <w:marLeft w:val="0"/>
      <w:marRight w:val="0"/>
      <w:marTop w:val="0"/>
      <w:marBottom w:val="0"/>
      <w:divBdr>
        <w:top w:val="none" w:sz="0" w:space="0" w:color="auto"/>
        <w:left w:val="none" w:sz="0" w:space="0" w:color="auto"/>
        <w:bottom w:val="none" w:sz="0" w:space="0" w:color="auto"/>
        <w:right w:val="none" w:sz="0" w:space="0" w:color="auto"/>
      </w:divBdr>
    </w:div>
    <w:div w:id="1526016776">
      <w:bodyDiv w:val="1"/>
      <w:marLeft w:val="0"/>
      <w:marRight w:val="0"/>
      <w:marTop w:val="0"/>
      <w:marBottom w:val="0"/>
      <w:divBdr>
        <w:top w:val="none" w:sz="0" w:space="0" w:color="auto"/>
        <w:left w:val="none" w:sz="0" w:space="0" w:color="auto"/>
        <w:bottom w:val="none" w:sz="0" w:space="0" w:color="auto"/>
        <w:right w:val="none" w:sz="0" w:space="0" w:color="auto"/>
      </w:divBdr>
    </w:div>
    <w:div w:id="1543909129">
      <w:bodyDiv w:val="1"/>
      <w:marLeft w:val="0"/>
      <w:marRight w:val="0"/>
      <w:marTop w:val="0"/>
      <w:marBottom w:val="0"/>
      <w:divBdr>
        <w:top w:val="none" w:sz="0" w:space="0" w:color="auto"/>
        <w:left w:val="none" w:sz="0" w:space="0" w:color="auto"/>
        <w:bottom w:val="none" w:sz="0" w:space="0" w:color="auto"/>
        <w:right w:val="none" w:sz="0" w:space="0" w:color="auto"/>
      </w:divBdr>
      <w:divsChild>
        <w:div w:id="535854442">
          <w:marLeft w:val="0"/>
          <w:marRight w:val="0"/>
          <w:marTop w:val="0"/>
          <w:marBottom w:val="0"/>
          <w:divBdr>
            <w:top w:val="none" w:sz="0" w:space="0" w:color="auto"/>
            <w:left w:val="none" w:sz="0" w:space="0" w:color="auto"/>
            <w:bottom w:val="none" w:sz="0" w:space="0" w:color="auto"/>
            <w:right w:val="none" w:sz="0" w:space="0" w:color="auto"/>
          </w:divBdr>
        </w:div>
        <w:div w:id="1858883205">
          <w:marLeft w:val="0"/>
          <w:marRight w:val="0"/>
          <w:marTop w:val="0"/>
          <w:marBottom w:val="0"/>
          <w:divBdr>
            <w:top w:val="none" w:sz="0" w:space="0" w:color="auto"/>
            <w:left w:val="none" w:sz="0" w:space="0" w:color="auto"/>
            <w:bottom w:val="none" w:sz="0" w:space="0" w:color="auto"/>
            <w:right w:val="none" w:sz="0" w:space="0" w:color="auto"/>
          </w:divBdr>
        </w:div>
      </w:divsChild>
    </w:div>
    <w:div w:id="1556504140">
      <w:bodyDiv w:val="1"/>
      <w:marLeft w:val="0"/>
      <w:marRight w:val="0"/>
      <w:marTop w:val="0"/>
      <w:marBottom w:val="0"/>
      <w:divBdr>
        <w:top w:val="none" w:sz="0" w:space="0" w:color="auto"/>
        <w:left w:val="none" w:sz="0" w:space="0" w:color="auto"/>
        <w:bottom w:val="none" w:sz="0" w:space="0" w:color="auto"/>
        <w:right w:val="none" w:sz="0" w:space="0" w:color="auto"/>
      </w:divBdr>
    </w:div>
    <w:div w:id="1561669012">
      <w:bodyDiv w:val="1"/>
      <w:marLeft w:val="0"/>
      <w:marRight w:val="0"/>
      <w:marTop w:val="0"/>
      <w:marBottom w:val="0"/>
      <w:divBdr>
        <w:top w:val="none" w:sz="0" w:space="0" w:color="auto"/>
        <w:left w:val="none" w:sz="0" w:space="0" w:color="auto"/>
        <w:bottom w:val="none" w:sz="0" w:space="0" w:color="auto"/>
        <w:right w:val="none" w:sz="0" w:space="0" w:color="auto"/>
      </w:divBdr>
    </w:div>
    <w:div w:id="1620837087">
      <w:bodyDiv w:val="1"/>
      <w:marLeft w:val="0"/>
      <w:marRight w:val="0"/>
      <w:marTop w:val="0"/>
      <w:marBottom w:val="0"/>
      <w:divBdr>
        <w:top w:val="none" w:sz="0" w:space="0" w:color="auto"/>
        <w:left w:val="none" w:sz="0" w:space="0" w:color="auto"/>
        <w:bottom w:val="none" w:sz="0" w:space="0" w:color="auto"/>
        <w:right w:val="none" w:sz="0" w:space="0" w:color="auto"/>
      </w:divBdr>
    </w:div>
    <w:div w:id="1871718924">
      <w:bodyDiv w:val="1"/>
      <w:marLeft w:val="0"/>
      <w:marRight w:val="0"/>
      <w:marTop w:val="0"/>
      <w:marBottom w:val="0"/>
      <w:divBdr>
        <w:top w:val="none" w:sz="0" w:space="0" w:color="auto"/>
        <w:left w:val="none" w:sz="0" w:space="0" w:color="auto"/>
        <w:bottom w:val="none" w:sz="0" w:space="0" w:color="auto"/>
        <w:right w:val="none" w:sz="0" w:space="0" w:color="auto"/>
      </w:divBdr>
    </w:div>
    <w:div w:id="1887796501">
      <w:bodyDiv w:val="1"/>
      <w:marLeft w:val="0"/>
      <w:marRight w:val="0"/>
      <w:marTop w:val="0"/>
      <w:marBottom w:val="0"/>
      <w:divBdr>
        <w:top w:val="none" w:sz="0" w:space="0" w:color="auto"/>
        <w:left w:val="none" w:sz="0" w:space="0" w:color="auto"/>
        <w:bottom w:val="none" w:sz="0" w:space="0" w:color="auto"/>
        <w:right w:val="none" w:sz="0" w:space="0" w:color="auto"/>
      </w:divBdr>
    </w:div>
    <w:div w:id="1928271552">
      <w:bodyDiv w:val="1"/>
      <w:marLeft w:val="0"/>
      <w:marRight w:val="0"/>
      <w:marTop w:val="0"/>
      <w:marBottom w:val="0"/>
      <w:divBdr>
        <w:top w:val="none" w:sz="0" w:space="0" w:color="auto"/>
        <w:left w:val="none" w:sz="0" w:space="0" w:color="auto"/>
        <w:bottom w:val="none" w:sz="0" w:space="0" w:color="auto"/>
        <w:right w:val="none" w:sz="0" w:space="0" w:color="auto"/>
      </w:divBdr>
    </w:div>
    <w:div w:id="2031832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in-conformitate-cu-prevederile-legii-nr2392008-privind-transparenta-in-procesul-decizional-ministerul-educatiei-si-cercetarii-anunta-ca-a-fost-initiat-procesul-de-elaborare-a-proiectului-hotararii-guvernului-cu-privire-la-modificarea-anexei-nr1-la-hotararea-guvernului-nr8682014-privind-finantarea-in-baza-de-cost-standard-per-elev-a-institutiilor-de-invatamant-primar-si-secundar-ciclul-i-si-ii-din-subordinea-autoritatilor-publice-locale-de-nivelul-al-doilea-este-elaborat-de-catre-ministerul-educatiei-si-cercetarii/154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8yZoMavkMdjR80ts+xztpV+qWw==">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3030</Words>
  <Characters>17274</Characters>
  <Application>Microsoft Office Word</Application>
  <DocSecurity>0</DocSecurity>
  <Lines>143</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Bogatu</dc:creator>
  <cp:lastModifiedBy>Angela Prisacaru</cp:lastModifiedBy>
  <cp:revision>89</cp:revision>
  <cp:lastPrinted>2024-09-04T12:56:00Z</cp:lastPrinted>
  <dcterms:created xsi:type="dcterms:W3CDTF">2023-12-15T06:32:00Z</dcterms:created>
  <dcterms:modified xsi:type="dcterms:W3CDTF">2025-11-20T09:04:00Z</dcterms:modified>
</cp:coreProperties>
</file>