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5450" w14:textId="033884CF" w:rsidR="002510C1" w:rsidRPr="002F7510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2F7510">
        <w:rPr>
          <w:rFonts w:ascii="Times New Roman" w:hAnsi="Times New Roman" w:cs="Times New Roman"/>
          <w:b/>
          <w:lang w:val="ro-RO"/>
        </w:rPr>
        <w:t xml:space="preserve">Nota </w:t>
      </w:r>
      <w:r w:rsidR="00534614">
        <w:rPr>
          <w:rFonts w:ascii="Times New Roman" w:hAnsi="Times New Roman" w:cs="Times New Roman"/>
          <w:b/>
          <w:lang w:val="ro-RO"/>
        </w:rPr>
        <w:t>de fundamentare</w:t>
      </w:r>
      <w:r w:rsidRPr="002F7510">
        <w:rPr>
          <w:rFonts w:ascii="Times New Roman" w:hAnsi="Times New Roman" w:cs="Times New Roman"/>
          <w:b/>
          <w:lang w:val="ro-RO"/>
        </w:rPr>
        <w:t xml:space="preserve"> </w:t>
      </w:r>
    </w:p>
    <w:p w14:paraId="478E1F6C" w14:textId="51000C28" w:rsidR="00A042D0" w:rsidRPr="001954AD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4A02FA">
        <w:rPr>
          <w:rFonts w:ascii="Times New Roman" w:hAnsi="Times New Roman" w:cs="Times New Roman"/>
          <w:b/>
          <w:lang w:val="ro-RO"/>
        </w:rPr>
        <w:t xml:space="preserve">la </w:t>
      </w:r>
      <w:bookmarkStart w:id="0" w:name="_Hlk194992246"/>
      <w:r w:rsidRPr="004A02FA">
        <w:rPr>
          <w:rFonts w:ascii="Times New Roman" w:hAnsi="Times New Roman" w:cs="Times New Roman"/>
          <w:b/>
          <w:lang w:val="ro-RO"/>
        </w:rPr>
        <w:t xml:space="preserve">proiectul </w:t>
      </w:r>
      <w:r w:rsidR="00481C13" w:rsidRPr="004A02FA">
        <w:rPr>
          <w:rFonts w:ascii="Times New Roman" w:hAnsi="Times New Roman" w:cs="Times New Roman"/>
          <w:b/>
          <w:lang w:val="ro-RO"/>
        </w:rPr>
        <w:t>hotărârii</w:t>
      </w:r>
      <w:r w:rsidR="00200D91" w:rsidRPr="004A02FA">
        <w:rPr>
          <w:rFonts w:ascii="Times New Roman" w:hAnsi="Times New Roman" w:cs="Times New Roman"/>
          <w:b/>
          <w:lang w:val="ro-RO"/>
        </w:rPr>
        <w:t xml:space="preserve"> Guvernului</w:t>
      </w:r>
      <w:r w:rsidR="00CA25FD" w:rsidRPr="004A02FA">
        <w:rPr>
          <w:rFonts w:ascii="Times New Roman" w:hAnsi="Times New Roman" w:cs="Times New Roman"/>
          <w:b/>
          <w:lang w:val="ro-RO"/>
        </w:rPr>
        <w:t xml:space="preserve"> </w:t>
      </w:r>
      <w:bookmarkStart w:id="1" w:name="_Hlk212637910"/>
      <w:bookmarkEnd w:id="0"/>
      <w:r w:rsidR="00FA1CEF" w:rsidRPr="00FA1CEF">
        <w:rPr>
          <w:rFonts w:ascii="Times New Roman" w:hAnsi="Times New Roman" w:cs="Times New Roman"/>
          <w:b/>
          <w:lang w:val="ro-RO"/>
        </w:rPr>
        <w:t>cu privire la aprobarea Modalităților practice pentru procesul de admitere a vehiculelor feroviare în conformitate cu Regulamentul de interoperabilitate a sistemului feroviar</w:t>
      </w:r>
      <w:bookmarkEnd w:id="1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042D0" w:rsidRPr="00F154A6" w14:paraId="02CCAB29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BF6" w14:textId="7777777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 w:cs="Times New Roman"/>
                <w:b/>
                <w:lang w:val="ro-RO"/>
              </w:rPr>
              <w:t>1. Denumirea autorului și, după caz, a participanților la elaborarea proiectului</w:t>
            </w:r>
          </w:p>
        </w:tc>
      </w:tr>
      <w:tr w:rsidR="00A042D0" w:rsidRPr="00F154A6" w14:paraId="2030FAF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F9E" w14:textId="6BFCA78B" w:rsidR="00A042D0" w:rsidRPr="002F7510" w:rsidRDefault="00A042D0" w:rsidP="00A30CFF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>Ministerul Infrastructurii și Dezvoltării Regionale.</w:t>
            </w:r>
          </w:p>
        </w:tc>
      </w:tr>
      <w:tr w:rsidR="00A042D0" w:rsidRPr="00F154A6" w14:paraId="5103FD8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8070" w14:textId="7777777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 w:cs="Times New Roman"/>
                <w:b/>
                <w:lang w:val="ro-RO"/>
              </w:rPr>
              <w:t>2. Condițiile ce au impus elaborarea proiectului de act normativ și finalitățile urmărite</w:t>
            </w:r>
          </w:p>
        </w:tc>
      </w:tr>
      <w:tr w:rsidR="006E1842" w:rsidRPr="00F154A6" w14:paraId="0C07D73D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1E" w14:textId="686B05F0" w:rsidR="006E1842" w:rsidRPr="002F7510" w:rsidRDefault="006E1842" w:rsidP="006E1842">
            <w:pPr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 xml:space="preserve">2.1 Temeiul legal sau, după caz, sursa proiectului actului normativ </w:t>
            </w:r>
          </w:p>
        </w:tc>
      </w:tr>
      <w:tr w:rsidR="006E1842" w:rsidRPr="00F154A6" w14:paraId="03ED1FF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F05" w14:textId="1FD8B116" w:rsidR="001954AD" w:rsidRPr="00FA1CEF" w:rsidRDefault="00A03920" w:rsidP="00FA1CEF">
            <w:pPr>
              <w:ind w:firstLine="600"/>
              <w:jc w:val="both"/>
              <w:rPr>
                <w:rFonts w:ascii="Times" w:hAnsi="Times"/>
                <w:lang w:val="ro-RO"/>
              </w:rPr>
            </w:pPr>
            <w:bookmarkStart w:id="2" w:name="_Hlk209708739"/>
            <w:r w:rsidRPr="004A02FA">
              <w:rPr>
                <w:rFonts w:ascii="Times New Roman" w:hAnsi="Times New Roman" w:cs="Times New Roman"/>
                <w:bCs/>
                <w:lang w:val="ro-RO"/>
              </w:rPr>
              <w:t xml:space="preserve">Proiectul este elaborat în </w:t>
            </w:r>
            <w:r w:rsidR="00481C13" w:rsidRPr="004A02FA">
              <w:rPr>
                <w:rFonts w:ascii="Times New Roman" w:hAnsi="Times New Roman" w:cs="Times New Roman"/>
                <w:bCs/>
                <w:lang w:val="ro-RO"/>
              </w:rPr>
              <w:t xml:space="preserve">temeiul </w:t>
            </w:r>
            <w:r w:rsidR="00FA1CEF" w:rsidRPr="00FA1CEF">
              <w:rPr>
                <w:rFonts w:ascii="Times" w:hAnsi="Times"/>
                <w:lang w:val="ro-RO"/>
              </w:rPr>
              <w:t>art. 91 alin. (1), (10) și art. 104 alin. (2) din Codul transportului feroviar nr. 19/</w:t>
            </w:r>
            <w:r w:rsidR="00FA1CEF">
              <w:rPr>
                <w:rFonts w:ascii="Times" w:hAnsi="Times"/>
                <w:lang w:val="ro-RO"/>
              </w:rPr>
              <w:t>2022</w:t>
            </w:r>
            <w:r w:rsidR="00DB4CEB" w:rsidRPr="00DB4CEB">
              <w:rPr>
                <w:rFonts w:ascii="Times" w:hAnsi="Times"/>
                <w:lang w:val="ro-RO"/>
              </w:rPr>
              <w:t xml:space="preserve"> și </w:t>
            </w:r>
            <w:r w:rsidR="00FA1CEF" w:rsidRPr="00FA1CEF">
              <w:rPr>
                <w:rFonts w:ascii="Times" w:hAnsi="Times"/>
                <w:lang w:val="ro-RO"/>
              </w:rPr>
              <w:t>pct. 72 din Capitolul 14 Clusterul 4 Programului naţional de aderare a Republicii Moldova la Uniunea Europeană pentru anii 2025-2029, aprobat prin Hotărîrea Guvernului nr. 306/2025</w:t>
            </w:r>
            <w:r w:rsidR="00DB4CEB">
              <w:rPr>
                <w:rFonts w:ascii="Times" w:hAnsi="Times"/>
                <w:lang w:val="ro-RO"/>
              </w:rPr>
              <w:t>.</w:t>
            </w:r>
            <w:bookmarkEnd w:id="2"/>
          </w:p>
        </w:tc>
      </w:tr>
      <w:tr w:rsidR="006E1842" w:rsidRPr="00F154A6" w14:paraId="3D128F3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C92" w14:textId="00B98E95" w:rsidR="006E1842" w:rsidRPr="002F7510" w:rsidRDefault="006E1842" w:rsidP="003C268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 w:cs="Times New Roman"/>
                <w:lang w:val="ro-RO"/>
              </w:rPr>
              <w:t xml:space="preserve">2.2 Descrierea situației actuale </w:t>
            </w:r>
            <w:r w:rsidR="003D7AD6" w:rsidRPr="002F7510">
              <w:rPr>
                <w:rFonts w:ascii="Times New Roman" w:hAnsi="Times New Roman" w:cs="Times New Roman"/>
                <w:lang w:val="ro-RO"/>
              </w:rPr>
              <w:t>şi</w:t>
            </w:r>
            <w:r w:rsidRPr="002F7510">
              <w:rPr>
                <w:rFonts w:ascii="Times New Roman" w:hAnsi="Times New Roman" w:cs="Times New Roman"/>
                <w:lang w:val="ro-RO"/>
              </w:rPr>
              <w:t xml:space="preserve"> a problemelor care impun </w:t>
            </w:r>
            <w:r w:rsidR="003D7AD6" w:rsidRPr="002F7510">
              <w:rPr>
                <w:rFonts w:ascii="Times New Roman" w:hAnsi="Times New Roman" w:cs="Times New Roman"/>
                <w:lang w:val="ro-RO"/>
              </w:rPr>
              <w:t>intervenția</w:t>
            </w:r>
            <w:r w:rsidRPr="002F7510">
              <w:rPr>
                <w:rFonts w:ascii="Times New Roman" w:hAnsi="Times New Roman" w:cs="Times New Roman"/>
                <w:lang w:val="ro-RO"/>
              </w:rPr>
              <w:t xml:space="preserve">, inclusiv a cadrului normativ aplicabil </w:t>
            </w:r>
            <w:r w:rsidR="003D7AD6" w:rsidRPr="002F7510">
              <w:rPr>
                <w:rFonts w:ascii="Times New Roman" w:hAnsi="Times New Roman" w:cs="Times New Roman"/>
                <w:lang w:val="ro-RO"/>
              </w:rPr>
              <w:t>şi</w:t>
            </w:r>
            <w:r w:rsidRPr="002F7510">
              <w:rPr>
                <w:rFonts w:ascii="Times New Roman" w:hAnsi="Times New Roman" w:cs="Times New Roman"/>
                <w:lang w:val="ro-RO"/>
              </w:rPr>
              <w:t xml:space="preserve"> a </w:t>
            </w:r>
            <w:r w:rsidR="003D7AD6" w:rsidRPr="002F7510">
              <w:rPr>
                <w:rFonts w:ascii="Times New Roman" w:hAnsi="Times New Roman" w:cs="Times New Roman"/>
                <w:lang w:val="ro-RO"/>
              </w:rPr>
              <w:t>deficiențelor</w:t>
            </w:r>
            <w:r w:rsidRPr="002F7510">
              <w:rPr>
                <w:rFonts w:ascii="Times New Roman" w:hAnsi="Times New Roman" w:cs="Times New Roman"/>
                <w:lang w:val="ro-RO"/>
              </w:rPr>
              <w:t xml:space="preserve">/lacunelor normative </w:t>
            </w:r>
          </w:p>
        </w:tc>
      </w:tr>
      <w:tr w:rsidR="00A042D0" w:rsidRPr="00F154A6" w14:paraId="3C219398" w14:textId="77777777" w:rsidTr="006E1842">
        <w:trPr>
          <w:trHeight w:val="28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6FAA" w14:textId="6D51B550" w:rsidR="007471FE" w:rsidRDefault="008D63CD" w:rsidP="008D70A3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Conform prevederilor art. 33 alin. (2) din Codul transportului feroviar nr. 309/2003</w:t>
            </w:r>
            <w:r w:rsidR="009029F7">
              <w:rPr>
                <w:rFonts w:ascii="Times New Roman" w:hAnsi="Times New Roman" w:cs="Times New Roman"/>
                <w:lang w:val="ro-RO"/>
              </w:rPr>
              <w:t>, care a fost în vigoare pînă 17 februarie 2024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="009029F7">
              <w:rPr>
                <w:rFonts w:ascii="Times New Roman" w:hAnsi="Times New Roman" w:cs="Times New Roman"/>
                <w:lang w:val="ro-RO"/>
              </w:rPr>
              <w:t xml:space="preserve"> f</w:t>
            </w:r>
            <w:r w:rsidR="009029F7" w:rsidRPr="009029F7">
              <w:rPr>
                <w:rFonts w:ascii="Times New Roman" w:hAnsi="Times New Roman" w:cs="Times New Roman"/>
                <w:lang w:val="ro-RO"/>
              </w:rPr>
              <w:t>iecare unitate de material rulant procurat trebuie să aibă certificat.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029F7">
              <w:rPr>
                <w:rFonts w:ascii="Times New Roman" w:hAnsi="Times New Roman" w:cs="Times New Roman"/>
                <w:lang w:val="ro-RO"/>
              </w:rPr>
              <w:t>Drept urmare, majoritatea materialului rulant nou sau în folosință, introdus în circulație</w:t>
            </w:r>
            <w:r w:rsidR="005D3675">
              <w:rPr>
                <w:rFonts w:ascii="Times New Roman" w:hAnsi="Times New Roman" w:cs="Times New Roman"/>
                <w:lang w:val="ro-RO"/>
              </w:rPr>
              <w:t xml:space="preserve"> și</w:t>
            </w:r>
            <w:r w:rsidR="009029F7">
              <w:rPr>
                <w:rFonts w:ascii="Times New Roman" w:hAnsi="Times New Roman" w:cs="Times New Roman"/>
                <w:lang w:val="ro-RO"/>
              </w:rPr>
              <w:t xml:space="preserve"> înregistrat în parcul rulant național, </w:t>
            </w:r>
            <w:r w:rsidR="005D3675">
              <w:rPr>
                <w:rFonts w:ascii="Times New Roman" w:hAnsi="Times New Roman" w:cs="Times New Roman"/>
                <w:lang w:val="ro-RO"/>
              </w:rPr>
              <w:t>a corespuns</w:t>
            </w:r>
            <w:r w:rsidR="005D3675" w:rsidRPr="005D3675">
              <w:rPr>
                <w:rFonts w:ascii="Times New Roman" w:hAnsi="Times New Roman" w:cs="Times New Roman"/>
                <w:lang w:val="ro-RO"/>
              </w:rPr>
              <w:t xml:space="preserve"> cerinţelor standardelor, precum şi </w:t>
            </w:r>
            <w:r w:rsidR="005D3675">
              <w:rPr>
                <w:rFonts w:ascii="Times New Roman" w:hAnsi="Times New Roman" w:cs="Times New Roman"/>
                <w:lang w:val="ro-RO"/>
              </w:rPr>
              <w:t>r</w:t>
            </w:r>
            <w:r w:rsidR="005D3675" w:rsidRPr="005D3675">
              <w:rPr>
                <w:rFonts w:ascii="Times New Roman" w:hAnsi="Times New Roman" w:cs="Times New Roman"/>
                <w:lang w:val="ro-RO"/>
              </w:rPr>
              <w:t>egulilor de exploatare tehnică a căii ferate</w:t>
            </w:r>
            <w:r w:rsidR="005D3675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5A087951" w14:textId="2D22D29C" w:rsidR="005D3675" w:rsidRDefault="005D3675" w:rsidP="008D70A3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La 18 februarie 202</w:t>
            </w:r>
            <w:r w:rsidR="00FA19D9">
              <w:rPr>
                <w:rFonts w:ascii="Times New Roman" w:hAnsi="Times New Roman" w:cs="Times New Roman"/>
                <w:lang w:val="ro-RO"/>
              </w:rPr>
              <w:t>4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="00FA19D9">
              <w:rPr>
                <w:rFonts w:ascii="Times New Roman" w:hAnsi="Times New Roman" w:cs="Times New Roman"/>
                <w:lang w:val="ro-RO"/>
              </w:rPr>
              <w:t xml:space="preserve"> a intrat în vigoare Codul transportului feroviar nr. 19/2022, care stabilește norme primare privind modul de admitere a materialului rulant în circulație și înregistrarea acestuia în parcul rulant național. Normele de admitere din Codul nr. 19/2022</w:t>
            </w:r>
            <w:r w:rsidR="00F77B8B">
              <w:rPr>
                <w:rFonts w:ascii="Times New Roman" w:hAnsi="Times New Roman" w:cs="Times New Roman"/>
                <w:lang w:val="ro-RO"/>
              </w:rPr>
              <w:t xml:space="preserve"> sunt bazate pe acquis-ul european, bazîndu-se pe principiul interoperabilității feroviare. </w:t>
            </w:r>
            <w:r w:rsidR="00CA4B59">
              <w:rPr>
                <w:rFonts w:ascii="Times New Roman" w:hAnsi="Times New Roman" w:cs="Times New Roman"/>
                <w:lang w:val="ro-RO"/>
              </w:rPr>
              <w:t xml:space="preserve">În context, prin Hotărîrea Guvernului nr. 725/2024 a fost aprobat Regulamentul </w:t>
            </w:r>
            <w:r w:rsidR="00CA4B59" w:rsidRPr="00CA4B59">
              <w:rPr>
                <w:rFonts w:ascii="Times New Roman" w:hAnsi="Times New Roman" w:cs="Times New Roman"/>
                <w:lang w:val="ro-RO"/>
              </w:rPr>
              <w:t>de interoperabilitate a sistemului feroviar</w:t>
            </w:r>
            <w:r w:rsidR="00CE2E10">
              <w:rPr>
                <w:rFonts w:ascii="Times New Roman" w:hAnsi="Times New Roman" w:cs="Times New Roman"/>
                <w:lang w:val="ro-RO"/>
              </w:rPr>
              <w:t xml:space="preserve"> prin transpunerea </w:t>
            </w:r>
            <w:r w:rsidR="00CE2E10" w:rsidRPr="00CE2E10">
              <w:rPr>
                <w:rFonts w:ascii="Times New Roman" w:hAnsi="Times New Roman" w:cs="Times New Roman"/>
                <w:lang w:val="ro-RO"/>
              </w:rPr>
              <w:t>Directiv</w:t>
            </w:r>
            <w:r w:rsidR="00CE2E10">
              <w:rPr>
                <w:rFonts w:ascii="Times New Roman" w:hAnsi="Times New Roman" w:cs="Times New Roman"/>
                <w:lang w:val="ro-RO"/>
              </w:rPr>
              <w:t>ei</w:t>
            </w:r>
            <w:r w:rsidR="00CE2E10" w:rsidRPr="00CE2E10">
              <w:rPr>
                <w:rFonts w:ascii="Times New Roman" w:hAnsi="Times New Roman" w:cs="Times New Roman"/>
                <w:lang w:val="ro-RO"/>
              </w:rPr>
              <w:t xml:space="preserve"> (UE) 2016/797 a Parlamentului European și a Consiliului din 11 mai 2016 privind interoperabilitatea sistemului feroviar în Uniunea Europeană</w:t>
            </w:r>
            <w:r w:rsidR="00CE2E10">
              <w:rPr>
                <w:rFonts w:ascii="Times New Roman" w:hAnsi="Times New Roman" w:cs="Times New Roman"/>
                <w:lang w:val="ro-RO"/>
              </w:rPr>
              <w:t xml:space="preserve">, care prevede un șir de norme privind admiterea de tip și admiterea pe piață a materialului rulant. </w:t>
            </w:r>
          </w:p>
          <w:p w14:paraId="1B3ADC49" w14:textId="22E88730" w:rsidR="00CB187C" w:rsidRPr="001954AD" w:rsidRDefault="004D7DD4" w:rsidP="008D70A3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Complementar Directivei (UE) 2016/797, </w:t>
            </w:r>
            <w:r w:rsidR="006C6482">
              <w:rPr>
                <w:rFonts w:ascii="Times New Roman" w:hAnsi="Times New Roman" w:cs="Times New Roman"/>
                <w:lang w:val="ro-RO"/>
              </w:rPr>
              <w:t xml:space="preserve">la nivelul statelor membre UE a fost aprobat </w:t>
            </w:r>
            <w:r w:rsidR="006C6482" w:rsidRPr="006C6482">
              <w:rPr>
                <w:rFonts w:ascii="Times New Roman" w:hAnsi="Times New Roman" w:cs="Times New Roman"/>
                <w:lang w:val="ro-RO"/>
              </w:rPr>
              <w:t>Regulamentul de punere în aplicare (UE) 2018/545 al Comisiei din 4 aprilie 2018 de instituire a modalităților practice pentru procesul de autorizare a vehiculelor feroviare și de autorizare de tip a vehiculelor feroviare în temeiul Directivei (UE) 2016/797 a Parlamentului European și a Consiliului</w:t>
            </w:r>
            <w:r w:rsidR="00CF3D16">
              <w:rPr>
                <w:rFonts w:ascii="Times New Roman" w:hAnsi="Times New Roman" w:cs="Times New Roman"/>
                <w:lang w:val="ro-RO"/>
              </w:rPr>
              <w:t>. Avînd în vedere obiectivul național de aderare la Uniunea Europeană</w:t>
            </w:r>
            <w:r w:rsidR="00982FE3">
              <w:rPr>
                <w:rFonts w:ascii="Times New Roman" w:hAnsi="Times New Roman" w:cs="Times New Roman"/>
                <w:lang w:val="ro-RO"/>
              </w:rPr>
              <w:t xml:space="preserve"> și neavând norme tehnice privind reglementarea admiterii materialului rulant, se consideră oportun de transpus Regulamentul </w:t>
            </w:r>
            <w:r w:rsidR="00982FE3" w:rsidRPr="00982FE3">
              <w:rPr>
                <w:rFonts w:ascii="Times New Roman" w:hAnsi="Times New Roman" w:cs="Times New Roman"/>
                <w:lang w:val="ro-RO"/>
              </w:rPr>
              <w:t>(UE) 2018/545</w:t>
            </w:r>
            <w:r w:rsidR="00982FE3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</w:tr>
      <w:tr w:rsidR="00A042D0" w:rsidRPr="00F154A6" w14:paraId="6AF2B9D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F519" w14:textId="11A58EB7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3. </w:t>
            </w:r>
            <w:r w:rsidR="006E1842" w:rsidRPr="002F7510">
              <w:rPr>
                <w:rFonts w:ascii="Times New Roman" w:hAnsi="Times New Roman"/>
                <w:b/>
                <w:lang w:val="ro-RO"/>
              </w:rPr>
              <w:t>Obiectivele urmărite și soluțiile propuse</w:t>
            </w:r>
          </w:p>
        </w:tc>
      </w:tr>
      <w:tr w:rsidR="006E1842" w:rsidRPr="00F154A6" w14:paraId="0E0596D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D63" w14:textId="3CA9AB03" w:rsidR="006E1842" w:rsidRPr="002F7510" w:rsidRDefault="006E1842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3.1 Principalele prevederi ale proiectului și evidențierea elementelor noi</w:t>
            </w:r>
          </w:p>
        </w:tc>
      </w:tr>
      <w:tr w:rsidR="006E1842" w:rsidRPr="00F154A6" w14:paraId="46FD28E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F32" w14:textId="1786F79D" w:rsidR="00EC6BFD" w:rsidRDefault="008276F5" w:rsidP="00EC6BFD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Proiectul prevede implementarea unui sistem unificat și transparent de admitere a vehiculelor feroviare și de tipuri de vehicule</w:t>
            </w:r>
            <w:r w:rsidR="008C4E66">
              <w:rPr>
                <w:rFonts w:ascii="Times New Roman" w:hAnsi="Times New Roman"/>
                <w:bCs/>
                <w:lang w:val="ro-RO"/>
              </w:rPr>
              <w:t>, prin</w:t>
            </w:r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8C4E66">
              <w:rPr>
                <w:rFonts w:ascii="Times New Roman" w:hAnsi="Times New Roman"/>
                <w:bCs/>
                <w:lang w:val="ro-RO"/>
              </w:rPr>
              <w:t>a</w:t>
            </w:r>
            <w:r w:rsidR="008C4E66" w:rsidRPr="008C4E66">
              <w:rPr>
                <w:rFonts w:ascii="Times New Roman" w:hAnsi="Times New Roman"/>
                <w:bCs/>
                <w:lang w:val="ro-RO"/>
              </w:rPr>
              <w:t>linierea la cerințele europene privind interoperabilitatea și siguranța în transportul feroviar.</w:t>
            </w:r>
          </w:p>
          <w:p w14:paraId="406958BF" w14:textId="292A87FB" w:rsidR="00CB187C" w:rsidRPr="008C4E66" w:rsidRDefault="008C4E66" w:rsidP="00EC6BFD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8C4E66">
              <w:rPr>
                <w:rFonts w:ascii="Times New Roman" w:hAnsi="Times New Roman"/>
                <w:bCs/>
                <w:lang w:val="ro-RO"/>
              </w:rPr>
              <w:t>Admitere e tipizată, d</w:t>
            </w:r>
            <w:r w:rsidR="002148CD">
              <w:rPr>
                <w:rFonts w:ascii="Times New Roman" w:hAnsi="Times New Roman"/>
                <w:bCs/>
                <w:lang w:val="ro-RO"/>
              </w:rPr>
              <w:t>u</w:t>
            </w:r>
            <w:r w:rsidRPr="008C4E66">
              <w:rPr>
                <w:rFonts w:ascii="Times New Roman" w:hAnsi="Times New Roman"/>
                <w:bCs/>
                <w:lang w:val="ro-RO"/>
              </w:rPr>
              <w:t>pă cum urmează:</w:t>
            </w:r>
          </w:p>
          <w:p w14:paraId="7C88DE6F" w14:textId="77777777" w:rsidR="008C4E66" w:rsidRPr="008C4E66" w:rsidRDefault="008C4E66" w:rsidP="00EC6BFD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8C4E66">
              <w:rPr>
                <w:rFonts w:ascii="Times New Roman" w:hAnsi="Times New Roman"/>
                <w:bCs/>
                <w:lang w:val="ro-RO"/>
              </w:rPr>
              <w:t>- admiterea de tip, care prevede acceptarea unui model de vehicul pentru producție și utilizare;</w:t>
            </w:r>
          </w:p>
          <w:p w14:paraId="12008F6A" w14:textId="6B84F9BA" w:rsidR="008C4E66" w:rsidRPr="008C4E66" w:rsidRDefault="008C4E66" w:rsidP="00EC6BFD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8C4E66">
              <w:rPr>
                <w:rFonts w:ascii="Times New Roman" w:hAnsi="Times New Roman"/>
                <w:bCs/>
                <w:lang w:val="ro-RO"/>
              </w:rPr>
              <w:t>- admiterea de introducere pe piață, care se referă la a</w:t>
            </w:r>
            <w:r w:rsidR="00D46116">
              <w:rPr>
                <w:rFonts w:ascii="Times New Roman" w:hAnsi="Times New Roman"/>
                <w:bCs/>
                <w:lang w:val="ro-RO"/>
              </w:rPr>
              <w:t>c</w:t>
            </w:r>
            <w:r w:rsidRPr="008C4E66">
              <w:rPr>
                <w:rFonts w:ascii="Times New Roman" w:hAnsi="Times New Roman"/>
                <w:bCs/>
                <w:lang w:val="ro-RO"/>
              </w:rPr>
              <w:t>ceptarea unui vehicul individual sau în serie de vehicule pentru exploatare pe infrastructura feroviară publică.</w:t>
            </w:r>
          </w:p>
          <w:p w14:paraId="6F5F6071" w14:textId="77777777" w:rsidR="008C4E66" w:rsidRDefault="00D46116" w:rsidP="00EC6BFD">
            <w:pPr>
              <w:ind w:firstLine="600"/>
              <w:jc w:val="both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lang w:val="ro-MD"/>
              </w:rPr>
              <w:t xml:space="preserve">Solicitarea de admitere se va depune prin ghișeul unic, se parcurge o etapă opțională pentru clarificarea unor cerințe și se evaluează conformitatea cu specificațiile tehnice de interoperabilitate, compatibilitatea tehnică cu rețea, integrarea în siguranță a subsistemelor, gestionarea riscurilor etc. </w:t>
            </w:r>
          </w:p>
          <w:p w14:paraId="59B4AAFC" w14:textId="77777777" w:rsidR="00D46116" w:rsidRDefault="002148CD" w:rsidP="00EC6BFD">
            <w:pPr>
              <w:ind w:firstLine="600"/>
              <w:jc w:val="both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lang w:val="ro-MD"/>
              </w:rPr>
              <w:t xml:space="preserve">Dosarul de admitere va trebui să conțină declarații de verificare, dovezi privind capturarea cerințelor, evaluări de conformitate, condiții de utilizare și restricții. </w:t>
            </w:r>
          </w:p>
          <w:p w14:paraId="464E5AC6" w14:textId="1006C99B" w:rsidR="002148CD" w:rsidRPr="008C4E66" w:rsidRDefault="002148CD" w:rsidP="00EC6BFD">
            <w:pPr>
              <w:ind w:firstLine="600"/>
              <w:jc w:val="both"/>
              <w:rPr>
                <w:rFonts w:ascii="Times New Roman" w:hAnsi="Times New Roman"/>
                <w:bCs/>
                <w:lang w:val="ro-MD"/>
              </w:rPr>
            </w:pPr>
          </w:p>
        </w:tc>
      </w:tr>
      <w:tr w:rsidR="006E1842" w:rsidRPr="00F154A6" w14:paraId="330A326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133" w14:textId="1785435D" w:rsidR="006E1842" w:rsidRPr="002F7510" w:rsidRDefault="00A645C8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lastRenderedPageBreak/>
              <w:t>3.2 Opțiunile alternative analizate și motivele pentru care acestea nu au fost luate în considerare</w:t>
            </w:r>
          </w:p>
        </w:tc>
      </w:tr>
      <w:tr w:rsidR="00A042D0" w:rsidRPr="00F154A6" w14:paraId="5E35B8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28AA" w14:textId="02C4AC83" w:rsidR="00252FB4" w:rsidRDefault="00CD0982" w:rsidP="00252FB4">
            <w:pPr>
              <w:ind w:firstLine="60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 xml:space="preserve">Păstrarea statului quo </w:t>
            </w:r>
            <w:r w:rsidR="00252FB4">
              <w:rPr>
                <w:rFonts w:ascii="Times New Roman" w:hAnsi="Times New Roman" w:cs="Times New Roman"/>
                <w:lang w:val="ro-RO" w:eastAsia="en-GB"/>
              </w:rPr>
              <w:t>nu este o soluție justă.</w:t>
            </w:r>
          </w:p>
          <w:p w14:paraId="776B787C" w14:textId="4312B03A" w:rsidR="00252FB4" w:rsidRDefault="00252FB4" w:rsidP="00252FB4">
            <w:pPr>
              <w:ind w:firstLine="60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 xml:space="preserve">Nealinierea cadrului normativ </w:t>
            </w:r>
            <w:r w:rsidR="007803DA">
              <w:rPr>
                <w:rFonts w:ascii="Times New Roman" w:hAnsi="Times New Roman" w:cs="Times New Roman"/>
                <w:lang w:val="ro-RO" w:eastAsia="en-GB"/>
              </w:rPr>
              <w:t xml:space="preserve">va genera pentru antreprenori bariere tehnice și administrative în circulația transfrontalieră, ceea ar reduce competitivitatea și eficiența transportului feroviar. </w:t>
            </w:r>
            <w:r w:rsidR="00CC658C">
              <w:rPr>
                <w:rFonts w:ascii="Times New Roman" w:hAnsi="Times New Roman" w:cs="Times New Roman"/>
                <w:lang w:val="ro-RO" w:eastAsia="en-GB"/>
              </w:rPr>
              <w:t xml:space="preserve">În acest sens, vehiculele feroviare moldovenești nu ar putea fi recunoscute în rețeaua feroviară europeană, afectând grav interoperabilitatea și exportul de material rulant. </w:t>
            </w:r>
          </w:p>
          <w:p w14:paraId="7CD04D63" w14:textId="6837B395" w:rsidR="009F55F4" w:rsidRPr="000F1D3A" w:rsidRDefault="009F55F4" w:rsidP="00252FB4">
            <w:pPr>
              <w:ind w:firstLine="600"/>
              <w:jc w:val="both"/>
              <w:rPr>
                <w:rFonts w:ascii="Times New Roman" w:hAnsi="Times New Roman" w:cs="Times New Roman"/>
                <w:lang w:val="ro-RO" w:eastAsia="en-GB"/>
              </w:rPr>
            </w:pPr>
          </w:p>
        </w:tc>
      </w:tr>
      <w:tr w:rsidR="00A042D0" w:rsidRPr="002F7510" w14:paraId="590DE98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5D6C" w14:textId="524E557F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4. </w:t>
            </w:r>
            <w:r w:rsidR="00693385" w:rsidRPr="002F7510">
              <w:rPr>
                <w:rFonts w:ascii="Times New Roman" w:hAnsi="Times New Roman"/>
                <w:b/>
                <w:lang w:val="ro-RO"/>
              </w:rPr>
              <w:t xml:space="preserve">Analiza impactului de reglementare </w:t>
            </w:r>
          </w:p>
        </w:tc>
      </w:tr>
      <w:tr w:rsidR="00693385" w:rsidRPr="002F7510" w14:paraId="2E65BE6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AFA" w14:textId="576B4639" w:rsidR="00693385" w:rsidRPr="002F7510" w:rsidRDefault="00693385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4.1 Impactul asupra sectorului public</w:t>
            </w:r>
          </w:p>
        </w:tc>
      </w:tr>
      <w:tr w:rsidR="00693385" w:rsidRPr="00F154A6" w14:paraId="5D8CCA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4A3" w14:textId="44B5DF8D" w:rsidR="00963216" w:rsidRDefault="00FA4352" w:rsidP="00EE59D9">
            <w:pPr>
              <w:ind w:firstLine="600"/>
              <w:jc w:val="both"/>
              <w:rPr>
                <w:rFonts w:ascii="Times New Roman" w:hAnsi="Times New Roman"/>
                <w:bCs/>
                <w:lang w:val="ro-MD"/>
              </w:rPr>
            </w:pPr>
            <w:r w:rsidRPr="00FA4352">
              <w:rPr>
                <w:rFonts w:ascii="Times New Roman" w:hAnsi="Times New Roman"/>
                <w:bCs/>
                <w:lang w:val="ro-MD"/>
              </w:rPr>
              <w:t>Proiectul hotărâri</w:t>
            </w:r>
            <w:r w:rsidR="0027072D">
              <w:rPr>
                <w:rFonts w:ascii="Times New Roman" w:hAnsi="Times New Roman"/>
                <w:bCs/>
                <w:lang w:val="ro-MD"/>
              </w:rPr>
              <w:t>i</w:t>
            </w:r>
            <w:r w:rsidRPr="00FA4352">
              <w:rPr>
                <w:rFonts w:ascii="Times New Roman" w:hAnsi="Times New Roman"/>
                <w:bCs/>
                <w:lang w:val="ro-MD"/>
              </w:rPr>
              <w:t xml:space="preserve"> de Guvern are un impact public major, deoarece contribuie direct la modernizarea, siguranța și interoperabilitatea transportului feroviar din Republica Moldova, în conformitate cu standardele Uniunii Europene.</w:t>
            </w:r>
          </w:p>
          <w:p w14:paraId="30D4A3A5" w14:textId="1C2CDBD7" w:rsidR="00FA4352" w:rsidRDefault="002D3279" w:rsidP="00EE59D9">
            <w:pPr>
              <w:ind w:firstLine="600"/>
              <w:jc w:val="both"/>
              <w:rPr>
                <w:rFonts w:ascii="Times New Roman" w:hAnsi="Times New Roman"/>
                <w:bCs/>
                <w:lang w:val="ro-MD"/>
              </w:rPr>
            </w:pPr>
            <w:r w:rsidRPr="002D3279">
              <w:rPr>
                <w:rFonts w:ascii="Times New Roman" w:hAnsi="Times New Roman"/>
                <w:bCs/>
                <w:lang w:val="ro-MD"/>
              </w:rPr>
              <w:t>Se reduce riscul de accidente și defecțiuni prin verificări riguroase înainte de punerea în circulație.</w:t>
            </w:r>
          </w:p>
          <w:p w14:paraId="1B210A17" w14:textId="558779DC" w:rsidR="00FA4352" w:rsidRPr="00EE59D9" w:rsidRDefault="002D3279" w:rsidP="00EE59D9">
            <w:pPr>
              <w:ind w:firstLine="600"/>
              <w:jc w:val="both"/>
              <w:rPr>
                <w:rFonts w:ascii="Times New Roman" w:hAnsi="Times New Roman"/>
                <w:bCs/>
                <w:lang w:val="ro-MD"/>
              </w:rPr>
            </w:pPr>
            <w:r w:rsidRPr="002D3279">
              <w:rPr>
                <w:rFonts w:ascii="Times New Roman" w:hAnsi="Times New Roman"/>
                <w:bCs/>
                <w:lang w:val="ro-MD"/>
              </w:rPr>
              <w:t>Transpunerea Regulamentului (UE) 2018/545 facilitează integrarea Republicii Moldova în spațiul feroviar european.</w:t>
            </w:r>
          </w:p>
        </w:tc>
      </w:tr>
      <w:tr w:rsidR="00693385" w:rsidRPr="00F154A6" w14:paraId="3CD8410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6B9" w14:textId="03BB057A" w:rsidR="00693385" w:rsidRPr="002F7510" w:rsidRDefault="00693385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 xml:space="preserve">4.2 </w:t>
            </w:r>
            <w:r w:rsidR="008D2121" w:rsidRPr="002F7510">
              <w:rPr>
                <w:rFonts w:ascii="Times New Roman" w:hAnsi="Times New Roman"/>
                <w:bCs/>
                <w:lang w:val="ro-RO"/>
              </w:rPr>
              <w:t>Impactul financiar și argumentarea costurilor estimative</w:t>
            </w:r>
          </w:p>
        </w:tc>
      </w:tr>
      <w:tr w:rsidR="00693385" w:rsidRPr="00F154A6" w14:paraId="261BE0D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B4D" w14:textId="2C22C505" w:rsidR="008B6A6B" w:rsidRPr="00417C9E" w:rsidRDefault="00F75EAA" w:rsidP="00EE59D9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nu </w:t>
            </w:r>
            <w:r w:rsidR="00DE2072">
              <w:rPr>
                <w:rFonts w:ascii="Times New Roman" w:hAnsi="Times New Roman"/>
                <w:bCs/>
                <w:lang w:val="ro-RO"/>
              </w:rPr>
              <w:t xml:space="preserve">prevede cheltuieli din bugetul de stat. </w:t>
            </w:r>
          </w:p>
        </w:tc>
      </w:tr>
      <w:tr w:rsidR="003077A4" w:rsidRPr="003077A4" w14:paraId="5203F55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D31" w14:textId="4F30DA69" w:rsidR="003077A4" w:rsidRPr="00262381" w:rsidRDefault="003077A4" w:rsidP="003077A4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4.3 Impactul asupra sectorului privat</w:t>
            </w:r>
          </w:p>
        </w:tc>
      </w:tr>
      <w:tr w:rsidR="003077A4" w:rsidRPr="00F154A6" w14:paraId="6713028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0EE" w14:textId="450EACE0" w:rsidR="000F1D3A" w:rsidRDefault="002D3279" w:rsidP="00E2035A">
            <w:pPr>
              <w:ind w:firstLine="60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MD"/>
              </w:rPr>
              <w:t xml:space="preserve">Interacționarea </w:t>
            </w:r>
            <w:r w:rsidR="00C07B51">
              <w:rPr>
                <w:rFonts w:ascii="Times New Roman" w:hAnsi="Times New Roman" w:cs="Times New Roman"/>
                <w:bCs/>
                <w:lang w:val="ro-MD"/>
              </w:rPr>
              <w:t>intre solicitant și entitatea de admitere se va efectua prin intermediul</w:t>
            </w:r>
            <w:r w:rsidRPr="002D3279">
              <w:rPr>
                <w:rFonts w:ascii="Times New Roman" w:hAnsi="Times New Roman" w:cs="Times New Roman"/>
                <w:bCs/>
                <w:lang w:val="ro-RO"/>
              </w:rPr>
              <w:t xml:space="preserve"> ghișeu</w:t>
            </w:r>
            <w:r w:rsidR="00C07B51">
              <w:rPr>
                <w:rFonts w:ascii="Times New Roman" w:hAnsi="Times New Roman" w:cs="Times New Roman"/>
                <w:bCs/>
                <w:lang w:val="ro-RO"/>
              </w:rPr>
              <w:t>lui</w:t>
            </w:r>
            <w:r w:rsidRPr="002D3279">
              <w:rPr>
                <w:rFonts w:ascii="Times New Roman" w:hAnsi="Times New Roman" w:cs="Times New Roman"/>
                <w:bCs/>
                <w:lang w:val="ro-RO"/>
              </w:rPr>
              <w:t xml:space="preserve"> unic pentru depunerea cererilor, ceea ce reduce birocrația și accelerează procesul de admitere.</w:t>
            </w:r>
            <w:r w:rsidR="00C07B51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="00C07B51" w:rsidRPr="00C07B51">
              <w:rPr>
                <w:rFonts w:ascii="Times New Roman" w:hAnsi="Times New Roman" w:cs="Times New Roman"/>
                <w:bCs/>
                <w:lang w:val="ro-RO"/>
              </w:rPr>
              <w:t>Clarificarea rolurilor instituționale crește transparența și eficiența.</w:t>
            </w:r>
          </w:p>
          <w:p w14:paraId="008829A1" w14:textId="41F37F8D" w:rsidR="002D3279" w:rsidRPr="00686CAB" w:rsidRDefault="001502B7" w:rsidP="00E2035A">
            <w:pPr>
              <w:ind w:firstLine="60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502B7">
              <w:rPr>
                <w:rFonts w:ascii="Times New Roman" w:hAnsi="Times New Roman" w:cs="Times New Roman"/>
                <w:bCs/>
                <w:lang w:val="ro-RO"/>
              </w:rPr>
              <w:t>Un cadru predictibil și compatibil cu UE încurajează producătorii de material rulant să investească în Moldova.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="007375AF" w:rsidRPr="007375AF">
              <w:rPr>
                <w:rFonts w:ascii="Times New Roman" w:hAnsi="Times New Roman" w:cs="Times New Roman"/>
                <w:bCs/>
                <w:lang w:val="ro-RO"/>
              </w:rPr>
              <w:t>Se facilitează introducerea de noi tehnologii și vehicule moderne în rețeaua feroviară</w:t>
            </w:r>
            <w:r w:rsidR="007375AF">
              <w:rPr>
                <w:rFonts w:ascii="Times New Roman" w:hAnsi="Times New Roman" w:cs="Times New Roman"/>
                <w:bCs/>
                <w:lang w:val="ro-RO"/>
              </w:rPr>
              <w:t>.</w:t>
            </w:r>
          </w:p>
          <w:p w14:paraId="49D40D67" w14:textId="495AC988" w:rsidR="002D3279" w:rsidRPr="00E2035A" w:rsidRDefault="002D3279" w:rsidP="00E2035A">
            <w:pPr>
              <w:ind w:firstLine="60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693385" w:rsidRPr="002F7510" w14:paraId="2D07226B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D1D" w14:textId="16C662CF" w:rsidR="00693385" w:rsidRPr="002F7510" w:rsidRDefault="008D2121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</w:t>
            </w:r>
            <w:r w:rsidR="003077A4">
              <w:rPr>
                <w:rFonts w:ascii="Times New Roman" w:hAnsi="Times New Roman"/>
                <w:bCs/>
                <w:lang w:val="ro-RO"/>
              </w:rPr>
              <w:t>4</w:t>
            </w:r>
            <w:r w:rsidRPr="002F7510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390640" w:rsidRPr="002F7510">
              <w:rPr>
                <w:rFonts w:ascii="Times New Roman" w:hAnsi="Times New Roman"/>
                <w:bCs/>
                <w:lang w:val="ro-RO"/>
              </w:rPr>
              <w:t>Impactul social</w:t>
            </w:r>
          </w:p>
        </w:tc>
      </w:tr>
      <w:tr w:rsidR="00693385" w:rsidRPr="00F154A6" w14:paraId="0AD937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81BC" w14:textId="1790C426" w:rsidR="002831AE" w:rsidRDefault="008B6A6B" w:rsidP="002831AE">
            <w:pPr>
              <w:ind w:firstLine="567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8B6A6B">
              <w:rPr>
                <w:rFonts w:ascii="Times New Roman" w:hAnsi="Times New Roman" w:cs="Times New Roman"/>
                <w:lang w:val="ro-RO" w:eastAsia="en-GB"/>
              </w:rPr>
              <w:t xml:space="preserve">Implementarea proiectului va avea impact pozitiv asupra siguranței </w:t>
            </w:r>
            <w:r w:rsidR="00F154A6">
              <w:rPr>
                <w:rFonts w:ascii="Times New Roman" w:hAnsi="Times New Roman" w:cs="Times New Roman"/>
                <w:lang w:val="ro-RO" w:eastAsia="en-GB"/>
              </w:rPr>
              <w:t>feroviare</w:t>
            </w:r>
            <w:r w:rsidRPr="008B6A6B">
              <w:rPr>
                <w:rFonts w:ascii="Times New Roman" w:hAnsi="Times New Roman" w:cs="Times New Roman"/>
                <w:lang w:val="ro-RO" w:eastAsia="en-GB"/>
              </w:rPr>
              <w:t xml:space="preserve">. Prin impunerea unor reguli stricte și a unei coordonări mai bune </w:t>
            </w:r>
            <w:r w:rsidR="00F154A6">
              <w:rPr>
                <w:rFonts w:ascii="Times New Roman" w:hAnsi="Times New Roman" w:cs="Times New Roman"/>
                <w:lang w:val="ro-RO" w:eastAsia="en-GB"/>
              </w:rPr>
              <w:t>privind admiterea vehiculelor feroviare</w:t>
            </w:r>
            <w:r w:rsidRPr="008B6A6B">
              <w:rPr>
                <w:rFonts w:ascii="Times New Roman" w:hAnsi="Times New Roman" w:cs="Times New Roman"/>
                <w:lang w:val="ro-RO" w:eastAsia="en-GB"/>
              </w:rPr>
              <w:t>, riscurile de accidente la locul de muncă sunt diminuate, asigurând un mediu de lucru mai sigur.</w:t>
            </w:r>
          </w:p>
          <w:p w14:paraId="3A19CCF9" w14:textId="0BE2B891" w:rsidR="00824679" w:rsidRPr="002831AE" w:rsidRDefault="00824679" w:rsidP="002831AE">
            <w:pPr>
              <w:ind w:firstLine="567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824679">
              <w:rPr>
                <w:rFonts w:ascii="Times New Roman" w:hAnsi="Times New Roman" w:cs="Times New Roman"/>
                <w:lang w:val="ro-RO" w:eastAsia="en-GB"/>
              </w:rPr>
              <w:t>Prin stabilirea unor proceduri clare și a unor standarde</w:t>
            </w:r>
            <w:r>
              <w:rPr>
                <w:rFonts w:ascii="Times New Roman" w:hAnsi="Times New Roman" w:cs="Times New Roman"/>
                <w:lang w:val="ro-RO" w:eastAsia="en-GB"/>
              </w:rPr>
              <w:t xml:space="preserve"> după cum sunt definite în textul proiectului actului normativ</w:t>
            </w:r>
            <w:r w:rsidRPr="00824679">
              <w:rPr>
                <w:rFonts w:ascii="Times New Roman" w:hAnsi="Times New Roman" w:cs="Times New Roman"/>
                <w:lang w:val="ro-RO" w:eastAsia="en-GB"/>
              </w:rPr>
              <w:t xml:space="preserve">, </w:t>
            </w:r>
            <w:r>
              <w:rPr>
                <w:rFonts w:ascii="Times New Roman" w:hAnsi="Times New Roman" w:cs="Times New Roman"/>
                <w:lang w:val="ro-RO" w:eastAsia="en-GB"/>
              </w:rPr>
              <w:t>acesta</w:t>
            </w:r>
            <w:r w:rsidRPr="00824679">
              <w:rPr>
                <w:rFonts w:ascii="Times New Roman" w:hAnsi="Times New Roman" w:cs="Times New Roman"/>
                <w:lang w:val="ro-RO" w:eastAsia="en-GB"/>
              </w:rPr>
              <w:t xml:space="preserve"> contribuie la prevenirea </w:t>
            </w:r>
            <w:r w:rsidR="00F154A6">
              <w:rPr>
                <w:rFonts w:ascii="Times New Roman" w:hAnsi="Times New Roman" w:cs="Times New Roman"/>
                <w:lang w:val="ro-RO" w:eastAsia="en-GB"/>
              </w:rPr>
              <w:t>accidentelor și</w:t>
            </w:r>
            <w:r w:rsidRPr="00824679">
              <w:rPr>
                <w:rFonts w:ascii="Times New Roman" w:hAnsi="Times New Roman" w:cs="Times New Roman"/>
                <w:lang w:val="ro-RO" w:eastAsia="en-GB"/>
              </w:rPr>
              <w:t xml:space="preserve"> a daunelor materiale.</w:t>
            </w:r>
          </w:p>
        </w:tc>
      </w:tr>
      <w:tr w:rsidR="00693385" w:rsidRPr="00F154A6" w14:paraId="42414324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E16" w14:textId="4AEB1A61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4.4.1 Impactul asupra datelor cu caracter personal</w:t>
            </w:r>
          </w:p>
        </w:tc>
      </w:tr>
      <w:tr w:rsidR="00693385" w:rsidRPr="00F154A6" w14:paraId="22ACC73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CCB" w14:textId="461606D8" w:rsidR="00693385" w:rsidRPr="002F7510" w:rsidRDefault="00291EA7" w:rsidP="00A30CFF">
            <w:pPr>
              <w:ind w:firstLine="600"/>
              <w:jc w:val="both"/>
              <w:rPr>
                <w:rFonts w:ascii="Times New Roman" w:hAnsi="Times New Roman"/>
                <w:b/>
                <w:lang w:val="ro-RO"/>
              </w:rPr>
            </w:pPr>
            <w:r w:rsidRPr="00291EA7">
              <w:rPr>
                <w:rFonts w:ascii="Times New Roman" w:hAnsi="Times New Roman"/>
                <w:bCs/>
                <w:lang w:val="ro-RO"/>
              </w:rPr>
              <w:t xml:space="preserve">Proiectul nu are impact asupra datelor cu caracter personal. </w:t>
            </w:r>
          </w:p>
        </w:tc>
      </w:tr>
      <w:tr w:rsidR="00693385" w:rsidRPr="00F154A6" w14:paraId="0E126E2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40C" w14:textId="385FDBE6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4.4.2 Impactul asupra echității și egalității de gen</w:t>
            </w:r>
          </w:p>
        </w:tc>
      </w:tr>
      <w:tr w:rsidR="00693385" w:rsidRPr="00F154A6" w14:paraId="0A9B966D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CB4" w14:textId="7D65F968" w:rsidR="00693385" w:rsidRPr="00B9535F" w:rsidRDefault="00B9535F" w:rsidP="00A30CFF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9535F">
              <w:rPr>
                <w:rFonts w:ascii="Times New Roman" w:hAnsi="Times New Roman"/>
                <w:bCs/>
                <w:lang w:val="ro-RO"/>
              </w:rPr>
              <w:t xml:space="preserve">Proiectul nu are impact asupra </w:t>
            </w:r>
            <w:r w:rsidR="00091B58">
              <w:rPr>
                <w:rFonts w:ascii="Times New Roman" w:hAnsi="Times New Roman"/>
                <w:bCs/>
                <w:lang w:val="ro-RO"/>
              </w:rPr>
              <w:t xml:space="preserve">echității </w:t>
            </w:r>
            <w:r w:rsidRPr="00B9535F">
              <w:rPr>
                <w:rFonts w:ascii="Times New Roman" w:hAnsi="Times New Roman"/>
                <w:bCs/>
                <w:lang w:val="ro-RO"/>
              </w:rPr>
              <w:t>și egalității de gen.</w:t>
            </w:r>
          </w:p>
        </w:tc>
      </w:tr>
      <w:tr w:rsidR="00693385" w:rsidRPr="002F7510" w14:paraId="215C333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6B3" w14:textId="74B27482" w:rsidR="00693385" w:rsidRPr="002F7510" w:rsidRDefault="00390640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4.</w:t>
            </w:r>
            <w:r w:rsidR="001F6711" w:rsidRPr="002F7510">
              <w:rPr>
                <w:rFonts w:ascii="Times New Roman" w:hAnsi="Times New Roman"/>
                <w:bCs/>
                <w:lang w:val="ro-RO"/>
              </w:rPr>
              <w:t>5 Impactul asupra mediului</w:t>
            </w:r>
          </w:p>
        </w:tc>
      </w:tr>
      <w:tr w:rsidR="00507E6A" w:rsidRPr="00F154A6" w14:paraId="6388E32E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90D" w14:textId="452EBC68" w:rsidR="00F303D6" w:rsidRPr="003E03AB" w:rsidRDefault="00C909AE" w:rsidP="002831AE">
            <w:pPr>
              <w:ind w:firstLine="567"/>
              <w:jc w:val="both"/>
              <w:rPr>
                <w:rFonts w:ascii="Times New Roman" w:hAnsi="Times New Roman" w:cs="Times New Roman"/>
                <w:lang w:val="ro-MD" w:eastAsia="en-GB"/>
              </w:rPr>
            </w:pPr>
            <w:r w:rsidRPr="00C909AE">
              <w:rPr>
                <w:rFonts w:ascii="Times New Roman" w:hAnsi="Times New Roman" w:cs="Times New Roman"/>
                <w:lang w:val="ro-RO" w:eastAsia="en-GB"/>
              </w:rPr>
              <w:t>Prin impunerea cerințelor de performanță și eficiență energetică, proiectul contribuie la un transport mai ecologic</w:t>
            </w:r>
            <w:r w:rsidR="003E03AB">
              <w:rPr>
                <w:rFonts w:ascii="Times New Roman" w:hAnsi="Times New Roman" w:cs="Times New Roman"/>
                <w:lang w:val="ro-MD" w:eastAsia="en-GB"/>
              </w:rPr>
              <w:t xml:space="preserve">. </w:t>
            </w:r>
            <w:r w:rsidR="003E03AB" w:rsidRPr="003E03AB">
              <w:rPr>
                <w:rFonts w:ascii="Times New Roman" w:hAnsi="Times New Roman" w:cs="Times New Roman"/>
                <w:lang w:val="ro-MD" w:eastAsia="en-GB"/>
              </w:rPr>
              <w:t>Se promovează utilizarea trenurilor în detrimentul transportului rutier, cu efecte pozitive asupra mediului și sănătății publice.</w:t>
            </w:r>
          </w:p>
        </w:tc>
      </w:tr>
      <w:tr w:rsidR="00507E6A" w:rsidRPr="00F154A6" w14:paraId="1DBD25E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C9D" w14:textId="43F8EB2B" w:rsidR="00507E6A" w:rsidRPr="002F7510" w:rsidRDefault="00507E6A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 xml:space="preserve">4.6 </w:t>
            </w:r>
            <w:r w:rsidR="00230612" w:rsidRPr="002F7510">
              <w:rPr>
                <w:rFonts w:ascii="Times New Roman" w:hAnsi="Times New Roman"/>
                <w:bCs/>
                <w:lang w:val="ro-RO"/>
              </w:rPr>
              <w:t>Alte impacturi și informații relevante</w:t>
            </w:r>
          </w:p>
        </w:tc>
      </w:tr>
      <w:tr w:rsidR="00A042D0" w:rsidRPr="00507E2D" w14:paraId="71883D6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FC91" w14:textId="676C22A9" w:rsidR="005679A3" w:rsidRPr="0099014A" w:rsidRDefault="0099014A" w:rsidP="00A30CFF">
            <w:pPr>
              <w:ind w:firstLine="600"/>
              <w:jc w:val="both"/>
              <w:rPr>
                <w:rFonts w:ascii="Times" w:hAnsi="Times"/>
                <w:color w:val="000000" w:themeColor="text1"/>
                <w:sz w:val="28"/>
                <w:szCs w:val="28"/>
                <w:lang w:val="ro-RO"/>
              </w:rPr>
            </w:pPr>
            <w:r w:rsidRPr="0099014A">
              <w:rPr>
                <w:rFonts w:ascii="Times" w:hAnsi="Times"/>
                <w:color w:val="000000" w:themeColor="text1"/>
                <w:sz w:val="28"/>
                <w:szCs w:val="28"/>
                <w:lang w:val="ro-RO"/>
              </w:rPr>
              <w:t>-</w:t>
            </w:r>
          </w:p>
        </w:tc>
      </w:tr>
      <w:tr w:rsidR="00A042D0" w:rsidRPr="00F154A6" w14:paraId="165F325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7B5" w14:textId="3734035F" w:rsidR="00A042D0" w:rsidRPr="002F751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5. </w:t>
            </w:r>
            <w:r w:rsidR="002F232D" w:rsidRPr="002F7510">
              <w:rPr>
                <w:rFonts w:ascii="Times New Roman" w:hAnsi="Times New Roman"/>
                <w:b/>
                <w:lang w:val="ro-RO"/>
              </w:rPr>
              <w:t>Compatibilitatea proiectului actului normativ cu legislația UE</w:t>
            </w:r>
          </w:p>
        </w:tc>
      </w:tr>
      <w:tr w:rsidR="002F232D" w:rsidRPr="00F154A6" w14:paraId="2B7E90F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9D1" w14:textId="62A460A0" w:rsidR="002F232D" w:rsidRPr="002F7510" w:rsidRDefault="002F232D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5.1 Măsuri normative necesare pentru transpunerea actelor juridice ale UE în legislația națională</w:t>
            </w:r>
          </w:p>
        </w:tc>
      </w:tr>
      <w:tr w:rsidR="002F232D" w:rsidRPr="00F154A6" w14:paraId="1E2E8B3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326" w14:textId="58277845" w:rsidR="00177CB1" w:rsidRPr="0099014A" w:rsidRDefault="00517E71" w:rsidP="00517E71">
            <w:pPr>
              <w:ind w:firstLine="60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Proiectul prevede transpunerea </w:t>
            </w:r>
            <w:r w:rsidR="004047A1" w:rsidRPr="004047A1">
              <w:rPr>
                <w:rFonts w:ascii="Times New Roman" w:hAnsi="Times New Roman"/>
                <w:bCs/>
                <w:lang w:val="ro-RO"/>
              </w:rPr>
              <w:t>Regulamentul</w:t>
            </w:r>
            <w:r w:rsidR="004047A1">
              <w:rPr>
                <w:rFonts w:ascii="Times New Roman" w:hAnsi="Times New Roman"/>
                <w:bCs/>
                <w:lang w:val="ro-RO"/>
              </w:rPr>
              <w:t>ui</w:t>
            </w:r>
            <w:r w:rsidR="004047A1" w:rsidRPr="004047A1">
              <w:rPr>
                <w:rFonts w:ascii="Times New Roman" w:hAnsi="Times New Roman"/>
                <w:bCs/>
                <w:lang w:val="ro-RO"/>
              </w:rPr>
              <w:t xml:space="preserve"> de punere în aplicare (UE) 2018/545 al Comisiei din 4 aprilie 2018 de instituire a modalităților practice pentru procesul de autorizare a vehiculelor feroviare și de autorizare de tip a vehiculelor feroviare în temeiul Directivei (UE) 2016/797 a Parlamentului European și a Consiliului</w:t>
            </w:r>
            <w:r>
              <w:rPr>
                <w:rFonts w:ascii="Times New Roman" w:hAnsi="Times New Roman"/>
                <w:bCs/>
                <w:lang w:val="ro-RO"/>
              </w:rPr>
              <w:t>.</w:t>
            </w:r>
          </w:p>
        </w:tc>
      </w:tr>
      <w:tr w:rsidR="002F232D" w:rsidRPr="00F154A6" w14:paraId="2322FCE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E3F" w14:textId="252A6F09" w:rsidR="002F232D" w:rsidRPr="002F7510" w:rsidRDefault="002F232D">
            <w:pPr>
              <w:jc w:val="both"/>
              <w:rPr>
                <w:rFonts w:ascii="Times New Roman" w:hAnsi="Times New Roman"/>
                <w:bCs/>
                <w:lang w:val="ro-RO"/>
              </w:rPr>
            </w:pPr>
            <w:r w:rsidRPr="002F7510">
              <w:rPr>
                <w:rFonts w:ascii="Times New Roman" w:hAnsi="Times New Roman"/>
                <w:bCs/>
                <w:lang w:val="ro-RO"/>
              </w:rPr>
              <w:t>5.2</w:t>
            </w:r>
            <w:r w:rsidR="00B936BD" w:rsidRPr="002F7510">
              <w:rPr>
                <w:rFonts w:ascii="Times New Roman" w:hAnsi="Times New Roman"/>
                <w:bCs/>
                <w:lang w:val="ro-RO"/>
              </w:rPr>
              <w:t xml:space="preserve"> Măsuri normative care urmăresc crearea cadrului juridic intern necesar pentru implementarea legislației UE</w:t>
            </w:r>
          </w:p>
        </w:tc>
      </w:tr>
      <w:tr w:rsidR="00A042D0" w:rsidRPr="008916C6" w14:paraId="4690B2E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C72" w14:textId="13F7B98B" w:rsidR="00D61573" w:rsidRPr="009D0FDC" w:rsidRDefault="00517E71" w:rsidP="009D0FDC">
            <w:pPr>
              <w:ind w:firstLine="60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-</w:t>
            </w:r>
          </w:p>
        </w:tc>
      </w:tr>
      <w:tr w:rsidR="00A042D0" w:rsidRPr="00F154A6" w14:paraId="066730C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E118" w14:textId="10B701E9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6. </w:t>
            </w:r>
            <w:r w:rsidR="000E261E" w:rsidRPr="002F7510">
              <w:rPr>
                <w:rFonts w:ascii="Times New Roman" w:hAnsi="Times New Roman"/>
                <w:b/>
                <w:lang w:val="ro-RO"/>
              </w:rPr>
              <w:t>Avizarea şi consultarea publică a proiectului</w:t>
            </w:r>
          </w:p>
        </w:tc>
      </w:tr>
      <w:tr w:rsidR="00A042D0" w:rsidRPr="00F154A6" w14:paraId="360D156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A0DC" w14:textId="1F88948E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B85137">
              <w:rPr>
                <w:rFonts w:ascii="Times New Roman" w:hAnsi="Times New Roman"/>
                <w:color w:val="000000" w:themeColor="text1"/>
                <w:lang w:val="ro-RO"/>
              </w:rPr>
              <w:t>Anunțul privind inițierea procesului de elaborare a proiectului actului normativ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B85137">
              <w:rPr>
                <w:rFonts w:ascii="Times New Roman" w:hAnsi="Times New Roman"/>
                <w:color w:val="000000" w:themeColor="text1"/>
                <w:lang w:val="ro-RO"/>
              </w:rPr>
              <w:t xml:space="preserve">a fost plasat pe pagina web a Ministerului Infrastructurii și Dezvoltării Regionale </w:t>
            </w:r>
            <w:r w:rsidRPr="00C03CEA">
              <w:rPr>
                <w:rFonts w:ascii="Times New Roman" w:hAnsi="Times New Roman" w:cs="Times New Roman"/>
                <w:color w:val="000000" w:themeColor="text1"/>
                <w:lang w:val="ro-RO"/>
              </w:rPr>
              <w:t>(</w:t>
            </w:r>
            <w:hyperlink r:id="rId7" w:history="1">
              <w:r w:rsidR="00686CAB" w:rsidRPr="002867F3">
                <w:rPr>
                  <w:rStyle w:val="Hyperlink"/>
                  <w:rFonts w:ascii="Times New Roman" w:hAnsi="Times New Roman" w:cs="Times New Roman"/>
                  <w:lang w:val="ro-RO"/>
                </w:rPr>
                <w:t>https://particip.gov.md/ro/document/stages/*/15389</w:t>
              </w:r>
            </w:hyperlink>
            <w:r w:rsidRPr="00C03CEA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  <w:r w:rsidR="003F1CD6" w:rsidRPr="00C03CEA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 w:rsidR="00686CAB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</w:p>
          <w:p w14:paraId="2A61E5B3" w14:textId="78305237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lang w:val="ro-RO"/>
              </w:rPr>
            </w:pP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Proiectul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urmează a fi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supus </w:t>
            </w:r>
            <w:r w:rsidR="002D7676">
              <w:rPr>
                <w:rFonts w:ascii="Times New Roman" w:hAnsi="Times New Roman"/>
                <w:color w:val="000000" w:themeColor="text1"/>
                <w:lang w:val="ro-RO"/>
              </w:rPr>
              <w:t>procesului de avizare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, conform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prevederilor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Leg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ii nr.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100/2017 cu privire la actele normative și 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v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>a f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42082B">
              <w:rPr>
                <w:rFonts w:ascii="Times New Roman" w:hAnsi="Times New Roman"/>
                <w:color w:val="000000" w:themeColor="text1"/>
                <w:lang w:val="ro-RO"/>
              </w:rPr>
              <w:t xml:space="preserve"> plasat pe paginile web www.midr.gov.md și</w:t>
            </w:r>
            <w:r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hyperlink r:id="rId8" w:history="1">
              <w:r w:rsidRPr="00AE0A66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ro-RO"/>
                </w:rPr>
                <w:t>p</w:t>
              </w:r>
              <w:r w:rsidRPr="001954AD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ro-RO"/>
                </w:rPr>
                <w:t>articip.gov.md</w:t>
              </w:r>
            </w:hyperlink>
            <w:r w:rsidRPr="00AE0A66">
              <w:rPr>
                <w:rFonts w:ascii="Times New Roman" w:hAnsi="Times New Roman"/>
                <w:lang w:val="ro-RO"/>
              </w:rPr>
              <w:t xml:space="preserve"> </w:t>
            </w:r>
            <w:r w:rsidR="002D7676">
              <w:rPr>
                <w:rFonts w:ascii="Times New Roman" w:hAnsi="Times New Roman"/>
                <w:lang w:val="ro-RO"/>
              </w:rPr>
              <w:t xml:space="preserve">pentru consultări publice. </w:t>
            </w:r>
          </w:p>
          <w:p w14:paraId="08B5CC56" w14:textId="59CA48C5" w:rsidR="00AC16ED" w:rsidRDefault="00AC16ED" w:rsidP="00AC16ED">
            <w:pPr>
              <w:tabs>
                <w:tab w:val="left" w:pos="884"/>
                <w:tab w:val="left" w:pos="1196"/>
              </w:tabs>
              <w:ind w:firstLine="591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Proiectul urmează a fi avizat de următoarel</w:t>
            </w:r>
            <w:r w:rsidR="00091B58">
              <w:rPr>
                <w:rFonts w:ascii="Times New Roman" w:hAnsi="Times New Roman"/>
                <w:lang w:val="ro-RO"/>
              </w:rPr>
              <w:t>e</w:t>
            </w:r>
            <w:r>
              <w:rPr>
                <w:rFonts w:ascii="Times New Roman" w:hAnsi="Times New Roman"/>
                <w:lang w:val="ro-RO"/>
              </w:rPr>
              <w:t xml:space="preserve"> instituții:</w:t>
            </w:r>
          </w:p>
          <w:p w14:paraId="77C17425" w14:textId="02AD061F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781B88">
              <w:rPr>
                <w:rFonts w:ascii="Times New Roman" w:hAnsi="Times New Roman"/>
                <w:lang w:val="ro-RO"/>
              </w:rPr>
              <w:t xml:space="preserve"> Ministerul Finanțelor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652CA5B5" w14:textId="4056920C" w:rsidR="00AC16ED" w:rsidRDefault="00AC16ED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Pr="003A2095">
              <w:rPr>
                <w:rFonts w:ascii="Times New Roman" w:hAnsi="Times New Roman"/>
                <w:lang w:val="ro-RO"/>
              </w:rPr>
              <w:t>Ministerul Dezvoltării Economice și Digitalizării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30A50B26" w14:textId="4E4F2DB5" w:rsidR="005F62A5" w:rsidRDefault="005F62A5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Afacerilor Intern</w:t>
            </w:r>
            <w:r w:rsidR="000B6506">
              <w:rPr>
                <w:rFonts w:ascii="Times New Roman" w:hAnsi="Times New Roman"/>
                <w:lang w:val="ro-RO"/>
              </w:rPr>
              <w:t>e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542DA017" w14:textId="64D0BF26" w:rsidR="00091B58" w:rsidRDefault="00091B58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Mediului;</w:t>
            </w:r>
          </w:p>
          <w:p w14:paraId="1D10C601" w14:textId="4A649942" w:rsidR="006544E0" w:rsidRDefault="006544E0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Muncii și Protecției Sociale;</w:t>
            </w:r>
          </w:p>
          <w:p w14:paraId="28A17FC3" w14:textId="4E0817E9" w:rsidR="006544E0" w:rsidRDefault="006544E0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="00517E71">
              <w:rPr>
                <w:rFonts w:ascii="Times New Roman" w:hAnsi="Times New Roman"/>
                <w:lang w:val="ro-RO"/>
              </w:rPr>
              <w:t>Ministerul Sănătății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14:paraId="2350E68E" w14:textId="29D5EC84" w:rsidR="006544E0" w:rsidRDefault="006544E0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Centrul de Armonizare a Legislației;</w:t>
            </w:r>
          </w:p>
          <w:p w14:paraId="0C19F510" w14:textId="08F3B005" w:rsidR="00091B58" w:rsidRPr="005F62A5" w:rsidRDefault="00091B58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o-RO"/>
              </w:rPr>
              <w:t xml:space="preserve">- </w:t>
            </w:r>
            <w:r w:rsidR="005F62A5">
              <w:rPr>
                <w:rFonts w:ascii="Times New Roman" w:hAnsi="Times New Roman"/>
                <w:lang w:val="ro-RO"/>
              </w:rPr>
              <w:t xml:space="preserve">Agenția Proprietății Publice (Î.S. </w:t>
            </w:r>
            <w:r w:rsidR="005F62A5">
              <w:rPr>
                <w:rFonts w:ascii="Times New Roman" w:hAnsi="Times New Roman"/>
                <w:lang w:val="en-US"/>
              </w:rPr>
              <w:t>“</w:t>
            </w:r>
            <w:r w:rsidR="005F62A5">
              <w:rPr>
                <w:rFonts w:ascii="Times New Roman" w:hAnsi="Times New Roman"/>
                <w:lang w:val="ro-MD"/>
              </w:rPr>
              <w:t>Calea Ferată din Moldova</w:t>
            </w:r>
            <w:r w:rsidR="005F62A5">
              <w:rPr>
                <w:rFonts w:ascii="Times New Roman" w:hAnsi="Times New Roman"/>
                <w:lang w:val="en-US"/>
              </w:rPr>
              <w:t>”</w:t>
            </w:r>
            <w:r w:rsidR="005F62A5">
              <w:rPr>
                <w:rFonts w:ascii="Times New Roman" w:hAnsi="Times New Roman"/>
                <w:lang w:val="ro-RO"/>
              </w:rPr>
              <w:t>)</w:t>
            </w:r>
            <w:r w:rsidR="005F62A5">
              <w:rPr>
                <w:rFonts w:ascii="Times New Roman" w:hAnsi="Times New Roman"/>
                <w:lang w:val="en-US"/>
              </w:rPr>
              <w:t>;</w:t>
            </w:r>
          </w:p>
          <w:p w14:paraId="7FA4E067" w14:textId="66C0758D" w:rsidR="007B29E4" w:rsidRDefault="007B29E4" w:rsidP="007B29E4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 w:rsidRPr="007B29E4">
              <w:rPr>
                <w:rFonts w:ascii="Times New Roman" w:hAnsi="Times New Roman"/>
                <w:lang w:val="ro-RO"/>
              </w:rPr>
              <w:t>După definitivarea proiectului în urma procesului de avizare, proiectul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7B29E4">
              <w:rPr>
                <w:rFonts w:ascii="Times New Roman" w:hAnsi="Times New Roman"/>
                <w:lang w:val="ro-RO"/>
              </w:rPr>
              <w:t xml:space="preserve">act normativ va fi remis spre expertizare </w:t>
            </w:r>
            <w:r w:rsidR="00656A48">
              <w:rPr>
                <w:rFonts w:ascii="Times New Roman" w:hAnsi="Times New Roman"/>
                <w:lang w:val="ro-RO"/>
              </w:rPr>
              <w:t>c</w:t>
            </w:r>
            <w:r w:rsidR="00656A48">
              <w:rPr>
                <w:rFonts w:ascii="Times New Roman" w:hAnsi="Times New Roman"/>
                <w:lang w:val="ro-MD"/>
              </w:rPr>
              <w:t>ătre</w:t>
            </w:r>
            <w:r w:rsidRPr="007B29E4">
              <w:rPr>
                <w:rFonts w:ascii="Times New Roman" w:hAnsi="Times New Roman"/>
                <w:lang w:val="ro-RO"/>
              </w:rPr>
              <w:t>:</w:t>
            </w:r>
          </w:p>
          <w:p w14:paraId="79B28E7C" w14:textId="77777777" w:rsidR="00B32271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Centrul Național Anticorupție;</w:t>
            </w:r>
          </w:p>
          <w:p w14:paraId="3FC6508D" w14:textId="5486EC61" w:rsidR="00097CDC" w:rsidRPr="00AC16ED" w:rsidRDefault="00B32271" w:rsidP="00342C46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 Ministerul Justiției. </w:t>
            </w:r>
          </w:p>
        </w:tc>
      </w:tr>
      <w:tr w:rsidR="00A042D0" w:rsidRPr="002F7510" w14:paraId="6A22215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4A4" w14:textId="694E54A9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7. </w:t>
            </w:r>
            <w:r w:rsidR="000E261E" w:rsidRPr="002F7510">
              <w:rPr>
                <w:rFonts w:ascii="Times New Roman" w:hAnsi="Times New Roman"/>
                <w:b/>
                <w:lang w:val="ro-RO"/>
              </w:rPr>
              <w:t>Concluziile expertizelor</w:t>
            </w:r>
          </w:p>
        </w:tc>
      </w:tr>
      <w:tr w:rsidR="00A042D0" w:rsidRPr="00F154A6" w14:paraId="343E25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6D76" w14:textId="3E93965C" w:rsidR="00F33BDE" w:rsidRPr="002F7510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Proiectul </w:t>
            </w:r>
            <w:r w:rsidR="00FE4F39">
              <w:rPr>
                <w:rFonts w:ascii="Times New Roman" w:hAnsi="Times New Roman"/>
                <w:lang w:val="ro-RO"/>
              </w:rPr>
              <w:t>v</w:t>
            </w:r>
            <w:r>
              <w:rPr>
                <w:rFonts w:ascii="Times New Roman" w:hAnsi="Times New Roman"/>
                <w:lang w:val="ro-RO"/>
              </w:rPr>
              <w:t xml:space="preserve">a fi supus expertizei </w:t>
            </w:r>
            <w:r w:rsidR="00FE4F39">
              <w:rPr>
                <w:rFonts w:ascii="Times New Roman" w:hAnsi="Times New Roman"/>
                <w:lang w:val="ro-RO"/>
              </w:rPr>
              <w:t>juridice</w:t>
            </w:r>
            <w:r>
              <w:rPr>
                <w:rFonts w:ascii="Times New Roman" w:hAnsi="Times New Roman"/>
                <w:lang w:val="ro-RO"/>
              </w:rPr>
              <w:t xml:space="preserve"> și expertizei anticorupție. </w:t>
            </w:r>
          </w:p>
        </w:tc>
      </w:tr>
      <w:tr w:rsidR="00A042D0" w:rsidRPr="00F154A6" w14:paraId="3931ABF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87A" w14:textId="65AF31DF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bCs/>
                <w:lang w:val="ro-RO"/>
              </w:rPr>
              <w:t>8.</w:t>
            </w:r>
            <w:r w:rsidRPr="002F7510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0A5151" w:rsidRPr="002F7510">
              <w:rPr>
                <w:rFonts w:ascii="Times New Roman" w:hAnsi="Times New Roman"/>
                <w:b/>
                <w:lang w:val="ro-RO"/>
              </w:rPr>
              <w:t>Modul de încorporare a actului în cadrul normativ existent</w:t>
            </w:r>
          </w:p>
        </w:tc>
      </w:tr>
      <w:tr w:rsidR="00A042D0" w:rsidRPr="00F154A6" w14:paraId="00A4597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576" w14:textId="6E6556F0" w:rsidR="00530B2E" w:rsidRPr="002F7510" w:rsidRDefault="00B32271" w:rsidP="00A30CFF">
            <w:pPr>
              <w:tabs>
                <w:tab w:val="left" w:pos="884"/>
                <w:tab w:val="left" w:pos="1196"/>
              </w:tabs>
              <w:ind w:firstLine="60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 urma aprobării proiectului nu va trebui de modificat cadrul normativ secundar.</w:t>
            </w:r>
          </w:p>
        </w:tc>
      </w:tr>
      <w:tr w:rsidR="00A042D0" w:rsidRPr="00F154A6" w14:paraId="1E0AEA0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B45" w14:textId="5613E555" w:rsidR="00A042D0" w:rsidRPr="002F751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 w:rsidRPr="002F7510">
              <w:rPr>
                <w:rFonts w:ascii="Times New Roman" w:hAnsi="Times New Roman"/>
                <w:b/>
                <w:lang w:val="ro-RO"/>
              </w:rPr>
              <w:t xml:space="preserve">9. </w:t>
            </w:r>
            <w:r w:rsidR="006F3622" w:rsidRPr="002F7510">
              <w:rPr>
                <w:rFonts w:ascii="Times New Roman" w:hAnsi="Times New Roman"/>
                <w:b/>
                <w:lang w:val="ro-RO"/>
              </w:rPr>
              <w:t>Măsurile necesare pentru implementarea prevederilor proiectului actului normativ</w:t>
            </w:r>
          </w:p>
        </w:tc>
      </w:tr>
      <w:tr w:rsidR="00A042D0" w:rsidRPr="00F154A6" w14:paraId="3AE4C62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2F" w14:textId="3B433650" w:rsidR="006433B5" w:rsidRPr="002F7510" w:rsidRDefault="00DB249A" w:rsidP="006433B5">
            <w:pPr>
              <w:pStyle w:val="NormalWeb"/>
              <w:spacing w:before="100" w:beforeAutospacing="1" w:after="100" w:afterAutospacing="1"/>
              <w:ind w:firstLine="60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Nu este necesar de aprobat acte normative suplimentare în vederea </w:t>
            </w:r>
            <w:r w:rsidR="00091B58">
              <w:rPr>
                <w:rFonts w:eastAsia="Times New Roman"/>
              </w:rPr>
              <w:t>punerii în aplicare a</w:t>
            </w:r>
            <w:r>
              <w:rPr>
                <w:rFonts w:eastAsia="Times New Roman"/>
              </w:rPr>
              <w:t xml:space="preserve"> proiectului. </w:t>
            </w:r>
            <w:r w:rsidR="006433B5">
              <w:rPr>
                <w:rFonts w:eastAsia="Times New Roman"/>
              </w:rPr>
              <w:t xml:space="preserve"> </w:t>
            </w:r>
          </w:p>
        </w:tc>
      </w:tr>
    </w:tbl>
    <w:p w14:paraId="52CBB4F1" w14:textId="77777777" w:rsidR="00754DD6" w:rsidRDefault="00754DD6" w:rsidP="00A042D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0E8A8E5" w14:textId="77777777" w:rsidR="00686CAB" w:rsidRPr="002F7510" w:rsidRDefault="00686CAB" w:rsidP="00A042D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35B11E0" w14:textId="7A566CAF" w:rsidR="008C2CA2" w:rsidRDefault="00A7194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75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C3508D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14:paraId="3996EF21" w14:textId="287136E5" w:rsidR="00C3508D" w:rsidRPr="00B30D38" w:rsidRDefault="00C3508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Vladimir BOLEA</w:t>
      </w:r>
    </w:p>
    <w:sectPr w:rsidR="00C3508D" w:rsidRPr="00B3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0233" w14:textId="77777777" w:rsidR="007461EC" w:rsidRDefault="007461EC" w:rsidP="003676D9">
      <w:r>
        <w:separator/>
      </w:r>
    </w:p>
  </w:endnote>
  <w:endnote w:type="continuationSeparator" w:id="0">
    <w:p w14:paraId="5CAFBB38" w14:textId="77777777" w:rsidR="007461EC" w:rsidRDefault="007461EC" w:rsidP="0036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5353" w14:textId="77777777" w:rsidR="007461EC" w:rsidRDefault="007461EC" w:rsidP="003676D9">
      <w:r>
        <w:separator/>
      </w:r>
    </w:p>
  </w:footnote>
  <w:footnote w:type="continuationSeparator" w:id="0">
    <w:p w14:paraId="72E52100" w14:textId="77777777" w:rsidR="007461EC" w:rsidRDefault="007461EC" w:rsidP="0036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4F6"/>
    <w:multiLevelType w:val="multilevel"/>
    <w:tmpl w:val="6E6C9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180EE4"/>
    <w:multiLevelType w:val="multilevel"/>
    <w:tmpl w:val="DA3C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928166">
    <w:abstractNumId w:val="0"/>
  </w:num>
  <w:num w:numId="2" w16cid:durableId="68382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E"/>
    <w:rsid w:val="00006A4B"/>
    <w:rsid w:val="00010F5C"/>
    <w:rsid w:val="00011AFB"/>
    <w:rsid w:val="00015152"/>
    <w:rsid w:val="000218FB"/>
    <w:rsid w:val="00025FF7"/>
    <w:rsid w:val="000314FA"/>
    <w:rsid w:val="00032DC1"/>
    <w:rsid w:val="000335FD"/>
    <w:rsid w:val="00040132"/>
    <w:rsid w:val="000430C3"/>
    <w:rsid w:val="00043D02"/>
    <w:rsid w:val="00045AC0"/>
    <w:rsid w:val="0005241F"/>
    <w:rsid w:val="00063175"/>
    <w:rsid w:val="0006357C"/>
    <w:rsid w:val="00065EAF"/>
    <w:rsid w:val="000759A4"/>
    <w:rsid w:val="00077B63"/>
    <w:rsid w:val="00080C64"/>
    <w:rsid w:val="00084C84"/>
    <w:rsid w:val="0008572C"/>
    <w:rsid w:val="00085D60"/>
    <w:rsid w:val="00086022"/>
    <w:rsid w:val="00091B58"/>
    <w:rsid w:val="00092B2B"/>
    <w:rsid w:val="0009301E"/>
    <w:rsid w:val="000972EE"/>
    <w:rsid w:val="00097CDC"/>
    <w:rsid w:val="000A40FF"/>
    <w:rsid w:val="000A5151"/>
    <w:rsid w:val="000A6ED3"/>
    <w:rsid w:val="000A74C8"/>
    <w:rsid w:val="000A761B"/>
    <w:rsid w:val="000B3565"/>
    <w:rsid w:val="000B6506"/>
    <w:rsid w:val="000C2AD5"/>
    <w:rsid w:val="000D2AE3"/>
    <w:rsid w:val="000E261E"/>
    <w:rsid w:val="000E2C3E"/>
    <w:rsid w:val="000E2F92"/>
    <w:rsid w:val="000E3A1C"/>
    <w:rsid w:val="000E699B"/>
    <w:rsid w:val="000E6C70"/>
    <w:rsid w:val="000E7A9B"/>
    <w:rsid w:val="000F06D2"/>
    <w:rsid w:val="000F1031"/>
    <w:rsid w:val="000F1A6C"/>
    <w:rsid w:val="000F1D3A"/>
    <w:rsid w:val="001000B6"/>
    <w:rsid w:val="00103B14"/>
    <w:rsid w:val="00111873"/>
    <w:rsid w:val="00114B66"/>
    <w:rsid w:val="00116D0B"/>
    <w:rsid w:val="001235C6"/>
    <w:rsid w:val="00125EEF"/>
    <w:rsid w:val="001309D5"/>
    <w:rsid w:val="00134F95"/>
    <w:rsid w:val="001358DE"/>
    <w:rsid w:val="00142C28"/>
    <w:rsid w:val="00147D5C"/>
    <w:rsid w:val="001502B7"/>
    <w:rsid w:val="00150414"/>
    <w:rsid w:val="00151E52"/>
    <w:rsid w:val="001526F6"/>
    <w:rsid w:val="0015482E"/>
    <w:rsid w:val="00156652"/>
    <w:rsid w:val="00156D80"/>
    <w:rsid w:val="00157257"/>
    <w:rsid w:val="0016051E"/>
    <w:rsid w:val="00164199"/>
    <w:rsid w:val="001749F6"/>
    <w:rsid w:val="0017558F"/>
    <w:rsid w:val="00177CB1"/>
    <w:rsid w:val="00180881"/>
    <w:rsid w:val="0019205E"/>
    <w:rsid w:val="0019423D"/>
    <w:rsid w:val="0019462C"/>
    <w:rsid w:val="00194BE8"/>
    <w:rsid w:val="001954AD"/>
    <w:rsid w:val="0019661A"/>
    <w:rsid w:val="00197256"/>
    <w:rsid w:val="001B263C"/>
    <w:rsid w:val="001B4264"/>
    <w:rsid w:val="001B6BDF"/>
    <w:rsid w:val="001C1AE7"/>
    <w:rsid w:val="001C28EB"/>
    <w:rsid w:val="001C502D"/>
    <w:rsid w:val="001C58C2"/>
    <w:rsid w:val="001D28CF"/>
    <w:rsid w:val="001D3C7E"/>
    <w:rsid w:val="001D5000"/>
    <w:rsid w:val="001D5049"/>
    <w:rsid w:val="001D7ECF"/>
    <w:rsid w:val="001E0220"/>
    <w:rsid w:val="001E085C"/>
    <w:rsid w:val="001E2051"/>
    <w:rsid w:val="001E2353"/>
    <w:rsid w:val="001F6047"/>
    <w:rsid w:val="001F6711"/>
    <w:rsid w:val="00200689"/>
    <w:rsid w:val="00200D91"/>
    <w:rsid w:val="00201162"/>
    <w:rsid w:val="002022D4"/>
    <w:rsid w:val="0021357C"/>
    <w:rsid w:val="00213D30"/>
    <w:rsid w:val="002148CD"/>
    <w:rsid w:val="00214EE8"/>
    <w:rsid w:val="00216836"/>
    <w:rsid w:val="002175AD"/>
    <w:rsid w:val="00230612"/>
    <w:rsid w:val="002320D4"/>
    <w:rsid w:val="00232D70"/>
    <w:rsid w:val="00233B1B"/>
    <w:rsid w:val="00233C7F"/>
    <w:rsid w:val="002359E3"/>
    <w:rsid w:val="00235C00"/>
    <w:rsid w:val="00237E97"/>
    <w:rsid w:val="00241EA7"/>
    <w:rsid w:val="00247BF4"/>
    <w:rsid w:val="002510C1"/>
    <w:rsid w:val="00251DA3"/>
    <w:rsid w:val="00252591"/>
    <w:rsid w:val="00252FB4"/>
    <w:rsid w:val="002538C1"/>
    <w:rsid w:val="002569C9"/>
    <w:rsid w:val="00260063"/>
    <w:rsid w:val="00260FC4"/>
    <w:rsid w:val="002620DC"/>
    <w:rsid w:val="00262381"/>
    <w:rsid w:val="002663A2"/>
    <w:rsid w:val="002678C4"/>
    <w:rsid w:val="00270381"/>
    <w:rsid w:val="0027072D"/>
    <w:rsid w:val="00275C9B"/>
    <w:rsid w:val="002831AE"/>
    <w:rsid w:val="002913E9"/>
    <w:rsid w:val="00291EA7"/>
    <w:rsid w:val="002957A9"/>
    <w:rsid w:val="002A312A"/>
    <w:rsid w:val="002A48A9"/>
    <w:rsid w:val="002B261A"/>
    <w:rsid w:val="002B6E47"/>
    <w:rsid w:val="002C0D59"/>
    <w:rsid w:val="002C1C46"/>
    <w:rsid w:val="002C54C6"/>
    <w:rsid w:val="002C6F62"/>
    <w:rsid w:val="002D3199"/>
    <w:rsid w:val="002D3279"/>
    <w:rsid w:val="002D69CE"/>
    <w:rsid w:val="002D7676"/>
    <w:rsid w:val="002E38D0"/>
    <w:rsid w:val="002F232D"/>
    <w:rsid w:val="002F25F0"/>
    <w:rsid w:val="002F3F4F"/>
    <w:rsid w:val="002F5644"/>
    <w:rsid w:val="002F61CE"/>
    <w:rsid w:val="002F6484"/>
    <w:rsid w:val="002F7510"/>
    <w:rsid w:val="002F7A95"/>
    <w:rsid w:val="0030254D"/>
    <w:rsid w:val="00303166"/>
    <w:rsid w:val="00303B01"/>
    <w:rsid w:val="0030712F"/>
    <w:rsid w:val="00307187"/>
    <w:rsid w:val="003077A4"/>
    <w:rsid w:val="00312459"/>
    <w:rsid w:val="00317F24"/>
    <w:rsid w:val="0032434A"/>
    <w:rsid w:val="0032722F"/>
    <w:rsid w:val="00330A93"/>
    <w:rsid w:val="00330FE3"/>
    <w:rsid w:val="00333A89"/>
    <w:rsid w:val="0033623A"/>
    <w:rsid w:val="00342C46"/>
    <w:rsid w:val="00347AB6"/>
    <w:rsid w:val="0035597C"/>
    <w:rsid w:val="00356C1E"/>
    <w:rsid w:val="003602AE"/>
    <w:rsid w:val="003676D9"/>
    <w:rsid w:val="00374989"/>
    <w:rsid w:val="00375E6E"/>
    <w:rsid w:val="00377095"/>
    <w:rsid w:val="00383AD3"/>
    <w:rsid w:val="00383C49"/>
    <w:rsid w:val="003841F1"/>
    <w:rsid w:val="00387F73"/>
    <w:rsid w:val="003902F5"/>
    <w:rsid w:val="00390640"/>
    <w:rsid w:val="00394A94"/>
    <w:rsid w:val="003962E1"/>
    <w:rsid w:val="003A1EB0"/>
    <w:rsid w:val="003A1FE8"/>
    <w:rsid w:val="003A2095"/>
    <w:rsid w:val="003A338D"/>
    <w:rsid w:val="003B25BC"/>
    <w:rsid w:val="003B3AC1"/>
    <w:rsid w:val="003C246F"/>
    <w:rsid w:val="003C2681"/>
    <w:rsid w:val="003C472F"/>
    <w:rsid w:val="003C4FD8"/>
    <w:rsid w:val="003C5E9C"/>
    <w:rsid w:val="003D0180"/>
    <w:rsid w:val="003D2B96"/>
    <w:rsid w:val="003D4FB3"/>
    <w:rsid w:val="003D73F3"/>
    <w:rsid w:val="003D7AD6"/>
    <w:rsid w:val="003E03AB"/>
    <w:rsid w:val="003E1C17"/>
    <w:rsid w:val="003E691E"/>
    <w:rsid w:val="003F1CD6"/>
    <w:rsid w:val="00401D29"/>
    <w:rsid w:val="00404620"/>
    <w:rsid w:val="004047A1"/>
    <w:rsid w:val="00405280"/>
    <w:rsid w:val="0040753D"/>
    <w:rsid w:val="00407A07"/>
    <w:rsid w:val="00412F46"/>
    <w:rsid w:val="004137CC"/>
    <w:rsid w:val="004139C5"/>
    <w:rsid w:val="00417C9E"/>
    <w:rsid w:val="00420948"/>
    <w:rsid w:val="00421F73"/>
    <w:rsid w:val="0042578D"/>
    <w:rsid w:val="00432301"/>
    <w:rsid w:val="004324F7"/>
    <w:rsid w:val="00434480"/>
    <w:rsid w:val="00437210"/>
    <w:rsid w:val="004401D6"/>
    <w:rsid w:val="00440CDD"/>
    <w:rsid w:val="00441E37"/>
    <w:rsid w:val="00443D12"/>
    <w:rsid w:val="00446E7A"/>
    <w:rsid w:val="004527D1"/>
    <w:rsid w:val="00453EA7"/>
    <w:rsid w:val="00455648"/>
    <w:rsid w:val="00455BD2"/>
    <w:rsid w:val="00455C98"/>
    <w:rsid w:val="00463AE3"/>
    <w:rsid w:val="00465F60"/>
    <w:rsid w:val="0047003D"/>
    <w:rsid w:val="00470CE4"/>
    <w:rsid w:val="00481C13"/>
    <w:rsid w:val="00483547"/>
    <w:rsid w:val="0048424D"/>
    <w:rsid w:val="0049049E"/>
    <w:rsid w:val="004A0292"/>
    <w:rsid w:val="004A02FA"/>
    <w:rsid w:val="004A7E72"/>
    <w:rsid w:val="004B3012"/>
    <w:rsid w:val="004B46D4"/>
    <w:rsid w:val="004B5119"/>
    <w:rsid w:val="004B559E"/>
    <w:rsid w:val="004C1433"/>
    <w:rsid w:val="004C320A"/>
    <w:rsid w:val="004C7C86"/>
    <w:rsid w:val="004D0637"/>
    <w:rsid w:val="004D0E8F"/>
    <w:rsid w:val="004D1B88"/>
    <w:rsid w:val="004D2F5F"/>
    <w:rsid w:val="004D56B2"/>
    <w:rsid w:val="004D7DD4"/>
    <w:rsid w:val="004E0CB8"/>
    <w:rsid w:val="004E2C41"/>
    <w:rsid w:val="004E3A58"/>
    <w:rsid w:val="004E3FAA"/>
    <w:rsid w:val="004E5A42"/>
    <w:rsid w:val="004F19EE"/>
    <w:rsid w:val="004F1A9A"/>
    <w:rsid w:val="004F36FB"/>
    <w:rsid w:val="004F4CE5"/>
    <w:rsid w:val="004F77CA"/>
    <w:rsid w:val="00500B7A"/>
    <w:rsid w:val="00505D06"/>
    <w:rsid w:val="00507E2D"/>
    <w:rsid w:val="00507E6A"/>
    <w:rsid w:val="005107BB"/>
    <w:rsid w:val="005147C6"/>
    <w:rsid w:val="00515675"/>
    <w:rsid w:val="00517E71"/>
    <w:rsid w:val="0052031F"/>
    <w:rsid w:val="00522A5D"/>
    <w:rsid w:val="00530B2E"/>
    <w:rsid w:val="00532AD2"/>
    <w:rsid w:val="005334F6"/>
    <w:rsid w:val="00534614"/>
    <w:rsid w:val="00543226"/>
    <w:rsid w:val="0054600C"/>
    <w:rsid w:val="00554B37"/>
    <w:rsid w:val="00556D8B"/>
    <w:rsid w:val="00564877"/>
    <w:rsid w:val="005679A3"/>
    <w:rsid w:val="00590B90"/>
    <w:rsid w:val="005932CF"/>
    <w:rsid w:val="00594507"/>
    <w:rsid w:val="005A3D97"/>
    <w:rsid w:val="005B260A"/>
    <w:rsid w:val="005B4F44"/>
    <w:rsid w:val="005B728B"/>
    <w:rsid w:val="005B7AAB"/>
    <w:rsid w:val="005B7B1A"/>
    <w:rsid w:val="005C2B14"/>
    <w:rsid w:val="005C55E4"/>
    <w:rsid w:val="005C782C"/>
    <w:rsid w:val="005D0DE8"/>
    <w:rsid w:val="005D29A6"/>
    <w:rsid w:val="005D2D90"/>
    <w:rsid w:val="005D3675"/>
    <w:rsid w:val="005D5E2B"/>
    <w:rsid w:val="005E34E1"/>
    <w:rsid w:val="005F0284"/>
    <w:rsid w:val="005F052E"/>
    <w:rsid w:val="005F1AD1"/>
    <w:rsid w:val="005F42EA"/>
    <w:rsid w:val="005F5E8A"/>
    <w:rsid w:val="005F62A5"/>
    <w:rsid w:val="005F658F"/>
    <w:rsid w:val="0060174E"/>
    <w:rsid w:val="00606AE4"/>
    <w:rsid w:val="00610DAA"/>
    <w:rsid w:val="00611CD5"/>
    <w:rsid w:val="00613ED9"/>
    <w:rsid w:val="00620117"/>
    <w:rsid w:val="00621144"/>
    <w:rsid w:val="00622E39"/>
    <w:rsid w:val="0062566A"/>
    <w:rsid w:val="00627DD8"/>
    <w:rsid w:val="00632C51"/>
    <w:rsid w:val="006376D1"/>
    <w:rsid w:val="006433B5"/>
    <w:rsid w:val="0064449B"/>
    <w:rsid w:val="0064756C"/>
    <w:rsid w:val="0065230A"/>
    <w:rsid w:val="006544E0"/>
    <w:rsid w:val="00656A48"/>
    <w:rsid w:val="0066239F"/>
    <w:rsid w:val="00662921"/>
    <w:rsid w:val="00662C87"/>
    <w:rsid w:val="006631AA"/>
    <w:rsid w:val="00663EC5"/>
    <w:rsid w:val="0066404E"/>
    <w:rsid w:val="00670A9F"/>
    <w:rsid w:val="00672480"/>
    <w:rsid w:val="006730DB"/>
    <w:rsid w:val="00676235"/>
    <w:rsid w:val="006777A2"/>
    <w:rsid w:val="00681110"/>
    <w:rsid w:val="006857AC"/>
    <w:rsid w:val="00686CAB"/>
    <w:rsid w:val="0068718C"/>
    <w:rsid w:val="00693385"/>
    <w:rsid w:val="0069457B"/>
    <w:rsid w:val="006964B8"/>
    <w:rsid w:val="006A25BF"/>
    <w:rsid w:val="006A3434"/>
    <w:rsid w:val="006B1B31"/>
    <w:rsid w:val="006B38A3"/>
    <w:rsid w:val="006B3A6E"/>
    <w:rsid w:val="006B4EB3"/>
    <w:rsid w:val="006B7E41"/>
    <w:rsid w:val="006C073D"/>
    <w:rsid w:val="006C1F97"/>
    <w:rsid w:val="006C414A"/>
    <w:rsid w:val="006C5AD4"/>
    <w:rsid w:val="006C6482"/>
    <w:rsid w:val="006C67EC"/>
    <w:rsid w:val="006D36E5"/>
    <w:rsid w:val="006D394F"/>
    <w:rsid w:val="006D72B6"/>
    <w:rsid w:val="006E0DA4"/>
    <w:rsid w:val="006E1842"/>
    <w:rsid w:val="006E26B9"/>
    <w:rsid w:val="006E3CC7"/>
    <w:rsid w:val="006E63E1"/>
    <w:rsid w:val="006E6491"/>
    <w:rsid w:val="006F1053"/>
    <w:rsid w:val="006F3622"/>
    <w:rsid w:val="006F59A0"/>
    <w:rsid w:val="007022FF"/>
    <w:rsid w:val="00702A4B"/>
    <w:rsid w:val="00703406"/>
    <w:rsid w:val="0070740E"/>
    <w:rsid w:val="00710D4C"/>
    <w:rsid w:val="00711016"/>
    <w:rsid w:val="0071291E"/>
    <w:rsid w:val="007135B6"/>
    <w:rsid w:val="00720D87"/>
    <w:rsid w:val="00721DE7"/>
    <w:rsid w:val="00722A46"/>
    <w:rsid w:val="0072402B"/>
    <w:rsid w:val="00724403"/>
    <w:rsid w:val="00725241"/>
    <w:rsid w:val="007261E6"/>
    <w:rsid w:val="00726A2B"/>
    <w:rsid w:val="00731D8A"/>
    <w:rsid w:val="007324AC"/>
    <w:rsid w:val="00734DC3"/>
    <w:rsid w:val="007367FA"/>
    <w:rsid w:val="007375AF"/>
    <w:rsid w:val="00740189"/>
    <w:rsid w:val="007408ED"/>
    <w:rsid w:val="00740DC2"/>
    <w:rsid w:val="007422B6"/>
    <w:rsid w:val="00743B14"/>
    <w:rsid w:val="007461EC"/>
    <w:rsid w:val="007471FE"/>
    <w:rsid w:val="00750379"/>
    <w:rsid w:val="00750C92"/>
    <w:rsid w:val="00752DD5"/>
    <w:rsid w:val="00754DD6"/>
    <w:rsid w:val="007611A7"/>
    <w:rsid w:val="00761BF8"/>
    <w:rsid w:val="00765099"/>
    <w:rsid w:val="0076509F"/>
    <w:rsid w:val="007725D6"/>
    <w:rsid w:val="00780078"/>
    <w:rsid w:val="007803DA"/>
    <w:rsid w:val="00781B88"/>
    <w:rsid w:val="007834DA"/>
    <w:rsid w:val="007859EF"/>
    <w:rsid w:val="00785BD9"/>
    <w:rsid w:val="00785FF6"/>
    <w:rsid w:val="00786253"/>
    <w:rsid w:val="00786992"/>
    <w:rsid w:val="00787B4C"/>
    <w:rsid w:val="00787C3A"/>
    <w:rsid w:val="007901DF"/>
    <w:rsid w:val="0079208F"/>
    <w:rsid w:val="00794905"/>
    <w:rsid w:val="00797009"/>
    <w:rsid w:val="007A16BE"/>
    <w:rsid w:val="007A30E5"/>
    <w:rsid w:val="007A52F7"/>
    <w:rsid w:val="007A580E"/>
    <w:rsid w:val="007A59FA"/>
    <w:rsid w:val="007B0B74"/>
    <w:rsid w:val="007B29E4"/>
    <w:rsid w:val="007B3476"/>
    <w:rsid w:val="007B4B60"/>
    <w:rsid w:val="007B6A22"/>
    <w:rsid w:val="007B7C7F"/>
    <w:rsid w:val="007C16A9"/>
    <w:rsid w:val="007C3CAD"/>
    <w:rsid w:val="007C56EB"/>
    <w:rsid w:val="007C708E"/>
    <w:rsid w:val="007D46CC"/>
    <w:rsid w:val="007D5828"/>
    <w:rsid w:val="007D59D7"/>
    <w:rsid w:val="007D7519"/>
    <w:rsid w:val="007E0717"/>
    <w:rsid w:val="007E17E5"/>
    <w:rsid w:val="007E49FC"/>
    <w:rsid w:val="007E79FD"/>
    <w:rsid w:val="007F2808"/>
    <w:rsid w:val="007F2F91"/>
    <w:rsid w:val="007F4056"/>
    <w:rsid w:val="007F53CB"/>
    <w:rsid w:val="007F6437"/>
    <w:rsid w:val="008110B4"/>
    <w:rsid w:val="00811AD2"/>
    <w:rsid w:val="0081564A"/>
    <w:rsid w:val="00815E1C"/>
    <w:rsid w:val="00817304"/>
    <w:rsid w:val="0082292B"/>
    <w:rsid w:val="00824679"/>
    <w:rsid w:val="00825313"/>
    <w:rsid w:val="00827505"/>
    <w:rsid w:val="008276F5"/>
    <w:rsid w:val="00827751"/>
    <w:rsid w:val="00830A59"/>
    <w:rsid w:val="00835F8F"/>
    <w:rsid w:val="00837159"/>
    <w:rsid w:val="0083747E"/>
    <w:rsid w:val="00850086"/>
    <w:rsid w:val="0085185C"/>
    <w:rsid w:val="00854C7A"/>
    <w:rsid w:val="00856426"/>
    <w:rsid w:val="00857DDE"/>
    <w:rsid w:val="00860AAB"/>
    <w:rsid w:val="00860F8F"/>
    <w:rsid w:val="008650B9"/>
    <w:rsid w:val="00870E8E"/>
    <w:rsid w:val="00872021"/>
    <w:rsid w:val="00872D82"/>
    <w:rsid w:val="008743AC"/>
    <w:rsid w:val="00877C31"/>
    <w:rsid w:val="00886C1D"/>
    <w:rsid w:val="008902FB"/>
    <w:rsid w:val="008906BB"/>
    <w:rsid w:val="008916C6"/>
    <w:rsid w:val="00892112"/>
    <w:rsid w:val="008947B2"/>
    <w:rsid w:val="008948EB"/>
    <w:rsid w:val="00895D73"/>
    <w:rsid w:val="00896AB9"/>
    <w:rsid w:val="00897688"/>
    <w:rsid w:val="00897879"/>
    <w:rsid w:val="008A2AC9"/>
    <w:rsid w:val="008A68EC"/>
    <w:rsid w:val="008B076F"/>
    <w:rsid w:val="008B5FE5"/>
    <w:rsid w:val="008B6A6B"/>
    <w:rsid w:val="008C16C8"/>
    <w:rsid w:val="008C2CA2"/>
    <w:rsid w:val="008C4E66"/>
    <w:rsid w:val="008C5AAB"/>
    <w:rsid w:val="008C6AE6"/>
    <w:rsid w:val="008C6B3A"/>
    <w:rsid w:val="008C7D37"/>
    <w:rsid w:val="008D05B0"/>
    <w:rsid w:val="008D2121"/>
    <w:rsid w:val="008D29E7"/>
    <w:rsid w:val="008D63CD"/>
    <w:rsid w:val="008D70A3"/>
    <w:rsid w:val="008E2401"/>
    <w:rsid w:val="008E3D19"/>
    <w:rsid w:val="008E6862"/>
    <w:rsid w:val="008E6A95"/>
    <w:rsid w:val="008F4234"/>
    <w:rsid w:val="008F4782"/>
    <w:rsid w:val="008F4BE5"/>
    <w:rsid w:val="008F7D37"/>
    <w:rsid w:val="0090122C"/>
    <w:rsid w:val="009028F6"/>
    <w:rsid w:val="009029F7"/>
    <w:rsid w:val="0090495C"/>
    <w:rsid w:val="009054BB"/>
    <w:rsid w:val="00910D14"/>
    <w:rsid w:val="009125EA"/>
    <w:rsid w:val="00914EA2"/>
    <w:rsid w:val="0091513E"/>
    <w:rsid w:val="009171A6"/>
    <w:rsid w:val="00917BA7"/>
    <w:rsid w:val="009203D5"/>
    <w:rsid w:val="009206D3"/>
    <w:rsid w:val="00936AF5"/>
    <w:rsid w:val="0094425F"/>
    <w:rsid w:val="009515B5"/>
    <w:rsid w:val="009550CF"/>
    <w:rsid w:val="0096134D"/>
    <w:rsid w:val="00963216"/>
    <w:rsid w:val="0096399C"/>
    <w:rsid w:val="00971E1F"/>
    <w:rsid w:val="00975256"/>
    <w:rsid w:val="00976B73"/>
    <w:rsid w:val="00982FE3"/>
    <w:rsid w:val="00984A26"/>
    <w:rsid w:val="0098719F"/>
    <w:rsid w:val="00987B89"/>
    <w:rsid w:val="0099014A"/>
    <w:rsid w:val="009938FD"/>
    <w:rsid w:val="009957E7"/>
    <w:rsid w:val="00995809"/>
    <w:rsid w:val="00995D50"/>
    <w:rsid w:val="009A038A"/>
    <w:rsid w:val="009A1F53"/>
    <w:rsid w:val="009A2845"/>
    <w:rsid w:val="009B09CB"/>
    <w:rsid w:val="009B09E6"/>
    <w:rsid w:val="009B3233"/>
    <w:rsid w:val="009B4044"/>
    <w:rsid w:val="009B5445"/>
    <w:rsid w:val="009B634C"/>
    <w:rsid w:val="009C3FB7"/>
    <w:rsid w:val="009C4A96"/>
    <w:rsid w:val="009C6D71"/>
    <w:rsid w:val="009D0FDC"/>
    <w:rsid w:val="009D2B37"/>
    <w:rsid w:val="009D36CD"/>
    <w:rsid w:val="009D3C18"/>
    <w:rsid w:val="009D6296"/>
    <w:rsid w:val="009D68C8"/>
    <w:rsid w:val="009D6D95"/>
    <w:rsid w:val="009D7422"/>
    <w:rsid w:val="009D78DC"/>
    <w:rsid w:val="009E2754"/>
    <w:rsid w:val="009E33C2"/>
    <w:rsid w:val="009E4E69"/>
    <w:rsid w:val="009E5D62"/>
    <w:rsid w:val="009E6715"/>
    <w:rsid w:val="009F4BD4"/>
    <w:rsid w:val="009F55F4"/>
    <w:rsid w:val="00A03920"/>
    <w:rsid w:val="00A042D0"/>
    <w:rsid w:val="00A07B8E"/>
    <w:rsid w:val="00A16BE2"/>
    <w:rsid w:val="00A203ED"/>
    <w:rsid w:val="00A23E5D"/>
    <w:rsid w:val="00A27598"/>
    <w:rsid w:val="00A30CFF"/>
    <w:rsid w:val="00A3257E"/>
    <w:rsid w:val="00A35963"/>
    <w:rsid w:val="00A35D89"/>
    <w:rsid w:val="00A401F7"/>
    <w:rsid w:val="00A419E9"/>
    <w:rsid w:val="00A43059"/>
    <w:rsid w:val="00A44278"/>
    <w:rsid w:val="00A4556D"/>
    <w:rsid w:val="00A4770E"/>
    <w:rsid w:val="00A54E8B"/>
    <w:rsid w:val="00A60620"/>
    <w:rsid w:val="00A61A7E"/>
    <w:rsid w:val="00A63D6C"/>
    <w:rsid w:val="00A645C8"/>
    <w:rsid w:val="00A7194A"/>
    <w:rsid w:val="00A80CD6"/>
    <w:rsid w:val="00A8426E"/>
    <w:rsid w:val="00A84FE2"/>
    <w:rsid w:val="00A9006E"/>
    <w:rsid w:val="00A938FC"/>
    <w:rsid w:val="00A93A50"/>
    <w:rsid w:val="00A9429D"/>
    <w:rsid w:val="00AA0180"/>
    <w:rsid w:val="00AA1AB8"/>
    <w:rsid w:val="00AA25CA"/>
    <w:rsid w:val="00AA4497"/>
    <w:rsid w:val="00AA489D"/>
    <w:rsid w:val="00AA7D2A"/>
    <w:rsid w:val="00AA7D2C"/>
    <w:rsid w:val="00AB0707"/>
    <w:rsid w:val="00AB545C"/>
    <w:rsid w:val="00AC1264"/>
    <w:rsid w:val="00AC16ED"/>
    <w:rsid w:val="00AD0918"/>
    <w:rsid w:val="00AD1F46"/>
    <w:rsid w:val="00AD5918"/>
    <w:rsid w:val="00AE0A66"/>
    <w:rsid w:val="00AE124D"/>
    <w:rsid w:val="00AF00E5"/>
    <w:rsid w:val="00AF2D32"/>
    <w:rsid w:val="00B01E30"/>
    <w:rsid w:val="00B1080A"/>
    <w:rsid w:val="00B10B5E"/>
    <w:rsid w:val="00B1336F"/>
    <w:rsid w:val="00B155A7"/>
    <w:rsid w:val="00B1627B"/>
    <w:rsid w:val="00B16E5E"/>
    <w:rsid w:val="00B174EC"/>
    <w:rsid w:val="00B30D38"/>
    <w:rsid w:val="00B31BCE"/>
    <w:rsid w:val="00B32271"/>
    <w:rsid w:val="00B344C4"/>
    <w:rsid w:val="00B348CA"/>
    <w:rsid w:val="00B34C56"/>
    <w:rsid w:val="00B37B27"/>
    <w:rsid w:val="00B41442"/>
    <w:rsid w:val="00B43CFB"/>
    <w:rsid w:val="00B45037"/>
    <w:rsid w:val="00B45117"/>
    <w:rsid w:val="00B54782"/>
    <w:rsid w:val="00B60CD9"/>
    <w:rsid w:val="00B61E83"/>
    <w:rsid w:val="00B64981"/>
    <w:rsid w:val="00B7298C"/>
    <w:rsid w:val="00B73DDD"/>
    <w:rsid w:val="00B744CC"/>
    <w:rsid w:val="00B761C7"/>
    <w:rsid w:val="00B77921"/>
    <w:rsid w:val="00B80B45"/>
    <w:rsid w:val="00B85137"/>
    <w:rsid w:val="00B90FBE"/>
    <w:rsid w:val="00B936BD"/>
    <w:rsid w:val="00B9535F"/>
    <w:rsid w:val="00BA2726"/>
    <w:rsid w:val="00BC0586"/>
    <w:rsid w:val="00BC19BC"/>
    <w:rsid w:val="00BC1CBF"/>
    <w:rsid w:val="00BC346C"/>
    <w:rsid w:val="00BC3750"/>
    <w:rsid w:val="00BC5DF0"/>
    <w:rsid w:val="00BC76CC"/>
    <w:rsid w:val="00BC779A"/>
    <w:rsid w:val="00BD2A2F"/>
    <w:rsid w:val="00BF16D5"/>
    <w:rsid w:val="00BF359E"/>
    <w:rsid w:val="00C00A96"/>
    <w:rsid w:val="00C0162E"/>
    <w:rsid w:val="00C03CEA"/>
    <w:rsid w:val="00C07B51"/>
    <w:rsid w:val="00C11E27"/>
    <w:rsid w:val="00C141D4"/>
    <w:rsid w:val="00C23905"/>
    <w:rsid w:val="00C30429"/>
    <w:rsid w:val="00C32B34"/>
    <w:rsid w:val="00C34134"/>
    <w:rsid w:val="00C344A7"/>
    <w:rsid w:val="00C3508D"/>
    <w:rsid w:val="00C353D6"/>
    <w:rsid w:val="00C448EB"/>
    <w:rsid w:val="00C47617"/>
    <w:rsid w:val="00C51794"/>
    <w:rsid w:val="00C5187E"/>
    <w:rsid w:val="00C553A2"/>
    <w:rsid w:val="00C61755"/>
    <w:rsid w:val="00C6520A"/>
    <w:rsid w:val="00C67138"/>
    <w:rsid w:val="00C72821"/>
    <w:rsid w:val="00C72CB1"/>
    <w:rsid w:val="00C73F52"/>
    <w:rsid w:val="00C76C64"/>
    <w:rsid w:val="00C77DA4"/>
    <w:rsid w:val="00C808CC"/>
    <w:rsid w:val="00C83478"/>
    <w:rsid w:val="00C8536D"/>
    <w:rsid w:val="00C85702"/>
    <w:rsid w:val="00C85B67"/>
    <w:rsid w:val="00C8681C"/>
    <w:rsid w:val="00C909AE"/>
    <w:rsid w:val="00C9629B"/>
    <w:rsid w:val="00CA1E13"/>
    <w:rsid w:val="00CA25FD"/>
    <w:rsid w:val="00CA4A13"/>
    <w:rsid w:val="00CA4B59"/>
    <w:rsid w:val="00CA4DE2"/>
    <w:rsid w:val="00CA74AF"/>
    <w:rsid w:val="00CB187C"/>
    <w:rsid w:val="00CB1945"/>
    <w:rsid w:val="00CB3C10"/>
    <w:rsid w:val="00CB4066"/>
    <w:rsid w:val="00CC30D6"/>
    <w:rsid w:val="00CC62F3"/>
    <w:rsid w:val="00CC658C"/>
    <w:rsid w:val="00CC6A06"/>
    <w:rsid w:val="00CD0262"/>
    <w:rsid w:val="00CD0982"/>
    <w:rsid w:val="00CD241E"/>
    <w:rsid w:val="00CD44F9"/>
    <w:rsid w:val="00CD4A0C"/>
    <w:rsid w:val="00CE2E10"/>
    <w:rsid w:val="00CE615F"/>
    <w:rsid w:val="00CF0E7E"/>
    <w:rsid w:val="00CF2844"/>
    <w:rsid w:val="00CF3D16"/>
    <w:rsid w:val="00CF4342"/>
    <w:rsid w:val="00CF69E0"/>
    <w:rsid w:val="00D04EA9"/>
    <w:rsid w:val="00D05EA1"/>
    <w:rsid w:val="00D06C42"/>
    <w:rsid w:val="00D11042"/>
    <w:rsid w:val="00D12CB4"/>
    <w:rsid w:val="00D13148"/>
    <w:rsid w:val="00D167A1"/>
    <w:rsid w:val="00D2144D"/>
    <w:rsid w:val="00D258DA"/>
    <w:rsid w:val="00D30E0E"/>
    <w:rsid w:val="00D3190B"/>
    <w:rsid w:val="00D324D3"/>
    <w:rsid w:val="00D418EA"/>
    <w:rsid w:val="00D42ECD"/>
    <w:rsid w:val="00D43A25"/>
    <w:rsid w:val="00D46116"/>
    <w:rsid w:val="00D4730B"/>
    <w:rsid w:val="00D52501"/>
    <w:rsid w:val="00D53AF2"/>
    <w:rsid w:val="00D61573"/>
    <w:rsid w:val="00D62A5F"/>
    <w:rsid w:val="00D63DBA"/>
    <w:rsid w:val="00D6677E"/>
    <w:rsid w:val="00D714FA"/>
    <w:rsid w:val="00D73072"/>
    <w:rsid w:val="00D74242"/>
    <w:rsid w:val="00D81760"/>
    <w:rsid w:val="00D91023"/>
    <w:rsid w:val="00D911B8"/>
    <w:rsid w:val="00D91497"/>
    <w:rsid w:val="00DA1371"/>
    <w:rsid w:val="00DA253F"/>
    <w:rsid w:val="00DA5E66"/>
    <w:rsid w:val="00DB0B88"/>
    <w:rsid w:val="00DB0E30"/>
    <w:rsid w:val="00DB249A"/>
    <w:rsid w:val="00DB4CEB"/>
    <w:rsid w:val="00DB7636"/>
    <w:rsid w:val="00DB76B6"/>
    <w:rsid w:val="00DB7E26"/>
    <w:rsid w:val="00DC1E84"/>
    <w:rsid w:val="00DC27E5"/>
    <w:rsid w:val="00DC2E42"/>
    <w:rsid w:val="00DD27C4"/>
    <w:rsid w:val="00DE2072"/>
    <w:rsid w:val="00DE6005"/>
    <w:rsid w:val="00DE62BB"/>
    <w:rsid w:val="00DF3819"/>
    <w:rsid w:val="00DF58BF"/>
    <w:rsid w:val="00DF69C1"/>
    <w:rsid w:val="00E00205"/>
    <w:rsid w:val="00E00CA7"/>
    <w:rsid w:val="00E02448"/>
    <w:rsid w:val="00E10563"/>
    <w:rsid w:val="00E13DE0"/>
    <w:rsid w:val="00E152C3"/>
    <w:rsid w:val="00E17F52"/>
    <w:rsid w:val="00E20219"/>
    <w:rsid w:val="00E2035A"/>
    <w:rsid w:val="00E2525A"/>
    <w:rsid w:val="00E2744C"/>
    <w:rsid w:val="00E274B4"/>
    <w:rsid w:val="00E33709"/>
    <w:rsid w:val="00E36EC7"/>
    <w:rsid w:val="00E4255F"/>
    <w:rsid w:val="00E430D6"/>
    <w:rsid w:val="00E51754"/>
    <w:rsid w:val="00E54846"/>
    <w:rsid w:val="00E6198A"/>
    <w:rsid w:val="00E61F6C"/>
    <w:rsid w:val="00E6628C"/>
    <w:rsid w:val="00E66EB3"/>
    <w:rsid w:val="00E71E88"/>
    <w:rsid w:val="00E74DDA"/>
    <w:rsid w:val="00E772FD"/>
    <w:rsid w:val="00E80258"/>
    <w:rsid w:val="00E8331C"/>
    <w:rsid w:val="00E8388D"/>
    <w:rsid w:val="00E90DB3"/>
    <w:rsid w:val="00E92167"/>
    <w:rsid w:val="00E921B9"/>
    <w:rsid w:val="00E965B8"/>
    <w:rsid w:val="00E96856"/>
    <w:rsid w:val="00EA4199"/>
    <w:rsid w:val="00EA581E"/>
    <w:rsid w:val="00EA5921"/>
    <w:rsid w:val="00EB35B8"/>
    <w:rsid w:val="00EB3F16"/>
    <w:rsid w:val="00EB6797"/>
    <w:rsid w:val="00EB7D6E"/>
    <w:rsid w:val="00EC0B80"/>
    <w:rsid w:val="00EC13DD"/>
    <w:rsid w:val="00EC4530"/>
    <w:rsid w:val="00EC6786"/>
    <w:rsid w:val="00EC6BFD"/>
    <w:rsid w:val="00ED101C"/>
    <w:rsid w:val="00ED5916"/>
    <w:rsid w:val="00EE0A7B"/>
    <w:rsid w:val="00EE2CE4"/>
    <w:rsid w:val="00EE59D9"/>
    <w:rsid w:val="00EE76C5"/>
    <w:rsid w:val="00EF2B6A"/>
    <w:rsid w:val="00EF6CC9"/>
    <w:rsid w:val="00EF7E43"/>
    <w:rsid w:val="00F02179"/>
    <w:rsid w:val="00F14C25"/>
    <w:rsid w:val="00F154A6"/>
    <w:rsid w:val="00F20397"/>
    <w:rsid w:val="00F215EE"/>
    <w:rsid w:val="00F23BB2"/>
    <w:rsid w:val="00F2455F"/>
    <w:rsid w:val="00F256B4"/>
    <w:rsid w:val="00F26973"/>
    <w:rsid w:val="00F303D6"/>
    <w:rsid w:val="00F3088E"/>
    <w:rsid w:val="00F32CE3"/>
    <w:rsid w:val="00F33BDE"/>
    <w:rsid w:val="00F364FF"/>
    <w:rsid w:val="00F36DD6"/>
    <w:rsid w:val="00F43AF9"/>
    <w:rsid w:val="00F442E1"/>
    <w:rsid w:val="00F462A4"/>
    <w:rsid w:val="00F618F1"/>
    <w:rsid w:val="00F6353C"/>
    <w:rsid w:val="00F64650"/>
    <w:rsid w:val="00F66761"/>
    <w:rsid w:val="00F7203D"/>
    <w:rsid w:val="00F73E26"/>
    <w:rsid w:val="00F74101"/>
    <w:rsid w:val="00F7585D"/>
    <w:rsid w:val="00F75EAA"/>
    <w:rsid w:val="00F77B8B"/>
    <w:rsid w:val="00F93920"/>
    <w:rsid w:val="00FA0FAC"/>
    <w:rsid w:val="00FA19D9"/>
    <w:rsid w:val="00FA1CEF"/>
    <w:rsid w:val="00FA4352"/>
    <w:rsid w:val="00FA533A"/>
    <w:rsid w:val="00FA780C"/>
    <w:rsid w:val="00FB13DF"/>
    <w:rsid w:val="00FB289F"/>
    <w:rsid w:val="00FB4338"/>
    <w:rsid w:val="00FB5E2A"/>
    <w:rsid w:val="00FB69B0"/>
    <w:rsid w:val="00FC3044"/>
    <w:rsid w:val="00FC369F"/>
    <w:rsid w:val="00FC450C"/>
    <w:rsid w:val="00FC4B07"/>
    <w:rsid w:val="00FC5A79"/>
    <w:rsid w:val="00FC75A5"/>
    <w:rsid w:val="00FD3FEA"/>
    <w:rsid w:val="00FE1B57"/>
    <w:rsid w:val="00FE36D6"/>
    <w:rsid w:val="00FE4F39"/>
    <w:rsid w:val="00FF02DB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1611"/>
  <w15:chartTrackingRefBased/>
  <w15:docId w15:val="{D769460A-129C-491C-8171-6748A8B5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D0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0F1D3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ru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2D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6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D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510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0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79A3"/>
    <w:pPr>
      <w:ind w:firstLine="567"/>
      <w:jc w:val="both"/>
    </w:pPr>
    <w:rPr>
      <w:rFonts w:ascii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6D9"/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6D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76D9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F1D3A"/>
    <w:rPr>
      <w:rFonts w:ascii="Times New Roman" w:eastAsia="Times New Roman" w:hAnsi="Times New Roman" w:cs="Times New Roman"/>
      <w:b/>
      <w:bCs/>
      <w:sz w:val="24"/>
      <w:szCs w:val="24"/>
      <w:lang w:val="ru-MD" w:eastAsia="ru-RU"/>
    </w:rPr>
  </w:style>
  <w:style w:type="character" w:styleId="Strong">
    <w:name w:val="Strong"/>
    <w:basedOn w:val="DefaultParagraphFont"/>
    <w:uiPriority w:val="22"/>
    <w:qFormat/>
    <w:rsid w:val="000F1D3A"/>
    <w:rPr>
      <w:b/>
      <w:bCs/>
    </w:rPr>
  </w:style>
  <w:style w:type="character" w:customStyle="1" w:styleId="apple-converted-space">
    <w:name w:val="apple-converted-space"/>
    <w:basedOn w:val="DefaultParagraphFont"/>
    <w:rsid w:val="000F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anunt-cu-privire-la-consultarea-publica-si-avizarea-a-proiectului-hotararii-guvernului-privind-modificarea-hotararii-guvernului-nr5462019-pentru-aprobarea-regulamentului-privind-modul-de-amenajare-si-exploatare-a-cheiurilor-temporare-si-edificiilor-aferente-pe-caile-navigabile-interne-ale-republicii-moldova-si-a-altor-acte-normative-pentru-relansarea-navigatiei-interne-pe-raurile-prut-si-nistru/11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*/153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7885</TotalTime>
  <Pages>3</Pages>
  <Words>1369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821</cp:revision>
  <cp:lastPrinted>2022-01-27T12:09:00Z</cp:lastPrinted>
  <dcterms:created xsi:type="dcterms:W3CDTF">2022-01-26T13:26:00Z</dcterms:created>
  <dcterms:modified xsi:type="dcterms:W3CDTF">2025-11-10T12:48:00Z</dcterms:modified>
</cp:coreProperties>
</file>