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319F" w14:textId="77777777" w:rsidR="00122CCE" w:rsidRPr="00F16974" w:rsidRDefault="00122CCE" w:rsidP="00272E04">
      <w:pPr>
        <w:pStyle w:val="Heading3"/>
        <w:spacing w:before="0" w:after="120" w:line="276" w:lineRule="auto"/>
        <w:jc w:val="center"/>
        <w:rPr>
          <w:rFonts w:asciiTheme="majorBidi" w:eastAsia="Google Sans Text" w:hAnsiTheme="majorBidi" w:cstheme="majorBidi"/>
          <w:color w:val="1B1C1D"/>
          <w:sz w:val="22"/>
          <w:szCs w:val="22"/>
          <w:lang w:val="ro-RO"/>
        </w:rPr>
      </w:pPr>
      <w:r w:rsidRPr="00F16974">
        <w:rPr>
          <w:rFonts w:asciiTheme="majorBidi" w:eastAsia="Google Sans Text" w:hAnsiTheme="majorBidi" w:cstheme="majorBidi"/>
          <w:color w:val="1B1C1D"/>
          <w:sz w:val="22"/>
          <w:szCs w:val="22"/>
          <w:lang w:val="ro-RO"/>
        </w:rPr>
        <w:t>NOTĂ DE FUNDAMENTARE</w:t>
      </w:r>
    </w:p>
    <w:p w14:paraId="2E1079B4" w14:textId="224113EA" w:rsidR="00122CCE" w:rsidRPr="00F16974" w:rsidRDefault="00122CCE" w:rsidP="00272E04">
      <w:pPr>
        <w:pBdr>
          <w:top w:val="nil"/>
          <w:left w:val="nil"/>
          <w:bottom w:val="nil"/>
          <w:right w:val="nil"/>
          <w:between w:val="nil"/>
        </w:pBdr>
        <w:spacing w:after="240" w:line="276" w:lineRule="auto"/>
        <w:jc w:val="center"/>
        <w:rPr>
          <w:rFonts w:asciiTheme="majorBidi" w:eastAsia="Google Sans Text" w:hAnsiTheme="majorBidi" w:cstheme="majorBidi"/>
          <w:b/>
          <w:color w:val="1B1C1D"/>
          <w:lang w:val="ro-RO"/>
        </w:rPr>
      </w:pPr>
      <w:r w:rsidRPr="00F16974">
        <w:rPr>
          <w:rFonts w:asciiTheme="majorBidi" w:eastAsia="Google Sans Text" w:hAnsiTheme="majorBidi" w:cstheme="majorBidi"/>
          <w:b/>
          <w:color w:val="1B1C1D"/>
          <w:lang w:val="ro-RO"/>
        </w:rPr>
        <w:t xml:space="preserve">la proiectul </w:t>
      </w:r>
      <w:r w:rsidR="001C1CF6">
        <w:rPr>
          <w:rFonts w:asciiTheme="majorBidi" w:eastAsia="Google Sans Text" w:hAnsiTheme="majorBidi" w:cstheme="majorBidi"/>
          <w:b/>
          <w:color w:val="1B1C1D"/>
          <w:lang w:val="ro-RO"/>
        </w:rPr>
        <w:t>h</w:t>
      </w:r>
      <w:r w:rsidRPr="00F16974">
        <w:rPr>
          <w:rFonts w:asciiTheme="majorBidi" w:eastAsia="Google Sans Text" w:hAnsiTheme="majorBidi" w:cstheme="majorBidi"/>
          <w:b/>
          <w:color w:val="1B1C1D"/>
          <w:lang w:val="ro-RO"/>
        </w:rPr>
        <w:t>otărârii Guvernului pentru aprobarea Regulamentului privind cerințele referitoare la conținutul de sulf al anumitor combustibili lichizi</w:t>
      </w:r>
    </w:p>
    <w:tbl>
      <w:tblPr>
        <w:tblStyle w:val="TableGrid"/>
        <w:tblW w:w="0" w:type="auto"/>
        <w:tblLook w:val="04A0" w:firstRow="1" w:lastRow="0" w:firstColumn="1" w:lastColumn="0" w:noHBand="0" w:noVBand="1"/>
      </w:tblPr>
      <w:tblGrid>
        <w:gridCol w:w="9344"/>
      </w:tblGrid>
      <w:tr w:rsidR="006B61CE" w:rsidRPr="00F16974" w14:paraId="39A22E2D" w14:textId="77777777" w:rsidTr="006B61CE">
        <w:tc>
          <w:tcPr>
            <w:tcW w:w="9344" w:type="dxa"/>
            <w:shd w:val="clear" w:color="auto" w:fill="BFBFBF" w:themeFill="background1" w:themeFillShade="BF"/>
          </w:tcPr>
          <w:p w14:paraId="4919B92B" w14:textId="77777777" w:rsidR="006B61CE" w:rsidRPr="00F16974" w:rsidRDefault="006B61CE" w:rsidP="00272E04">
            <w:pPr>
              <w:widowControl/>
              <w:autoSpaceDE w:val="0"/>
              <w:autoSpaceDN w:val="0"/>
              <w:adjustRightInd w:val="0"/>
              <w:spacing w:line="276" w:lineRule="auto"/>
              <w:jc w:val="both"/>
              <w:rPr>
                <w:rFonts w:asciiTheme="majorBidi" w:eastAsiaTheme="minorHAnsi" w:hAnsiTheme="majorBidi" w:cstheme="majorBidi"/>
                <w:b/>
                <w:bCs/>
                <w:lang w:val="ro-RO" w:eastAsia="en-US"/>
              </w:rPr>
            </w:pPr>
            <w:r w:rsidRPr="00F16974">
              <w:rPr>
                <w:rFonts w:asciiTheme="majorBidi" w:eastAsiaTheme="minorHAnsi" w:hAnsiTheme="majorBidi" w:cstheme="majorBidi"/>
                <w:b/>
                <w:bCs/>
                <w:lang w:val="ro-RO" w:eastAsia="en-US"/>
              </w:rPr>
              <w:t>1. Denumirea sau numele autorului și, după caz, a/al participanților la elaborarea</w:t>
            </w:r>
          </w:p>
          <w:p w14:paraId="7AE18B19" w14:textId="77777777" w:rsidR="006B61CE" w:rsidRPr="00F16974" w:rsidRDefault="006B61CE" w:rsidP="00272E04">
            <w:pPr>
              <w:spacing w:line="276" w:lineRule="auto"/>
              <w:jc w:val="both"/>
              <w:rPr>
                <w:rFonts w:asciiTheme="majorBidi" w:hAnsiTheme="majorBidi" w:cstheme="majorBidi"/>
                <w:color w:val="808080" w:themeColor="background1" w:themeShade="80"/>
                <w:lang w:val="ro-RO"/>
              </w:rPr>
            </w:pPr>
            <w:r w:rsidRPr="00F16974">
              <w:rPr>
                <w:rFonts w:asciiTheme="majorBidi" w:eastAsiaTheme="minorHAnsi" w:hAnsiTheme="majorBidi" w:cstheme="majorBidi"/>
                <w:b/>
                <w:bCs/>
                <w:lang w:val="ro-RO" w:eastAsia="en-US"/>
              </w:rPr>
              <w:t>proiectului actului normativ</w:t>
            </w:r>
          </w:p>
        </w:tc>
      </w:tr>
      <w:tr w:rsidR="006B61CE" w:rsidRPr="00A42EDC" w14:paraId="26876AB3" w14:textId="77777777" w:rsidTr="006B61CE">
        <w:tc>
          <w:tcPr>
            <w:tcW w:w="9344" w:type="dxa"/>
          </w:tcPr>
          <w:p w14:paraId="35D790B6" w14:textId="77777777" w:rsidR="006B61CE" w:rsidRPr="00F16974" w:rsidRDefault="001F7BE4" w:rsidP="00272E04">
            <w:pPr>
              <w:spacing w:line="276" w:lineRule="auto"/>
              <w:jc w:val="both"/>
              <w:rPr>
                <w:rFonts w:ascii="Times New Roman" w:hAnsi="Times New Roman" w:cs="Times New Roman"/>
                <w:color w:val="1B1C1D"/>
                <w:lang w:val="ro-RO"/>
              </w:rPr>
            </w:pPr>
            <w:r w:rsidRPr="00F16974">
              <w:rPr>
                <w:rFonts w:ascii="Times New Roman" w:hAnsi="Times New Roman" w:cs="Times New Roman"/>
                <w:color w:val="1B1C1D"/>
                <w:lang w:val="ro-RO"/>
              </w:rPr>
              <w:t>Ministerul Mediului</w:t>
            </w:r>
            <w:r w:rsidR="003A0F1C" w:rsidRPr="00F16974">
              <w:rPr>
                <w:rFonts w:ascii="Times New Roman" w:hAnsi="Times New Roman" w:cs="Times New Roman"/>
                <w:color w:val="1B1C1D"/>
                <w:lang w:val="ro-RO"/>
              </w:rPr>
              <w:t>.</w:t>
            </w:r>
          </w:p>
          <w:p w14:paraId="1DD24400" w14:textId="30E5A18E" w:rsidR="003A0F1C" w:rsidRPr="00F16974" w:rsidRDefault="002D2398" w:rsidP="002D2398">
            <w:pPr>
              <w:pStyle w:val="FirstParagraph"/>
              <w:jc w:val="both"/>
              <w:rPr>
                <w:rFonts w:ascii="Times New Roman" w:hAnsi="Times New Roman" w:cs="Times New Roman"/>
                <w:sz w:val="22"/>
                <w:szCs w:val="22"/>
              </w:rPr>
            </w:pPr>
            <w:r w:rsidRPr="00F16974">
              <w:rPr>
                <w:rFonts w:ascii="Times New Roman" w:hAnsi="Times New Roman" w:cs="Times New Roman"/>
                <w:sz w:val="22"/>
                <w:szCs w:val="22"/>
              </w:rPr>
              <w:t xml:space="preserve">La elaborarea proiectului au participat, </w:t>
            </w:r>
            <w:r w:rsidR="006D72BC" w:rsidRPr="00F16974">
              <w:rPr>
                <w:rFonts w:ascii="Times New Roman" w:hAnsi="Times New Roman" w:cs="Times New Roman"/>
                <w:sz w:val="22"/>
                <w:szCs w:val="22"/>
              </w:rPr>
              <w:t xml:space="preserve">mebrii grupului de lucru  </w:t>
            </w:r>
            <w:r w:rsidRPr="00F16974">
              <w:rPr>
                <w:rFonts w:ascii="Times New Roman" w:hAnsi="Times New Roman" w:cs="Times New Roman"/>
                <w:sz w:val="22"/>
                <w:szCs w:val="22"/>
              </w:rPr>
              <w:t>interinst</w:t>
            </w:r>
            <w:r w:rsidR="007343D3" w:rsidRPr="00F16974">
              <w:rPr>
                <w:rFonts w:ascii="Times New Roman" w:hAnsi="Times New Roman" w:cs="Times New Roman"/>
                <w:sz w:val="22"/>
                <w:szCs w:val="22"/>
              </w:rPr>
              <w:t>ituțional</w:t>
            </w:r>
            <w:r w:rsidR="006D72BC" w:rsidRPr="00F16974">
              <w:rPr>
                <w:rFonts w:ascii="Times New Roman" w:hAnsi="Times New Roman" w:cs="Times New Roman"/>
                <w:sz w:val="22"/>
                <w:szCs w:val="22"/>
              </w:rPr>
              <w:t xml:space="preserve"> format conform Ordinului Ministrului Mediului nr. 118 din 15 august 2025, din care fac parte reprezentanți ai </w:t>
            </w:r>
            <w:r w:rsidR="007343D3" w:rsidRPr="00F16974">
              <w:rPr>
                <w:rFonts w:ascii="Times New Roman" w:hAnsi="Times New Roman" w:cs="Times New Roman"/>
                <w:sz w:val="22"/>
                <w:szCs w:val="22"/>
              </w:rPr>
              <w:t>Ministerul Dezvoltării Economice și Digitalizării</w:t>
            </w:r>
            <w:r w:rsidRPr="00F16974">
              <w:rPr>
                <w:rFonts w:ascii="Times New Roman" w:hAnsi="Times New Roman" w:cs="Times New Roman"/>
                <w:sz w:val="22"/>
                <w:szCs w:val="22"/>
              </w:rPr>
              <w:t xml:space="preserve">, Ministerul Infrastructurii și Dezvoltării Regionale, Agenției de Mediu Inspectoratului pentru Protecția Mediului, </w:t>
            </w:r>
            <w:r w:rsidR="005A717A" w:rsidRPr="00F16974">
              <w:rPr>
                <w:rFonts w:ascii="Times New Roman" w:hAnsi="Times New Roman" w:cs="Times New Roman"/>
                <w:sz w:val="22"/>
                <w:szCs w:val="22"/>
              </w:rPr>
              <w:t>Agenția Navală, Ministerul Energiei, ANRE,</w:t>
            </w:r>
            <w:r w:rsidR="006100B0" w:rsidRPr="00F16974">
              <w:rPr>
                <w:rFonts w:ascii="Times New Roman" w:hAnsi="Times New Roman" w:cs="Times New Roman"/>
                <w:sz w:val="22"/>
                <w:szCs w:val="22"/>
              </w:rPr>
              <w:t xml:space="preserve"> </w:t>
            </w:r>
            <w:r w:rsidRPr="00F16974">
              <w:rPr>
                <w:rFonts w:ascii="Times New Roman" w:hAnsi="Times New Roman" w:cs="Times New Roman"/>
                <w:sz w:val="22"/>
                <w:szCs w:val="22"/>
              </w:rPr>
              <w:t>Serviciului Vamal</w:t>
            </w:r>
            <w:r w:rsidR="006100B0" w:rsidRPr="00F16974">
              <w:rPr>
                <w:rFonts w:ascii="Times New Roman" w:hAnsi="Times New Roman" w:cs="Times New Roman"/>
                <w:sz w:val="22"/>
                <w:szCs w:val="22"/>
              </w:rPr>
              <w:t>.</w:t>
            </w:r>
          </w:p>
        </w:tc>
      </w:tr>
      <w:tr w:rsidR="006B61CE" w:rsidRPr="00A42EDC" w14:paraId="2963A6F7" w14:textId="77777777" w:rsidTr="006B61CE">
        <w:tc>
          <w:tcPr>
            <w:tcW w:w="9344" w:type="dxa"/>
            <w:shd w:val="clear" w:color="auto" w:fill="BFBFBF" w:themeFill="background1" w:themeFillShade="BF"/>
          </w:tcPr>
          <w:p w14:paraId="34151F6F" w14:textId="77777777" w:rsidR="006B61CE" w:rsidRPr="00F16974" w:rsidRDefault="006B61CE" w:rsidP="00272E04">
            <w:pPr>
              <w:spacing w:line="276" w:lineRule="auto"/>
              <w:jc w:val="both"/>
              <w:rPr>
                <w:rFonts w:ascii="Times New Roman" w:hAnsi="Times New Roman" w:cs="Times New Roman"/>
                <w:lang w:val="ro-RO"/>
              </w:rPr>
            </w:pPr>
            <w:r w:rsidRPr="00F16974">
              <w:rPr>
                <w:rFonts w:ascii="Times New Roman" w:eastAsiaTheme="minorHAnsi" w:hAnsi="Times New Roman" w:cs="Times New Roman"/>
                <w:b/>
                <w:bCs/>
                <w:lang w:val="ro-RO" w:eastAsia="en-US"/>
              </w:rPr>
              <w:t>2. Condițiile ce au impus elaborarea proiectului actului normativ</w:t>
            </w:r>
          </w:p>
        </w:tc>
      </w:tr>
      <w:tr w:rsidR="006B61CE" w:rsidRPr="00A42EDC" w14:paraId="48C60C2A" w14:textId="77777777" w:rsidTr="006B61CE">
        <w:tc>
          <w:tcPr>
            <w:tcW w:w="9344" w:type="dxa"/>
            <w:shd w:val="clear" w:color="auto" w:fill="F2F2F2" w:themeFill="background1" w:themeFillShade="F2"/>
          </w:tcPr>
          <w:p w14:paraId="6F0909B3" w14:textId="77777777" w:rsidR="006B61CE" w:rsidRPr="00F16974" w:rsidRDefault="006B61CE" w:rsidP="00272E04">
            <w:pPr>
              <w:spacing w:line="276" w:lineRule="auto"/>
              <w:jc w:val="both"/>
              <w:rPr>
                <w:rFonts w:ascii="Times New Roman" w:hAnsi="Times New Roman" w:cs="Times New Roman"/>
                <w:lang w:val="ro-RO"/>
              </w:rPr>
            </w:pPr>
            <w:r w:rsidRPr="00F16974">
              <w:rPr>
                <w:rFonts w:ascii="Times New Roman" w:eastAsiaTheme="minorHAnsi" w:hAnsi="Times New Roman" w:cs="Times New Roman"/>
                <w:lang w:val="ro-RO" w:eastAsia="en-US"/>
              </w:rPr>
              <w:t xml:space="preserve">2.1. Temeiul legal sau, </w:t>
            </w:r>
            <w:r w:rsidRPr="00F16974">
              <w:rPr>
                <w:rFonts w:ascii="Times New Roman" w:eastAsia="TimesNewRomanPSMT" w:hAnsi="Times New Roman" w:cs="Times New Roman"/>
                <w:lang w:val="ro-RO" w:eastAsia="en-US"/>
              </w:rPr>
              <w:t xml:space="preserve">după </w:t>
            </w:r>
            <w:r w:rsidRPr="00F16974">
              <w:rPr>
                <w:rFonts w:ascii="Times New Roman" w:eastAsiaTheme="minorHAnsi" w:hAnsi="Times New Roman" w:cs="Times New Roman"/>
                <w:lang w:val="ro-RO" w:eastAsia="en-US"/>
              </w:rPr>
              <w:t>caz, sursa proiectului actului normativ</w:t>
            </w:r>
          </w:p>
        </w:tc>
      </w:tr>
      <w:tr w:rsidR="006B61CE" w:rsidRPr="00A42EDC" w14:paraId="52B9CDAC" w14:textId="77777777" w:rsidTr="006B61CE">
        <w:tc>
          <w:tcPr>
            <w:tcW w:w="9344" w:type="dxa"/>
          </w:tcPr>
          <w:p w14:paraId="593879C9" w14:textId="77777777" w:rsidR="00A26B0F" w:rsidRPr="00F16974" w:rsidRDefault="00A26B0F" w:rsidP="00A42EDC">
            <w:pPr>
              <w:pBdr>
                <w:top w:val="nil"/>
                <w:left w:val="nil"/>
                <w:bottom w:val="nil"/>
                <w:right w:val="nil"/>
                <w:between w:val="nil"/>
              </w:pBdr>
              <w:spacing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Elaborarea prezentului proiect de act normativ este determinată de necesitatea executării angajamentelor internaționale ale Republicii Moldova și de alinierea cadrului normativ național la acquis-ul Uniunii Europene.</w:t>
            </w:r>
          </w:p>
          <w:p w14:paraId="66A50203" w14:textId="77777777" w:rsidR="00A26B0F" w:rsidRPr="00F16974" w:rsidRDefault="00A26B0F" w:rsidP="00A26B0F">
            <w:pPr>
              <w:pBdr>
                <w:top w:val="nil"/>
                <w:left w:val="nil"/>
                <w:bottom w:val="nil"/>
                <w:right w:val="nil"/>
                <w:between w:val="nil"/>
              </w:pBdr>
              <w:spacing w:line="276" w:lineRule="auto"/>
              <w:ind w:firstLine="601"/>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Temeiul legal și sursele principale ale proiectului sunt următoarele:</w:t>
            </w:r>
          </w:p>
          <w:p w14:paraId="634B1FCE" w14:textId="77777777" w:rsidR="00A26B0F" w:rsidRPr="00F16974" w:rsidRDefault="00A26B0F" w:rsidP="00A26B0F">
            <w:pPr>
              <w:numPr>
                <w:ilvl w:val="0"/>
                <w:numId w:val="11"/>
              </w:numPr>
              <w:pBdr>
                <w:top w:val="nil"/>
                <w:left w:val="nil"/>
                <w:bottom w:val="nil"/>
                <w:right w:val="nil"/>
                <w:between w:val="nil"/>
              </w:pBdr>
              <w:spacing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Acordul de Asociere dintre Republica Moldova și Uniunea Europeană</w:t>
            </w:r>
            <w:r w:rsidRPr="00F16974">
              <w:rPr>
                <w:rFonts w:ascii="Times New Roman" w:eastAsia="Google Sans Text" w:hAnsi="Times New Roman" w:cs="Times New Roman"/>
                <w:color w:val="1B1C1D"/>
                <w:lang w:val="ro-RO"/>
              </w:rPr>
              <w:t xml:space="preserve">, ratificat prin Legea nr. 112/2014, care, prin Anexa XI, stabilește obligația armonizării legislației naționale cu </w:t>
            </w:r>
            <w:r w:rsidRPr="00F16974">
              <w:rPr>
                <w:rFonts w:ascii="Times New Roman" w:eastAsia="Google Sans Text" w:hAnsi="Times New Roman" w:cs="Times New Roman"/>
                <w:b/>
                <w:bCs/>
                <w:color w:val="1B1C1D"/>
                <w:lang w:val="ro-RO"/>
              </w:rPr>
              <w:t>Directiva 1999/32/CE</w:t>
            </w:r>
            <w:r w:rsidRPr="00F16974">
              <w:rPr>
                <w:rFonts w:ascii="Times New Roman" w:eastAsia="Google Sans Text" w:hAnsi="Times New Roman" w:cs="Times New Roman"/>
                <w:color w:val="1B1C1D"/>
                <w:lang w:val="ro-RO"/>
              </w:rPr>
              <w:t xml:space="preserve">, înlocuită ulterior prin </w:t>
            </w:r>
            <w:r w:rsidRPr="00F16974">
              <w:rPr>
                <w:rFonts w:ascii="Times New Roman" w:eastAsia="Google Sans Text" w:hAnsi="Times New Roman" w:cs="Times New Roman"/>
                <w:b/>
                <w:bCs/>
                <w:color w:val="1B1C1D"/>
                <w:lang w:val="ro-RO"/>
              </w:rPr>
              <w:t>Directiva (UE) 2016/802</w:t>
            </w:r>
            <w:r w:rsidRPr="00F16974">
              <w:rPr>
                <w:rFonts w:ascii="Times New Roman" w:eastAsia="Google Sans Text" w:hAnsi="Times New Roman" w:cs="Times New Roman"/>
                <w:color w:val="1B1C1D"/>
                <w:lang w:val="ro-RO"/>
              </w:rPr>
              <w:t>.</w:t>
            </w:r>
          </w:p>
          <w:p w14:paraId="540FFF32" w14:textId="77777777" w:rsidR="00A26B0F" w:rsidRPr="00F16974" w:rsidRDefault="00A26B0F" w:rsidP="00A26B0F">
            <w:pPr>
              <w:numPr>
                <w:ilvl w:val="0"/>
                <w:numId w:val="11"/>
              </w:numPr>
              <w:pBdr>
                <w:top w:val="nil"/>
                <w:left w:val="nil"/>
                <w:bottom w:val="nil"/>
                <w:right w:val="nil"/>
                <w:between w:val="nil"/>
              </w:pBdr>
              <w:spacing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Tratatul de constituire a Comunității Energetice</w:t>
            </w:r>
            <w:r w:rsidRPr="00F16974">
              <w:rPr>
                <w:rFonts w:ascii="Times New Roman" w:eastAsia="Google Sans Text" w:hAnsi="Times New Roman" w:cs="Times New Roman"/>
                <w:color w:val="1B1C1D"/>
                <w:lang w:val="ro-RO"/>
              </w:rPr>
              <w:t>, la care Republica Moldova a aderat prin Legea nr. 117/2009, ce impune implementarea acquis-ului comunitar în domeniul energiei și mediului, inclusiv a reglementărilor privind calitatea combustibililor.</w:t>
            </w:r>
          </w:p>
          <w:p w14:paraId="04BE0772" w14:textId="410BC28F" w:rsidR="00A26B0F" w:rsidRPr="00F16974" w:rsidRDefault="00A26B0F" w:rsidP="00A26B0F">
            <w:pPr>
              <w:numPr>
                <w:ilvl w:val="0"/>
                <w:numId w:val="11"/>
              </w:numPr>
              <w:pBdr>
                <w:top w:val="nil"/>
                <w:left w:val="nil"/>
                <w:bottom w:val="nil"/>
                <w:right w:val="nil"/>
                <w:between w:val="nil"/>
              </w:pBdr>
              <w:spacing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Programul național de aderare a Republicii Moldova la Uniunea Europeană pentru anii 2025–2029 (Clusterul 4)</w:t>
            </w:r>
            <w:r w:rsidRPr="00F16974">
              <w:rPr>
                <w:rFonts w:ascii="Times New Roman" w:eastAsia="Google Sans Text" w:hAnsi="Times New Roman" w:cs="Times New Roman"/>
                <w:color w:val="1B1C1D"/>
                <w:lang w:val="ro-RO"/>
              </w:rPr>
              <w:t>, care prevede transpunerea integral a Directivei (UE) 2016/802.</w:t>
            </w:r>
          </w:p>
          <w:p w14:paraId="09305192" w14:textId="77777777" w:rsidR="00A26B0F" w:rsidRPr="00F16974" w:rsidRDefault="00A26B0F" w:rsidP="00A26B0F">
            <w:pPr>
              <w:numPr>
                <w:ilvl w:val="0"/>
                <w:numId w:val="11"/>
              </w:numPr>
              <w:pBdr>
                <w:top w:val="nil"/>
                <w:left w:val="nil"/>
                <w:bottom w:val="nil"/>
                <w:right w:val="nil"/>
                <w:between w:val="nil"/>
              </w:pBdr>
              <w:spacing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Legea nr. 1515/1993 privind protecția mediului înconjurător</w:t>
            </w:r>
            <w:r w:rsidRPr="00F16974">
              <w:rPr>
                <w:rFonts w:ascii="Times New Roman" w:eastAsia="Google Sans Text" w:hAnsi="Times New Roman" w:cs="Times New Roman"/>
                <w:color w:val="1B1C1D"/>
                <w:lang w:val="ro-RO"/>
              </w:rPr>
              <w:t>, care constituie legea-cadru ce abilitează Guvernul să aprobe regulamente pentru implementarea politicii de stat în domeniu.</w:t>
            </w:r>
          </w:p>
          <w:p w14:paraId="1DB60783" w14:textId="77777777" w:rsidR="00A26B0F" w:rsidRPr="00F16974" w:rsidRDefault="00A26B0F" w:rsidP="00A26B0F">
            <w:pPr>
              <w:numPr>
                <w:ilvl w:val="0"/>
                <w:numId w:val="11"/>
              </w:numPr>
              <w:pBdr>
                <w:top w:val="nil"/>
                <w:left w:val="nil"/>
                <w:bottom w:val="nil"/>
                <w:right w:val="nil"/>
                <w:between w:val="nil"/>
              </w:pBdr>
              <w:spacing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Legea nr. 100/2017 privind actele normative</w:t>
            </w:r>
            <w:r w:rsidRPr="00F16974">
              <w:rPr>
                <w:rFonts w:ascii="Times New Roman" w:eastAsia="Google Sans Text" w:hAnsi="Times New Roman" w:cs="Times New Roman"/>
                <w:color w:val="1B1C1D"/>
                <w:lang w:val="ro-RO"/>
              </w:rPr>
              <w:t>, care, la art. 4 și 8, stabilește că actele normative ale Guvernului se emit pentru executarea legislației și, în cazul transpunerii actelor Uniunii Europene, trebuie asigurată compatibilitatea și integritatea juridică a reglementărilor. De asemenea, art. 33 lit. c) prevede posibilitatea ca un act normativ al Guvernului să abroge un alt act de același nivel, în temeiul căruia prezenta hotărâre propune abrogarea expresă a Hotărârii Guvernului nr. 414/2016.</w:t>
            </w:r>
          </w:p>
          <w:p w14:paraId="6B4AEC47" w14:textId="77777777" w:rsidR="00A26B0F" w:rsidRPr="00F16974" w:rsidRDefault="00A26B0F" w:rsidP="00A26B0F">
            <w:pPr>
              <w:pBdr>
                <w:top w:val="nil"/>
                <w:left w:val="nil"/>
                <w:bottom w:val="nil"/>
                <w:right w:val="nil"/>
                <w:between w:val="nil"/>
              </w:pBdr>
              <w:spacing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Directiva (UE) 2016/802</w:t>
            </w:r>
            <w:r w:rsidRPr="00F16974">
              <w:rPr>
                <w:rFonts w:ascii="Times New Roman" w:eastAsia="Google Sans Text" w:hAnsi="Times New Roman" w:cs="Times New Roman"/>
                <w:color w:val="1B1C1D"/>
                <w:lang w:val="ro-RO"/>
              </w:rPr>
              <w:t xml:space="preserve"> codifică și actualizează cerințele privind conținutul maxim de sulf din combustibilii lichizi, în scopul reducerii emisiilor de dioxid de sulf (SO₂) rezultate din arderea produselor petroliere. Transpunerea completă a acestei directive este esențială pentru realizarea obiectivelor de mediu asumate de Republica Moldova în cadrul procesului de aderare la Uniunea Europeană și pentru asigurarea conformității legislației naționale cu normele comunitare.</w:t>
            </w:r>
          </w:p>
          <w:p w14:paraId="04DAA35D" w14:textId="584CEF15" w:rsidR="00495DA1" w:rsidRPr="00F16974" w:rsidRDefault="00495DA1" w:rsidP="00A26B0F">
            <w:pPr>
              <w:pStyle w:val="NormalWeb"/>
              <w:spacing w:before="0" w:beforeAutospacing="0" w:after="120" w:afterAutospacing="0" w:line="276" w:lineRule="auto"/>
              <w:ind w:left="1103"/>
              <w:jc w:val="both"/>
              <w:rPr>
                <w:sz w:val="22"/>
                <w:szCs w:val="22"/>
                <w:lang w:val="ro-RO"/>
              </w:rPr>
            </w:pPr>
          </w:p>
        </w:tc>
      </w:tr>
      <w:tr w:rsidR="006B61CE" w:rsidRPr="00A42EDC" w14:paraId="057734D9" w14:textId="77777777" w:rsidTr="006B61CE">
        <w:tc>
          <w:tcPr>
            <w:tcW w:w="9344" w:type="dxa"/>
            <w:shd w:val="clear" w:color="auto" w:fill="F2F2F2" w:themeFill="background1" w:themeFillShade="F2"/>
          </w:tcPr>
          <w:p w14:paraId="3D1423BD" w14:textId="77777777" w:rsidR="006B61CE" w:rsidRPr="00F16974" w:rsidRDefault="006B61CE" w:rsidP="00272E04">
            <w:pPr>
              <w:widowControl/>
              <w:autoSpaceDE w:val="0"/>
              <w:autoSpaceDN w:val="0"/>
              <w:adjustRightInd w:val="0"/>
              <w:spacing w:line="276" w:lineRule="auto"/>
              <w:jc w:val="both"/>
              <w:rPr>
                <w:rFonts w:ascii="Times New Roman" w:eastAsiaTheme="minorHAnsi" w:hAnsi="Times New Roman" w:cs="Times New Roman"/>
                <w:lang w:val="ro-RO" w:eastAsia="en-US"/>
              </w:rPr>
            </w:pPr>
            <w:r w:rsidRPr="00F16974">
              <w:rPr>
                <w:rFonts w:ascii="Times New Roman" w:eastAsiaTheme="minorHAnsi" w:hAnsi="Times New Roman" w:cs="Times New Roman"/>
                <w:lang w:val="ro-RO" w:eastAsia="en-US"/>
              </w:rPr>
              <w:t>2.2. Descrierea situa</w:t>
            </w:r>
            <w:r w:rsidRPr="00F16974">
              <w:rPr>
                <w:rFonts w:ascii="Times New Roman" w:eastAsia="TimesNewRomanPSMT" w:hAnsi="Times New Roman" w:cs="Times New Roman"/>
                <w:lang w:val="ro-RO" w:eastAsia="en-US"/>
              </w:rPr>
              <w:t>ț</w:t>
            </w:r>
            <w:r w:rsidRPr="00F16974">
              <w:rPr>
                <w:rFonts w:ascii="Times New Roman" w:eastAsiaTheme="minorHAnsi" w:hAnsi="Times New Roman" w:cs="Times New Roman"/>
                <w:lang w:val="ro-RO" w:eastAsia="en-US"/>
              </w:rPr>
              <w:t xml:space="preserve">iei actuale </w:t>
            </w:r>
            <w:r w:rsidRPr="00F16974">
              <w:rPr>
                <w:rFonts w:ascii="Times New Roman" w:eastAsia="TimesNewRomanPSMT" w:hAnsi="Times New Roman" w:cs="Times New Roman"/>
                <w:lang w:val="ro-RO" w:eastAsia="en-US"/>
              </w:rPr>
              <w:t>ș</w:t>
            </w:r>
            <w:r w:rsidRPr="00F16974">
              <w:rPr>
                <w:rFonts w:ascii="Times New Roman" w:eastAsiaTheme="minorHAnsi" w:hAnsi="Times New Roman" w:cs="Times New Roman"/>
                <w:lang w:val="ro-RO" w:eastAsia="en-US"/>
              </w:rPr>
              <w:t>i a problemelor care impun interven</w:t>
            </w:r>
            <w:r w:rsidRPr="00F16974">
              <w:rPr>
                <w:rFonts w:ascii="Times New Roman" w:eastAsia="TimesNewRomanPSMT" w:hAnsi="Times New Roman" w:cs="Times New Roman"/>
                <w:lang w:val="ro-RO" w:eastAsia="en-US"/>
              </w:rPr>
              <w:t>ț</w:t>
            </w:r>
            <w:r w:rsidRPr="00F16974">
              <w:rPr>
                <w:rFonts w:ascii="Times New Roman" w:eastAsiaTheme="minorHAnsi" w:hAnsi="Times New Roman" w:cs="Times New Roman"/>
                <w:lang w:val="ro-RO" w:eastAsia="en-US"/>
              </w:rPr>
              <w:t>ia, inclusiv a</w:t>
            </w:r>
          </w:p>
          <w:p w14:paraId="48ABE4D9" w14:textId="77777777" w:rsidR="006B61CE" w:rsidRPr="00F16974" w:rsidRDefault="006B61CE" w:rsidP="00272E04">
            <w:pPr>
              <w:spacing w:line="276" w:lineRule="auto"/>
              <w:jc w:val="both"/>
              <w:rPr>
                <w:rFonts w:ascii="Times New Roman" w:hAnsi="Times New Roman" w:cs="Times New Roman"/>
                <w:lang w:val="ro-RO"/>
              </w:rPr>
            </w:pPr>
            <w:r w:rsidRPr="00F16974">
              <w:rPr>
                <w:rFonts w:ascii="Times New Roman" w:eastAsiaTheme="minorHAnsi" w:hAnsi="Times New Roman" w:cs="Times New Roman"/>
                <w:lang w:val="ro-RO" w:eastAsia="en-US"/>
              </w:rPr>
              <w:t xml:space="preserve">cadrului normativ aplicabil </w:t>
            </w:r>
            <w:r w:rsidRPr="00F16974">
              <w:rPr>
                <w:rFonts w:ascii="Times New Roman" w:eastAsia="TimesNewRomanPSMT" w:hAnsi="Times New Roman" w:cs="Times New Roman"/>
                <w:lang w:val="ro-RO" w:eastAsia="en-US"/>
              </w:rPr>
              <w:t>ș</w:t>
            </w:r>
            <w:r w:rsidRPr="00F16974">
              <w:rPr>
                <w:rFonts w:ascii="Times New Roman" w:eastAsiaTheme="minorHAnsi" w:hAnsi="Times New Roman" w:cs="Times New Roman"/>
                <w:lang w:val="ro-RO" w:eastAsia="en-US"/>
              </w:rPr>
              <w:t>i a deficien</w:t>
            </w:r>
            <w:r w:rsidRPr="00F16974">
              <w:rPr>
                <w:rFonts w:ascii="Times New Roman" w:eastAsia="TimesNewRomanPSMT" w:hAnsi="Times New Roman" w:cs="Times New Roman"/>
                <w:lang w:val="ro-RO" w:eastAsia="en-US"/>
              </w:rPr>
              <w:t>ț</w:t>
            </w:r>
            <w:r w:rsidRPr="00F16974">
              <w:rPr>
                <w:rFonts w:ascii="Times New Roman" w:eastAsiaTheme="minorHAnsi" w:hAnsi="Times New Roman" w:cs="Times New Roman"/>
                <w:lang w:val="ro-RO" w:eastAsia="en-US"/>
              </w:rPr>
              <w:t>elor/lacunelor normative</w:t>
            </w:r>
          </w:p>
        </w:tc>
      </w:tr>
      <w:tr w:rsidR="006B61CE" w:rsidRPr="00A42EDC" w14:paraId="62587F85" w14:textId="77777777" w:rsidTr="006B61CE">
        <w:tc>
          <w:tcPr>
            <w:tcW w:w="9344" w:type="dxa"/>
          </w:tcPr>
          <w:p w14:paraId="17922EA8" w14:textId="77777777" w:rsidR="008F7C5E" w:rsidRPr="00F16974" w:rsidRDefault="008F7C5E" w:rsidP="00A42EDC">
            <w:pPr>
              <w:pBdr>
                <w:top w:val="nil"/>
                <w:left w:val="nil"/>
                <w:bottom w:val="nil"/>
                <w:right w:val="nil"/>
                <w:between w:val="nil"/>
              </w:pBdr>
              <w:spacing w:line="276" w:lineRule="auto"/>
              <w:jc w:val="both"/>
              <w:rPr>
                <w:rFonts w:ascii="Times New Roman" w:eastAsia="Google Sans Text" w:hAnsi="Times New Roman" w:cs="Times New Roman"/>
                <w:lang w:val="ro-RO"/>
              </w:rPr>
            </w:pPr>
            <w:r w:rsidRPr="00F16974">
              <w:rPr>
                <w:rFonts w:ascii="Times New Roman" w:eastAsia="Google Sans Text" w:hAnsi="Times New Roman" w:cs="Times New Roman"/>
                <w:lang w:val="ro-RO"/>
              </w:rPr>
              <w:t xml:space="preserve">Evoluția reglementărilor Uniunii Europene privind conținutul de sulf în combustibili reflectă progresele internaționale în reducerea poluării provenite din utilizarea combustibililor fosili, în special în transportul maritim. </w:t>
            </w:r>
            <w:r w:rsidRPr="00F16974">
              <w:rPr>
                <w:rFonts w:ascii="Times New Roman" w:eastAsia="Google Sans Text" w:hAnsi="Times New Roman" w:cs="Times New Roman"/>
                <w:b/>
                <w:bCs/>
                <w:lang w:val="ro-RO"/>
              </w:rPr>
              <w:t>Directiva (UE) 2016/802</w:t>
            </w:r>
            <w:r w:rsidRPr="00F16974">
              <w:rPr>
                <w:rFonts w:ascii="Times New Roman" w:eastAsia="Google Sans Text" w:hAnsi="Times New Roman" w:cs="Times New Roman"/>
                <w:lang w:val="ro-RO"/>
              </w:rPr>
              <w:t xml:space="preserve"> transpune și actualizează cerințele stabilite în Anexa VI revizuită a </w:t>
            </w:r>
            <w:r w:rsidRPr="00F16974">
              <w:rPr>
                <w:rFonts w:ascii="Times New Roman" w:eastAsia="Google Sans Text" w:hAnsi="Times New Roman" w:cs="Times New Roman"/>
                <w:b/>
                <w:bCs/>
                <w:lang w:val="ro-RO"/>
              </w:rPr>
              <w:t>Convenției MARPOL 73/78</w:t>
            </w:r>
            <w:r w:rsidRPr="00F16974">
              <w:rPr>
                <w:rFonts w:ascii="Times New Roman" w:eastAsia="Google Sans Text" w:hAnsi="Times New Roman" w:cs="Times New Roman"/>
                <w:lang w:val="ro-RO"/>
              </w:rPr>
              <w:t xml:space="preserve">, în vigoare din 1 iulie 2010, introducând limite mult mai stricte pentru </w:t>
            </w:r>
            <w:r w:rsidRPr="00F16974">
              <w:rPr>
                <w:rFonts w:ascii="Times New Roman" w:eastAsia="Google Sans Text" w:hAnsi="Times New Roman" w:cs="Times New Roman"/>
                <w:lang w:val="ro-RO"/>
              </w:rPr>
              <w:lastRenderedPageBreak/>
              <w:t>conținutul de sulf din combustibilii marini.</w:t>
            </w:r>
          </w:p>
          <w:p w14:paraId="5E14A1E5" w14:textId="77777777" w:rsidR="008F7C5E" w:rsidRPr="00F16974" w:rsidRDefault="008F7C5E" w:rsidP="008F7C5E">
            <w:pPr>
              <w:pBdr>
                <w:top w:val="nil"/>
                <w:left w:val="nil"/>
                <w:bottom w:val="nil"/>
                <w:right w:val="nil"/>
                <w:between w:val="nil"/>
              </w:pBdr>
              <w:spacing w:line="276" w:lineRule="auto"/>
              <w:ind w:firstLine="743"/>
              <w:jc w:val="both"/>
              <w:rPr>
                <w:rFonts w:ascii="Times New Roman" w:eastAsia="Google Sans Text" w:hAnsi="Times New Roman" w:cs="Times New Roman"/>
                <w:lang w:val="ro-RO"/>
              </w:rPr>
            </w:pPr>
            <w:r w:rsidRPr="00F16974">
              <w:rPr>
                <w:rFonts w:ascii="Times New Roman" w:eastAsia="Google Sans Text" w:hAnsi="Times New Roman" w:cs="Times New Roman"/>
                <w:lang w:val="ro-RO"/>
              </w:rPr>
              <w:t xml:space="preserve">Astfel, în zonele de control al emisiilor (SECA – Marea Baltică, Marea Nordului, Canalul Mânecii) nivelul maxim admis a fost redus la </w:t>
            </w:r>
            <w:r w:rsidRPr="00F16974">
              <w:rPr>
                <w:rFonts w:ascii="Times New Roman" w:eastAsia="Google Sans Text" w:hAnsi="Times New Roman" w:cs="Times New Roman"/>
                <w:b/>
                <w:bCs/>
                <w:lang w:val="ro-RO"/>
              </w:rPr>
              <w:t>0,10%</w:t>
            </w:r>
            <w:r w:rsidRPr="00F16974">
              <w:rPr>
                <w:rFonts w:ascii="Times New Roman" w:eastAsia="Google Sans Text" w:hAnsi="Times New Roman" w:cs="Times New Roman"/>
                <w:lang w:val="ro-RO"/>
              </w:rPr>
              <w:t xml:space="preserve"> începând cu 1 ianuarie 2015, iar pentru restul apelor internaționale plafonul global a fost stabilit la </w:t>
            </w:r>
            <w:r w:rsidRPr="00F16974">
              <w:rPr>
                <w:rFonts w:ascii="Times New Roman" w:eastAsia="Google Sans Text" w:hAnsi="Times New Roman" w:cs="Times New Roman"/>
                <w:b/>
                <w:bCs/>
                <w:lang w:val="ro-RO"/>
              </w:rPr>
              <w:t>0,50%</w:t>
            </w:r>
            <w:r w:rsidRPr="00F16974">
              <w:rPr>
                <w:rFonts w:ascii="Times New Roman" w:eastAsia="Google Sans Text" w:hAnsi="Times New Roman" w:cs="Times New Roman"/>
                <w:lang w:val="ro-RO"/>
              </w:rPr>
              <w:t xml:space="preserve"> începând cu 1 ianuarie 2020 („global sulphur cap”), conform deciziei Organizației Maritime Internaționale (OMI).</w:t>
            </w:r>
          </w:p>
          <w:p w14:paraId="5893B73D" w14:textId="77777777" w:rsidR="008F7C5E" w:rsidRPr="00F16974" w:rsidRDefault="008F7C5E" w:rsidP="008F7C5E">
            <w:pPr>
              <w:pBdr>
                <w:top w:val="nil"/>
                <w:left w:val="nil"/>
                <w:bottom w:val="nil"/>
                <w:right w:val="nil"/>
                <w:between w:val="nil"/>
              </w:pBdr>
              <w:spacing w:line="276" w:lineRule="auto"/>
              <w:ind w:firstLine="743"/>
              <w:jc w:val="both"/>
              <w:rPr>
                <w:rFonts w:ascii="Times New Roman" w:eastAsia="Google Sans Text" w:hAnsi="Times New Roman" w:cs="Times New Roman"/>
                <w:lang w:val="ro-RO"/>
              </w:rPr>
            </w:pPr>
            <w:r w:rsidRPr="00F16974">
              <w:rPr>
                <w:rFonts w:ascii="Times New Roman" w:eastAsia="Google Sans Text" w:hAnsi="Times New Roman" w:cs="Times New Roman"/>
                <w:lang w:val="ro-RO"/>
              </w:rPr>
              <w:t xml:space="preserve">În Republica Moldova, reglementarea în vigoare — </w:t>
            </w:r>
            <w:r w:rsidRPr="00F16974">
              <w:rPr>
                <w:rFonts w:ascii="Times New Roman" w:eastAsia="Google Sans Text" w:hAnsi="Times New Roman" w:cs="Times New Roman"/>
                <w:b/>
                <w:bCs/>
                <w:lang w:val="ro-RO"/>
              </w:rPr>
              <w:t>Hotărârea Guvernului nr. 414/2016</w:t>
            </w:r>
            <w:r w:rsidRPr="00F16974">
              <w:rPr>
                <w:rFonts w:ascii="Times New Roman" w:eastAsia="Google Sans Text" w:hAnsi="Times New Roman" w:cs="Times New Roman"/>
                <w:lang w:val="ro-RO"/>
              </w:rPr>
              <w:t xml:space="preserve"> — transpune o directivă europeană abrogată (</w:t>
            </w:r>
            <w:r w:rsidRPr="00F16974">
              <w:rPr>
                <w:rFonts w:ascii="Times New Roman" w:eastAsia="Google Sans Text" w:hAnsi="Times New Roman" w:cs="Times New Roman"/>
                <w:b/>
                <w:bCs/>
                <w:lang w:val="ro-RO"/>
              </w:rPr>
              <w:t>Directiva 1999/32/CE</w:t>
            </w:r>
            <w:r w:rsidRPr="00F16974">
              <w:rPr>
                <w:rFonts w:ascii="Times New Roman" w:eastAsia="Google Sans Text" w:hAnsi="Times New Roman" w:cs="Times New Roman"/>
                <w:lang w:val="ro-RO"/>
              </w:rPr>
              <w:t xml:space="preserve">) și, prin urmare, nu mai corespunde cerințelor actuale ale acquis-ului comunitar. Această situație generează un </w:t>
            </w:r>
            <w:r w:rsidRPr="00F16974">
              <w:rPr>
                <w:rFonts w:ascii="Times New Roman" w:eastAsia="Google Sans Text" w:hAnsi="Times New Roman" w:cs="Times New Roman"/>
                <w:b/>
                <w:bCs/>
                <w:lang w:val="ro-RO"/>
              </w:rPr>
              <w:t>vid de reglementare</w:t>
            </w:r>
            <w:r w:rsidRPr="00F16974">
              <w:rPr>
                <w:rFonts w:ascii="Times New Roman" w:eastAsia="Google Sans Text" w:hAnsi="Times New Roman" w:cs="Times New Roman"/>
                <w:lang w:val="ro-RO"/>
              </w:rPr>
              <w:t xml:space="preserve"> și riscuri de </w:t>
            </w:r>
            <w:r w:rsidRPr="00F16974">
              <w:rPr>
                <w:rFonts w:ascii="Times New Roman" w:eastAsia="Google Sans Text" w:hAnsi="Times New Roman" w:cs="Times New Roman"/>
                <w:b/>
                <w:bCs/>
                <w:lang w:val="ro-RO"/>
              </w:rPr>
              <w:t>neconformitate internațională</w:t>
            </w:r>
            <w:r w:rsidRPr="00F16974">
              <w:rPr>
                <w:rFonts w:ascii="Times New Roman" w:eastAsia="Google Sans Text" w:hAnsi="Times New Roman" w:cs="Times New Roman"/>
                <w:lang w:val="ro-RO"/>
              </w:rPr>
              <w:t>, afectând inclusiv eficiența măsurilor de control al emisiilor de dioxid de sulf (SO₂).</w:t>
            </w:r>
          </w:p>
          <w:p w14:paraId="35E99253" w14:textId="77777777" w:rsidR="008F7C5E" w:rsidRPr="00F16974" w:rsidRDefault="008F7C5E" w:rsidP="008F7C5E">
            <w:pPr>
              <w:pBdr>
                <w:top w:val="nil"/>
                <w:left w:val="nil"/>
                <w:bottom w:val="nil"/>
                <w:right w:val="nil"/>
                <w:between w:val="nil"/>
              </w:pBdr>
              <w:spacing w:line="276" w:lineRule="auto"/>
              <w:ind w:firstLine="743"/>
              <w:jc w:val="both"/>
              <w:rPr>
                <w:rFonts w:ascii="Times New Roman" w:eastAsia="Google Sans Text" w:hAnsi="Times New Roman" w:cs="Times New Roman"/>
                <w:b/>
                <w:bCs/>
                <w:lang w:val="ro-RO"/>
              </w:rPr>
            </w:pPr>
            <w:r w:rsidRPr="00F16974">
              <w:rPr>
                <w:rFonts w:ascii="Times New Roman" w:eastAsia="Google Sans Text" w:hAnsi="Times New Roman" w:cs="Times New Roman"/>
                <w:b/>
                <w:bCs/>
                <w:lang w:val="ro-RO"/>
              </w:rPr>
              <w:t>Principalele deficiențe identificate:</w:t>
            </w:r>
          </w:p>
          <w:p w14:paraId="5C9F5AF5" w14:textId="77777777" w:rsidR="008F7C5E" w:rsidRPr="00F16974" w:rsidRDefault="008F7C5E" w:rsidP="008F7C5E">
            <w:pPr>
              <w:numPr>
                <w:ilvl w:val="0"/>
                <w:numId w:val="12"/>
              </w:numPr>
              <w:pBdr>
                <w:top w:val="nil"/>
                <w:left w:val="nil"/>
                <w:bottom w:val="nil"/>
                <w:right w:val="nil"/>
                <w:between w:val="nil"/>
              </w:pBdr>
              <w:spacing w:line="276" w:lineRule="auto"/>
              <w:jc w:val="both"/>
              <w:rPr>
                <w:rFonts w:ascii="Times New Roman" w:eastAsia="Google Sans Text" w:hAnsi="Times New Roman" w:cs="Times New Roman"/>
                <w:lang w:val="ro-RO"/>
              </w:rPr>
            </w:pPr>
            <w:r w:rsidRPr="00F16974">
              <w:rPr>
                <w:rFonts w:ascii="Times New Roman" w:eastAsia="Google Sans Text" w:hAnsi="Times New Roman" w:cs="Times New Roman"/>
                <w:lang w:val="ro-RO"/>
              </w:rPr>
              <w:t xml:space="preserve">HG nr. 414/2016 transpune o directivă </w:t>
            </w:r>
            <w:r w:rsidRPr="00F16974">
              <w:rPr>
                <w:rFonts w:ascii="Times New Roman" w:eastAsia="Google Sans Text" w:hAnsi="Times New Roman" w:cs="Times New Roman"/>
                <w:b/>
                <w:bCs/>
                <w:lang w:val="ro-RO"/>
              </w:rPr>
              <w:t>abrogată și înlocuită</w:t>
            </w:r>
            <w:r w:rsidRPr="00F16974">
              <w:rPr>
                <w:rFonts w:ascii="Times New Roman" w:eastAsia="Google Sans Text" w:hAnsi="Times New Roman" w:cs="Times New Roman"/>
                <w:lang w:val="ro-RO"/>
              </w:rPr>
              <w:t xml:space="preserve"> de Directiva (UE) 2016/802;</w:t>
            </w:r>
          </w:p>
          <w:p w14:paraId="68715CEA" w14:textId="794D0407" w:rsidR="008F7C5E" w:rsidRPr="00F16974" w:rsidRDefault="008F7C5E" w:rsidP="008F7C5E">
            <w:pPr>
              <w:numPr>
                <w:ilvl w:val="0"/>
                <w:numId w:val="12"/>
              </w:numPr>
              <w:pBdr>
                <w:top w:val="nil"/>
                <w:left w:val="nil"/>
                <w:bottom w:val="nil"/>
                <w:right w:val="nil"/>
                <w:between w:val="nil"/>
              </w:pBdr>
              <w:spacing w:line="276" w:lineRule="auto"/>
              <w:jc w:val="both"/>
              <w:rPr>
                <w:rFonts w:ascii="Times New Roman" w:eastAsia="Google Sans Text" w:hAnsi="Times New Roman" w:cs="Times New Roman"/>
                <w:lang w:val="ro-RO"/>
              </w:rPr>
            </w:pPr>
            <w:r w:rsidRPr="00F16974">
              <w:rPr>
                <w:rFonts w:ascii="Times New Roman" w:eastAsia="Google Sans Text" w:hAnsi="Times New Roman" w:cs="Times New Roman"/>
                <w:lang w:val="ro-RO"/>
              </w:rPr>
              <w:t xml:space="preserve">limita de </w:t>
            </w:r>
            <w:r w:rsidRPr="00F16974">
              <w:rPr>
                <w:rFonts w:ascii="Times New Roman" w:eastAsia="Google Sans Text" w:hAnsi="Times New Roman" w:cs="Times New Roman"/>
                <w:b/>
                <w:bCs/>
                <w:lang w:val="ro-RO"/>
              </w:rPr>
              <w:t>3,50% sulf</w:t>
            </w:r>
            <w:r w:rsidRPr="00F16974">
              <w:rPr>
                <w:rFonts w:ascii="Times New Roman" w:eastAsia="Google Sans Text" w:hAnsi="Times New Roman" w:cs="Times New Roman"/>
                <w:lang w:val="ro-RO"/>
              </w:rPr>
              <w:t xml:space="preserve"> pentru combustibilii marini este </w:t>
            </w:r>
            <w:r w:rsidRPr="00F16974">
              <w:rPr>
                <w:rFonts w:ascii="Times New Roman" w:eastAsia="Google Sans Text" w:hAnsi="Times New Roman" w:cs="Times New Roman"/>
                <w:b/>
                <w:bCs/>
                <w:lang w:val="ro-RO"/>
              </w:rPr>
              <w:t xml:space="preserve">depășită </w:t>
            </w:r>
            <w:r w:rsidRPr="00F16974">
              <w:rPr>
                <w:rFonts w:ascii="Times New Roman" w:eastAsia="Google Sans Text" w:hAnsi="Times New Roman" w:cs="Times New Roman"/>
                <w:lang w:val="ro-RO"/>
              </w:rPr>
              <w:t>față de standardul actual (0,50%), menținând un nivel ridicat de poluare și o lipsă de claritate juridică pentru operatorii portuari și autoritățile de control;</w:t>
            </w:r>
          </w:p>
          <w:p w14:paraId="60067D22" w14:textId="77777777" w:rsidR="008F7C5E" w:rsidRPr="00F16974" w:rsidRDefault="008F7C5E" w:rsidP="008F7C5E">
            <w:pPr>
              <w:numPr>
                <w:ilvl w:val="0"/>
                <w:numId w:val="12"/>
              </w:numPr>
              <w:pBdr>
                <w:top w:val="nil"/>
                <w:left w:val="nil"/>
                <w:bottom w:val="nil"/>
                <w:right w:val="nil"/>
                <w:between w:val="nil"/>
              </w:pBdr>
              <w:spacing w:line="276" w:lineRule="auto"/>
              <w:jc w:val="both"/>
              <w:rPr>
                <w:rFonts w:ascii="Times New Roman" w:eastAsia="Google Sans Text" w:hAnsi="Times New Roman" w:cs="Times New Roman"/>
                <w:lang w:val="ro-RO"/>
              </w:rPr>
            </w:pPr>
            <w:r w:rsidRPr="00F16974">
              <w:rPr>
                <w:rFonts w:ascii="Times New Roman" w:eastAsia="Google Sans Text" w:hAnsi="Times New Roman" w:cs="Times New Roman"/>
                <w:lang w:val="ro-RO"/>
              </w:rPr>
              <w:t xml:space="preserve">menținerea unui act bazat pe un instrument normativ european abrogat </w:t>
            </w:r>
            <w:r w:rsidRPr="00F16974">
              <w:rPr>
                <w:rFonts w:ascii="Times New Roman" w:eastAsia="Google Sans Text" w:hAnsi="Times New Roman" w:cs="Times New Roman"/>
                <w:b/>
                <w:bCs/>
                <w:lang w:val="ro-RO"/>
              </w:rPr>
              <w:t>contravine principiilor de coerență și predictibilitate</w:t>
            </w:r>
            <w:r w:rsidRPr="00F16974">
              <w:rPr>
                <w:rFonts w:ascii="Times New Roman" w:eastAsia="Google Sans Text" w:hAnsi="Times New Roman" w:cs="Times New Roman"/>
                <w:lang w:val="ro-RO"/>
              </w:rPr>
              <w:t xml:space="preserve"> prevăzute de Legea nr. 100/2017 privind actele normative.</w:t>
            </w:r>
          </w:p>
          <w:p w14:paraId="73FB726A" w14:textId="52B88F46" w:rsidR="008F7C5E" w:rsidRPr="00F16974" w:rsidRDefault="008F7C5E" w:rsidP="00A42EDC">
            <w:pPr>
              <w:pBdr>
                <w:top w:val="nil"/>
                <w:left w:val="nil"/>
                <w:bottom w:val="nil"/>
                <w:right w:val="nil"/>
                <w:between w:val="nil"/>
              </w:pBdr>
              <w:spacing w:line="276" w:lineRule="auto"/>
              <w:jc w:val="both"/>
              <w:rPr>
                <w:rFonts w:ascii="Times New Roman" w:eastAsia="Google Sans Text" w:hAnsi="Times New Roman" w:cs="Times New Roman"/>
                <w:lang w:val="ro-RO"/>
              </w:rPr>
            </w:pPr>
            <w:r w:rsidRPr="00F16974">
              <w:rPr>
                <w:rFonts w:ascii="Times New Roman" w:eastAsia="Google Sans Text" w:hAnsi="Times New Roman" w:cs="Times New Roman"/>
                <w:lang w:val="ro-RO"/>
              </w:rPr>
              <w:t xml:space="preserve">Directiva (UE) 2016/802 stabilește, totodată, limite clare pentru conținutul de sulf în </w:t>
            </w:r>
            <w:r w:rsidRPr="00F16974">
              <w:rPr>
                <w:rFonts w:ascii="Times New Roman" w:eastAsia="Google Sans Text" w:hAnsi="Times New Roman" w:cs="Times New Roman"/>
                <w:b/>
                <w:bCs/>
                <w:lang w:val="ro-RO"/>
              </w:rPr>
              <w:t>păcură, motorină și alți combustibili lichizi</w:t>
            </w:r>
            <w:r w:rsidRPr="00F16974">
              <w:rPr>
                <w:rFonts w:ascii="Times New Roman" w:eastAsia="Google Sans Text" w:hAnsi="Times New Roman" w:cs="Times New Roman"/>
                <w:lang w:val="ro-RO"/>
              </w:rPr>
              <w:t xml:space="preserve">. Astfel, statele membre sunt obligate să interzică utilizarea păcurii cu peste </w:t>
            </w:r>
            <w:r w:rsidRPr="00F16974">
              <w:rPr>
                <w:rFonts w:ascii="Times New Roman" w:eastAsia="Google Sans Text" w:hAnsi="Times New Roman" w:cs="Times New Roman"/>
                <w:b/>
                <w:bCs/>
                <w:lang w:val="ro-RO"/>
              </w:rPr>
              <w:t>1% sulf</w:t>
            </w:r>
            <w:r w:rsidRPr="00F16974">
              <w:rPr>
                <w:rFonts w:ascii="Times New Roman" w:eastAsia="Google Sans Text" w:hAnsi="Times New Roman" w:cs="Times New Roman"/>
                <w:lang w:val="ro-RO"/>
              </w:rPr>
              <w:t xml:space="preserve"> și a motorinei sau altor combustibili lichizi cu peste </w:t>
            </w:r>
            <w:r w:rsidRPr="00F16974">
              <w:rPr>
                <w:rFonts w:ascii="Times New Roman" w:eastAsia="Google Sans Text" w:hAnsi="Times New Roman" w:cs="Times New Roman"/>
                <w:b/>
                <w:bCs/>
                <w:lang w:val="ro-RO"/>
              </w:rPr>
              <w:t>0,10% sulf</w:t>
            </w:r>
            <w:r w:rsidRPr="00F16974">
              <w:rPr>
                <w:rFonts w:ascii="Times New Roman" w:eastAsia="Google Sans Text" w:hAnsi="Times New Roman" w:cs="Times New Roman"/>
                <w:lang w:val="ro-RO"/>
              </w:rPr>
              <w:t>.</w:t>
            </w:r>
          </w:p>
          <w:p w14:paraId="10615063" w14:textId="77777777" w:rsidR="008F7C5E" w:rsidRPr="00F16974" w:rsidRDefault="008F7C5E" w:rsidP="008F7C5E">
            <w:pPr>
              <w:pBdr>
                <w:top w:val="nil"/>
                <w:left w:val="nil"/>
                <w:bottom w:val="nil"/>
                <w:right w:val="nil"/>
                <w:between w:val="nil"/>
              </w:pBdr>
              <w:spacing w:line="276" w:lineRule="auto"/>
              <w:ind w:firstLine="743"/>
              <w:jc w:val="both"/>
              <w:rPr>
                <w:rFonts w:ascii="Times New Roman" w:eastAsia="Google Sans Text" w:hAnsi="Times New Roman" w:cs="Times New Roman"/>
                <w:b/>
                <w:bCs/>
                <w:lang w:val="ro-RO"/>
              </w:rPr>
            </w:pPr>
            <w:r w:rsidRPr="00F16974">
              <w:rPr>
                <w:rFonts w:ascii="Times New Roman" w:eastAsia="Google Sans Text" w:hAnsi="Times New Roman" w:cs="Times New Roman"/>
                <w:b/>
                <w:bCs/>
                <w:lang w:val="ro-RO"/>
              </w:rPr>
              <w:t>Situația actuală în Republica Moldova:</w:t>
            </w:r>
          </w:p>
          <w:p w14:paraId="00558D75" w14:textId="55CB207D" w:rsidR="008F7C5E" w:rsidRPr="00F16974" w:rsidRDefault="008F7C5E" w:rsidP="008F7C5E">
            <w:pPr>
              <w:numPr>
                <w:ilvl w:val="0"/>
                <w:numId w:val="13"/>
              </w:numPr>
              <w:pBdr>
                <w:top w:val="nil"/>
                <w:left w:val="nil"/>
                <w:bottom w:val="nil"/>
                <w:right w:val="nil"/>
                <w:between w:val="nil"/>
              </w:pBdr>
              <w:spacing w:line="276" w:lineRule="auto"/>
              <w:jc w:val="both"/>
              <w:rPr>
                <w:rFonts w:ascii="Times New Roman" w:eastAsia="Google Sans Text" w:hAnsi="Times New Roman" w:cs="Times New Roman"/>
                <w:lang w:val="ro-RO"/>
              </w:rPr>
            </w:pPr>
            <w:r w:rsidRPr="00F16974">
              <w:rPr>
                <w:rFonts w:ascii="Times New Roman" w:eastAsia="Google Sans Text" w:hAnsi="Times New Roman" w:cs="Times New Roman"/>
                <w:b/>
                <w:bCs/>
                <w:lang w:val="ro-RO"/>
              </w:rPr>
              <w:t>Păcura</w:t>
            </w:r>
            <w:r w:rsidRPr="00F16974">
              <w:rPr>
                <w:rFonts w:ascii="Times New Roman" w:eastAsia="Google Sans Text" w:hAnsi="Times New Roman" w:cs="Times New Roman"/>
                <w:lang w:val="ro-RO"/>
              </w:rPr>
              <w:t xml:space="preserve"> este utilizată ocazional, în principal în sectorul termoenergetic și industrial, în situații de criză a gazelor naturale. În sezonul rece 2022–2023, S.A. „Termoelectrica” a ars zeci de mii de tone de păcură din rezerva de stat pentru asigurarea continuității serviciilor energetice.</w:t>
            </w:r>
            <w:r w:rsidR="00461E02" w:rsidRPr="00F16974">
              <w:rPr>
                <w:rFonts w:ascii="Times New Roman" w:eastAsia="Google Sans Text" w:hAnsi="Times New Roman" w:cs="Times New Roman"/>
                <w:lang w:val="ro-RO"/>
              </w:rPr>
              <w:t xml:space="preserve"> </w:t>
            </w:r>
            <w:r w:rsidR="00461E02" w:rsidRPr="00F16974">
              <w:rPr>
                <w:rFonts w:ascii="Times New Roman" w:hAnsi="Times New Roman" w:cs="Times New Roman"/>
                <w:lang w:val="ro-RO"/>
              </w:rPr>
              <w:t>către populație și instituțiile critice, în contextul crizei de gaze naturale. De asemenea, unele întreprinderi industriale au recurs ocazional la păcură ca alternativă, atunci când alimentarea cu gaze a fost limitată. În mod normal însă, consumul de păcură pe piața internă este redus, dat fiind impactul ei poluant ridicat și disponibilitatea altor combustibili</w:t>
            </w:r>
            <w:r w:rsidR="00623B9D" w:rsidRPr="00F16974">
              <w:rPr>
                <w:rFonts w:ascii="Times New Roman" w:hAnsi="Times New Roman" w:cs="Times New Roman"/>
                <w:lang w:val="ro-RO"/>
              </w:rPr>
              <w:t>.</w:t>
            </w:r>
          </w:p>
          <w:p w14:paraId="06A170F8" w14:textId="77777777" w:rsidR="00623B9D" w:rsidRPr="00F16974" w:rsidRDefault="008F7C5E" w:rsidP="00623B9D">
            <w:pPr>
              <w:numPr>
                <w:ilvl w:val="0"/>
                <w:numId w:val="13"/>
              </w:numPr>
              <w:pBdr>
                <w:top w:val="nil"/>
                <w:left w:val="nil"/>
                <w:bottom w:val="nil"/>
                <w:right w:val="nil"/>
                <w:between w:val="nil"/>
              </w:pBdr>
              <w:spacing w:line="276" w:lineRule="auto"/>
              <w:jc w:val="both"/>
              <w:rPr>
                <w:rFonts w:ascii="Times New Roman" w:eastAsia="Google Sans Text" w:hAnsi="Times New Roman" w:cs="Times New Roman"/>
                <w:lang w:val="ro-RO"/>
              </w:rPr>
            </w:pPr>
            <w:r w:rsidRPr="00F16974">
              <w:rPr>
                <w:rFonts w:ascii="Times New Roman" w:eastAsia="Google Sans Text" w:hAnsi="Times New Roman" w:cs="Times New Roman"/>
                <w:b/>
                <w:bCs/>
                <w:lang w:val="ro-RO"/>
              </w:rPr>
              <w:t>Motorina</w:t>
            </w:r>
            <w:r w:rsidRPr="00F16974">
              <w:rPr>
                <w:rFonts w:ascii="Times New Roman" w:eastAsia="Google Sans Text" w:hAnsi="Times New Roman" w:cs="Times New Roman"/>
                <w:lang w:val="ro-RO"/>
              </w:rPr>
              <w:t xml:space="preserve"> este combustibilul fosil cel mai importat, având o pondere majoritară în consumul național. În trimestrul I 2023 importurile au atins circa 244,6 milioane USD, în creștere cu 58,6% față de aceeași perioadă din 2022.</w:t>
            </w:r>
          </w:p>
          <w:p w14:paraId="59D5AC02" w14:textId="77777777" w:rsidR="00623B9D" w:rsidRPr="00F16974" w:rsidRDefault="008F7C5E" w:rsidP="00623B9D">
            <w:pPr>
              <w:numPr>
                <w:ilvl w:val="0"/>
                <w:numId w:val="13"/>
              </w:numPr>
              <w:pBdr>
                <w:top w:val="nil"/>
                <w:left w:val="nil"/>
                <w:bottom w:val="nil"/>
                <w:right w:val="nil"/>
                <w:between w:val="nil"/>
              </w:pBdr>
              <w:spacing w:line="276" w:lineRule="auto"/>
              <w:jc w:val="both"/>
              <w:rPr>
                <w:rFonts w:ascii="Times New Roman" w:eastAsia="Google Sans Text" w:hAnsi="Times New Roman" w:cs="Times New Roman"/>
                <w:lang w:val="ro-RO"/>
              </w:rPr>
            </w:pPr>
            <w:r w:rsidRPr="00F16974">
              <w:rPr>
                <w:rFonts w:ascii="Times New Roman" w:eastAsia="Google Sans Text" w:hAnsi="Times New Roman" w:cs="Times New Roman"/>
                <w:b/>
                <w:bCs/>
                <w:lang w:val="ro-RO"/>
              </w:rPr>
              <w:t>Păcura importată</w:t>
            </w:r>
            <w:r w:rsidRPr="00F16974">
              <w:rPr>
                <w:rFonts w:ascii="Times New Roman" w:eastAsia="Google Sans Text" w:hAnsi="Times New Roman" w:cs="Times New Roman"/>
                <w:lang w:val="ro-RO"/>
              </w:rPr>
              <w:t xml:space="preserve"> a crescut exponențial în contextul crizei energetice, ajungând la circa 62,9 milioane USD în trimestrul I 2023, față de 1,84 milioane USD în 2022.</w:t>
            </w:r>
            <w:r w:rsidR="00623B9D" w:rsidRPr="00F16974">
              <w:rPr>
                <w:rFonts w:ascii="Times New Roman" w:hAnsi="Times New Roman" w:cs="Times New Roman"/>
                <w:lang w:val="ro-RO"/>
              </w:rPr>
              <w:t xml:space="preserve"> Această creștere corespunde unor cantități de ordinul zecilor de mii de tone de păcură achiziționate, utilizate aproape exclusiv pentru asigurarea funcționării centralelor termoelectrice din țară (ex. S.A. „Termoelectrica”) în lipsa gazului, păcura nefiind destinată revânzării.</w:t>
            </w:r>
          </w:p>
          <w:p w14:paraId="6C2A70D3" w14:textId="76ACAF80" w:rsidR="008F7C5E" w:rsidRPr="00F16974" w:rsidRDefault="008F7C5E" w:rsidP="00C05E4D">
            <w:pPr>
              <w:numPr>
                <w:ilvl w:val="0"/>
                <w:numId w:val="13"/>
              </w:numPr>
              <w:pBdr>
                <w:top w:val="nil"/>
                <w:left w:val="nil"/>
                <w:bottom w:val="nil"/>
                <w:right w:val="nil"/>
                <w:between w:val="nil"/>
              </w:pBdr>
              <w:spacing w:line="276" w:lineRule="auto"/>
              <w:jc w:val="both"/>
              <w:rPr>
                <w:rFonts w:ascii="Times New Roman" w:eastAsia="Google Sans Text" w:hAnsi="Times New Roman" w:cs="Times New Roman"/>
                <w:lang w:val="ro-RO"/>
              </w:rPr>
            </w:pPr>
            <w:r w:rsidRPr="00F16974">
              <w:rPr>
                <w:rFonts w:ascii="Times New Roman" w:eastAsia="Google Sans Text" w:hAnsi="Times New Roman" w:cs="Times New Roman"/>
                <w:b/>
                <w:bCs/>
                <w:lang w:val="ro-RO"/>
              </w:rPr>
              <w:t>Combustibilii marini</w:t>
            </w:r>
            <w:r w:rsidRPr="00F16974">
              <w:rPr>
                <w:rFonts w:ascii="Times New Roman" w:eastAsia="Google Sans Text" w:hAnsi="Times New Roman" w:cs="Times New Roman"/>
                <w:lang w:val="ro-RO"/>
              </w:rPr>
              <w:t xml:space="preserve"> </w:t>
            </w:r>
            <w:r w:rsidR="00623B9D" w:rsidRPr="00F16974">
              <w:rPr>
                <w:rFonts w:ascii="Times New Roman" w:hAnsi="Times New Roman" w:cs="Times New Roman"/>
                <w:lang w:val="ro-RO"/>
              </w:rPr>
              <w:t>pentru navigație maritimă, Republica Moldova nu are importuri dedicate de combustibil marin dat fiind accesul maritim foarte limitat; cu toate acestea, o parte din motorina importată este reexportată ulterior, inclusiv ca combustibil pentru nave sau livrări către țări din regiune. De exemplu, în 2022-2023 s-a constatat un reexport masiv de motorină către Ucraina, realizat prin Portul Internațional Liber Giurgiulești – operatorul Danube Logistics a trimis cantități importante de motorină peste graniță, ceea ce explică o diferență de ~80.000 tone în statisticile de import, reprezentând practic export indirect de combustibil.</w:t>
            </w:r>
          </w:p>
          <w:p w14:paraId="333736F4" w14:textId="77777777" w:rsidR="008F7C5E" w:rsidRPr="00F16974" w:rsidRDefault="008F7C5E" w:rsidP="008F7C5E">
            <w:pPr>
              <w:pBdr>
                <w:top w:val="nil"/>
                <w:left w:val="nil"/>
                <w:bottom w:val="nil"/>
                <w:right w:val="nil"/>
                <w:between w:val="nil"/>
              </w:pBdr>
              <w:spacing w:line="276" w:lineRule="auto"/>
              <w:ind w:firstLine="743"/>
              <w:jc w:val="both"/>
              <w:rPr>
                <w:rFonts w:ascii="Times New Roman" w:eastAsia="Google Sans Text" w:hAnsi="Times New Roman" w:cs="Times New Roman"/>
                <w:b/>
                <w:bCs/>
                <w:lang w:val="ro-RO"/>
              </w:rPr>
            </w:pPr>
            <w:r w:rsidRPr="00F16974">
              <w:rPr>
                <w:rFonts w:ascii="Times New Roman" w:eastAsia="Google Sans Text" w:hAnsi="Times New Roman" w:cs="Times New Roman"/>
                <w:b/>
                <w:bCs/>
                <w:lang w:val="ro-RO"/>
              </w:rPr>
              <w:t>Cadrul normativ aplicabil:</w:t>
            </w:r>
          </w:p>
          <w:p w14:paraId="6844027C" w14:textId="77777777" w:rsidR="008F7C5E" w:rsidRPr="00F16974" w:rsidRDefault="008F7C5E" w:rsidP="008F7C5E">
            <w:pPr>
              <w:numPr>
                <w:ilvl w:val="0"/>
                <w:numId w:val="14"/>
              </w:numPr>
              <w:pBdr>
                <w:top w:val="nil"/>
                <w:left w:val="nil"/>
                <w:bottom w:val="nil"/>
                <w:right w:val="nil"/>
                <w:between w:val="nil"/>
              </w:pBdr>
              <w:spacing w:line="276" w:lineRule="auto"/>
              <w:jc w:val="both"/>
              <w:rPr>
                <w:rFonts w:ascii="Times New Roman" w:eastAsia="Google Sans Text" w:hAnsi="Times New Roman" w:cs="Times New Roman"/>
                <w:lang w:val="ro-RO"/>
              </w:rPr>
            </w:pPr>
            <w:r w:rsidRPr="00F16974">
              <w:rPr>
                <w:rFonts w:ascii="Times New Roman" w:eastAsia="Google Sans Text" w:hAnsi="Times New Roman" w:cs="Times New Roman"/>
                <w:lang w:val="ro-RO"/>
              </w:rPr>
              <w:t>Legea nr. 461/2001 privind piața produselor petroliere – stabilește cerințele tehnice și de mediu pentru calitatea combustibililor;</w:t>
            </w:r>
          </w:p>
          <w:p w14:paraId="3F297DD6" w14:textId="77777777" w:rsidR="00994ECB" w:rsidRPr="00F16974" w:rsidRDefault="008F7C5E" w:rsidP="00994ECB">
            <w:pPr>
              <w:numPr>
                <w:ilvl w:val="0"/>
                <w:numId w:val="14"/>
              </w:numPr>
              <w:pBdr>
                <w:top w:val="nil"/>
                <w:left w:val="nil"/>
                <w:bottom w:val="nil"/>
                <w:right w:val="nil"/>
                <w:between w:val="nil"/>
              </w:pBdr>
              <w:spacing w:line="276" w:lineRule="auto"/>
              <w:jc w:val="both"/>
              <w:rPr>
                <w:rFonts w:ascii="Times New Roman" w:eastAsia="Google Sans Text" w:hAnsi="Times New Roman" w:cs="Times New Roman"/>
                <w:lang w:val="ro-RO"/>
              </w:rPr>
            </w:pPr>
            <w:r w:rsidRPr="00F16974">
              <w:rPr>
                <w:rFonts w:ascii="Times New Roman" w:eastAsia="Google Sans Text" w:hAnsi="Times New Roman" w:cs="Times New Roman"/>
                <w:lang w:val="ro-RO"/>
              </w:rPr>
              <w:t>Legea nr. 98/2022 privind calitatea aerului atmosferic – stabilește obiectivele de reducere a poluării la sursă;</w:t>
            </w:r>
          </w:p>
          <w:p w14:paraId="625F0E7B" w14:textId="02818DCC" w:rsidR="00B0712F" w:rsidRPr="00F16974" w:rsidRDefault="008F7C5E" w:rsidP="00994ECB">
            <w:pPr>
              <w:numPr>
                <w:ilvl w:val="0"/>
                <w:numId w:val="14"/>
              </w:numPr>
              <w:pBdr>
                <w:top w:val="nil"/>
                <w:left w:val="nil"/>
                <w:bottom w:val="nil"/>
                <w:right w:val="nil"/>
                <w:between w:val="nil"/>
              </w:pBdr>
              <w:spacing w:line="276" w:lineRule="auto"/>
              <w:jc w:val="both"/>
              <w:rPr>
                <w:rFonts w:ascii="Times New Roman" w:eastAsia="Google Sans Text" w:hAnsi="Times New Roman" w:cs="Times New Roman"/>
                <w:lang w:val="ro-RO"/>
              </w:rPr>
            </w:pPr>
            <w:r w:rsidRPr="00F16974">
              <w:rPr>
                <w:rFonts w:ascii="Times New Roman" w:eastAsia="Google Sans Text" w:hAnsi="Times New Roman" w:cs="Times New Roman"/>
                <w:lang w:val="ro-RO"/>
              </w:rPr>
              <w:lastRenderedPageBreak/>
              <w:t>Legea nr. 227/2022 privind emisiile industriale – reglementează limitele de emisii pentru instalațiile de ardere;</w:t>
            </w:r>
          </w:p>
          <w:p w14:paraId="0C6F8A53" w14:textId="72958B19" w:rsidR="00994ECB" w:rsidRPr="00F16974" w:rsidRDefault="00994ECB" w:rsidP="00B0712F">
            <w:pPr>
              <w:numPr>
                <w:ilvl w:val="0"/>
                <w:numId w:val="14"/>
              </w:numPr>
              <w:pBdr>
                <w:top w:val="nil"/>
                <w:left w:val="nil"/>
                <w:bottom w:val="nil"/>
                <w:right w:val="nil"/>
                <w:between w:val="nil"/>
              </w:pBdr>
              <w:spacing w:line="276" w:lineRule="auto"/>
              <w:jc w:val="both"/>
              <w:rPr>
                <w:rFonts w:ascii="Times New Roman" w:eastAsia="Google Sans Text" w:hAnsi="Times New Roman" w:cs="Times New Roman"/>
                <w:lang w:val="ro-RO"/>
              </w:rPr>
            </w:pPr>
            <w:r w:rsidRPr="00F16974">
              <w:rPr>
                <w:rFonts w:ascii="Times New Roman" w:eastAsia="Google Sans Text" w:hAnsi="Times New Roman" w:cs="Times New Roman"/>
                <w:lang w:val="ro-RO"/>
              </w:rPr>
              <w:t>Hotărârea Guvernului nr. 1116/2002 despre aprobarea Regulamentului cu privire la depozitarea şi comercializarea cu ridicata, prin sistem automatizat, a produselor petroliere identificate – reglementează procedurile de eșantionare a combustibililor plasați pe piața;</w:t>
            </w:r>
          </w:p>
          <w:p w14:paraId="028ECC12" w14:textId="6403018B" w:rsidR="00B0712F" w:rsidRPr="00F16974" w:rsidRDefault="008F7C5E" w:rsidP="00B0712F">
            <w:pPr>
              <w:numPr>
                <w:ilvl w:val="0"/>
                <w:numId w:val="14"/>
              </w:numPr>
              <w:pBdr>
                <w:top w:val="nil"/>
                <w:left w:val="nil"/>
                <w:bottom w:val="nil"/>
                <w:right w:val="nil"/>
                <w:between w:val="nil"/>
              </w:pBdr>
              <w:spacing w:line="276" w:lineRule="auto"/>
              <w:jc w:val="both"/>
              <w:rPr>
                <w:rFonts w:ascii="Times New Roman" w:eastAsia="Google Sans Text" w:hAnsi="Times New Roman" w:cs="Times New Roman"/>
                <w:lang w:val="ro-RO"/>
              </w:rPr>
            </w:pPr>
            <w:r w:rsidRPr="00F16974">
              <w:rPr>
                <w:rFonts w:ascii="Times New Roman" w:eastAsia="Google Sans Text" w:hAnsi="Times New Roman" w:cs="Times New Roman"/>
                <w:lang w:val="ro-RO"/>
              </w:rPr>
              <w:t xml:space="preserve">Hotărârea Guvernului </w:t>
            </w:r>
            <w:r w:rsidR="00214843" w:rsidRPr="00F16974">
              <w:rPr>
                <w:rFonts w:ascii="Times New Roman" w:eastAsia="Google Sans Text" w:hAnsi="Times New Roman" w:cs="Times New Roman"/>
                <w:lang w:val="ro-RO"/>
              </w:rPr>
              <w:t>nr. 301/</w:t>
            </w:r>
            <w:r w:rsidRPr="00F16974">
              <w:rPr>
                <w:rFonts w:ascii="Times New Roman" w:eastAsia="Google Sans Text" w:hAnsi="Times New Roman" w:cs="Times New Roman"/>
                <w:lang w:val="ro-RO"/>
              </w:rPr>
              <w:t xml:space="preserve">2025 privind Sistemul Informațional de Monitorizare a Calității Benzinei și Motorinei – instituie un mecanism de control </w:t>
            </w:r>
            <w:r w:rsidR="00214843" w:rsidRPr="00F16974">
              <w:rPr>
                <w:rFonts w:ascii="Times New Roman" w:eastAsia="Google Sans Text" w:hAnsi="Times New Roman" w:cs="Times New Roman"/>
                <w:lang w:val="ro-RO"/>
              </w:rPr>
              <w:t xml:space="preserve">al combustibililor </w:t>
            </w:r>
            <w:r w:rsidRPr="00F16974">
              <w:rPr>
                <w:rFonts w:ascii="Times New Roman" w:eastAsia="Google Sans Text" w:hAnsi="Times New Roman" w:cs="Times New Roman"/>
                <w:lang w:val="ro-RO"/>
              </w:rPr>
              <w:t>transparent și compatibil cu cerințele UE.</w:t>
            </w:r>
          </w:p>
          <w:p w14:paraId="494EA1EE" w14:textId="77777777" w:rsidR="005D6FEA" w:rsidRDefault="00B0712F" w:rsidP="005D6FEA">
            <w:pPr>
              <w:numPr>
                <w:ilvl w:val="0"/>
                <w:numId w:val="14"/>
              </w:numPr>
              <w:pBdr>
                <w:top w:val="nil"/>
                <w:left w:val="nil"/>
                <w:bottom w:val="nil"/>
                <w:right w:val="nil"/>
                <w:between w:val="nil"/>
              </w:pBdr>
              <w:spacing w:line="276" w:lineRule="auto"/>
              <w:jc w:val="both"/>
              <w:rPr>
                <w:rFonts w:ascii="Times New Roman" w:hAnsi="Times New Roman" w:cs="Times New Roman"/>
                <w:lang w:val="ro-RO"/>
              </w:rPr>
            </w:pPr>
            <w:r w:rsidRPr="00F16974">
              <w:rPr>
                <w:rFonts w:ascii="Times New Roman" w:hAnsi="Times New Roman" w:cs="Times New Roman"/>
                <w:lang w:val="ro-RO"/>
              </w:rPr>
              <w:t>Ordin nr. 91din 01-07-2025 al Ministerului Dozvoltării Economice și Digitalizării , cu privier la aprobarea Planului naționade monitorizare prin eșantionare a calității benzinei și motorinei pentru anul 2025.</w:t>
            </w:r>
          </w:p>
          <w:p w14:paraId="61E56A98" w14:textId="0187943D" w:rsidR="008F7C5E" w:rsidRPr="005D6FEA" w:rsidRDefault="008F7C5E" w:rsidP="005D6FEA">
            <w:pPr>
              <w:pBdr>
                <w:top w:val="nil"/>
                <w:left w:val="nil"/>
                <w:bottom w:val="nil"/>
                <w:right w:val="nil"/>
                <w:between w:val="nil"/>
              </w:pBdr>
              <w:spacing w:line="276" w:lineRule="auto"/>
              <w:jc w:val="both"/>
              <w:rPr>
                <w:rFonts w:ascii="Times New Roman" w:hAnsi="Times New Roman" w:cs="Times New Roman"/>
                <w:lang w:val="ro-RO"/>
              </w:rPr>
            </w:pPr>
            <w:r w:rsidRPr="005D6FEA">
              <w:rPr>
                <w:rFonts w:ascii="Times New Roman" w:eastAsia="Google Sans Text" w:hAnsi="Times New Roman" w:cs="Times New Roman"/>
                <w:color w:val="1B1C1D"/>
                <w:lang w:val="ro-RO"/>
              </w:rPr>
              <w:t xml:space="preserve">Aceste instrumente legislative creează baza generală pentru controlul calității combustibililor, însă </w:t>
            </w:r>
            <w:r w:rsidRPr="005D6FEA">
              <w:rPr>
                <w:rFonts w:ascii="Times New Roman" w:eastAsia="Google Sans Text" w:hAnsi="Times New Roman" w:cs="Times New Roman"/>
                <w:b/>
                <w:bCs/>
                <w:color w:val="1B1C1D"/>
                <w:lang w:val="ro-RO"/>
              </w:rPr>
              <w:t>nu acoperă integral cerințele Directivei (UE) 2016/802</w:t>
            </w:r>
            <w:r w:rsidRPr="005D6FEA">
              <w:rPr>
                <w:rFonts w:ascii="Times New Roman" w:eastAsia="Google Sans Text" w:hAnsi="Times New Roman" w:cs="Times New Roman"/>
                <w:color w:val="1B1C1D"/>
                <w:lang w:val="ro-RO"/>
              </w:rPr>
              <w:t>, în special în ceea ce privește combustibilii utilizați în transportul maritim și în instalațiile terestre mari de ardere.</w:t>
            </w:r>
          </w:p>
          <w:p w14:paraId="39373A5C" w14:textId="77777777" w:rsidR="008F7C5E" w:rsidRPr="00F16974" w:rsidRDefault="008F7C5E" w:rsidP="00B0712F">
            <w:pPr>
              <w:pBdr>
                <w:top w:val="nil"/>
                <w:left w:val="nil"/>
                <w:bottom w:val="nil"/>
                <w:right w:val="nil"/>
                <w:between w:val="nil"/>
              </w:pBdr>
              <w:spacing w:line="276" w:lineRule="auto"/>
              <w:ind w:firstLine="166"/>
              <w:jc w:val="both"/>
              <w:rPr>
                <w:rFonts w:ascii="Times New Roman" w:eastAsia="Google Sans Text" w:hAnsi="Times New Roman" w:cs="Times New Roman"/>
                <w:b/>
                <w:bCs/>
                <w:color w:val="1B1C1D"/>
                <w:lang w:val="ro-RO"/>
              </w:rPr>
            </w:pPr>
            <w:r w:rsidRPr="00F16974">
              <w:rPr>
                <w:rFonts w:ascii="Times New Roman" w:eastAsia="Google Sans Text" w:hAnsi="Times New Roman" w:cs="Times New Roman"/>
                <w:b/>
                <w:bCs/>
                <w:color w:val="1B1C1D"/>
                <w:lang w:val="ro-RO"/>
              </w:rPr>
              <w:t>Raționamentul intervenției:</w:t>
            </w:r>
          </w:p>
          <w:p w14:paraId="16C6BFE7" w14:textId="77777777" w:rsidR="008F7C5E" w:rsidRPr="00F16974" w:rsidRDefault="008F7C5E" w:rsidP="008F7C5E">
            <w:pPr>
              <w:pBdr>
                <w:top w:val="nil"/>
                <w:left w:val="nil"/>
                <w:bottom w:val="nil"/>
                <w:right w:val="nil"/>
                <w:between w:val="nil"/>
              </w:pBdr>
              <w:spacing w:line="276" w:lineRule="auto"/>
              <w:ind w:firstLine="743"/>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 xml:space="preserve">Elaborarea noului </w:t>
            </w:r>
            <w:r w:rsidRPr="00F16974">
              <w:rPr>
                <w:rFonts w:ascii="Times New Roman" w:eastAsia="Google Sans Text" w:hAnsi="Times New Roman" w:cs="Times New Roman"/>
                <w:b/>
                <w:bCs/>
                <w:color w:val="1B1C1D"/>
                <w:lang w:val="ro-RO"/>
              </w:rPr>
              <w:t>Regulament privind conținutul de sulf din combustibilii lichizi</w:t>
            </w:r>
            <w:r w:rsidRPr="00F16974">
              <w:rPr>
                <w:rFonts w:ascii="Times New Roman" w:eastAsia="Google Sans Text" w:hAnsi="Times New Roman" w:cs="Times New Roman"/>
                <w:color w:val="1B1C1D"/>
                <w:lang w:val="ro-RO"/>
              </w:rPr>
              <w:t xml:space="preserve"> este necesară pentru:</w:t>
            </w:r>
          </w:p>
          <w:p w14:paraId="61BCCAA5" w14:textId="1813ACC2" w:rsidR="008F7C5E" w:rsidRPr="00F16974" w:rsidRDefault="004A46DB" w:rsidP="008F7C5E">
            <w:pPr>
              <w:numPr>
                <w:ilvl w:val="0"/>
                <w:numId w:val="15"/>
              </w:numPr>
              <w:pBdr>
                <w:top w:val="nil"/>
                <w:left w:val="nil"/>
                <w:bottom w:val="nil"/>
                <w:right w:val="nil"/>
                <w:between w:val="nil"/>
              </w:pBdr>
              <w:spacing w:line="276" w:lineRule="auto"/>
              <w:jc w:val="both"/>
              <w:rPr>
                <w:rFonts w:ascii="Times New Roman" w:eastAsia="Google Sans Text" w:hAnsi="Times New Roman" w:cs="Times New Roman"/>
                <w:color w:val="1B1C1D"/>
                <w:lang w:val="ro-RO"/>
              </w:rPr>
            </w:pPr>
            <w:r>
              <w:rPr>
                <w:rFonts w:ascii="Times New Roman" w:eastAsia="Google Sans Text" w:hAnsi="Times New Roman" w:cs="Times New Roman"/>
                <w:color w:val="1B1C1D"/>
                <w:lang w:val="ro-RO"/>
              </w:rPr>
              <w:t>A</w:t>
            </w:r>
            <w:r w:rsidR="008F7C5E" w:rsidRPr="00F16974">
              <w:rPr>
                <w:rFonts w:ascii="Times New Roman" w:eastAsia="Google Sans Text" w:hAnsi="Times New Roman" w:cs="Times New Roman"/>
                <w:color w:val="1B1C1D"/>
                <w:lang w:val="ro-RO"/>
              </w:rPr>
              <w:t>ctualizarea și armonizarea cadrului normativ național cu legislația UE și cu prevederile Convenției MARPOL;</w:t>
            </w:r>
          </w:p>
          <w:p w14:paraId="22B711F5" w14:textId="6F600FEC" w:rsidR="008F7C5E" w:rsidRPr="00F16974" w:rsidRDefault="004A46DB" w:rsidP="008F7C5E">
            <w:pPr>
              <w:numPr>
                <w:ilvl w:val="0"/>
                <w:numId w:val="15"/>
              </w:numPr>
              <w:pBdr>
                <w:top w:val="nil"/>
                <w:left w:val="nil"/>
                <w:bottom w:val="nil"/>
                <w:right w:val="nil"/>
                <w:between w:val="nil"/>
              </w:pBdr>
              <w:spacing w:line="276" w:lineRule="auto"/>
              <w:jc w:val="both"/>
              <w:rPr>
                <w:rFonts w:ascii="Times New Roman" w:eastAsia="Google Sans Text" w:hAnsi="Times New Roman" w:cs="Times New Roman"/>
                <w:color w:val="1B1C1D"/>
                <w:lang w:val="ro-RO"/>
              </w:rPr>
            </w:pPr>
            <w:r>
              <w:rPr>
                <w:rFonts w:ascii="Times New Roman" w:eastAsia="Google Sans Text" w:hAnsi="Times New Roman" w:cs="Times New Roman"/>
                <w:color w:val="1B1C1D"/>
                <w:lang w:val="ro-RO"/>
              </w:rPr>
              <w:t>R</w:t>
            </w:r>
            <w:r w:rsidR="008F7C5E" w:rsidRPr="00F16974">
              <w:rPr>
                <w:rFonts w:ascii="Times New Roman" w:eastAsia="Google Sans Text" w:hAnsi="Times New Roman" w:cs="Times New Roman"/>
                <w:color w:val="1B1C1D"/>
                <w:lang w:val="ro-RO"/>
              </w:rPr>
              <w:t xml:space="preserve">educerea emisiilor de SO₂ în vederea realizării angajamentelor asumate prin </w:t>
            </w:r>
            <w:r w:rsidR="008F7C5E" w:rsidRPr="00F16974">
              <w:rPr>
                <w:rFonts w:ascii="Times New Roman" w:eastAsia="Google Sans Text" w:hAnsi="Times New Roman" w:cs="Times New Roman"/>
                <w:b/>
                <w:bCs/>
                <w:color w:val="1B1C1D"/>
                <w:lang w:val="ro-RO"/>
              </w:rPr>
              <w:t>Hotărârea Guvernului nr. 593/2024</w:t>
            </w:r>
            <w:r w:rsidR="008F7C5E" w:rsidRPr="00F16974">
              <w:rPr>
                <w:rFonts w:ascii="Times New Roman" w:eastAsia="Google Sans Text" w:hAnsi="Times New Roman" w:cs="Times New Roman"/>
                <w:color w:val="1B1C1D"/>
                <w:lang w:val="ro-RO"/>
              </w:rPr>
              <w:t xml:space="preserve"> (reducerea emisiilor cu 27% până în 2040, față de 2020);</w:t>
            </w:r>
          </w:p>
          <w:p w14:paraId="64389AB3" w14:textId="77777777" w:rsidR="008F7C5E" w:rsidRPr="00F16974" w:rsidRDefault="008F7C5E" w:rsidP="008F7C5E">
            <w:pPr>
              <w:numPr>
                <w:ilvl w:val="0"/>
                <w:numId w:val="15"/>
              </w:numPr>
              <w:pBdr>
                <w:top w:val="nil"/>
                <w:left w:val="nil"/>
                <w:bottom w:val="nil"/>
                <w:right w:val="nil"/>
                <w:between w:val="nil"/>
              </w:pBdr>
              <w:spacing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asigurarea securității juridice și predictibilității reglementărilor pentru operatorii economici;</w:t>
            </w:r>
          </w:p>
          <w:p w14:paraId="6A93B5CB" w14:textId="77777777" w:rsidR="008F7C5E" w:rsidRPr="00F16974" w:rsidRDefault="008F7C5E" w:rsidP="008F7C5E">
            <w:pPr>
              <w:numPr>
                <w:ilvl w:val="0"/>
                <w:numId w:val="15"/>
              </w:numPr>
              <w:pBdr>
                <w:top w:val="nil"/>
                <w:left w:val="nil"/>
                <w:bottom w:val="nil"/>
                <w:right w:val="nil"/>
                <w:between w:val="nil"/>
              </w:pBdr>
              <w:spacing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consolidarea instrumentelor naționale de monitorizare a calității combustibililor și a emisiilor atmosferice.</w:t>
            </w:r>
          </w:p>
          <w:p w14:paraId="3FB214BF" w14:textId="77777777" w:rsidR="008F7C5E" w:rsidRPr="00F16974" w:rsidRDefault="008F7C5E" w:rsidP="00BB0CC1">
            <w:pPr>
              <w:pBdr>
                <w:top w:val="nil"/>
                <w:left w:val="nil"/>
                <w:bottom w:val="nil"/>
                <w:right w:val="nil"/>
                <w:between w:val="nil"/>
              </w:pBdr>
              <w:spacing w:line="276" w:lineRule="auto"/>
              <w:ind w:firstLine="24"/>
              <w:jc w:val="both"/>
              <w:rPr>
                <w:rFonts w:ascii="Times New Roman" w:eastAsia="Google Sans Text" w:hAnsi="Times New Roman" w:cs="Times New Roman"/>
                <w:b/>
                <w:bCs/>
                <w:lang w:val="ro-RO"/>
              </w:rPr>
            </w:pPr>
            <w:r w:rsidRPr="00F16974">
              <w:rPr>
                <w:rFonts w:ascii="Times New Roman" w:eastAsia="Google Sans Text" w:hAnsi="Times New Roman" w:cs="Times New Roman"/>
                <w:b/>
                <w:bCs/>
                <w:lang w:val="ro-RO"/>
              </w:rPr>
              <w:t>În concluzie:</w:t>
            </w:r>
          </w:p>
          <w:p w14:paraId="2DD2C1B9" w14:textId="534FB271" w:rsidR="008F7C5E" w:rsidRPr="00F16974" w:rsidRDefault="008F7C5E" w:rsidP="008F7C5E">
            <w:pPr>
              <w:pBdr>
                <w:top w:val="nil"/>
                <w:left w:val="nil"/>
                <w:bottom w:val="nil"/>
                <w:right w:val="nil"/>
                <w:between w:val="nil"/>
              </w:pBdr>
              <w:spacing w:line="276" w:lineRule="auto"/>
              <w:ind w:firstLine="743"/>
              <w:jc w:val="both"/>
              <w:rPr>
                <w:rFonts w:ascii="Times New Roman" w:eastAsia="Google Sans Text" w:hAnsi="Times New Roman" w:cs="Times New Roman"/>
                <w:lang w:val="ro-RO"/>
              </w:rPr>
            </w:pPr>
            <w:r w:rsidRPr="00F16974">
              <w:rPr>
                <w:rFonts w:ascii="Times New Roman" w:eastAsia="Google Sans Text" w:hAnsi="Times New Roman" w:cs="Times New Roman"/>
                <w:lang w:val="ro-RO"/>
              </w:rPr>
              <w:t xml:space="preserve">Situația actuală demonstrează o </w:t>
            </w:r>
            <w:r w:rsidRPr="00F16974">
              <w:rPr>
                <w:rFonts w:ascii="Times New Roman" w:eastAsia="Google Sans Text" w:hAnsi="Times New Roman" w:cs="Times New Roman"/>
                <w:b/>
                <w:bCs/>
                <w:lang w:val="ro-RO"/>
              </w:rPr>
              <w:t>neconcordanță între legislația națională și standardele europene</w:t>
            </w:r>
            <w:r w:rsidRPr="00F16974">
              <w:rPr>
                <w:rFonts w:ascii="Times New Roman" w:eastAsia="Google Sans Text" w:hAnsi="Times New Roman" w:cs="Times New Roman"/>
                <w:lang w:val="ro-RO"/>
              </w:rPr>
              <w:t>, ceea ce impune actualizarea a HG nr. 414/2016 prin elaborarea unui nou regulament. Proiectul propus este compatibil cu legislația națională conexă și reprezintă un instrument esențial pentru îndeplinirea angajamentelor de mediu asumate de Republica Moldova.</w:t>
            </w:r>
          </w:p>
          <w:p w14:paraId="4669C287" w14:textId="1DA22C71" w:rsidR="006B61CE" w:rsidRPr="00F16974" w:rsidRDefault="006B61CE" w:rsidP="00B0712F">
            <w:pPr>
              <w:pBdr>
                <w:top w:val="nil"/>
                <w:left w:val="nil"/>
                <w:bottom w:val="nil"/>
                <w:right w:val="nil"/>
                <w:between w:val="nil"/>
              </w:pBdr>
              <w:spacing w:line="276" w:lineRule="auto"/>
              <w:jc w:val="both"/>
              <w:rPr>
                <w:rFonts w:ascii="Times New Roman" w:eastAsia="Google Sans Text" w:hAnsi="Times New Roman" w:cs="Times New Roman"/>
                <w:color w:val="1B1C1D"/>
                <w:lang w:val="ro-RO"/>
              </w:rPr>
            </w:pPr>
          </w:p>
        </w:tc>
      </w:tr>
      <w:tr w:rsidR="006B61CE" w:rsidRPr="00A42EDC" w14:paraId="2514CABC" w14:textId="77777777" w:rsidTr="006B61CE">
        <w:tc>
          <w:tcPr>
            <w:tcW w:w="9344" w:type="dxa"/>
            <w:shd w:val="clear" w:color="auto" w:fill="BFBFBF" w:themeFill="background1" w:themeFillShade="BF"/>
          </w:tcPr>
          <w:p w14:paraId="78210048" w14:textId="77777777" w:rsidR="006B61CE" w:rsidRPr="00F16974" w:rsidRDefault="006B61CE" w:rsidP="00272E04">
            <w:pPr>
              <w:spacing w:line="276" w:lineRule="auto"/>
              <w:jc w:val="both"/>
              <w:rPr>
                <w:rFonts w:ascii="Times New Roman" w:hAnsi="Times New Roman" w:cs="Times New Roman"/>
                <w:lang w:val="ro-RO"/>
              </w:rPr>
            </w:pPr>
            <w:r w:rsidRPr="00F16974">
              <w:rPr>
                <w:rFonts w:ascii="Times New Roman" w:eastAsiaTheme="minorHAnsi" w:hAnsi="Times New Roman" w:cs="Times New Roman"/>
                <w:b/>
                <w:bCs/>
                <w:lang w:val="ro-RO" w:eastAsia="en-US"/>
              </w:rPr>
              <w:lastRenderedPageBreak/>
              <w:t>3. Obiectivele urmărite și soluțiile propuse</w:t>
            </w:r>
          </w:p>
        </w:tc>
      </w:tr>
      <w:tr w:rsidR="006B61CE" w:rsidRPr="00A42EDC" w14:paraId="3A916C90" w14:textId="77777777" w:rsidTr="00964655">
        <w:tc>
          <w:tcPr>
            <w:tcW w:w="9344" w:type="dxa"/>
            <w:shd w:val="clear" w:color="auto" w:fill="F2F2F2" w:themeFill="background1" w:themeFillShade="F2"/>
          </w:tcPr>
          <w:p w14:paraId="29B25C73" w14:textId="77777777" w:rsidR="006B61CE" w:rsidRPr="00F16974" w:rsidRDefault="006B61CE" w:rsidP="00272E04">
            <w:pPr>
              <w:spacing w:line="276" w:lineRule="auto"/>
              <w:jc w:val="both"/>
              <w:rPr>
                <w:rFonts w:ascii="Times New Roman" w:hAnsi="Times New Roman" w:cs="Times New Roman"/>
                <w:lang w:val="ro-RO"/>
              </w:rPr>
            </w:pPr>
            <w:r w:rsidRPr="00F16974">
              <w:rPr>
                <w:rFonts w:ascii="Times New Roman" w:eastAsiaTheme="minorHAnsi" w:hAnsi="Times New Roman" w:cs="Times New Roman"/>
                <w:lang w:val="ro-RO" w:eastAsia="en-US"/>
              </w:rPr>
              <w:t xml:space="preserve">3.1. Principalele prevederi ale proiectului </w:t>
            </w:r>
            <w:r w:rsidRPr="00F16974">
              <w:rPr>
                <w:rFonts w:ascii="Times New Roman" w:eastAsia="TimesNewRomanPSMT" w:hAnsi="Times New Roman" w:cs="Times New Roman"/>
                <w:lang w:val="ro-RO" w:eastAsia="en-US"/>
              </w:rPr>
              <w:t>ș</w:t>
            </w:r>
            <w:r w:rsidRPr="00F16974">
              <w:rPr>
                <w:rFonts w:ascii="Times New Roman" w:eastAsiaTheme="minorHAnsi" w:hAnsi="Times New Roman" w:cs="Times New Roman"/>
                <w:lang w:val="ro-RO" w:eastAsia="en-US"/>
              </w:rPr>
              <w:t>i eviden</w:t>
            </w:r>
            <w:r w:rsidRPr="00F16974">
              <w:rPr>
                <w:rFonts w:ascii="Times New Roman" w:eastAsia="TimesNewRomanPSMT" w:hAnsi="Times New Roman" w:cs="Times New Roman"/>
                <w:lang w:val="ro-RO" w:eastAsia="en-US"/>
              </w:rPr>
              <w:t>ț</w:t>
            </w:r>
            <w:r w:rsidRPr="00F16974">
              <w:rPr>
                <w:rFonts w:ascii="Times New Roman" w:eastAsiaTheme="minorHAnsi" w:hAnsi="Times New Roman" w:cs="Times New Roman"/>
                <w:lang w:val="ro-RO" w:eastAsia="en-US"/>
              </w:rPr>
              <w:t>ierea elementelor noi</w:t>
            </w:r>
          </w:p>
        </w:tc>
      </w:tr>
      <w:tr w:rsidR="006B61CE" w:rsidRPr="00A42EDC" w14:paraId="0E8D4025" w14:textId="77777777" w:rsidTr="006B61CE">
        <w:tc>
          <w:tcPr>
            <w:tcW w:w="9344" w:type="dxa"/>
          </w:tcPr>
          <w:p w14:paraId="44C88440" w14:textId="77777777" w:rsidR="00D23CC3" w:rsidRPr="00F16974" w:rsidRDefault="00D23CC3" w:rsidP="00D23CC3">
            <w:p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Obiectivul general al proiectului de hotărâre a Guvernului este îmbunătățirea calității aerului și protejarea sănătății populației prin reducerea emisiilor de poluanți proveniți din arderea combustibililor lichizi cu conținut ridicat de sulf. Acest obiectiv este urmărit prin actualizarea cadrului legislativ național, în concordanță cu cerințele consolidate ale Directivei (UE) 2016/802, astfel încât pe teritoriul Republicii Moldova să fie utilizați doar combustibili care respectă limitele moderne de conținut de sulf, similare celor aplicabile în statele membre ale Uniunii Europene.</w:t>
            </w:r>
          </w:p>
          <w:p w14:paraId="5B86684F" w14:textId="77777777" w:rsidR="00D23CC3" w:rsidRPr="00F16974" w:rsidRDefault="00D23CC3" w:rsidP="00D23CC3">
            <w:p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Implementarea acestor reglementări va contribui la reducerea emisiilor de dioxid de sulf (SO₂) și a particulelor fine (PM₂.₅), poluanți responsabili de formarea ploilor acide, degradarea biodiversității, afectarea culturilor agricole și monumentelor istorice, precum și de apariția bolilor respiratorii și cardiovasculare. Utilizarea combustibililor cu conținut redus de sulf va conduce, așadar, la o scădere semnificativă a acestor emisii și la îmbunătățirea stării de sănătate a populației.</w:t>
            </w:r>
          </w:p>
          <w:p w14:paraId="4E5C8F77" w14:textId="77777777" w:rsidR="00D23CC3" w:rsidRPr="00F16974" w:rsidRDefault="00D23CC3" w:rsidP="00D23CC3">
            <w:p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Structura noului Regulament include următoarele capitole:</w:t>
            </w:r>
          </w:p>
          <w:p w14:paraId="4FF8B03B" w14:textId="77777777" w:rsidR="00D23CC3" w:rsidRPr="00F16974" w:rsidRDefault="00D23CC3" w:rsidP="00D23CC3">
            <w:pPr>
              <w:numPr>
                <w:ilvl w:val="0"/>
                <w:numId w:val="16"/>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Capitolul I</w:t>
            </w:r>
            <w:r w:rsidRPr="00F16974">
              <w:rPr>
                <w:rFonts w:ascii="Times New Roman" w:eastAsia="Google Sans Text" w:hAnsi="Times New Roman" w:cs="Times New Roman"/>
                <w:color w:val="1B1C1D"/>
                <w:lang w:val="ro-RO"/>
              </w:rPr>
              <w:t xml:space="preserve"> – Dispoziții generale și domeniu de aplicare;</w:t>
            </w:r>
          </w:p>
          <w:p w14:paraId="128DA5C5" w14:textId="77777777" w:rsidR="00D23CC3" w:rsidRPr="00F16974" w:rsidRDefault="00D23CC3" w:rsidP="00D23CC3">
            <w:pPr>
              <w:numPr>
                <w:ilvl w:val="0"/>
                <w:numId w:val="16"/>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lastRenderedPageBreak/>
              <w:t>Capitolul II</w:t>
            </w:r>
            <w:r w:rsidRPr="00F16974">
              <w:rPr>
                <w:rFonts w:ascii="Times New Roman" w:eastAsia="Google Sans Text" w:hAnsi="Times New Roman" w:cs="Times New Roman"/>
                <w:color w:val="1B1C1D"/>
                <w:lang w:val="ro-RO"/>
              </w:rPr>
              <w:t xml:space="preserve"> – Conținutul maxim de sulf al combustibililor;</w:t>
            </w:r>
          </w:p>
          <w:p w14:paraId="5F1D4457" w14:textId="77777777" w:rsidR="00D23CC3" w:rsidRPr="00F16974" w:rsidRDefault="00D23CC3" w:rsidP="00D23CC3">
            <w:pPr>
              <w:numPr>
                <w:ilvl w:val="0"/>
                <w:numId w:val="16"/>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Capitolul III</w:t>
            </w:r>
            <w:r w:rsidRPr="00F16974">
              <w:rPr>
                <w:rFonts w:ascii="Times New Roman" w:eastAsia="Google Sans Text" w:hAnsi="Times New Roman" w:cs="Times New Roman"/>
                <w:color w:val="1B1C1D"/>
                <w:lang w:val="ro-RO"/>
              </w:rPr>
              <w:t xml:space="preserve"> – Metode de reducere a emisiilor;</w:t>
            </w:r>
          </w:p>
          <w:p w14:paraId="00D3AC47" w14:textId="77777777" w:rsidR="00D23CC3" w:rsidRPr="00F16974" w:rsidRDefault="00D23CC3" w:rsidP="00D23CC3">
            <w:pPr>
              <w:numPr>
                <w:ilvl w:val="0"/>
                <w:numId w:val="16"/>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Capitolul IV</w:t>
            </w:r>
            <w:r w:rsidRPr="00F16974">
              <w:rPr>
                <w:rFonts w:ascii="Times New Roman" w:eastAsia="Google Sans Text" w:hAnsi="Times New Roman" w:cs="Times New Roman"/>
                <w:color w:val="1B1C1D"/>
                <w:lang w:val="ro-RO"/>
              </w:rPr>
              <w:t xml:space="preserve"> – Obligațiile agenților economici;</w:t>
            </w:r>
          </w:p>
          <w:p w14:paraId="5384DE22" w14:textId="77777777" w:rsidR="00D23CC3" w:rsidRPr="00F16974" w:rsidRDefault="00D23CC3" w:rsidP="00D23CC3">
            <w:pPr>
              <w:numPr>
                <w:ilvl w:val="0"/>
                <w:numId w:val="16"/>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Capitolul V</w:t>
            </w:r>
            <w:r w:rsidRPr="00F16974">
              <w:rPr>
                <w:rFonts w:ascii="Times New Roman" w:eastAsia="Google Sans Text" w:hAnsi="Times New Roman" w:cs="Times New Roman"/>
                <w:color w:val="1B1C1D"/>
                <w:lang w:val="ro-RO"/>
              </w:rPr>
              <w:t xml:space="preserve"> – Supraveghere, control și eșantionare;</w:t>
            </w:r>
          </w:p>
          <w:p w14:paraId="2B4A9CFD" w14:textId="77777777" w:rsidR="00D23CC3" w:rsidRPr="00F16974" w:rsidRDefault="00D23CC3" w:rsidP="00D23CC3">
            <w:pPr>
              <w:numPr>
                <w:ilvl w:val="0"/>
                <w:numId w:val="16"/>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Capitolul VI</w:t>
            </w:r>
            <w:r w:rsidRPr="00F16974">
              <w:rPr>
                <w:rFonts w:ascii="Times New Roman" w:eastAsia="Google Sans Text" w:hAnsi="Times New Roman" w:cs="Times New Roman"/>
                <w:color w:val="1B1C1D"/>
                <w:lang w:val="ro-RO"/>
              </w:rPr>
              <w:t xml:space="preserve"> – Raportarea și notificarea;</w:t>
            </w:r>
          </w:p>
          <w:p w14:paraId="687564A8" w14:textId="36D85F13" w:rsidR="00D23CC3" w:rsidRPr="00F16974" w:rsidRDefault="00D23CC3" w:rsidP="00D23CC3">
            <w:pPr>
              <w:numPr>
                <w:ilvl w:val="0"/>
                <w:numId w:val="16"/>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Capitolul VII</w:t>
            </w:r>
            <w:r w:rsidRPr="00F16974">
              <w:rPr>
                <w:rFonts w:ascii="Times New Roman" w:eastAsia="Google Sans Text" w:hAnsi="Times New Roman" w:cs="Times New Roman"/>
                <w:color w:val="1B1C1D"/>
                <w:lang w:val="ro-RO"/>
              </w:rPr>
              <w:t xml:space="preserve"> – Răspundere juridică</w:t>
            </w:r>
            <w:r w:rsidR="00593060" w:rsidRPr="00F16974">
              <w:rPr>
                <w:rFonts w:ascii="Times New Roman" w:eastAsia="Google Sans Text" w:hAnsi="Times New Roman" w:cs="Times New Roman"/>
                <w:color w:val="1B1C1D"/>
                <w:lang w:val="ro-RO"/>
              </w:rPr>
              <w:t>;</w:t>
            </w:r>
          </w:p>
          <w:p w14:paraId="4734DA83" w14:textId="4013881F" w:rsidR="00593060" w:rsidRPr="00F16974" w:rsidRDefault="00593060" w:rsidP="00D23CC3">
            <w:pPr>
              <w:numPr>
                <w:ilvl w:val="0"/>
                <w:numId w:val="16"/>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 xml:space="preserve">Capitolul VIII </w:t>
            </w:r>
            <w:r w:rsidRPr="00F16974">
              <w:rPr>
                <w:rFonts w:ascii="Times New Roman" w:eastAsia="Google Sans Text" w:hAnsi="Times New Roman" w:cs="Times New Roman"/>
                <w:color w:val="1B1C1D"/>
                <w:lang w:val="ro-RO"/>
              </w:rPr>
              <w:t>– Dispoziții finale și tranzitorii.</w:t>
            </w:r>
          </w:p>
          <w:p w14:paraId="7AA37D8F" w14:textId="204A7FDC" w:rsidR="00D23CC3" w:rsidRPr="00F16974" w:rsidRDefault="00D23CC3" w:rsidP="00D23CC3">
            <w:p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Implementarea Directivei sprijină angajamentele internaționale ale Republicii Moldova, întărește parcursul său european și asigură conformitatea cu standardele internaționale MARPOL (Anexa VI), evitând posibile sancțiuni sau restricții privind accesul navelor moldovenești în porturile internaționale. Pe plan regional, armonizarea normelor de calitate a combustibililor cu cele ale Uniunii Europene facilitează schimburile comerciale și elimină barierele tehnice la import, prin recunoașterea reciprocă a documentelor de calitate.</w:t>
            </w:r>
          </w:p>
          <w:p w14:paraId="6D14D2CE" w14:textId="4AED4F2F" w:rsidR="00D23CC3" w:rsidRPr="00F16974" w:rsidRDefault="00D23CC3" w:rsidP="00D23CC3">
            <w:p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Noul Regulament oferă un cadru juridic clar pentru operatorii economici din domeniul importului, distribuției și utilizării combustibililor lichizi, stabilind cerințe precise privind calitatea acestora</w:t>
            </w:r>
            <w:r w:rsidR="00AD1BC6" w:rsidRPr="00F16974">
              <w:rPr>
                <w:rFonts w:ascii="Times New Roman" w:eastAsia="Google Sans Text" w:hAnsi="Times New Roman" w:cs="Times New Roman"/>
                <w:color w:val="1B1C1D"/>
                <w:lang w:val="ro-RO"/>
              </w:rPr>
              <w:t>.</w:t>
            </w:r>
          </w:p>
          <w:p w14:paraId="52E80C6A" w14:textId="77777777" w:rsidR="00D23CC3" w:rsidRPr="00F16974" w:rsidRDefault="00D23CC3" w:rsidP="00D23CC3">
            <w:p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Principalele prevederi și elemente noi sunt următoarele:</w:t>
            </w:r>
          </w:p>
          <w:p w14:paraId="2B3127C9" w14:textId="77777777" w:rsidR="00D23CC3" w:rsidRPr="00F16974" w:rsidRDefault="00D23CC3" w:rsidP="00D23CC3">
            <w:pPr>
              <w:numPr>
                <w:ilvl w:val="0"/>
                <w:numId w:val="17"/>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Actualizarea limitelor de sulf.</w:t>
            </w:r>
            <w:r w:rsidRPr="00F16974">
              <w:rPr>
                <w:rFonts w:ascii="Times New Roman" w:eastAsia="Google Sans Text" w:hAnsi="Times New Roman" w:cs="Times New Roman"/>
                <w:color w:val="1B1C1D"/>
                <w:lang w:val="ro-RO"/>
              </w:rPr>
              <w:t xml:space="preserve"> Regulamentul stabilește limite obligatorii identice cu cele din Directivă:</w:t>
            </w:r>
          </w:p>
          <w:p w14:paraId="17D0055E" w14:textId="77777777" w:rsidR="00D23CC3" w:rsidRPr="00F16974" w:rsidRDefault="00D23CC3" w:rsidP="00D23CC3">
            <w:pPr>
              <w:numPr>
                <w:ilvl w:val="1"/>
                <w:numId w:val="17"/>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 xml:space="preserve">maximum </w:t>
            </w:r>
            <w:r w:rsidRPr="00F16974">
              <w:rPr>
                <w:rFonts w:ascii="Times New Roman" w:eastAsia="Google Sans Text" w:hAnsi="Times New Roman" w:cs="Times New Roman"/>
                <w:b/>
                <w:bCs/>
                <w:color w:val="1B1C1D"/>
                <w:lang w:val="ro-RO"/>
              </w:rPr>
              <w:t>1,00% sulf în masă</w:t>
            </w:r>
            <w:r w:rsidRPr="00F16974">
              <w:rPr>
                <w:rFonts w:ascii="Times New Roman" w:eastAsia="Google Sans Text" w:hAnsi="Times New Roman" w:cs="Times New Roman"/>
                <w:color w:val="1B1C1D"/>
                <w:lang w:val="ro-RO"/>
              </w:rPr>
              <w:t xml:space="preserve"> pentru păcuri (combustibili grei), cu interdicția utilizării păcurilor ce depășesc acest nivel, cu excepția situațiilor expres prevăzute;</w:t>
            </w:r>
          </w:p>
          <w:p w14:paraId="0202DBD6" w14:textId="5A5078E7" w:rsidR="00001869" w:rsidRPr="00F16974" w:rsidRDefault="00D23CC3" w:rsidP="00D23CC3">
            <w:pPr>
              <w:numPr>
                <w:ilvl w:val="1"/>
                <w:numId w:val="17"/>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 xml:space="preserve">maximum </w:t>
            </w:r>
            <w:r w:rsidRPr="00F16974">
              <w:rPr>
                <w:rFonts w:ascii="Times New Roman" w:eastAsia="Google Sans Text" w:hAnsi="Times New Roman" w:cs="Times New Roman"/>
                <w:b/>
                <w:bCs/>
                <w:color w:val="1B1C1D"/>
                <w:lang w:val="ro-RO"/>
              </w:rPr>
              <w:t>0,10% sulf în masă</w:t>
            </w:r>
            <w:r w:rsidRPr="00F16974">
              <w:rPr>
                <w:rFonts w:ascii="Times New Roman" w:eastAsia="Google Sans Text" w:hAnsi="Times New Roman" w:cs="Times New Roman"/>
                <w:color w:val="1B1C1D"/>
                <w:lang w:val="ro-RO"/>
              </w:rPr>
              <w:t xml:space="preserve"> pentru motorine</w:t>
            </w:r>
            <w:r w:rsidR="003E5897" w:rsidRPr="00F16974">
              <w:rPr>
                <w:rFonts w:ascii="Times New Roman" w:eastAsia="Google Sans Text" w:hAnsi="Times New Roman" w:cs="Times New Roman"/>
                <w:color w:val="1B1C1D"/>
                <w:lang w:val="ro-RO"/>
              </w:rPr>
              <w:t>;</w:t>
            </w:r>
          </w:p>
          <w:p w14:paraId="226A953B" w14:textId="188C7908" w:rsidR="00D23CC3" w:rsidRPr="00F16974" w:rsidRDefault="00D23CC3" w:rsidP="00D23CC3">
            <w:pPr>
              <w:numPr>
                <w:ilvl w:val="1"/>
                <w:numId w:val="17"/>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 xml:space="preserve">În ceea ce privește combustibilii marini, se instituie cerințe </w:t>
            </w:r>
            <w:r w:rsidR="007665B9">
              <w:rPr>
                <w:rFonts w:ascii="Times New Roman" w:eastAsia="Google Sans Text" w:hAnsi="Times New Roman" w:cs="Times New Roman"/>
                <w:color w:val="1B1C1D"/>
                <w:lang w:val="ro-RO"/>
              </w:rPr>
              <w:t xml:space="preserve"> la </w:t>
            </w:r>
            <w:r w:rsidRPr="00F16974">
              <w:rPr>
                <w:rFonts w:ascii="Times New Roman" w:eastAsia="Google Sans Text" w:hAnsi="Times New Roman" w:cs="Times New Roman"/>
                <w:color w:val="1B1C1D"/>
                <w:lang w:val="ro-RO"/>
              </w:rPr>
              <w:t xml:space="preserve">navele care operează în apele și porturile Republicii Moldova vor utiliza combustibili cu cel mult </w:t>
            </w:r>
            <w:r w:rsidRPr="00F16974">
              <w:rPr>
                <w:rFonts w:ascii="Times New Roman" w:eastAsia="Google Sans Text" w:hAnsi="Times New Roman" w:cs="Times New Roman"/>
                <w:b/>
                <w:bCs/>
                <w:color w:val="1B1C1D"/>
                <w:lang w:val="ro-RO"/>
              </w:rPr>
              <w:t>0,50% sulf</w:t>
            </w:r>
            <w:r w:rsidRPr="00F16974">
              <w:rPr>
                <w:rFonts w:ascii="Times New Roman" w:eastAsia="Google Sans Text" w:hAnsi="Times New Roman" w:cs="Times New Roman"/>
                <w:color w:val="1B1C1D"/>
                <w:lang w:val="ro-RO"/>
              </w:rPr>
              <w:t xml:space="preserve">, în conformitate cu plafonul global aplicabil din 2020. </w:t>
            </w:r>
          </w:p>
          <w:p w14:paraId="6DEBC71B" w14:textId="77777777" w:rsidR="00D23CC3" w:rsidRPr="00F16974" w:rsidRDefault="00D23CC3" w:rsidP="00D23CC3">
            <w:pPr>
              <w:numPr>
                <w:ilvl w:val="0"/>
                <w:numId w:val="17"/>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Reglementarea metodelor de reducere a emisiilor.</w:t>
            </w:r>
            <w:r w:rsidRPr="00F16974">
              <w:rPr>
                <w:rFonts w:ascii="Times New Roman" w:eastAsia="Google Sans Text" w:hAnsi="Times New Roman" w:cs="Times New Roman"/>
                <w:color w:val="1B1C1D"/>
                <w:lang w:val="ro-RO"/>
              </w:rPr>
              <w:t xml:space="preserve"> Se introduce un cadru juridic complet nou pentru utilizarea tehnologiilor alternative (ex. echipamente de epurare a gazelor – </w:t>
            </w:r>
            <w:r w:rsidRPr="00F16974">
              <w:rPr>
                <w:rFonts w:ascii="Times New Roman" w:eastAsia="Google Sans Text" w:hAnsi="Times New Roman" w:cs="Times New Roman"/>
                <w:i/>
                <w:iCs/>
                <w:color w:val="1B1C1D"/>
                <w:lang w:val="ro-RO"/>
              </w:rPr>
              <w:t>scrubbere</w:t>
            </w:r>
            <w:r w:rsidRPr="00F16974">
              <w:rPr>
                <w:rFonts w:ascii="Times New Roman" w:eastAsia="Google Sans Text" w:hAnsi="Times New Roman" w:cs="Times New Roman"/>
                <w:color w:val="1B1C1D"/>
                <w:lang w:val="ro-RO"/>
              </w:rPr>
              <w:t xml:space="preserve">), cu stabilirea criteriilor de aprobare, monitorizare și calcul al echivalenței emisiilor, conform anexelor tehnice ale Directivei. Astfel, se consideră conformă utilizarea unui combustibil cu conținut mai ridicat de sulf dacă emisiile reale nu depășesc </w:t>
            </w:r>
            <w:r w:rsidRPr="00F16974">
              <w:rPr>
                <w:rFonts w:ascii="Times New Roman" w:eastAsia="Google Sans Text" w:hAnsi="Times New Roman" w:cs="Times New Roman"/>
                <w:b/>
                <w:bCs/>
                <w:color w:val="1B1C1D"/>
                <w:lang w:val="ro-RO"/>
              </w:rPr>
              <w:t>1700 mg/Nm³ SO₂</w:t>
            </w:r>
            <w:r w:rsidRPr="00F16974">
              <w:rPr>
                <w:rFonts w:ascii="Times New Roman" w:eastAsia="Google Sans Text" w:hAnsi="Times New Roman" w:cs="Times New Roman"/>
                <w:color w:val="1B1C1D"/>
                <w:lang w:val="ro-RO"/>
              </w:rPr>
              <w:t>, valoare limită echivalentă stabilită în Directivă. Sunt incluse, de asemenea, derogări limitate, precum:</w:t>
            </w:r>
          </w:p>
          <w:p w14:paraId="09424C60" w14:textId="77777777" w:rsidR="00D23CC3" w:rsidRPr="00F16974" w:rsidRDefault="00D23CC3" w:rsidP="00D23CC3">
            <w:pPr>
              <w:numPr>
                <w:ilvl w:val="1"/>
                <w:numId w:val="17"/>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excluderea aplicabilității pentru combustibilii utilizați de nave militare sau alte nave aflate în serviciul unui stat;</w:t>
            </w:r>
          </w:p>
          <w:p w14:paraId="4F78B233" w14:textId="68A70306" w:rsidR="00D23CC3" w:rsidRPr="00F16974" w:rsidRDefault="00D23CC3" w:rsidP="00D23CC3">
            <w:pPr>
              <w:numPr>
                <w:ilvl w:val="1"/>
                <w:numId w:val="17"/>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posibilitatea utilizării temporare a combustibililor neconformi în cazuri de penurie sau întrerupere a aprovizionării, numai cu aprobarea Guvernului și notificarea Comisiei Europene.</w:t>
            </w:r>
          </w:p>
          <w:p w14:paraId="645938A0" w14:textId="3F1046D6" w:rsidR="00D23CC3" w:rsidRPr="00F16974" w:rsidRDefault="00D23CC3" w:rsidP="00D23CC3">
            <w:pPr>
              <w:numPr>
                <w:ilvl w:val="0"/>
                <w:numId w:val="17"/>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Consolidarea procedurilor de control.</w:t>
            </w:r>
            <w:r w:rsidRPr="00F16974">
              <w:rPr>
                <w:rFonts w:ascii="Times New Roman" w:eastAsia="Google Sans Text" w:hAnsi="Times New Roman" w:cs="Times New Roman"/>
                <w:color w:val="1B1C1D"/>
                <w:lang w:val="ro-RO"/>
              </w:rPr>
              <w:t xml:space="preserve"> Operatorii economici importatori de combustibili </w:t>
            </w:r>
            <w:r w:rsidR="004D6D45">
              <w:rPr>
                <w:rFonts w:ascii="Times New Roman" w:eastAsia="Google Sans Text" w:hAnsi="Times New Roman" w:cs="Times New Roman"/>
                <w:color w:val="1B1C1D"/>
                <w:lang w:val="ro-RO"/>
              </w:rPr>
              <w:t xml:space="preserve">va trebuie </w:t>
            </w:r>
            <w:r w:rsidRPr="00F16974">
              <w:rPr>
                <w:rFonts w:ascii="Times New Roman" w:eastAsia="Google Sans Text" w:hAnsi="Times New Roman" w:cs="Times New Roman"/>
                <w:color w:val="1B1C1D"/>
                <w:lang w:val="ro-RO"/>
              </w:rPr>
              <w:t>să prezinte autorităților documente de conformitate (certificate sau rapoarte de testare) pentru fiecare lot importat. Sunt recunoscute rapoartele laboratoarelor acreditate din UE, evitând dublarea analizelor vamale și reducând sarcinile administrative.</w:t>
            </w:r>
            <w:r w:rsidR="00AD1BC6" w:rsidRPr="00F16974">
              <w:rPr>
                <w:rFonts w:ascii="Times New Roman" w:eastAsia="Google Sans Text" w:hAnsi="Times New Roman" w:cs="Times New Roman"/>
                <w:color w:val="1B1C1D"/>
                <w:lang w:val="ro-RO"/>
              </w:rPr>
              <w:t xml:space="preserve"> Acest aspect se realizează și în prezent pentru importul de motorină, benzină, gaz lichefiat. </w:t>
            </w:r>
          </w:p>
          <w:p w14:paraId="4DDE33C2" w14:textId="6186E3D5" w:rsidR="00D23CC3" w:rsidRPr="00F16974" w:rsidRDefault="00D23CC3" w:rsidP="00D23CC3">
            <w:pPr>
              <w:numPr>
                <w:ilvl w:val="0"/>
                <w:numId w:val="17"/>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lastRenderedPageBreak/>
              <w:t>Sistemul de sancțiuni și răspundere.</w:t>
            </w:r>
            <w:r w:rsidRPr="00F16974">
              <w:rPr>
                <w:rFonts w:ascii="Times New Roman" w:eastAsia="Google Sans Text" w:hAnsi="Times New Roman" w:cs="Times New Roman"/>
                <w:color w:val="1B1C1D"/>
                <w:lang w:val="ro-RO"/>
              </w:rPr>
              <w:t xml:space="preserve"> Regulamentul nu stabilește cuantumul sancțiunilor, acestea urmând a fi corelate cu modificările ce vor fi propuse ulterior în Codul contravențional. </w:t>
            </w:r>
          </w:p>
          <w:p w14:paraId="607466F3" w14:textId="77777777" w:rsidR="00D23CC3" w:rsidRPr="00F16974" w:rsidRDefault="00D23CC3" w:rsidP="00D23CC3">
            <w:pPr>
              <w:numPr>
                <w:ilvl w:val="0"/>
                <w:numId w:val="17"/>
              </w:num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b/>
                <w:bCs/>
                <w:color w:val="1B1C1D"/>
                <w:lang w:val="ro-RO"/>
              </w:rPr>
              <w:t>Integrarea cu alte politici și acte normative.</w:t>
            </w:r>
            <w:r w:rsidRPr="00F16974">
              <w:rPr>
                <w:rFonts w:ascii="Times New Roman" w:eastAsia="Google Sans Text" w:hAnsi="Times New Roman" w:cs="Times New Roman"/>
                <w:color w:val="1B1C1D"/>
                <w:lang w:val="ro-RO"/>
              </w:rPr>
              <w:t xml:space="preserve"> Regulamentul asigură coerența cu Legea nr. 227/2022 privind emisiile industriale (care transpune Directiva 2010/75/UE), prevăzând că instalațiile mari de ardere care utilizează combustibili reglementați trebuie să respecte și limitele de emisie stabilite prin autorizațiile integrate de mediu, iar dacă aceste limite sunt mai stricte, ele prevalează. Totodată, se menționează interacțiunea cu Legea nr. 461/2001 privind piața produselor petroliere, în sensul că autorizațiile de import și comercializare vor ține cont de cerințele de calitate stabilite prin noul Regulament, iar Ministerul Energiei și Ministerul Dezvoltării Economice și Digitalizării nu vor putea autoriza importul de combustibili neconformi.</w:t>
            </w:r>
          </w:p>
          <w:p w14:paraId="6C9E716F" w14:textId="57433564" w:rsidR="00D23CC3" w:rsidRPr="00F16974" w:rsidRDefault="00D23CC3" w:rsidP="00D23CC3">
            <w:pPr>
              <w:spacing w:after="120" w:line="276" w:lineRule="auto"/>
              <w:jc w:val="both"/>
              <w:rPr>
                <w:rFonts w:ascii="Times New Roman" w:eastAsia="Google Sans Text" w:hAnsi="Times New Roman" w:cs="Times New Roman"/>
                <w:color w:val="1B1C1D"/>
                <w:lang w:val="ro-RO"/>
              </w:rPr>
            </w:pPr>
            <w:r w:rsidRPr="00F16974">
              <w:rPr>
                <w:rFonts w:ascii="Times New Roman" w:eastAsia="Google Sans Text" w:hAnsi="Times New Roman" w:cs="Times New Roman"/>
                <w:color w:val="1B1C1D"/>
                <w:lang w:val="ro-RO"/>
              </w:rPr>
              <w:t>Comparativ cu Hotărârea Guvernului nr. 414/2016, noul proiect introduce actualizări esențiale: stabilirea limitelor de sulf</w:t>
            </w:r>
            <w:r w:rsidR="009E4A76" w:rsidRPr="00F16974">
              <w:rPr>
                <w:rFonts w:ascii="Times New Roman" w:eastAsia="Google Sans Text" w:hAnsi="Times New Roman" w:cs="Times New Roman"/>
                <w:color w:val="1B1C1D"/>
                <w:lang w:val="ro-RO"/>
              </w:rPr>
              <w:t xml:space="preserve"> conform utlemelor cerințe așe UE</w:t>
            </w:r>
            <w:r w:rsidRPr="00F16974">
              <w:rPr>
                <w:rFonts w:ascii="Times New Roman" w:eastAsia="Google Sans Text" w:hAnsi="Times New Roman" w:cs="Times New Roman"/>
                <w:color w:val="1B1C1D"/>
                <w:lang w:val="ro-RO"/>
              </w:rPr>
              <w:t>, extinderea reglementărilor asupra combustibililor marini prin includerea plafonului global de 0,50%, introducerea expresă a opțiunilor tehnologice alternative pentru reducerea emisiilor, întărirea obligațiilor de monitorizare și raportare conform standardelor UE, precum și armonizarea terminologică și procedurală cu legislația actuală</w:t>
            </w:r>
            <w:r w:rsidR="00001869" w:rsidRPr="00F16974">
              <w:rPr>
                <w:rFonts w:ascii="Times New Roman" w:eastAsia="Google Sans Text" w:hAnsi="Times New Roman" w:cs="Times New Roman"/>
                <w:color w:val="1B1C1D"/>
                <w:lang w:val="ro-RO"/>
              </w:rPr>
              <w:t>.</w:t>
            </w:r>
          </w:p>
          <w:p w14:paraId="038132FA" w14:textId="0BCC100B" w:rsidR="00D23CC3" w:rsidRPr="00F16974" w:rsidRDefault="00D23CC3" w:rsidP="00001869">
            <w:pPr>
              <w:spacing w:after="120" w:line="276" w:lineRule="auto"/>
              <w:jc w:val="both"/>
              <w:rPr>
                <w:rFonts w:ascii="Times New Roman" w:eastAsia="Google Sans Text" w:hAnsi="Times New Roman" w:cs="Times New Roman"/>
                <w:color w:val="1B1C1D"/>
                <w:lang w:val="en-US"/>
              </w:rPr>
            </w:pPr>
          </w:p>
        </w:tc>
      </w:tr>
      <w:tr w:rsidR="006B61CE" w:rsidRPr="00272E04" w14:paraId="1C3EFA8B" w14:textId="77777777" w:rsidTr="00964655">
        <w:tc>
          <w:tcPr>
            <w:tcW w:w="9344" w:type="dxa"/>
            <w:shd w:val="clear" w:color="auto" w:fill="F2F2F2" w:themeFill="background1" w:themeFillShade="F2"/>
          </w:tcPr>
          <w:p w14:paraId="5BE27C12" w14:textId="70924DA7" w:rsidR="00964655" w:rsidRPr="00593060" w:rsidRDefault="00964655" w:rsidP="00272E04">
            <w:pPr>
              <w:widowControl/>
              <w:autoSpaceDE w:val="0"/>
              <w:autoSpaceDN w:val="0"/>
              <w:adjustRightInd w:val="0"/>
              <w:spacing w:line="276" w:lineRule="auto"/>
              <w:jc w:val="both"/>
              <w:rPr>
                <w:rFonts w:asciiTheme="majorBidi" w:eastAsiaTheme="minorHAnsi" w:hAnsiTheme="majorBidi" w:cstheme="majorBidi"/>
                <w:lang w:val="ro-RO" w:eastAsia="en-US"/>
              </w:rPr>
            </w:pPr>
            <w:r w:rsidRPr="00593060">
              <w:rPr>
                <w:rFonts w:asciiTheme="majorBidi" w:eastAsiaTheme="minorHAnsi" w:hAnsiTheme="majorBidi" w:cstheme="majorBidi"/>
                <w:lang w:val="ro-RO" w:eastAsia="en-US"/>
              </w:rPr>
              <w:lastRenderedPageBreak/>
              <w:t>3.2. Op</w:t>
            </w:r>
            <w:r w:rsidRPr="00593060">
              <w:rPr>
                <w:rFonts w:asciiTheme="majorBidi" w:eastAsia="TimesNewRomanPSMT" w:hAnsiTheme="majorBidi" w:cstheme="majorBidi"/>
                <w:lang w:val="ro-RO" w:eastAsia="en-US"/>
              </w:rPr>
              <w:t>ț</w:t>
            </w:r>
            <w:r w:rsidRPr="00593060">
              <w:rPr>
                <w:rFonts w:asciiTheme="majorBidi" w:eastAsiaTheme="minorHAnsi" w:hAnsiTheme="majorBidi" w:cstheme="majorBidi"/>
                <w:lang w:val="ro-RO" w:eastAsia="en-US"/>
              </w:rPr>
              <w:t xml:space="preserve">iunile alternative analizate </w:t>
            </w:r>
            <w:r w:rsidRPr="00593060">
              <w:rPr>
                <w:rFonts w:asciiTheme="majorBidi" w:eastAsia="TimesNewRomanPSMT" w:hAnsiTheme="majorBidi" w:cstheme="majorBidi"/>
                <w:lang w:val="ro-RO" w:eastAsia="en-US"/>
              </w:rPr>
              <w:t>ș</w:t>
            </w:r>
            <w:r w:rsidRPr="00593060">
              <w:rPr>
                <w:rFonts w:asciiTheme="majorBidi" w:eastAsiaTheme="minorHAnsi" w:hAnsiTheme="majorBidi" w:cstheme="majorBidi"/>
                <w:lang w:val="ro-RO" w:eastAsia="en-US"/>
              </w:rPr>
              <w:t>i motivele pentru care acestea nu au fost luate în</w:t>
            </w:r>
          </w:p>
          <w:p w14:paraId="1ABE93F6" w14:textId="77777777" w:rsidR="006B61CE" w:rsidRPr="00593060" w:rsidRDefault="00964655" w:rsidP="00272E04">
            <w:pPr>
              <w:spacing w:line="276" w:lineRule="auto"/>
              <w:jc w:val="both"/>
              <w:rPr>
                <w:rFonts w:asciiTheme="majorBidi" w:hAnsiTheme="majorBidi" w:cstheme="majorBidi"/>
                <w:lang w:val="ro-RO"/>
              </w:rPr>
            </w:pPr>
            <w:r w:rsidRPr="00593060">
              <w:rPr>
                <w:rFonts w:asciiTheme="majorBidi" w:eastAsiaTheme="minorHAnsi" w:hAnsiTheme="majorBidi" w:cstheme="majorBidi"/>
                <w:lang w:val="ro-RO" w:eastAsia="en-US"/>
              </w:rPr>
              <w:t>considerare</w:t>
            </w:r>
          </w:p>
        </w:tc>
      </w:tr>
      <w:tr w:rsidR="006B61CE" w:rsidRPr="00A42EDC" w14:paraId="72CC1A1E" w14:textId="77777777" w:rsidTr="006B61CE">
        <w:tc>
          <w:tcPr>
            <w:tcW w:w="9344" w:type="dxa"/>
          </w:tcPr>
          <w:p w14:paraId="60C14923" w14:textId="20C14B38" w:rsidR="00643A2F" w:rsidRPr="00C764C3" w:rsidRDefault="00643A2F" w:rsidP="00A766C9">
            <w:pPr>
              <w:spacing w:line="276" w:lineRule="auto"/>
              <w:rPr>
                <w:rFonts w:asciiTheme="majorBidi" w:hAnsiTheme="majorBidi" w:cstheme="majorBidi"/>
                <w:lang w:val="ro-RO"/>
              </w:rPr>
            </w:pPr>
            <w:r w:rsidRPr="00C764C3">
              <w:rPr>
                <w:rFonts w:asciiTheme="majorBidi" w:hAnsiTheme="majorBidi" w:cstheme="majorBidi"/>
                <w:b/>
                <w:bCs/>
                <w:lang w:val="ro-RO"/>
              </w:rPr>
              <w:t>Opțiunea</w:t>
            </w:r>
            <w:r w:rsidR="00A766C9">
              <w:rPr>
                <w:rFonts w:asciiTheme="majorBidi" w:hAnsiTheme="majorBidi" w:cstheme="majorBidi"/>
                <w:b/>
                <w:bCs/>
                <w:lang w:val="ro-RO"/>
              </w:rPr>
              <w:t xml:space="preserve"> </w:t>
            </w:r>
            <w:r w:rsidRPr="00C764C3">
              <w:rPr>
                <w:rFonts w:asciiTheme="majorBidi" w:hAnsiTheme="majorBidi" w:cstheme="majorBidi"/>
                <w:b/>
                <w:bCs/>
                <w:lang w:val="ro-RO"/>
              </w:rPr>
              <w:t>1</w:t>
            </w:r>
            <w:r w:rsidR="00A766C9">
              <w:rPr>
                <w:rFonts w:asciiTheme="majorBidi" w:hAnsiTheme="majorBidi" w:cstheme="majorBidi"/>
                <w:b/>
                <w:bCs/>
                <w:lang w:val="ro-RO"/>
              </w:rPr>
              <w:t xml:space="preserve"> - </w:t>
            </w:r>
            <w:r w:rsidRPr="00C764C3">
              <w:rPr>
                <w:rFonts w:asciiTheme="majorBidi" w:hAnsiTheme="majorBidi" w:cstheme="majorBidi"/>
                <w:lang w:val="ro-RO"/>
              </w:rPr>
              <w:t>Menținerea cadrului actual (status quo)</w:t>
            </w:r>
            <w:r w:rsidRPr="00C764C3">
              <w:rPr>
                <w:rFonts w:asciiTheme="majorBidi" w:hAnsiTheme="majorBidi" w:cstheme="majorBidi"/>
                <w:lang w:val="ro-RO"/>
              </w:rPr>
              <w:br/>
              <w:t>Această opțiune presupune păstrarea în vigoare a Hotărârii Guvernului nr. 414/2016, care transpune Directiva 1999/32/CE – act european abrogat și înlocuit prin Directiva (UE) 2016/802.</w:t>
            </w:r>
            <w:r w:rsidRPr="00C764C3">
              <w:rPr>
                <w:rFonts w:asciiTheme="majorBidi" w:hAnsiTheme="majorBidi" w:cstheme="majorBidi"/>
                <w:lang w:val="ro-RO"/>
              </w:rPr>
              <w:br/>
              <w:t>Menținerea actualului cadru normativ este inacceptabilă din mai multe motive:</w:t>
            </w:r>
          </w:p>
          <w:p w14:paraId="721FA558" w14:textId="77777777" w:rsidR="00643A2F" w:rsidRPr="00C764C3" w:rsidRDefault="00643A2F" w:rsidP="00643A2F">
            <w:pPr>
              <w:numPr>
                <w:ilvl w:val="0"/>
                <w:numId w:val="18"/>
              </w:numPr>
              <w:spacing w:line="276" w:lineRule="auto"/>
              <w:jc w:val="both"/>
              <w:rPr>
                <w:rFonts w:asciiTheme="majorBidi" w:hAnsiTheme="majorBidi" w:cstheme="majorBidi"/>
                <w:lang w:val="ro-RO"/>
              </w:rPr>
            </w:pPr>
            <w:r w:rsidRPr="00C764C3">
              <w:rPr>
                <w:rFonts w:asciiTheme="majorBidi" w:hAnsiTheme="majorBidi" w:cstheme="majorBidi"/>
                <w:lang w:val="ro-RO"/>
              </w:rPr>
              <w:t>ar perpetua neconformitatea Republicii Moldova cu acquis-ul comunitar, generând un decalaj normativ față de legislația Uniunii Europene și contravenind angajamentelor asumate prin Acordul de Asociere și Tratatul Comunității Energetice;</w:t>
            </w:r>
          </w:p>
          <w:p w14:paraId="431714CF" w14:textId="77777777" w:rsidR="00643A2F" w:rsidRPr="00C764C3" w:rsidRDefault="00643A2F" w:rsidP="00643A2F">
            <w:pPr>
              <w:numPr>
                <w:ilvl w:val="0"/>
                <w:numId w:val="18"/>
              </w:numPr>
              <w:spacing w:line="276" w:lineRule="auto"/>
              <w:jc w:val="both"/>
              <w:rPr>
                <w:rFonts w:asciiTheme="majorBidi" w:hAnsiTheme="majorBidi" w:cstheme="majorBidi"/>
                <w:lang w:val="ro-RO"/>
              </w:rPr>
            </w:pPr>
            <w:r w:rsidRPr="00C764C3">
              <w:rPr>
                <w:rFonts w:asciiTheme="majorBidi" w:hAnsiTheme="majorBidi" w:cstheme="majorBidi"/>
                <w:lang w:val="ro-RO"/>
              </w:rPr>
              <w:t>ar menține un nivel ridicat de poluare atmosferică, în special din cauza păstrării unor limite învechite ale conținutului de sulf în combustibili, ceea ce ar continua să afecteze calitatea aerului, mediul și sănătatea publică;</w:t>
            </w:r>
          </w:p>
          <w:p w14:paraId="67861C25" w14:textId="77777777" w:rsidR="00643A2F" w:rsidRPr="00C764C3" w:rsidRDefault="00643A2F" w:rsidP="00643A2F">
            <w:pPr>
              <w:numPr>
                <w:ilvl w:val="0"/>
                <w:numId w:val="18"/>
              </w:numPr>
              <w:spacing w:line="276" w:lineRule="auto"/>
              <w:jc w:val="both"/>
              <w:rPr>
                <w:rFonts w:asciiTheme="majorBidi" w:hAnsiTheme="majorBidi" w:cstheme="majorBidi"/>
                <w:lang w:val="ro-RO"/>
              </w:rPr>
            </w:pPr>
            <w:r w:rsidRPr="00C764C3">
              <w:rPr>
                <w:rFonts w:asciiTheme="majorBidi" w:hAnsiTheme="majorBidi" w:cstheme="majorBidi"/>
                <w:lang w:val="ro-RO"/>
              </w:rPr>
              <w:t>ar expune Republica Moldova riscului de declanșare a unor proceduri de neconformitate („infringement”) din partea Secretariatului Comunității Energetice și ar putea crea obstacole serioase în procesul de aderare la Uniunea Europeană;</w:t>
            </w:r>
          </w:p>
          <w:p w14:paraId="1EF29434" w14:textId="77777777" w:rsidR="00643A2F" w:rsidRPr="00C764C3" w:rsidRDefault="00643A2F" w:rsidP="00643A2F">
            <w:pPr>
              <w:numPr>
                <w:ilvl w:val="0"/>
                <w:numId w:val="18"/>
              </w:numPr>
              <w:spacing w:line="276" w:lineRule="auto"/>
              <w:jc w:val="both"/>
              <w:rPr>
                <w:rFonts w:asciiTheme="majorBidi" w:hAnsiTheme="majorBidi" w:cstheme="majorBidi"/>
                <w:lang w:val="ro-RO"/>
              </w:rPr>
            </w:pPr>
            <w:r w:rsidRPr="00C764C3">
              <w:rPr>
                <w:rFonts w:asciiTheme="majorBidi" w:hAnsiTheme="majorBidi" w:cstheme="majorBidi"/>
                <w:lang w:val="ro-RO"/>
              </w:rPr>
              <w:t>ar contraveni obligațiilor asumate prin Programul Național de Aderare 2025–2029, care prevede expres transpunerea integrală a directivelor europene de mediu, inclusiv a Directivei (UE) 2016/802;</w:t>
            </w:r>
          </w:p>
          <w:p w14:paraId="5B2C63C8" w14:textId="77777777" w:rsidR="00643A2F" w:rsidRPr="00C764C3" w:rsidRDefault="00643A2F" w:rsidP="00643A2F">
            <w:pPr>
              <w:numPr>
                <w:ilvl w:val="0"/>
                <w:numId w:val="18"/>
              </w:numPr>
              <w:spacing w:line="276" w:lineRule="auto"/>
              <w:jc w:val="both"/>
              <w:rPr>
                <w:rFonts w:asciiTheme="majorBidi" w:hAnsiTheme="majorBidi" w:cstheme="majorBidi"/>
                <w:lang w:val="ro-RO"/>
              </w:rPr>
            </w:pPr>
            <w:r w:rsidRPr="00C764C3">
              <w:rPr>
                <w:rFonts w:asciiTheme="majorBidi" w:hAnsiTheme="majorBidi" w:cstheme="majorBidi"/>
                <w:lang w:val="ro-RO"/>
              </w:rPr>
              <w:t>ar afecta credibilitatea externă a statului, generând riscul ca Republica Moldova să fie percepută ca un partener care nu își respectă angajamentele asumate în dialogul cu instituțiile europene.</w:t>
            </w:r>
          </w:p>
          <w:p w14:paraId="50FCE824" w14:textId="77777777" w:rsidR="00643A2F" w:rsidRPr="00C764C3" w:rsidRDefault="00643A2F" w:rsidP="00643A2F">
            <w:pPr>
              <w:spacing w:line="276" w:lineRule="auto"/>
              <w:ind w:firstLine="743"/>
              <w:jc w:val="both"/>
              <w:rPr>
                <w:rFonts w:asciiTheme="majorBidi" w:hAnsiTheme="majorBidi" w:cstheme="majorBidi"/>
                <w:lang w:val="ro-RO"/>
              </w:rPr>
            </w:pPr>
            <w:r w:rsidRPr="00C764C3">
              <w:rPr>
                <w:rFonts w:asciiTheme="majorBidi" w:hAnsiTheme="majorBidi" w:cstheme="majorBidi"/>
                <w:lang w:val="ro-RO"/>
              </w:rPr>
              <w:t>Prin urmare, opțiunea de a menține status quo-ul este considerată ineficientă, neconformă și contrară interesului public, neputând asigura atingerea obiectivelor de reducere a emisiilor și de armonizare legislativă.</w:t>
            </w:r>
          </w:p>
          <w:p w14:paraId="22B3922D" w14:textId="092E0D85" w:rsidR="00591A9D" w:rsidRPr="00C764C3" w:rsidRDefault="00591A9D" w:rsidP="00591A9D">
            <w:pPr>
              <w:spacing w:line="276" w:lineRule="auto"/>
              <w:ind w:firstLine="743"/>
              <w:jc w:val="both"/>
              <w:rPr>
                <w:rFonts w:asciiTheme="majorBidi" w:hAnsiTheme="majorBidi" w:cstheme="majorBidi"/>
                <w:lang w:val="ro-RO"/>
              </w:rPr>
            </w:pPr>
            <w:r w:rsidRPr="00C764C3">
              <w:rPr>
                <w:rFonts w:asciiTheme="majorBidi" w:hAnsiTheme="majorBidi" w:cstheme="majorBidi"/>
                <w:b/>
                <w:bCs/>
                <w:lang w:val="ro-RO"/>
              </w:rPr>
              <w:t>Opțiunea 2</w:t>
            </w:r>
            <w:r w:rsidRPr="00C764C3">
              <w:rPr>
                <w:rFonts w:asciiTheme="majorBidi" w:hAnsiTheme="majorBidi" w:cstheme="majorBidi"/>
                <w:lang w:val="ro-RO"/>
              </w:rPr>
              <w:t xml:space="preserve"> – Adoptarea unui nou Regulament consolidate (soluția propusă)</w:t>
            </w:r>
          </w:p>
          <w:p w14:paraId="5DFB9992" w14:textId="77777777" w:rsidR="00591A9D" w:rsidRPr="00C764C3" w:rsidRDefault="00591A9D" w:rsidP="00591A9D">
            <w:pPr>
              <w:spacing w:line="276" w:lineRule="auto"/>
              <w:ind w:firstLine="743"/>
              <w:jc w:val="both"/>
              <w:rPr>
                <w:rFonts w:asciiTheme="majorBidi" w:hAnsiTheme="majorBidi" w:cstheme="majorBidi"/>
                <w:lang w:val="ro-RO"/>
              </w:rPr>
            </w:pPr>
            <w:r w:rsidRPr="00C764C3">
              <w:rPr>
                <w:rFonts w:asciiTheme="majorBidi" w:hAnsiTheme="majorBidi" w:cstheme="majorBidi"/>
                <w:lang w:val="ro-RO"/>
              </w:rPr>
              <w:t>Soluția propusă constă în abrogarea integrală a Hotărârii Guvernului nr. 414/2016 și adoptarea unui nou Regulament consolidat, care să permită transpunerea completă, clară și coerentă a Directivei (UE) 2016/802. Această abordare elimină ambiguitățile vechiului cadru normativ, evită amendamentele fragmentare și asigură alinierea deplină a legislației naționale la standardele Uniunii Europene, inclusiv la noile metode de analiză și la plafonul global de 0,50% sulf.</w:t>
            </w:r>
          </w:p>
          <w:p w14:paraId="183F4BFC" w14:textId="77777777" w:rsidR="00591A9D" w:rsidRPr="00C764C3" w:rsidRDefault="00591A9D" w:rsidP="00591A9D">
            <w:pPr>
              <w:spacing w:line="276" w:lineRule="auto"/>
              <w:ind w:firstLine="743"/>
              <w:jc w:val="both"/>
              <w:rPr>
                <w:rFonts w:asciiTheme="majorBidi" w:hAnsiTheme="majorBidi" w:cstheme="majorBidi"/>
                <w:lang w:val="ro-RO"/>
              </w:rPr>
            </w:pPr>
            <w:r w:rsidRPr="00C764C3">
              <w:rPr>
                <w:rFonts w:asciiTheme="majorBidi" w:hAnsiTheme="majorBidi" w:cstheme="majorBidi"/>
                <w:lang w:val="ro-RO"/>
              </w:rPr>
              <w:lastRenderedPageBreak/>
              <w:t>Transpunerea completă se va realiza pentru toate prevederile aplicabile Republicii Moldova, ținând cont de faptul că statul nu dispune de ieșire la mare, iar anumite dispoziții ale Directivei, referitoare la zone maritime sau la combustibili utilizați în navigația maritimă, nu sunt relevante pentru contextul național.</w:t>
            </w:r>
          </w:p>
          <w:p w14:paraId="6F20E16E" w14:textId="64F61A46" w:rsidR="00591A9D" w:rsidRPr="00C764C3" w:rsidRDefault="00591A9D" w:rsidP="00591A9D">
            <w:pPr>
              <w:numPr>
                <w:ilvl w:val="0"/>
                <w:numId w:val="19"/>
              </w:numPr>
              <w:spacing w:line="276" w:lineRule="auto"/>
              <w:jc w:val="both"/>
              <w:rPr>
                <w:rFonts w:asciiTheme="majorBidi" w:hAnsiTheme="majorBidi" w:cstheme="majorBidi"/>
                <w:lang w:val="ro-RO"/>
              </w:rPr>
            </w:pPr>
            <w:r w:rsidRPr="00C764C3">
              <w:rPr>
                <w:rFonts w:asciiTheme="majorBidi" w:hAnsiTheme="majorBidi" w:cstheme="majorBidi"/>
                <w:lang w:val="ro-RO"/>
              </w:rPr>
              <w:t>Noul Regulament va integra prevederile relevante și va corela normele cu modificările interne recente, precum Legea nr. 98/2022 privind calitatea aerului atmosferic și Legea nr. 227/2022 privind emisiile industriale, oferind un cadru actualizat, unitar și eficient de reglementare. Totodată noul regulament va oferi un cadru unitar, previzibil și ușor de aplicat pentru operatorii economici, autoritățile de mediu și instituțiile de control, reducând riscurile de interpretare divergentă și sarcinile administrative inutile.</w:t>
            </w:r>
          </w:p>
          <w:p w14:paraId="5B75326B" w14:textId="4EA94ADE" w:rsidR="00591A9D" w:rsidRPr="00C764C3" w:rsidRDefault="00591A9D" w:rsidP="00591A9D">
            <w:pPr>
              <w:spacing w:line="276" w:lineRule="auto"/>
              <w:ind w:left="720"/>
              <w:jc w:val="both"/>
              <w:rPr>
                <w:rFonts w:asciiTheme="majorBidi" w:hAnsiTheme="majorBidi" w:cstheme="majorBidi"/>
                <w:lang w:val="ro-RO"/>
              </w:rPr>
            </w:pPr>
            <w:r w:rsidRPr="00C764C3">
              <w:rPr>
                <w:rFonts w:asciiTheme="majorBidi" w:hAnsiTheme="majorBidi" w:cstheme="majorBidi"/>
                <w:lang w:val="ro-RO"/>
              </w:rPr>
              <w:t>Prevederile noului Regulament vor contribui indirect la îmbunătățirea calității aerului și protejarea sănătății publice, prin aplicarea celor mai recente standarde internaționale în domeniul reducerii emisiilor de sulf.</w:t>
            </w:r>
          </w:p>
          <w:p w14:paraId="3A1C1DA5" w14:textId="77777777" w:rsidR="00591A9D" w:rsidRPr="00C764C3" w:rsidRDefault="00591A9D" w:rsidP="00591A9D">
            <w:pPr>
              <w:spacing w:line="276" w:lineRule="auto"/>
              <w:ind w:firstLine="743"/>
              <w:jc w:val="both"/>
              <w:rPr>
                <w:rFonts w:asciiTheme="majorBidi" w:hAnsiTheme="majorBidi" w:cstheme="majorBidi"/>
                <w:lang w:val="ro-RO"/>
              </w:rPr>
            </w:pPr>
            <w:r w:rsidRPr="00C764C3">
              <w:rPr>
                <w:rFonts w:asciiTheme="majorBidi" w:hAnsiTheme="majorBidi" w:cstheme="majorBidi"/>
                <w:lang w:val="ro-RO"/>
              </w:rPr>
              <w:t>Astfel, adoptarea unui nou Regulament consolidat reprezintă singura opțiune viabilă din punct de vedere juridic, tehnic și strategic, asigurând atât respectarea angajamentelor internaționale ale Republicii Moldova, cât și compatibilitatea deplină a cadrului normativ național cu legislația Uniunii Europene.</w:t>
            </w:r>
          </w:p>
          <w:p w14:paraId="244E8189" w14:textId="135BE1E1" w:rsidR="00643A2F" w:rsidRPr="00C764C3" w:rsidRDefault="00643A2F" w:rsidP="00591A9D">
            <w:pPr>
              <w:spacing w:line="276" w:lineRule="auto"/>
              <w:ind w:firstLine="743"/>
              <w:jc w:val="both"/>
              <w:rPr>
                <w:rFonts w:asciiTheme="majorBidi" w:hAnsiTheme="majorBidi" w:cstheme="majorBidi"/>
                <w:b/>
                <w:bCs/>
                <w:lang w:val="ro-RO"/>
              </w:rPr>
            </w:pPr>
          </w:p>
        </w:tc>
      </w:tr>
      <w:tr w:rsidR="006B61CE" w:rsidRPr="00272E04" w14:paraId="3CDB70AE" w14:textId="77777777" w:rsidTr="00964655">
        <w:tc>
          <w:tcPr>
            <w:tcW w:w="9344" w:type="dxa"/>
            <w:shd w:val="clear" w:color="auto" w:fill="BFBFBF" w:themeFill="background1" w:themeFillShade="BF"/>
          </w:tcPr>
          <w:p w14:paraId="1B12D754" w14:textId="77777777" w:rsidR="006B61CE" w:rsidRPr="00C764C3" w:rsidRDefault="00964655" w:rsidP="00272E04">
            <w:pPr>
              <w:spacing w:line="276" w:lineRule="auto"/>
              <w:jc w:val="both"/>
              <w:rPr>
                <w:rFonts w:asciiTheme="majorBidi" w:hAnsiTheme="majorBidi" w:cstheme="majorBidi"/>
                <w:lang w:val="ro-RO"/>
              </w:rPr>
            </w:pPr>
            <w:r w:rsidRPr="00C764C3">
              <w:rPr>
                <w:rFonts w:asciiTheme="majorBidi" w:eastAsiaTheme="minorHAnsi" w:hAnsiTheme="majorBidi" w:cstheme="majorBidi"/>
                <w:b/>
                <w:bCs/>
                <w:lang w:val="ro-RO" w:eastAsia="en-US"/>
              </w:rPr>
              <w:lastRenderedPageBreak/>
              <w:t>4. Analiza impactului de reglementare</w:t>
            </w:r>
          </w:p>
        </w:tc>
      </w:tr>
      <w:tr w:rsidR="006B61CE" w:rsidRPr="00272E04" w14:paraId="1A10E540" w14:textId="77777777" w:rsidTr="001D5F93">
        <w:tc>
          <w:tcPr>
            <w:tcW w:w="9344" w:type="dxa"/>
            <w:shd w:val="clear" w:color="auto" w:fill="F2F2F2" w:themeFill="background1" w:themeFillShade="F2"/>
          </w:tcPr>
          <w:p w14:paraId="497EA1C5" w14:textId="77777777" w:rsidR="006B61CE" w:rsidRPr="00C764C3" w:rsidRDefault="00964655" w:rsidP="00272E04">
            <w:pPr>
              <w:spacing w:line="276" w:lineRule="auto"/>
              <w:jc w:val="both"/>
              <w:rPr>
                <w:rFonts w:asciiTheme="majorBidi" w:hAnsiTheme="majorBidi" w:cstheme="majorBidi"/>
                <w:lang w:val="ro-RO"/>
              </w:rPr>
            </w:pPr>
            <w:r w:rsidRPr="00C764C3">
              <w:rPr>
                <w:rFonts w:asciiTheme="majorBidi" w:eastAsiaTheme="minorHAnsi" w:hAnsiTheme="majorBidi" w:cstheme="majorBidi"/>
                <w:lang w:val="ro-RO" w:eastAsia="en-US"/>
              </w:rPr>
              <w:t>4.1. Impactul asupra sectorului public</w:t>
            </w:r>
          </w:p>
        </w:tc>
      </w:tr>
      <w:tr w:rsidR="006B61CE" w:rsidRPr="00A42EDC" w14:paraId="0DD731A2" w14:textId="77777777" w:rsidTr="006B61CE">
        <w:tc>
          <w:tcPr>
            <w:tcW w:w="9344" w:type="dxa"/>
          </w:tcPr>
          <w:p w14:paraId="6ACCE1FF" w14:textId="77777777" w:rsidR="00BE5141" w:rsidRPr="00C764C3" w:rsidRDefault="00BE5141" w:rsidP="00BE5141">
            <w:pPr>
              <w:spacing w:line="276" w:lineRule="auto"/>
              <w:ind w:firstLine="743"/>
              <w:jc w:val="both"/>
              <w:rPr>
                <w:rFonts w:asciiTheme="majorBidi" w:eastAsia="Google Sans Text" w:hAnsiTheme="majorBidi" w:cstheme="majorBidi"/>
                <w:color w:val="1B1C1D"/>
                <w:lang w:val="ro-RO"/>
              </w:rPr>
            </w:pPr>
            <w:r w:rsidRPr="00C764C3">
              <w:rPr>
                <w:rFonts w:asciiTheme="majorBidi" w:eastAsia="Google Sans Text" w:hAnsiTheme="majorBidi" w:cstheme="majorBidi"/>
                <w:color w:val="1B1C1D"/>
                <w:lang w:val="ro-RO"/>
              </w:rPr>
              <w:t>Proiectul nu presupune crearea unor noi instituții publice. Implementarea prevederilor urmează să fie asigurată de autoritățile existente, fiecare în limitele competențelor sale legale:</w:t>
            </w:r>
          </w:p>
          <w:p w14:paraId="5106D6D7" w14:textId="77777777" w:rsidR="00BE5141" w:rsidRPr="00C764C3" w:rsidRDefault="00BE5141" w:rsidP="00BE5141">
            <w:pPr>
              <w:numPr>
                <w:ilvl w:val="0"/>
                <w:numId w:val="20"/>
              </w:numPr>
              <w:spacing w:line="276" w:lineRule="auto"/>
              <w:jc w:val="both"/>
              <w:rPr>
                <w:rFonts w:asciiTheme="majorBidi" w:eastAsia="Google Sans Text" w:hAnsiTheme="majorBidi" w:cstheme="majorBidi"/>
                <w:color w:val="1B1C1D"/>
                <w:lang w:val="ro-RO"/>
              </w:rPr>
            </w:pPr>
            <w:r w:rsidRPr="00C764C3">
              <w:rPr>
                <w:rFonts w:asciiTheme="majorBidi" w:eastAsia="Google Sans Text" w:hAnsiTheme="majorBidi" w:cstheme="majorBidi"/>
                <w:b/>
                <w:bCs/>
                <w:color w:val="1B1C1D"/>
                <w:lang w:val="ro-RO"/>
              </w:rPr>
              <w:t>Ministerul Mediului</w:t>
            </w:r>
            <w:r w:rsidRPr="00C764C3">
              <w:rPr>
                <w:rFonts w:asciiTheme="majorBidi" w:eastAsia="Google Sans Text" w:hAnsiTheme="majorBidi" w:cstheme="majorBidi"/>
                <w:color w:val="1B1C1D"/>
                <w:lang w:val="ro-RO"/>
              </w:rPr>
              <w:t xml:space="preserve"> – responsabil de elaborarea politicilor publice, coordonarea și supravegherea generală a procesului de implementare;</w:t>
            </w:r>
          </w:p>
          <w:p w14:paraId="0E6CE2D4" w14:textId="23DDB329" w:rsidR="00BE5141" w:rsidRPr="00C764C3" w:rsidRDefault="00BE5141" w:rsidP="00BE5141">
            <w:pPr>
              <w:numPr>
                <w:ilvl w:val="0"/>
                <w:numId w:val="20"/>
              </w:numPr>
              <w:spacing w:line="276" w:lineRule="auto"/>
              <w:jc w:val="both"/>
              <w:rPr>
                <w:rFonts w:asciiTheme="majorBidi" w:eastAsia="Google Sans Text" w:hAnsiTheme="majorBidi" w:cstheme="majorBidi"/>
                <w:color w:val="1B1C1D"/>
                <w:lang w:val="ro-RO"/>
              </w:rPr>
            </w:pPr>
            <w:r w:rsidRPr="00C764C3">
              <w:rPr>
                <w:rFonts w:asciiTheme="majorBidi" w:eastAsia="Google Sans Text" w:hAnsiTheme="majorBidi" w:cstheme="majorBidi"/>
                <w:b/>
                <w:bCs/>
                <w:color w:val="1B1C1D"/>
                <w:lang w:val="ro-RO"/>
              </w:rPr>
              <w:t>Agenția Navală a Republicii Moldova</w:t>
            </w:r>
            <w:r w:rsidRPr="00C764C3">
              <w:rPr>
                <w:rFonts w:asciiTheme="majorBidi" w:eastAsia="Google Sans Text" w:hAnsiTheme="majorBidi" w:cstheme="majorBidi"/>
                <w:color w:val="1B1C1D"/>
                <w:lang w:val="ro-RO"/>
              </w:rPr>
              <w:t xml:space="preserve"> – monitorizează respectarea cerințelor privind conținutul de sulf în combustibilii utilizați în navigația navală, pentru navele sub pavilion național;</w:t>
            </w:r>
          </w:p>
          <w:p w14:paraId="0246A800" w14:textId="77777777" w:rsidR="00BE5141" w:rsidRPr="00C764C3" w:rsidRDefault="00BE5141" w:rsidP="00BE5141">
            <w:pPr>
              <w:numPr>
                <w:ilvl w:val="0"/>
                <w:numId w:val="20"/>
              </w:numPr>
              <w:spacing w:line="276" w:lineRule="auto"/>
              <w:jc w:val="both"/>
              <w:rPr>
                <w:rFonts w:asciiTheme="majorBidi" w:eastAsia="Google Sans Text" w:hAnsiTheme="majorBidi" w:cstheme="majorBidi"/>
                <w:color w:val="1B1C1D"/>
                <w:lang w:val="ro-RO"/>
              </w:rPr>
            </w:pPr>
            <w:r w:rsidRPr="00C764C3">
              <w:rPr>
                <w:rFonts w:asciiTheme="majorBidi" w:eastAsia="Google Sans Text" w:hAnsiTheme="majorBidi" w:cstheme="majorBidi"/>
                <w:b/>
                <w:bCs/>
                <w:color w:val="1B1C1D"/>
                <w:lang w:val="ro-RO"/>
              </w:rPr>
              <w:t>Inspectoratul de Stat pentru Supravegherea Produselor Nealimentare și Protecția Consumatorilor</w:t>
            </w:r>
            <w:r w:rsidRPr="00C764C3">
              <w:rPr>
                <w:rFonts w:asciiTheme="majorBidi" w:eastAsia="Google Sans Text" w:hAnsiTheme="majorBidi" w:cstheme="majorBidi"/>
                <w:color w:val="1B1C1D"/>
                <w:lang w:val="ro-RO"/>
              </w:rPr>
              <w:t xml:space="preserve"> – exercită supravegherea pieței interne a combustibililor, prin inspecții și prelevări de probe, conform legislației speciale;</w:t>
            </w:r>
          </w:p>
          <w:p w14:paraId="6BA7B854" w14:textId="77777777" w:rsidR="00BE5141" w:rsidRPr="00C764C3" w:rsidRDefault="00BE5141" w:rsidP="00BE5141">
            <w:pPr>
              <w:numPr>
                <w:ilvl w:val="0"/>
                <w:numId w:val="20"/>
              </w:numPr>
              <w:spacing w:line="276" w:lineRule="auto"/>
              <w:jc w:val="both"/>
              <w:rPr>
                <w:rFonts w:asciiTheme="majorBidi" w:eastAsia="Google Sans Text" w:hAnsiTheme="majorBidi" w:cstheme="majorBidi"/>
                <w:color w:val="1B1C1D"/>
                <w:lang w:val="ro-RO"/>
              </w:rPr>
            </w:pPr>
            <w:r w:rsidRPr="00C764C3">
              <w:rPr>
                <w:rFonts w:asciiTheme="majorBidi" w:eastAsia="Google Sans Text" w:hAnsiTheme="majorBidi" w:cstheme="majorBidi"/>
                <w:b/>
                <w:bCs/>
                <w:color w:val="1B1C1D"/>
                <w:lang w:val="ro-RO"/>
              </w:rPr>
              <w:t>Serviciul Vamal al Republicii Moldova</w:t>
            </w:r>
            <w:r w:rsidRPr="00C764C3">
              <w:rPr>
                <w:rFonts w:asciiTheme="majorBidi" w:eastAsia="Google Sans Text" w:hAnsiTheme="majorBidi" w:cstheme="majorBidi"/>
                <w:color w:val="1B1C1D"/>
                <w:lang w:val="ro-RO"/>
              </w:rPr>
              <w:t xml:space="preserve"> – verifică, la frontieră, documentele de conformitate ale loturilor de combustibil importate;</w:t>
            </w:r>
          </w:p>
          <w:p w14:paraId="1C574E6E" w14:textId="180DC0AD" w:rsidR="00BE5141" w:rsidRPr="00C764C3" w:rsidRDefault="00BE5141" w:rsidP="00BE5141">
            <w:pPr>
              <w:numPr>
                <w:ilvl w:val="0"/>
                <w:numId w:val="20"/>
              </w:numPr>
              <w:spacing w:line="276" w:lineRule="auto"/>
              <w:jc w:val="both"/>
              <w:rPr>
                <w:rFonts w:asciiTheme="majorBidi" w:eastAsia="Google Sans Text" w:hAnsiTheme="majorBidi" w:cstheme="majorBidi"/>
                <w:color w:val="1B1C1D"/>
                <w:lang w:val="ro-RO"/>
              </w:rPr>
            </w:pPr>
            <w:r w:rsidRPr="00C764C3">
              <w:rPr>
                <w:rFonts w:asciiTheme="majorBidi" w:eastAsia="Google Sans Text" w:hAnsiTheme="majorBidi" w:cstheme="majorBidi"/>
                <w:b/>
                <w:bCs/>
                <w:color w:val="1B1C1D"/>
                <w:lang w:val="ro-RO"/>
              </w:rPr>
              <w:t>Inspectoratul pentru Protecția Mediului</w:t>
            </w:r>
            <w:r w:rsidRPr="00C764C3">
              <w:rPr>
                <w:rFonts w:asciiTheme="majorBidi" w:eastAsia="Google Sans Text" w:hAnsiTheme="majorBidi" w:cstheme="majorBidi"/>
                <w:color w:val="1B1C1D"/>
                <w:lang w:val="ro-RO"/>
              </w:rPr>
              <w:t xml:space="preserve"> – asigură controlul de mediu privind respectarea limitelor de emisii în instalațiile care utilizează combustibili lichizi (păcura), potrivit atribuțiilor sale legale.</w:t>
            </w:r>
          </w:p>
          <w:p w14:paraId="2F8BF199" w14:textId="69A53F01" w:rsidR="00BE5141" w:rsidRPr="00C764C3" w:rsidRDefault="00BE5141" w:rsidP="00BE5141">
            <w:pPr>
              <w:numPr>
                <w:ilvl w:val="0"/>
                <w:numId w:val="20"/>
              </w:numPr>
              <w:spacing w:line="276" w:lineRule="auto"/>
              <w:jc w:val="both"/>
              <w:rPr>
                <w:rFonts w:asciiTheme="majorBidi" w:eastAsia="Google Sans Text" w:hAnsiTheme="majorBidi" w:cstheme="majorBidi"/>
                <w:color w:val="1B1C1D"/>
                <w:lang w:val="ro-RO"/>
              </w:rPr>
            </w:pPr>
            <w:r w:rsidRPr="00C764C3">
              <w:rPr>
                <w:rFonts w:asciiTheme="majorBidi" w:eastAsia="Google Sans Text" w:hAnsiTheme="majorBidi" w:cstheme="majorBidi"/>
                <w:b/>
                <w:bCs/>
                <w:color w:val="1B1C1D"/>
                <w:lang w:val="ro-RO"/>
              </w:rPr>
              <w:t xml:space="preserve">Agenția de Mediu </w:t>
            </w:r>
            <w:r w:rsidRPr="00C764C3">
              <w:rPr>
                <w:rFonts w:asciiTheme="majorBidi" w:eastAsia="Google Sans Text" w:hAnsiTheme="majorBidi" w:cstheme="majorBidi"/>
                <w:color w:val="1B1C1D"/>
                <w:lang w:val="ro-RO"/>
              </w:rPr>
              <w:t xml:space="preserve">– asigură eliberarea autorizațiilor inegrate de mediu </w:t>
            </w:r>
            <w:r w:rsidR="00401D76" w:rsidRPr="00C764C3">
              <w:rPr>
                <w:rFonts w:asciiTheme="majorBidi" w:eastAsia="Google Sans Text" w:hAnsiTheme="majorBidi" w:cstheme="majorBidi"/>
                <w:color w:val="1B1C1D"/>
                <w:lang w:val="ro-RO"/>
              </w:rPr>
              <w:t>s</w:t>
            </w:r>
            <w:r w:rsidRPr="00C764C3">
              <w:rPr>
                <w:rFonts w:asciiTheme="majorBidi" w:eastAsia="Google Sans Text" w:hAnsiTheme="majorBidi" w:cstheme="majorBidi"/>
                <w:color w:val="1B1C1D"/>
                <w:lang w:val="ro-RO"/>
              </w:rPr>
              <w:t>au autorizației de mediu, pentru instalațiile de ardere, cu includerea limitei de emisii de sulf.</w:t>
            </w:r>
          </w:p>
          <w:p w14:paraId="1964FA02" w14:textId="4B44F6A4" w:rsidR="00527954" w:rsidRPr="00C764C3" w:rsidRDefault="00BE5141" w:rsidP="003538B2">
            <w:pPr>
              <w:spacing w:line="276" w:lineRule="auto"/>
              <w:ind w:firstLine="743"/>
              <w:jc w:val="both"/>
              <w:rPr>
                <w:rFonts w:asciiTheme="majorBidi" w:eastAsia="Google Sans Text" w:hAnsiTheme="majorBidi" w:cstheme="majorBidi"/>
                <w:color w:val="1B1C1D"/>
                <w:lang w:val="ro-RO"/>
              </w:rPr>
            </w:pPr>
            <w:r w:rsidRPr="00C764C3">
              <w:rPr>
                <w:rFonts w:asciiTheme="majorBidi" w:eastAsia="Google Sans Text" w:hAnsiTheme="majorBidi" w:cstheme="majorBidi"/>
                <w:color w:val="1B1C1D"/>
                <w:lang w:val="ro-RO"/>
              </w:rPr>
              <w:t xml:space="preserve">Impactul instituțional se va manifesta prin necesitatea </w:t>
            </w:r>
            <w:r w:rsidRPr="00C764C3">
              <w:rPr>
                <w:rFonts w:asciiTheme="majorBidi" w:eastAsia="Google Sans Text" w:hAnsiTheme="majorBidi" w:cstheme="majorBidi"/>
                <w:b/>
                <w:bCs/>
                <w:color w:val="1B1C1D"/>
                <w:lang w:val="ro-RO"/>
              </w:rPr>
              <w:t>consolidării capacităților administrative</w:t>
            </w:r>
            <w:r w:rsidRPr="00C764C3">
              <w:rPr>
                <w:rFonts w:asciiTheme="majorBidi" w:eastAsia="Google Sans Text" w:hAnsiTheme="majorBidi" w:cstheme="majorBidi"/>
                <w:color w:val="1B1C1D"/>
                <w:lang w:val="ro-RO"/>
              </w:rPr>
              <w:t xml:space="preserve"> ale acestor autorități, în special în domeniul </w:t>
            </w:r>
            <w:r w:rsidRPr="00C764C3">
              <w:rPr>
                <w:rFonts w:asciiTheme="majorBidi" w:eastAsia="Google Sans Text" w:hAnsiTheme="majorBidi" w:cstheme="majorBidi"/>
                <w:b/>
                <w:bCs/>
                <w:color w:val="1B1C1D"/>
                <w:lang w:val="ro-RO"/>
              </w:rPr>
              <w:t>inspecției și monitorizării</w:t>
            </w:r>
            <w:r w:rsidRPr="00C764C3">
              <w:rPr>
                <w:rFonts w:asciiTheme="majorBidi" w:eastAsia="Google Sans Text" w:hAnsiTheme="majorBidi" w:cstheme="majorBidi"/>
                <w:color w:val="1B1C1D"/>
                <w:lang w:val="ro-RO"/>
              </w:rPr>
              <w:t xml:space="preserve">, prin </w:t>
            </w:r>
            <w:r w:rsidRPr="00C764C3">
              <w:rPr>
                <w:rFonts w:asciiTheme="majorBidi" w:eastAsia="Google Sans Text" w:hAnsiTheme="majorBidi" w:cstheme="majorBidi"/>
                <w:b/>
                <w:bCs/>
                <w:color w:val="1B1C1D"/>
                <w:lang w:val="ro-RO"/>
              </w:rPr>
              <w:t>actualizarea procedurilor interne</w:t>
            </w:r>
            <w:r w:rsidRPr="00C764C3">
              <w:rPr>
                <w:rFonts w:asciiTheme="majorBidi" w:eastAsia="Google Sans Text" w:hAnsiTheme="majorBidi" w:cstheme="majorBidi"/>
                <w:color w:val="1B1C1D"/>
                <w:lang w:val="ro-RO"/>
              </w:rPr>
              <w:t xml:space="preserve"> și, după caz, prin </w:t>
            </w:r>
            <w:r w:rsidRPr="00C764C3">
              <w:rPr>
                <w:rFonts w:asciiTheme="majorBidi" w:eastAsia="Google Sans Text" w:hAnsiTheme="majorBidi" w:cstheme="majorBidi"/>
                <w:b/>
                <w:bCs/>
                <w:color w:val="1B1C1D"/>
                <w:lang w:val="ro-RO"/>
              </w:rPr>
              <w:t>instruirea suplimentară a personalului</w:t>
            </w:r>
            <w:r w:rsidRPr="00C764C3">
              <w:rPr>
                <w:rFonts w:asciiTheme="majorBidi" w:eastAsia="Google Sans Text" w:hAnsiTheme="majorBidi" w:cstheme="majorBidi"/>
                <w:color w:val="1B1C1D"/>
                <w:lang w:val="ro-RO"/>
              </w:rPr>
              <w:t xml:space="preserve"> implicat.</w:t>
            </w:r>
            <w:r w:rsidR="003538B2" w:rsidRPr="00C764C3">
              <w:rPr>
                <w:rFonts w:asciiTheme="majorBidi" w:eastAsia="Google Sans Text" w:hAnsiTheme="majorBidi" w:cstheme="majorBidi"/>
                <w:color w:val="1B1C1D"/>
                <w:lang w:val="ro-RO"/>
              </w:rPr>
              <w:t xml:space="preserve"> Costurile de supraveghere și control vor fi acoperite din bugetele anuale existente, fără alocări suplimentare.</w:t>
            </w:r>
          </w:p>
          <w:p w14:paraId="15378432" w14:textId="70778DC6" w:rsidR="00527954" w:rsidRPr="00C764C3" w:rsidRDefault="00527954" w:rsidP="00691118">
            <w:pPr>
              <w:spacing w:line="276" w:lineRule="auto"/>
              <w:ind w:firstLine="743"/>
              <w:jc w:val="both"/>
              <w:rPr>
                <w:rFonts w:asciiTheme="majorBidi" w:hAnsiTheme="majorBidi" w:cstheme="majorBidi"/>
                <w:lang w:val="ro-MD"/>
              </w:rPr>
            </w:pPr>
          </w:p>
        </w:tc>
      </w:tr>
      <w:tr w:rsidR="006B61CE" w:rsidRPr="00A42EDC" w14:paraId="3FE95D25" w14:textId="77777777" w:rsidTr="001D5F93">
        <w:tc>
          <w:tcPr>
            <w:tcW w:w="9344" w:type="dxa"/>
            <w:shd w:val="clear" w:color="auto" w:fill="F2F2F2" w:themeFill="background1" w:themeFillShade="F2"/>
          </w:tcPr>
          <w:p w14:paraId="1397C190" w14:textId="77777777" w:rsidR="006B61CE" w:rsidRPr="00272E04" w:rsidRDefault="00964655" w:rsidP="00272E04">
            <w:pPr>
              <w:spacing w:line="276" w:lineRule="auto"/>
              <w:jc w:val="both"/>
              <w:rPr>
                <w:rFonts w:asciiTheme="majorBidi" w:hAnsiTheme="majorBidi" w:cstheme="majorBidi"/>
                <w:sz w:val="24"/>
                <w:szCs w:val="24"/>
                <w:lang w:val="ro-RO"/>
              </w:rPr>
            </w:pPr>
            <w:r w:rsidRPr="00272E04">
              <w:rPr>
                <w:rFonts w:asciiTheme="majorBidi" w:eastAsiaTheme="minorHAnsi" w:hAnsiTheme="majorBidi" w:cstheme="majorBidi"/>
                <w:sz w:val="24"/>
                <w:szCs w:val="24"/>
                <w:lang w:val="ro-RO" w:eastAsia="en-US"/>
              </w:rPr>
              <w:t xml:space="preserve">4.2. Impactul financiar </w:t>
            </w:r>
            <w:r w:rsidRPr="00272E04">
              <w:rPr>
                <w:rFonts w:asciiTheme="majorBidi" w:eastAsia="TimesNewRomanPSMT" w:hAnsiTheme="majorBidi" w:cstheme="majorBidi"/>
                <w:sz w:val="24"/>
                <w:szCs w:val="24"/>
                <w:lang w:val="ro-RO" w:eastAsia="en-US"/>
              </w:rPr>
              <w:t>ș</w:t>
            </w:r>
            <w:r w:rsidRPr="00272E04">
              <w:rPr>
                <w:rFonts w:asciiTheme="majorBidi" w:eastAsiaTheme="minorHAnsi" w:hAnsiTheme="majorBidi" w:cstheme="majorBidi"/>
                <w:sz w:val="24"/>
                <w:szCs w:val="24"/>
                <w:lang w:val="ro-RO" w:eastAsia="en-US"/>
              </w:rPr>
              <w:t>i argumentarea costurilor estimative</w:t>
            </w:r>
          </w:p>
        </w:tc>
      </w:tr>
      <w:tr w:rsidR="006B61CE" w:rsidRPr="00A42EDC" w14:paraId="0825A0A2" w14:textId="77777777" w:rsidTr="006B61CE">
        <w:tc>
          <w:tcPr>
            <w:tcW w:w="9344" w:type="dxa"/>
          </w:tcPr>
          <w:p w14:paraId="00CE9BC0" w14:textId="6B466FDF" w:rsidR="001B3913" w:rsidRPr="00C764C3" w:rsidRDefault="001B3913" w:rsidP="001B0433">
            <w:pPr>
              <w:spacing w:line="276" w:lineRule="auto"/>
              <w:ind w:firstLine="743"/>
              <w:jc w:val="both"/>
              <w:rPr>
                <w:rFonts w:asciiTheme="majorBidi" w:eastAsia="Google Sans Text" w:hAnsiTheme="majorBidi" w:cstheme="majorBidi"/>
                <w:color w:val="1B1C1D"/>
                <w:lang w:val="ro-RO"/>
              </w:rPr>
            </w:pPr>
            <w:r w:rsidRPr="00C764C3">
              <w:rPr>
                <w:rFonts w:asciiTheme="majorBidi" w:eastAsia="Google Sans Text" w:hAnsiTheme="majorBidi" w:cstheme="majorBidi"/>
                <w:color w:val="1B1C1D"/>
                <w:lang w:val="ro-RO"/>
              </w:rPr>
              <w:t xml:space="preserve">Majoritatea loturilor de combustibili lichizi importate în Republica Moldova provin din state membre UE și sunt deja testate în laboratoare acreditate conform standardelor internaționale. Operatorii economici vor putea utiliza rapoartele de încercări emise de laboratoare acreditate din UE, evitând </w:t>
            </w:r>
            <w:r w:rsidRPr="00C764C3">
              <w:rPr>
                <w:rFonts w:asciiTheme="majorBidi" w:eastAsia="Google Sans Text" w:hAnsiTheme="majorBidi" w:cstheme="majorBidi"/>
                <w:color w:val="1B1C1D"/>
                <w:lang w:val="ro-RO"/>
              </w:rPr>
              <w:lastRenderedPageBreak/>
              <w:t>necesitatea repetării analizelor și optimizând logistica și cheltuielile.</w:t>
            </w:r>
          </w:p>
          <w:p w14:paraId="76A7383E" w14:textId="131DE5BD" w:rsidR="003201AF" w:rsidRPr="001B3913" w:rsidRDefault="003201AF" w:rsidP="005265AE">
            <w:pPr>
              <w:pStyle w:val="BodyText"/>
              <w:spacing w:line="276" w:lineRule="auto"/>
              <w:ind w:firstLine="743"/>
              <w:jc w:val="both"/>
              <w:rPr>
                <w:rFonts w:asciiTheme="majorBidi" w:eastAsia="Google Sans Text" w:hAnsiTheme="majorBidi" w:cstheme="majorBidi"/>
                <w:color w:val="1B1C1D"/>
                <w:sz w:val="24"/>
                <w:szCs w:val="24"/>
                <w:lang w:val="ro-RO"/>
              </w:rPr>
            </w:pPr>
          </w:p>
        </w:tc>
      </w:tr>
      <w:tr w:rsidR="006B61CE" w:rsidRPr="00272E04" w14:paraId="7F99EDD7" w14:textId="77777777" w:rsidTr="001D5F93">
        <w:tc>
          <w:tcPr>
            <w:tcW w:w="9344" w:type="dxa"/>
            <w:shd w:val="clear" w:color="auto" w:fill="F2F2F2" w:themeFill="background1" w:themeFillShade="F2"/>
          </w:tcPr>
          <w:p w14:paraId="26900EF1" w14:textId="77777777" w:rsidR="006B61CE" w:rsidRPr="00272E04" w:rsidRDefault="00964655" w:rsidP="00272E04">
            <w:pPr>
              <w:spacing w:line="276" w:lineRule="auto"/>
              <w:jc w:val="both"/>
              <w:rPr>
                <w:rFonts w:asciiTheme="majorBidi" w:hAnsiTheme="majorBidi" w:cstheme="majorBidi"/>
                <w:sz w:val="24"/>
                <w:szCs w:val="24"/>
                <w:lang w:val="ro-RO"/>
              </w:rPr>
            </w:pPr>
            <w:r w:rsidRPr="00272E04">
              <w:rPr>
                <w:rFonts w:asciiTheme="majorBidi" w:eastAsiaTheme="minorHAnsi" w:hAnsiTheme="majorBidi" w:cstheme="majorBidi"/>
                <w:sz w:val="24"/>
                <w:szCs w:val="24"/>
                <w:lang w:val="ro-RO" w:eastAsia="en-US"/>
              </w:rPr>
              <w:lastRenderedPageBreak/>
              <w:t xml:space="preserve">4.3. </w:t>
            </w:r>
            <w:r w:rsidRPr="00C764C3">
              <w:rPr>
                <w:rFonts w:asciiTheme="majorBidi" w:eastAsiaTheme="minorHAnsi" w:hAnsiTheme="majorBidi" w:cstheme="majorBidi"/>
                <w:lang w:val="ro-RO" w:eastAsia="en-US"/>
              </w:rPr>
              <w:t>Impactul asupra sectorului privat</w:t>
            </w:r>
          </w:p>
        </w:tc>
      </w:tr>
      <w:tr w:rsidR="006B61CE" w:rsidRPr="00A42EDC" w14:paraId="597BC07E" w14:textId="77777777" w:rsidTr="006B61CE">
        <w:tc>
          <w:tcPr>
            <w:tcW w:w="9344" w:type="dxa"/>
          </w:tcPr>
          <w:p w14:paraId="4899B700" w14:textId="6E7A4652" w:rsidR="00EB3714" w:rsidRPr="00C764C3" w:rsidRDefault="001B0433" w:rsidP="006C0078">
            <w:pPr>
              <w:pStyle w:val="FirstParagraph"/>
              <w:spacing w:line="276" w:lineRule="auto"/>
              <w:jc w:val="both"/>
              <w:rPr>
                <w:rFonts w:asciiTheme="majorBidi" w:hAnsiTheme="majorBidi" w:cstheme="majorBidi"/>
                <w:sz w:val="22"/>
                <w:szCs w:val="22"/>
                <w:lang w:val="ro-RO"/>
              </w:rPr>
            </w:pPr>
            <w:r w:rsidRPr="00C764C3">
              <w:rPr>
                <w:rFonts w:asciiTheme="majorBidi" w:hAnsiTheme="majorBidi" w:cstheme="majorBidi"/>
                <w:sz w:val="22"/>
                <w:szCs w:val="22"/>
                <w:lang w:val="ro-RO"/>
              </w:rPr>
              <w:t>Pentru operatorii economici importatori și distribuitori de combustibili, alinierea la cerințele Directivei UE 2016/802 privind conținutul de sulf nu va genera costuri majore suplimentare. Combustibilii importa</w:t>
            </w:r>
            <w:r w:rsidR="0092139A" w:rsidRPr="00C764C3">
              <w:rPr>
                <w:rFonts w:asciiTheme="majorBidi" w:hAnsiTheme="majorBidi" w:cstheme="majorBidi"/>
                <w:sz w:val="22"/>
                <w:szCs w:val="22"/>
                <w:lang w:val="ro-RO"/>
              </w:rPr>
              <w:t>ț</w:t>
            </w:r>
            <w:r w:rsidRPr="00C764C3">
              <w:rPr>
                <w:rFonts w:asciiTheme="majorBidi" w:hAnsiTheme="majorBidi" w:cstheme="majorBidi"/>
                <w:sz w:val="22"/>
                <w:szCs w:val="22"/>
                <w:lang w:val="ro-RO"/>
              </w:rPr>
              <w:t xml:space="preserve">i (motorina și păcura) respectă deja limitele europene (motorina &lt;0,1% sulf, păcura &lt;1%), întrucât UE a interzis motorina cu &gt;0,1% sulf încă din 2008, iar păcura cu &gt;1% sulf se mai produce doar pentru export în țări fără reglementări. </w:t>
            </w:r>
          </w:p>
          <w:p w14:paraId="07D7C55E" w14:textId="77777777" w:rsidR="001B0422" w:rsidRPr="00C764C3" w:rsidRDefault="0092139A" w:rsidP="006C0078">
            <w:pPr>
              <w:pStyle w:val="FirstParagraph"/>
              <w:spacing w:line="276" w:lineRule="auto"/>
              <w:jc w:val="both"/>
              <w:rPr>
                <w:rFonts w:ascii="Times New Roman" w:hAnsi="Times New Roman" w:cs="Times New Roman"/>
                <w:sz w:val="22"/>
                <w:szCs w:val="22"/>
                <w:lang w:val="ro-RO"/>
              </w:rPr>
            </w:pPr>
            <w:r w:rsidRPr="00C764C3">
              <w:rPr>
                <w:rFonts w:ascii="Times New Roman" w:hAnsi="Times New Roman" w:cs="Times New Roman"/>
                <w:sz w:val="22"/>
                <w:szCs w:val="22"/>
                <w:lang w:val="ro-RO"/>
              </w:rPr>
              <w:t xml:space="preserve">Conform dateleor privind repartizarea importului de motorină în țară în anul 2024, se observă că segmentul majoritar îl reprezintă România (~3/4 din importurile de motorină) ce  indică o dependenţă semnificativă de acest furnizor care este din UE. </w:t>
            </w:r>
          </w:p>
          <w:p w14:paraId="361B2968" w14:textId="4C7D8EB0" w:rsidR="0092139A" w:rsidRPr="00C764C3" w:rsidRDefault="0092139A" w:rsidP="006C0078">
            <w:pPr>
              <w:pStyle w:val="FirstParagraph"/>
              <w:spacing w:line="276" w:lineRule="auto"/>
              <w:jc w:val="both"/>
              <w:rPr>
                <w:rFonts w:ascii="Times New Roman" w:hAnsi="Times New Roman" w:cs="Times New Roman"/>
                <w:sz w:val="22"/>
                <w:szCs w:val="22"/>
                <w:lang w:val="ro-RO"/>
              </w:rPr>
            </w:pPr>
            <w:r w:rsidRPr="00C764C3">
              <w:rPr>
                <w:rFonts w:ascii="Times New Roman" w:hAnsi="Times New Roman" w:cs="Times New Roman"/>
                <w:sz w:val="22"/>
                <w:szCs w:val="22"/>
                <w:lang w:val="ro-RO"/>
              </w:rPr>
              <w:t>Există o diversificare minoră prin furnizori extra</w:t>
            </w:r>
            <w:r w:rsidRPr="00C764C3">
              <w:rPr>
                <w:rFonts w:ascii="Times New Roman" w:hAnsi="Times New Roman" w:cs="Times New Roman"/>
                <w:sz w:val="22"/>
                <w:szCs w:val="22"/>
                <w:lang w:val="ro-RO"/>
              </w:rPr>
              <w:noBreakHyphen/>
              <w:t xml:space="preserve">UE (Egipt, EAU, Turcia, Bulgaria, India) — aceste cote menţin însă sub 10% fiecare. </w:t>
            </w:r>
          </w:p>
          <w:p w14:paraId="5285E423" w14:textId="6A581CD8" w:rsidR="0092139A" w:rsidRPr="00C764C3" w:rsidRDefault="0092139A" w:rsidP="006C0078">
            <w:pPr>
              <w:pStyle w:val="FirstParagraph"/>
              <w:spacing w:line="276" w:lineRule="auto"/>
              <w:jc w:val="both"/>
              <w:rPr>
                <w:rFonts w:ascii="Times New Roman" w:hAnsi="Times New Roman" w:cs="Times New Roman"/>
                <w:sz w:val="22"/>
                <w:szCs w:val="22"/>
                <w:lang w:val="ro-RO"/>
              </w:rPr>
            </w:pPr>
            <w:r w:rsidRPr="00C764C3">
              <w:rPr>
                <w:rFonts w:ascii="Times New Roman" w:hAnsi="Times New Roman" w:cs="Times New Roman"/>
                <w:sz w:val="22"/>
                <w:szCs w:val="22"/>
                <w:lang w:val="ro-RO"/>
              </w:rPr>
              <w:t>Alte ţări acoperă o cotă foarte mică (~1.3%) — practic neglijabilă pentru dinamică globală.</w:t>
            </w:r>
          </w:p>
          <w:p w14:paraId="1C266867" w14:textId="262DDD90" w:rsidR="009A38A6" w:rsidRPr="00C764C3" w:rsidRDefault="009A38A6" w:rsidP="006C0078">
            <w:pPr>
              <w:pStyle w:val="FirstParagraph"/>
              <w:spacing w:line="276" w:lineRule="auto"/>
              <w:jc w:val="both"/>
              <w:rPr>
                <w:rFonts w:asciiTheme="majorBidi" w:hAnsiTheme="majorBidi" w:cstheme="majorBidi"/>
                <w:sz w:val="22"/>
                <w:szCs w:val="22"/>
                <w:lang w:val="ro-RO"/>
              </w:rPr>
            </w:pPr>
            <w:r w:rsidRPr="00C764C3">
              <w:rPr>
                <w:rFonts w:asciiTheme="majorBidi" w:hAnsiTheme="majorBidi" w:cstheme="majorBidi"/>
                <w:sz w:val="22"/>
                <w:szCs w:val="22"/>
                <w:lang w:val="ro-RO"/>
              </w:rPr>
              <w:t>Repartizarea importurilor de motorină după ţări în 2024:</w:t>
            </w:r>
          </w:p>
          <w:p w14:paraId="088004D3" w14:textId="23FB4A17" w:rsidR="009A38A6" w:rsidRPr="00C764C3" w:rsidRDefault="009A38A6" w:rsidP="009A38A6">
            <w:pPr>
              <w:pStyle w:val="FirstParagraph"/>
              <w:numPr>
                <w:ilvl w:val="1"/>
                <w:numId w:val="21"/>
              </w:numPr>
              <w:spacing w:line="276" w:lineRule="auto"/>
              <w:jc w:val="both"/>
              <w:rPr>
                <w:rFonts w:asciiTheme="majorBidi" w:hAnsiTheme="majorBidi" w:cstheme="majorBidi"/>
                <w:sz w:val="22"/>
                <w:szCs w:val="22"/>
                <w:lang w:val="ro-RO"/>
              </w:rPr>
            </w:pPr>
            <w:r w:rsidRPr="00C764C3">
              <w:rPr>
                <w:rFonts w:asciiTheme="majorBidi" w:hAnsiTheme="majorBidi" w:cstheme="majorBidi"/>
                <w:sz w:val="22"/>
                <w:szCs w:val="22"/>
                <w:lang w:val="ro-RO"/>
              </w:rPr>
              <w:t xml:space="preserve">România: ~74.1% </w:t>
            </w:r>
          </w:p>
          <w:p w14:paraId="3245B81E" w14:textId="1EEBBC16" w:rsidR="009A38A6" w:rsidRPr="00C764C3" w:rsidRDefault="009A38A6" w:rsidP="009A38A6">
            <w:pPr>
              <w:pStyle w:val="FirstParagraph"/>
              <w:numPr>
                <w:ilvl w:val="1"/>
                <w:numId w:val="21"/>
              </w:numPr>
              <w:spacing w:line="276" w:lineRule="auto"/>
              <w:jc w:val="both"/>
              <w:rPr>
                <w:rFonts w:asciiTheme="majorBidi" w:hAnsiTheme="majorBidi" w:cstheme="majorBidi"/>
                <w:sz w:val="22"/>
                <w:szCs w:val="22"/>
                <w:lang w:val="ro-RO"/>
              </w:rPr>
            </w:pPr>
            <w:r w:rsidRPr="00C764C3">
              <w:rPr>
                <w:rFonts w:asciiTheme="majorBidi" w:hAnsiTheme="majorBidi" w:cstheme="majorBidi"/>
                <w:sz w:val="22"/>
                <w:szCs w:val="22"/>
                <w:lang w:val="ro-RO"/>
              </w:rPr>
              <w:t xml:space="preserve">Egipt: ~7.7% </w:t>
            </w:r>
          </w:p>
          <w:p w14:paraId="37B529D8" w14:textId="3C74E9CB" w:rsidR="009A38A6" w:rsidRPr="00C764C3" w:rsidRDefault="009A38A6" w:rsidP="009A38A6">
            <w:pPr>
              <w:pStyle w:val="FirstParagraph"/>
              <w:numPr>
                <w:ilvl w:val="1"/>
                <w:numId w:val="21"/>
              </w:numPr>
              <w:spacing w:line="276" w:lineRule="auto"/>
              <w:jc w:val="both"/>
              <w:rPr>
                <w:rFonts w:asciiTheme="majorBidi" w:hAnsiTheme="majorBidi" w:cstheme="majorBidi"/>
                <w:sz w:val="22"/>
                <w:szCs w:val="22"/>
                <w:lang w:val="ro-RO"/>
              </w:rPr>
            </w:pPr>
            <w:r w:rsidRPr="00C764C3">
              <w:rPr>
                <w:rFonts w:asciiTheme="majorBidi" w:hAnsiTheme="majorBidi" w:cstheme="majorBidi"/>
                <w:sz w:val="22"/>
                <w:szCs w:val="22"/>
                <w:lang w:val="ro-RO"/>
              </w:rPr>
              <w:t xml:space="preserve">Emiratele Arabe Unite: ~6.9% </w:t>
            </w:r>
          </w:p>
          <w:p w14:paraId="3C13203B" w14:textId="4CCD5A7F" w:rsidR="009A38A6" w:rsidRPr="00C764C3" w:rsidRDefault="009A38A6" w:rsidP="009A38A6">
            <w:pPr>
              <w:pStyle w:val="FirstParagraph"/>
              <w:numPr>
                <w:ilvl w:val="1"/>
                <w:numId w:val="21"/>
              </w:numPr>
              <w:spacing w:line="276" w:lineRule="auto"/>
              <w:jc w:val="both"/>
              <w:rPr>
                <w:rFonts w:asciiTheme="majorBidi" w:hAnsiTheme="majorBidi" w:cstheme="majorBidi"/>
                <w:sz w:val="22"/>
                <w:szCs w:val="22"/>
                <w:lang w:val="ro-RO"/>
              </w:rPr>
            </w:pPr>
            <w:r w:rsidRPr="00C764C3">
              <w:rPr>
                <w:rFonts w:asciiTheme="majorBidi" w:hAnsiTheme="majorBidi" w:cstheme="majorBidi"/>
                <w:sz w:val="22"/>
                <w:szCs w:val="22"/>
                <w:lang w:val="ro-RO"/>
              </w:rPr>
              <w:t xml:space="preserve">Turcia: ~4.5% </w:t>
            </w:r>
          </w:p>
          <w:p w14:paraId="44C84C54" w14:textId="62E8B823" w:rsidR="009A38A6" w:rsidRPr="00C764C3" w:rsidRDefault="009A38A6" w:rsidP="009A38A6">
            <w:pPr>
              <w:pStyle w:val="FirstParagraph"/>
              <w:numPr>
                <w:ilvl w:val="1"/>
                <w:numId w:val="21"/>
              </w:numPr>
              <w:spacing w:line="276" w:lineRule="auto"/>
              <w:jc w:val="both"/>
              <w:rPr>
                <w:rFonts w:asciiTheme="majorBidi" w:hAnsiTheme="majorBidi" w:cstheme="majorBidi"/>
                <w:sz w:val="22"/>
                <w:szCs w:val="22"/>
                <w:lang w:val="ro-RO"/>
              </w:rPr>
            </w:pPr>
            <w:r w:rsidRPr="00C764C3">
              <w:rPr>
                <w:rFonts w:asciiTheme="majorBidi" w:hAnsiTheme="majorBidi" w:cstheme="majorBidi"/>
                <w:sz w:val="22"/>
                <w:szCs w:val="22"/>
                <w:lang w:val="ro-RO"/>
              </w:rPr>
              <w:t xml:space="preserve">Bulgaria: ~4.4% </w:t>
            </w:r>
          </w:p>
          <w:p w14:paraId="532504A3" w14:textId="3E9AFD81" w:rsidR="009A38A6" w:rsidRPr="00C764C3" w:rsidRDefault="009A38A6" w:rsidP="009A38A6">
            <w:pPr>
              <w:pStyle w:val="FirstParagraph"/>
              <w:numPr>
                <w:ilvl w:val="1"/>
                <w:numId w:val="21"/>
              </w:numPr>
              <w:spacing w:line="276" w:lineRule="auto"/>
              <w:jc w:val="both"/>
              <w:rPr>
                <w:rFonts w:asciiTheme="majorBidi" w:hAnsiTheme="majorBidi" w:cstheme="majorBidi"/>
                <w:sz w:val="22"/>
                <w:szCs w:val="22"/>
                <w:lang w:val="ro-RO"/>
              </w:rPr>
            </w:pPr>
            <w:r w:rsidRPr="00C764C3">
              <w:rPr>
                <w:rFonts w:asciiTheme="majorBidi" w:hAnsiTheme="majorBidi" w:cstheme="majorBidi"/>
                <w:sz w:val="22"/>
                <w:szCs w:val="22"/>
                <w:lang w:val="ro-RO"/>
              </w:rPr>
              <w:t xml:space="preserve">India: ~1.2% </w:t>
            </w:r>
            <w:hyperlink r:id="rId6" w:tgtFrame="_blank" w:history="1"/>
          </w:p>
          <w:p w14:paraId="486F405D" w14:textId="3F7D9AD6" w:rsidR="00EB3714" w:rsidRPr="00C764C3" w:rsidRDefault="009A38A6" w:rsidP="001B0422">
            <w:pPr>
              <w:pStyle w:val="FirstParagraph"/>
              <w:spacing w:line="276" w:lineRule="auto"/>
              <w:ind w:left="1920"/>
              <w:jc w:val="both"/>
              <w:rPr>
                <w:rFonts w:asciiTheme="majorBidi" w:hAnsiTheme="majorBidi" w:cstheme="majorBidi"/>
                <w:sz w:val="22"/>
                <w:szCs w:val="22"/>
                <w:lang w:val="ro-RO"/>
              </w:rPr>
            </w:pPr>
            <w:r w:rsidRPr="00C764C3">
              <w:rPr>
                <w:rFonts w:asciiTheme="majorBidi" w:hAnsiTheme="majorBidi" w:cstheme="majorBidi"/>
                <w:sz w:val="22"/>
                <w:szCs w:val="22"/>
                <w:lang w:val="ro-RO"/>
              </w:rPr>
              <w:t xml:space="preserve">Alte ţări: ~1.3% </w:t>
            </w:r>
          </w:p>
          <w:p w14:paraId="3F369946" w14:textId="0B495141" w:rsidR="001B0433" w:rsidRPr="00C764C3" w:rsidRDefault="002C3810" w:rsidP="001B0433">
            <w:pPr>
              <w:pStyle w:val="FirstParagraph"/>
              <w:spacing w:line="276" w:lineRule="auto"/>
              <w:ind w:firstLine="743"/>
              <w:jc w:val="both"/>
              <w:rPr>
                <w:rFonts w:asciiTheme="majorBidi" w:hAnsiTheme="majorBidi" w:cstheme="majorBidi"/>
                <w:sz w:val="22"/>
                <w:szCs w:val="22"/>
                <w:lang w:val="en-US"/>
              </w:rPr>
            </w:pPr>
            <w:r w:rsidRPr="00C764C3">
              <w:rPr>
                <w:noProof/>
                <w:sz w:val="22"/>
                <w:szCs w:val="22"/>
              </w:rPr>
              <w:lastRenderedPageBreak/>
              <w:drawing>
                <wp:inline distT="0" distB="0" distL="0" distR="0" wp14:anchorId="3FA4BCCF" wp14:editId="0D4A5D27">
                  <wp:extent cx="5577840" cy="3279140"/>
                  <wp:effectExtent l="0" t="0" r="3810" b="0"/>
                  <wp:docPr id="2055476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7840" cy="3279140"/>
                          </a:xfrm>
                          <a:prstGeom prst="rect">
                            <a:avLst/>
                          </a:prstGeom>
                          <a:noFill/>
                          <a:ln>
                            <a:noFill/>
                          </a:ln>
                        </pic:spPr>
                      </pic:pic>
                    </a:graphicData>
                  </a:graphic>
                </wp:inline>
              </w:drawing>
            </w:r>
          </w:p>
          <w:p w14:paraId="03292F67" w14:textId="24ED1D97" w:rsidR="001B0433" w:rsidRPr="00C764C3" w:rsidRDefault="00C764C3" w:rsidP="006C0078">
            <w:pPr>
              <w:pStyle w:val="FirstParagraph"/>
              <w:spacing w:line="276" w:lineRule="auto"/>
              <w:jc w:val="both"/>
              <w:rPr>
                <w:rFonts w:asciiTheme="majorBidi" w:hAnsiTheme="majorBidi" w:cstheme="majorBidi"/>
                <w:sz w:val="22"/>
                <w:szCs w:val="22"/>
                <w:lang w:val="ro-RO"/>
              </w:rPr>
            </w:pPr>
            <w:r w:rsidRPr="00C764C3">
              <w:rPr>
                <w:rFonts w:asciiTheme="majorBidi" w:hAnsiTheme="majorBidi" w:cstheme="majorBidi"/>
                <w:sz w:val="22"/>
                <w:szCs w:val="22"/>
                <w:lang w:val="ro-RO"/>
              </w:rPr>
              <w:t>P</w:t>
            </w:r>
            <w:r w:rsidR="001B0433" w:rsidRPr="00C764C3">
              <w:rPr>
                <w:rFonts w:asciiTheme="majorBidi" w:hAnsiTheme="majorBidi" w:cstheme="majorBidi"/>
                <w:sz w:val="22"/>
                <w:szCs w:val="22"/>
                <w:lang w:val="ro-RO"/>
              </w:rPr>
              <w:t>roiectul va crea condiții de concurență echitabile pe piața produselor petroliere, va alinia standardele naționale la cele europene și va stimula adoptarea tehnologiilor curate, cu beneficii pe termen lung pentru sănătatea publică și mediu.</w:t>
            </w:r>
          </w:p>
          <w:p w14:paraId="4F465D72" w14:textId="4C338355" w:rsidR="00C40B8C" w:rsidRPr="00C764C3" w:rsidRDefault="00C40B8C" w:rsidP="009C1BAB">
            <w:pPr>
              <w:spacing w:line="276" w:lineRule="auto"/>
              <w:ind w:firstLine="743"/>
              <w:jc w:val="both"/>
              <w:rPr>
                <w:lang w:val="ro" w:eastAsia="en-US"/>
              </w:rPr>
            </w:pPr>
          </w:p>
        </w:tc>
      </w:tr>
      <w:tr w:rsidR="006B61CE" w:rsidRPr="00272E04" w14:paraId="0EC0B4E3" w14:textId="77777777" w:rsidTr="001D5F93">
        <w:tc>
          <w:tcPr>
            <w:tcW w:w="9344" w:type="dxa"/>
            <w:shd w:val="clear" w:color="auto" w:fill="F2F2F2" w:themeFill="background1" w:themeFillShade="F2"/>
          </w:tcPr>
          <w:p w14:paraId="7B94990E" w14:textId="77777777" w:rsidR="006B61CE" w:rsidRPr="00C764C3" w:rsidRDefault="00964655" w:rsidP="00272E04">
            <w:pPr>
              <w:spacing w:line="276" w:lineRule="auto"/>
              <w:jc w:val="both"/>
              <w:rPr>
                <w:rFonts w:asciiTheme="majorBidi" w:hAnsiTheme="majorBidi" w:cstheme="majorBidi"/>
                <w:lang w:val="ro-RO"/>
              </w:rPr>
            </w:pPr>
            <w:r w:rsidRPr="00C764C3">
              <w:rPr>
                <w:rFonts w:asciiTheme="majorBidi" w:eastAsiaTheme="minorHAnsi" w:hAnsiTheme="majorBidi" w:cstheme="majorBidi"/>
                <w:lang w:val="ro-RO" w:eastAsia="en-US"/>
              </w:rPr>
              <w:lastRenderedPageBreak/>
              <w:t>4.4. Impactul social</w:t>
            </w:r>
          </w:p>
        </w:tc>
      </w:tr>
      <w:tr w:rsidR="00FB7F51" w:rsidRPr="00A42EDC" w14:paraId="0F374D3A" w14:textId="77777777" w:rsidTr="00FB7F51">
        <w:tc>
          <w:tcPr>
            <w:tcW w:w="9344" w:type="dxa"/>
            <w:shd w:val="clear" w:color="auto" w:fill="FFFFFF" w:themeFill="background1"/>
          </w:tcPr>
          <w:p w14:paraId="2E09BC38" w14:textId="77777777" w:rsidR="009A16AA" w:rsidRPr="00F16974" w:rsidRDefault="009A16AA" w:rsidP="009A16AA">
            <w:pPr>
              <w:widowControl/>
              <w:spacing w:before="60" w:after="60"/>
              <w:jc w:val="both"/>
              <w:rPr>
                <w:rFonts w:asciiTheme="majorBidi" w:hAnsiTheme="majorBidi" w:cstheme="majorBidi"/>
                <w:color w:val="000000" w:themeColor="text1"/>
                <w:lang w:val="ro-RO"/>
              </w:rPr>
            </w:pPr>
            <w:r w:rsidRPr="00F16974">
              <w:rPr>
                <w:rFonts w:asciiTheme="majorBidi" w:hAnsiTheme="majorBidi" w:cstheme="majorBidi"/>
                <w:color w:val="000000" w:themeColor="text1"/>
                <w:lang w:val="ro-RO"/>
              </w:rPr>
              <w:t>Prezentul act normativ va genera un impact social semnificativ și preponderent pozitiv, prin efectele directe asupra sănătății publice și calității vieții populației.</w:t>
            </w:r>
          </w:p>
          <w:p w14:paraId="46866F6F" w14:textId="0B136782" w:rsidR="009A16AA" w:rsidRPr="00F16974" w:rsidRDefault="009A16AA" w:rsidP="009A16AA">
            <w:pPr>
              <w:widowControl/>
              <w:numPr>
                <w:ilvl w:val="0"/>
                <w:numId w:val="23"/>
              </w:numPr>
              <w:spacing w:before="60" w:after="60"/>
              <w:jc w:val="both"/>
              <w:rPr>
                <w:rFonts w:asciiTheme="majorBidi" w:hAnsiTheme="majorBidi" w:cstheme="majorBidi"/>
                <w:color w:val="000000" w:themeColor="text1"/>
                <w:lang w:val="ro-RO"/>
              </w:rPr>
            </w:pPr>
            <w:r w:rsidRPr="00F16974">
              <w:rPr>
                <w:rFonts w:asciiTheme="majorBidi" w:hAnsiTheme="majorBidi" w:cstheme="majorBidi"/>
                <w:b/>
                <w:bCs/>
                <w:color w:val="000000" w:themeColor="text1"/>
                <w:lang w:val="ro-RO"/>
              </w:rPr>
              <w:t>Îmbunătățirea sănătății publice.</w:t>
            </w:r>
            <w:r w:rsidRPr="00F16974">
              <w:rPr>
                <w:rFonts w:asciiTheme="majorBidi" w:hAnsiTheme="majorBidi" w:cstheme="majorBidi"/>
                <w:color w:val="000000" w:themeColor="text1"/>
                <w:lang w:val="ro-RO"/>
              </w:rPr>
              <w:t xml:space="preserve"> Reducerea conținutului de sulf din combustibilii lichizi va conduce la limitarea semnificativă a emisiilor de dioxid de sulf (SO₂) și particule fine (PM). Conform studiilor epidemiologice și datelor OMS, diminuarea acestor poluanți este corelată cu scăderea incidenței bolilor respiratorii și cardiovasculare, precum astmul bronșic, bronșitele cronice și infarctele miocardice, în special în mediul urban.</w:t>
            </w:r>
          </w:p>
          <w:p w14:paraId="2E6DCCEB" w14:textId="77777777" w:rsidR="009A16AA" w:rsidRPr="00F16974" w:rsidRDefault="009A16AA" w:rsidP="009A16AA">
            <w:pPr>
              <w:widowControl/>
              <w:numPr>
                <w:ilvl w:val="0"/>
                <w:numId w:val="23"/>
              </w:numPr>
              <w:spacing w:before="60" w:after="60"/>
              <w:jc w:val="both"/>
              <w:rPr>
                <w:rFonts w:asciiTheme="majorBidi" w:hAnsiTheme="majorBidi" w:cstheme="majorBidi"/>
                <w:color w:val="000000" w:themeColor="text1"/>
                <w:lang w:val="ro-RO"/>
              </w:rPr>
            </w:pPr>
            <w:r w:rsidRPr="00F16974">
              <w:rPr>
                <w:rFonts w:asciiTheme="majorBidi" w:hAnsiTheme="majorBidi" w:cstheme="majorBidi"/>
                <w:b/>
                <w:bCs/>
                <w:color w:val="000000" w:themeColor="text1"/>
                <w:lang w:val="ro-RO"/>
              </w:rPr>
              <w:t>Protejarea grupurilor vulnerabile.</w:t>
            </w:r>
            <w:r w:rsidRPr="00F16974">
              <w:rPr>
                <w:rFonts w:asciiTheme="majorBidi" w:hAnsiTheme="majorBidi" w:cstheme="majorBidi"/>
                <w:color w:val="000000" w:themeColor="text1"/>
                <w:lang w:val="ro-RO"/>
              </w:rPr>
              <w:t xml:space="preserve"> Copiii, vârstnicii și persoanele cu afecțiuni respiratorii sau cardiace cronice vor resimți beneficii directe prin reducerea riscului de agravare a bolilor preexistente și prin creșterea confortului și calității vieții zilnice.</w:t>
            </w:r>
          </w:p>
          <w:p w14:paraId="455B13CF" w14:textId="77777777" w:rsidR="009A16AA" w:rsidRPr="00F16974" w:rsidRDefault="009A16AA" w:rsidP="009A16AA">
            <w:pPr>
              <w:widowControl/>
              <w:numPr>
                <w:ilvl w:val="0"/>
                <w:numId w:val="23"/>
              </w:numPr>
              <w:spacing w:before="60" w:after="60"/>
              <w:jc w:val="both"/>
              <w:rPr>
                <w:rFonts w:asciiTheme="majorBidi" w:hAnsiTheme="majorBidi" w:cstheme="majorBidi"/>
                <w:color w:val="000000" w:themeColor="text1"/>
                <w:lang w:val="ro-RO"/>
              </w:rPr>
            </w:pPr>
            <w:r w:rsidRPr="00F16974">
              <w:rPr>
                <w:rFonts w:asciiTheme="majorBidi" w:hAnsiTheme="majorBidi" w:cstheme="majorBidi"/>
                <w:b/>
                <w:bCs/>
                <w:color w:val="000000" w:themeColor="text1"/>
                <w:lang w:val="ro-RO"/>
              </w:rPr>
              <w:t>Creșterea speranței și calității vieții pe termen lung.</w:t>
            </w:r>
            <w:r w:rsidRPr="00F16974">
              <w:rPr>
                <w:rFonts w:asciiTheme="majorBidi" w:hAnsiTheme="majorBidi" w:cstheme="majorBidi"/>
                <w:color w:val="000000" w:themeColor="text1"/>
                <w:lang w:val="ro-RO"/>
              </w:rPr>
              <w:t xml:space="preserve"> Studiile europene indică faptul că expunerea la poluarea cu SO₂ și particule fine poate reduce speranța medie de viață cu până la 1–2 ani în regiunile foarte afectate. Prin urmare, implementarea măsurilor prevăzute de actul normativ va contribui la creșterea longevității și la reducerea costurilor sociale și medicale asociate bolilor cronice cauzate de poluare.</w:t>
            </w:r>
          </w:p>
          <w:p w14:paraId="5213CE21" w14:textId="1EFD0206" w:rsidR="009A16AA" w:rsidRPr="00F16974" w:rsidRDefault="009A16AA" w:rsidP="009A16AA">
            <w:pPr>
              <w:widowControl/>
              <w:spacing w:before="60" w:after="60"/>
              <w:jc w:val="both"/>
              <w:rPr>
                <w:rFonts w:asciiTheme="majorBidi" w:hAnsiTheme="majorBidi" w:cstheme="majorBidi"/>
                <w:color w:val="000000" w:themeColor="text1"/>
                <w:lang w:val="ro-RO"/>
              </w:rPr>
            </w:pPr>
            <w:r w:rsidRPr="00F16974">
              <w:rPr>
                <w:rFonts w:asciiTheme="majorBidi" w:hAnsiTheme="majorBidi" w:cstheme="majorBidi"/>
                <w:b/>
                <w:bCs/>
                <w:color w:val="000000" w:themeColor="text1"/>
                <w:lang w:val="ro-RO"/>
              </w:rPr>
              <w:t>Concluzie:</w:t>
            </w:r>
            <w:r w:rsidRPr="00F16974">
              <w:rPr>
                <w:rFonts w:asciiTheme="majorBidi" w:hAnsiTheme="majorBidi" w:cstheme="majorBidi"/>
                <w:color w:val="000000" w:themeColor="text1"/>
                <w:lang w:val="ro-RO"/>
              </w:rPr>
              <w:t xml:space="preserve"> Impactul social al implementării Regulamentului este exclusiv pozitiv. Prin reducerea poluării atmosferice și protejarea sănătății publice, actul contribuie la îndeplinirea obiectivelor naționale și europene în domeniul mediului și sănătății.</w:t>
            </w:r>
          </w:p>
          <w:p w14:paraId="11E81341" w14:textId="16292820" w:rsidR="00FB7F51" w:rsidRPr="00F16974" w:rsidRDefault="00FB7F51" w:rsidP="009A16AA">
            <w:pPr>
              <w:widowControl/>
              <w:spacing w:before="60" w:after="60"/>
              <w:jc w:val="both"/>
              <w:rPr>
                <w:rFonts w:asciiTheme="majorBidi" w:eastAsiaTheme="minorHAnsi" w:hAnsiTheme="majorBidi" w:cstheme="majorBidi"/>
                <w:lang w:val="ro-RO" w:eastAsia="en-US"/>
              </w:rPr>
            </w:pPr>
          </w:p>
        </w:tc>
      </w:tr>
      <w:tr w:rsidR="00964655" w:rsidRPr="00A42EDC" w14:paraId="5A98B7C9" w14:textId="77777777" w:rsidTr="001D5F93">
        <w:tc>
          <w:tcPr>
            <w:tcW w:w="9344" w:type="dxa"/>
            <w:shd w:val="clear" w:color="auto" w:fill="F2F2F2" w:themeFill="background1" w:themeFillShade="F2"/>
          </w:tcPr>
          <w:p w14:paraId="579A6EC7" w14:textId="77777777" w:rsidR="00964655" w:rsidRPr="00F16974" w:rsidRDefault="00964655" w:rsidP="00272E04">
            <w:pPr>
              <w:spacing w:line="276" w:lineRule="auto"/>
              <w:jc w:val="both"/>
              <w:rPr>
                <w:rFonts w:asciiTheme="majorBidi" w:eastAsiaTheme="minorHAnsi" w:hAnsiTheme="majorBidi" w:cstheme="majorBidi"/>
                <w:lang w:val="ro-RO" w:eastAsia="en-US"/>
              </w:rPr>
            </w:pPr>
            <w:r w:rsidRPr="00F16974">
              <w:rPr>
                <w:rFonts w:asciiTheme="majorBidi" w:eastAsiaTheme="minorHAnsi" w:hAnsiTheme="majorBidi" w:cstheme="majorBidi"/>
                <w:lang w:val="ro-RO" w:eastAsia="en-US"/>
              </w:rPr>
              <w:t>4.4.1. Impactul asupra datelor cu caracter personal</w:t>
            </w:r>
          </w:p>
        </w:tc>
      </w:tr>
      <w:tr w:rsidR="00964655" w:rsidRPr="00F16974" w14:paraId="463A7DF9" w14:textId="77777777" w:rsidTr="006B61CE">
        <w:tc>
          <w:tcPr>
            <w:tcW w:w="9344" w:type="dxa"/>
          </w:tcPr>
          <w:p w14:paraId="2FCF7EA6" w14:textId="77777777" w:rsidR="00964655" w:rsidRPr="00F16974" w:rsidRDefault="00FB7F51" w:rsidP="00272E04">
            <w:pPr>
              <w:spacing w:line="276" w:lineRule="auto"/>
              <w:jc w:val="both"/>
              <w:rPr>
                <w:rFonts w:asciiTheme="majorBidi" w:eastAsiaTheme="minorHAnsi" w:hAnsiTheme="majorBidi" w:cstheme="majorBidi"/>
                <w:lang w:val="ro-RO" w:eastAsia="en-US"/>
              </w:rPr>
            </w:pPr>
            <w:r w:rsidRPr="00F16974">
              <w:rPr>
                <w:rFonts w:asciiTheme="majorBidi" w:eastAsia="Google Sans Text" w:hAnsiTheme="majorBidi" w:cstheme="majorBidi"/>
                <w:color w:val="1B1C1D"/>
                <w:lang w:val="ro-RO"/>
              </w:rPr>
              <w:t>Nu este aplicabil.</w:t>
            </w:r>
          </w:p>
        </w:tc>
      </w:tr>
      <w:tr w:rsidR="00964655" w:rsidRPr="00A42EDC" w14:paraId="00FF7C19" w14:textId="77777777" w:rsidTr="001D5F93">
        <w:tc>
          <w:tcPr>
            <w:tcW w:w="9344" w:type="dxa"/>
            <w:shd w:val="clear" w:color="auto" w:fill="F2F2F2" w:themeFill="background1" w:themeFillShade="F2"/>
          </w:tcPr>
          <w:p w14:paraId="4CFF80DD" w14:textId="77777777" w:rsidR="00964655" w:rsidRPr="00F16974" w:rsidRDefault="00964655" w:rsidP="00272E04">
            <w:pPr>
              <w:spacing w:line="276" w:lineRule="auto"/>
              <w:jc w:val="both"/>
              <w:rPr>
                <w:rFonts w:asciiTheme="majorBidi" w:eastAsiaTheme="minorHAnsi" w:hAnsiTheme="majorBidi" w:cstheme="majorBidi"/>
                <w:lang w:val="ro-RO" w:eastAsia="en-US"/>
              </w:rPr>
            </w:pPr>
            <w:r w:rsidRPr="00F16974">
              <w:rPr>
                <w:rFonts w:asciiTheme="majorBidi" w:eastAsia="TimesNewRomanPSMT" w:hAnsiTheme="majorBidi" w:cstheme="majorBidi"/>
                <w:lang w:val="ro-RO" w:eastAsia="en-US"/>
              </w:rPr>
              <w:t>4.4.2. Impactul asupra echității și egalității de gen</w:t>
            </w:r>
          </w:p>
        </w:tc>
      </w:tr>
      <w:tr w:rsidR="00964655" w:rsidRPr="00F16974" w14:paraId="4E8D6A34" w14:textId="77777777" w:rsidTr="006B61CE">
        <w:tc>
          <w:tcPr>
            <w:tcW w:w="9344" w:type="dxa"/>
          </w:tcPr>
          <w:p w14:paraId="64488E71" w14:textId="77777777" w:rsidR="00964655" w:rsidRPr="00F16974" w:rsidRDefault="00FB7F51" w:rsidP="00272E04">
            <w:pPr>
              <w:spacing w:line="276" w:lineRule="auto"/>
              <w:jc w:val="both"/>
              <w:rPr>
                <w:rFonts w:asciiTheme="majorBidi" w:eastAsiaTheme="minorHAnsi" w:hAnsiTheme="majorBidi" w:cstheme="majorBidi"/>
                <w:lang w:val="ro-RO" w:eastAsia="en-US"/>
              </w:rPr>
            </w:pPr>
            <w:r w:rsidRPr="00F16974">
              <w:rPr>
                <w:rFonts w:asciiTheme="majorBidi" w:eastAsia="Google Sans Text" w:hAnsiTheme="majorBidi" w:cstheme="majorBidi"/>
                <w:color w:val="1B1C1D"/>
                <w:lang w:val="ro-RO"/>
              </w:rPr>
              <w:t>Nu este aplicabil.</w:t>
            </w:r>
          </w:p>
        </w:tc>
      </w:tr>
      <w:tr w:rsidR="00964655" w:rsidRPr="00F16974" w14:paraId="2F3EA398" w14:textId="77777777" w:rsidTr="001D5F93">
        <w:tc>
          <w:tcPr>
            <w:tcW w:w="9344" w:type="dxa"/>
            <w:shd w:val="clear" w:color="auto" w:fill="F2F2F2" w:themeFill="background1" w:themeFillShade="F2"/>
          </w:tcPr>
          <w:p w14:paraId="22303A70" w14:textId="77777777" w:rsidR="00964655" w:rsidRPr="00F16974" w:rsidRDefault="00964655" w:rsidP="00272E04">
            <w:pPr>
              <w:spacing w:line="276" w:lineRule="auto"/>
              <w:jc w:val="both"/>
              <w:rPr>
                <w:rFonts w:asciiTheme="majorBidi" w:eastAsiaTheme="minorHAnsi" w:hAnsiTheme="majorBidi" w:cstheme="majorBidi"/>
                <w:lang w:val="ro-RO" w:eastAsia="en-US"/>
              </w:rPr>
            </w:pPr>
            <w:r w:rsidRPr="00F16974">
              <w:rPr>
                <w:rFonts w:asciiTheme="majorBidi" w:eastAsiaTheme="minorHAnsi" w:hAnsiTheme="majorBidi" w:cstheme="majorBidi"/>
                <w:lang w:val="ro-RO" w:eastAsia="en-US"/>
              </w:rPr>
              <w:t>4.5. Impactul asupra mediului</w:t>
            </w:r>
          </w:p>
        </w:tc>
      </w:tr>
      <w:tr w:rsidR="00964655" w:rsidRPr="00A42EDC" w14:paraId="32E77A95" w14:textId="77777777" w:rsidTr="006B61CE">
        <w:tc>
          <w:tcPr>
            <w:tcW w:w="9344" w:type="dxa"/>
          </w:tcPr>
          <w:p w14:paraId="4CAB9822" w14:textId="35CEB9AB" w:rsidR="002E7D4E" w:rsidRPr="00F16974" w:rsidRDefault="009A16AA" w:rsidP="006B6CA2">
            <w:pPr>
              <w:pStyle w:val="Compact"/>
              <w:jc w:val="both"/>
              <w:rPr>
                <w:rFonts w:ascii="Times New Roman" w:hAnsi="Times New Roman" w:cs="Times New Roman"/>
                <w:sz w:val="22"/>
                <w:szCs w:val="22"/>
              </w:rPr>
            </w:pPr>
            <w:r w:rsidRPr="00F16974">
              <w:rPr>
                <w:rFonts w:ascii="Times New Roman" w:hAnsi="Times New Roman" w:cs="Times New Roman"/>
                <w:sz w:val="22"/>
                <w:szCs w:val="22"/>
              </w:rPr>
              <w:lastRenderedPageBreak/>
              <w:t>Impactul asupra mediului este pozitiv. Reducerea conținutului de sulf în combustibilii lichizi va determina o scădere directă și cuantificabilă a emisiilor de dioxid de sulf (SO₂), contribuind la îmbunătățirea calității aerului și la diminuarea fenomenului de acidifiere</w:t>
            </w:r>
            <w:r w:rsidR="0010463C" w:rsidRPr="00F16974">
              <w:rPr>
                <w:rFonts w:ascii="Times New Roman" w:hAnsi="Times New Roman" w:cs="Times New Roman"/>
                <w:sz w:val="22"/>
                <w:szCs w:val="22"/>
              </w:rPr>
              <w:t>.</w:t>
            </w:r>
            <w:r w:rsidRPr="00F16974">
              <w:rPr>
                <w:rFonts w:ascii="Times New Roman" w:hAnsi="Times New Roman" w:cs="Times New Roman"/>
                <w:sz w:val="22"/>
                <w:szCs w:val="22"/>
              </w:rPr>
              <w:t xml:space="preserve"> Acest efect va proteja solurile, pădurile și ecosistemele acvatice și va sprijini îndeplinirea angajamentelor Republicii Moldova asumate prin Hotărârea Guvernului </w:t>
            </w:r>
            <w:bookmarkStart w:id="0" w:name="_Hlk213420787"/>
            <w:r w:rsidR="002E7D4E" w:rsidRPr="00F16974">
              <w:rPr>
                <w:rFonts w:ascii="Times New Roman" w:hAnsi="Times New Roman" w:cs="Times New Roman"/>
                <w:sz w:val="22"/>
                <w:szCs w:val="22"/>
              </w:rPr>
              <w:t>nr.593/2024 pentru aprobarea Regulamentului privind reducerea emisiilor naționale de anumiți poluanți atmosferici.</w:t>
            </w:r>
          </w:p>
          <w:bookmarkEnd w:id="0"/>
          <w:p w14:paraId="3AEA180F" w14:textId="0AC69D85" w:rsidR="002E7D4E" w:rsidRPr="00F16974" w:rsidRDefault="0010463C" w:rsidP="006B6CA2">
            <w:pPr>
              <w:pStyle w:val="Compact"/>
              <w:jc w:val="both"/>
              <w:rPr>
                <w:rFonts w:ascii="Times New Roman" w:hAnsi="Times New Roman" w:cs="Times New Roman"/>
                <w:sz w:val="22"/>
                <w:szCs w:val="22"/>
              </w:rPr>
            </w:pPr>
            <w:r w:rsidRPr="00F16974">
              <w:rPr>
                <w:rFonts w:ascii="Times New Roman" w:hAnsi="Times New Roman" w:cs="Times New Roman"/>
                <w:sz w:val="22"/>
                <w:szCs w:val="22"/>
              </w:rPr>
              <w:t>Proiectul are, de asemenea, efecte benefice asupra mediului acvatic. Reducerea emisiilor de SO₂ generate de sursele navale contribuie la diminuarea poluării atmosferice cu impact asupra mediului marin și, prin depuneri atmosferice, la reducerea încărcării chimice a apelor. Deși Republica Moldova are acces limitat la căile navigabile (portul fluvial Giurgiulești pe Dunăre), aplicarea noilor standarde pentru navele care fac escală aici sprijină eforturile regionale de menținere a calității aerului și apei în zona Dunării de Jos și a Mării Negre.</w:t>
            </w:r>
          </w:p>
          <w:p w14:paraId="75D5EB53" w14:textId="456F26B1" w:rsidR="009A16AA" w:rsidRPr="00F16974" w:rsidRDefault="009A16AA" w:rsidP="006B6CA2">
            <w:pPr>
              <w:pStyle w:val="Compact"/>
              <w:jc w:val="both"/>
              <w:rPr>
                <w:rFonts w:ascii="Times New Roman" w:hAnsi="Times New Roman" w:cs="Times New Roman"/>
                <w:sz w:val="22"/>
                <w:szCs w:val="22"/>
              </w:rPr>
            </w:pPr>
            <w:r w:rsidRPr="00F16974">
              <w:rPr>
                <w:rFonts w:ascii="Times New Roman" w:hAnsi="Times New Roman" w:cs="Times New Roman"/>
                <w:sz w:val="22"/>
                <w:szCs w:val="22"/>
              </w:rPr>
              <w:t xml:space="preserve">În ansamblu, proiectul fortifică reziliența ecosistemelor naturale și sprijină atingerea obiectivelor stabilite în </w:t>
            </w:r>
            <w:r w:rsidRPr="00F16974">
              <w:rPr>
                <w:rFonts w:ascii="Times New Roman" w:hAnsi="Times New Roman" w:cs="Times New Roman"/>
                <w:b/>
                <w:bCs/>
                <w:sz w:val="22"/>
                <w:szCs w:val="22"/>
              </w:rPr>
              <w:t xml:space="preserve">Strategia de mediu </w:t>
            </w:r>
            <w:r w:rsidR="002E7D4E" w:rsidRPr="00F16974">
              <w:rPr>
                <w:rFonts w:ascii="Times New Roman" w:hAnsi="Times New Roman" w:cs="Times New Roman"/>
                <w:b/>
                <w:bCs/>
                <w:sz w:val="22"/>
                <w:szCs w:val="22"/>
              </w:rPr>
              <w:t xml:space="preserve">pentru anii </w:t>
            </w:r>
            <w:r w:rsidRPr="00F16974">
              <w:rPr>
                <w:rFonts w:ascii="Times New Roman" w:hAnsi="Times New Roman" w:cs="Times New Roman"/>
                <w:b/>
                <w:bCs/>
                <w:sz w:val="22"/>
                <w:szCs w:val="22"/>
              </w:rPr>
              <w:t>2024–2030</w:t>
            </w:r>
            <w:r w:rsidR="002E7D4E" w:rsidRPr="00F16974">
              <w:rPr>
                <w:rFonts w:ascii="Times New Roman" w:hAnsi="Times New Roman" w:cs="Times New Roman"/>
                <w:b/>
                <w:bCs/>
                <w:sz w:val="22"/>
                <w:szCs w:val="22"/>
              </w:rPr>
              <w:t xml:space="preserve">, aprobată prin Hotărârea Guvernului nr. </w:t>
            </w:r>
            <w:r w:rsidR="0010463C" w:rsidRPr="00F16974">
              <w:rPr>
                <w:rFonts w:ascii="Times New Roman" w:hAnsi="Times New Roman" w:cs="Times New Roman"/>
                <w:b/>
                <w:bCs/>
                <w:sz w:val="22"/>
                <w:szCs w:val="22"/>
              </w:rPr>
              <w:t>409/2024.</w:t>
            </w:r>
            <w:r w:rsidRPr="00F16974">
              <w:rPr>
                <w:rFonts w:ascii="Times New Roman" w:hAnsi="Times New Roman" w:cs="Times New Roman"/>
                <w:sz w:val="22"/>
                <w:szCs w:val="22"/>
              </w:rPr>
              <w:t xml:space="preserve"> Reducerea poluării atmosferice cu sulf este parte integrantă a eforturilor naționale de combatere a poluării aerului, fiind complementară măsurilor de reducere a emisiilor de NOₓ, COV</w:t>
            </w:r>
            <w:r w:rsidR="0010463C" w:rsidRPr="00F16974">
              <w:rPr>
                <w:rFonts w:ascii="Times New Roman" w:hAnsi="Times New Roman" w:cs="Times New Roman"/>
                <w:sz w:val="22"/>
                <w:szCs w:val="22"/>
              </w:rPr>
              <w:t xml:space="preserve">, PM </w:t>
            </w:r>
            <w:r w:rsidRPr="00F16974">
              <w:rPr>
                <w:rFonts w:ascii="Times New Roman" w:hAnsi="Times New Roman" w:cs="Times New Roman"/>
                <w:sz w:val="22"/>
                <w:szCs w:val="22"/>
              </w:rPr>
              <w:t xml:space="preserve"> și alte substanțe poluante.</w:t>
            </w:r>
          </w:p>
          <w:p w14:paraId="1116CDF2" w14:textId="2AB3B2EB" w:rsidR="00964655" w:rsidRPr="00F16974" w:rsidRDefault="00964655" w:rsidP="0010463C">
            <w:pPr>
              <w:pStyle w:val="BodyText"/>
              <w:ind w:firstLine="743"/>
              <w:jc w:val="both"/>
              <w:rPr>
                <w:rFonts w:asciiTheme="majorBidi" w:hAnsiTheme="majorBidi" w:cstheme="majorBidi"/>
                <w:lang w:val="ro-RO"/>
              </w:rPr>
            </w:pPr>
          </w:p>
        </w:tc>
      </w:tr>
      <w:tr w:rsidR="00964655" w:rsidRPr="00A42EDC" w14:paraId="0F89E086" w14:textId="77777777" w:rsidTr="001D5F93">
        <w:tc>
          <w:tcPr>
            <w:tcW w:w="9344" w:type="dxa"/>
            <w:shd w:val="clear" w:color="auto" w:fill="F2F2F2" w:themeFill="background1" w:themeFillShade="F2"/>
          </w:tcPr>
          <w:p w14:paraId="75566C69" w14:textId="77777777" w:rsidR="00964655" w:rsidRPr="00F16974" w:rsidRDefault="00964655" w:rsidP="00272E04">
            <w:pPr>
              <w:spacing w:line="276" w:lineRule="auto"/>
              <w:jc w:val="both"/>
              <w:rPr>
                <w:rFonts w:asciiTheme="majorBidi" w:eastAsiaTheme="minorHAnsi" w:hAnsiTheme="majorBidi" w:cstheme="majorBidi"/>
                <w:lang w:val="ro-RO" w:eastAsia="en-US"/>
              </w:rPr>
            </w:pPr>
            <w:r w:rsidRPr="00F16974">
              <w:rPr>
                <w:rFonts w:asciiTheme="majorBidi" w:eastAsiaTheme="minorHAnsi" w:hAnsiTheme="majorBidi" w:cstheme="majorBidi"/>
                <w:lang w:val="ro-RO" w:eastAsia="en-US"/>
              </w:rPr>
              <w:t xml:space="preserve">4.6. Alte impacturi </w:t>
            </w:r>
            <w:r w:rsidRPr="00F16974">
              <w:rPr>
                <w:rFonts w:asciiTheme="majorBidi" w:eastAsia="TimesNewRomanPSMT" w:hAnsiTheme="majorBidi" w:cstheme="majorBidi"/>
                <w:lang w:val="ro-RO" w:eastAsia="en-US"/>
              </w:rPr>
              <w:t>ș</w:t>
            </w:r>
            <w:r w:rsidRPr="00F16974">
              <w:rPr>
                <w:rFonts w:asciiTheme="majorBidi" w:eastAsiaTheme="minorHAnsi" w:hAnsiTheme="majorBidi" w:cstheme="majorBidi"/>
                <w:lang w:val="ro-RO" w:eastAsia="en-US"/>
              </w:rPr>
              <w:t>i informa</w:t>
            </w:r>
            <w:r w:rsidRPr="00F16974">
              <w:rPr>
                <w:rFonts w:asciiTheme="majorBidi" w:eastAsia="TimesNewRomanPSMT" w:hAnsiTheme="majorBidi" w:cstheme="majorBidi"/>
                <w:lang w:val="ro-RO" w:eastAsia="en-US"/>
              </w:rPr>
              <w:t>ț</w:t>
            </w:r>
            <w:r w:rsidRPr="00F16974">
              <w:rPr>
                <w:rFonts w:asciiTheme="majorBidi" w:eastAsiaTheme="minorHAnsi" w:hAnsiTheme="majorBidi" w:cstheme="majorBidi"/>
                <w:lang w:val="ro-RO" w:eastAsia="en-US"/>
              </w:rPr>
              <w:t>ii relevante</w:t>
            </w:r>
          </w:p>
        </w:tc>
      </w:tr>
      <w:tr w:rsidR="00964655" w:rsidRPr="00A42EDC" w14:paraId="71749664" w14:textId="77777777" w:rsidTr="006B61CE">
        <w:tc>
          <w:tcPr>
            <w:tcW w:w="9344" w:type="dxa"/>
          </w:tcPr>
          <w:p w14:paraId="37772935" w14:textId="77777777" w:rsidR="00964655" w:rsidRPr="00F16974" w:rsidRDefault="00F96AA2" w:rsidP="00272E04">
            <w:pPr>
              <w:spacing w:line="276" w:lineRule="auto"/>
              <w:ind w:firstLine="743"/>
              <w:jc w:val="both"/>
              <w:rPr>
                <w:rFonts w:asciiTheme="majorBidi" w:eastAsiaTheme="minorHAnsi" w:hAnsiTheme="majorBidi" w:cstheme="majorBidi"/>
                <w:lang w:val="ro-RO" w:eastAsia="en-US"/>
              </w:rPr>
            </w:pPr>
            <w:r w:rsidRPr="00F16974">
              <w:rPr>
                <w:rFonts w:asciiTheme="majorBidi" w:eastAsia="Google Sans Text" w:hAnsiTheme="majorBidi" w:cstheme="majorBidi"/>
                <w:color w:val="1B1C1D"/>
                <w:lang w:val="ro-RO"/>
              </w:rPr>
              <w:t>Adoptarea proiectului va avea un impact pozitiv asupra credibilității externe a Republicii Moldova, demonstrând un angajament ferm în procesul de aderare la Uniunea Europeană și în cadrul Comunității Energiei.</w:t>
            </w:r>
          </w:p>
        </w:tc>
      </w:tr>
      <w:tr w:rsidR="00964655" w:rsidRPr="00A42EDC" w14:paraId="2A04A74C" w14:textId="77777777" w:rsidTr="00113FDC">
        <w:tc>
          <w:tcPr>
            <w:tcW w:w="9344" w:type="dxa"/>
            <w:shd w:val="clear" w:color="auto" w:fill="BFBFBF" w:themeFill="background1" w:themeFillShade="BF"/>
          </w:tcPr>
          <w:p w14:paraId="20BA66C0" w14:textId="77777777" w:rsidR="00964655" w:rsidRPr="00F16974" w:rsidRDefault="001D5F93" w:rsidP="00272E04">
            <w:pPr>
              <w:spacing w:line="276" w:lineRule="auto"/>
              <w:jc w:val="both"/>
              <w:rPr>
                <w:rFonts w:asciiTheme="majorBidi" w:eastAsiaTheme="minorHAnsi" w:hAnsiTheme="majorBidi" w:cstheme="majorBidi"/>
                <w:lang w:val="ro-RO" w:eastAsia="en-US"/>
              </w:rPr>
            </w:pPr>
            <w:r w:rsidRPr="00F16974">
              <w:rPr>
                <w:rFonts w:asciiTheme="majorBidi" w:eastAsiaTheme="minorHAnsi" w:hAnsiTheme="majorBidi" w:cstheme="majorBidi"/>
                <w:b/>
                <w:bCs/>
                <w:lang w:val="ro-RO" w:eastAsia="en-US"/>
              </w:rPr>
              <w:t>5. Compatibilitatea proiectului actului normativ cu legislația UE</w:t>
            </w:r>
          </w:p>
        </w:tc>
      </w:tr>
      <w:tr w:rsidR="00964655" w:rsidRPr="00F16974" w14:paraId="624D4684" w14:textId="77777777" w:rsidTr="00B054C5">
        <w:tc>
          <w:tcPr>
            <w:tcW w:w="9344" w:type="dxa"/>
            <w:shd w:val="clear" w:color="auto" w:fill="F2F2F2" w:themeFill="background1" w:themeFillShade="F2"/>
          </w:tcPr>
          <w:p w14:paraId="0F92D665" w14:textId="77777777" w:rsidR="001D5F93" w:rsidRPr="00F16974" w:rsidRDefault="001D5F93" w:rsidP="00EE22A3">
            <w:pPr>
              <w:widowControl/>
              <w:autoSpaceDE w:val="0"/>
              <w:autoSpaceDN w:val="0"/>
              <w:adjustRightInd w:val="0"/>
              <w:spacing w:line="276" w:lineRule="auto"/>
              <w:rPr>
                <w:rFonts w:asciiTheme="majorBidi" w:eastAsiaTheme="minorHAnsi" w:hAnsiTheme="majorBidi" w:cstheme="majorBidi"/>
                <w:lang w:val="ro-RO" w:eastAsia="en-US"/>
              </w:rPr>
            </w:pPr>
            <w:r w:rsidRPr="00F16974">
              <w:rPr>
                <w:rFonts w:asciiTheme="majorBidi" w:eastAsiaTheme="minorHAnsi" w:hAnsiTheme="majorBidi" w:cstheme="majorBidi"/>
                <w:lang w:val="ro-RO" w:eastAsia="en-US"/>
              </w:rPr>
              <w:t xml:space="preserve">5.1. </w:t>
            </w:r>
            <w:r w:rsidRPr="00F16974">
              <w:rPr>
                <w:rFonts w:asciiTheme="majorBidi" w:eastAsia="TimesNewRomanPSMT" w:hAnsiTheme="majorBidi" w:cstheme="majorBidi"/>
                <w:lang w:val="ro-RO" w:eastAsia="en-US"/>
              </w:rPr>
              <w:t xml:space="preserve">Măsuri </w:t>
            </w:r>
            <w:r w:rsidRPr="00F16974">
              <w:rPr>
                <w:rFonts w:asciiTheme="majorBidi" w:eastAsiaTheme="minorHAnsi" w:hAnsiTheme="majorBidi" w:cstheme="majorBidi"/>
                <w:lang w:val="ro-RO" w:eastAsia="en-US"/>
              </w:rPr>
              <w:t>normative necesare pentru transpunerea actelor juridice ale UE în</w:t>
            </w:r>
          </w:p>
          <w:p w14:paraId="0F37949F" w14:textId="77777777" w:rsidR="00964655" w:rsidRPr="00F16974" w:rsidRDefault="001D5F93" w:rsidP="00EE22A3">
            <w:pPr>
              <w:spacing w:line="276" w:lineRule="auto"/>
              <w:rPr>
                <w:rFonts w:asciiTheme="majorBidi" w:eastAsiaTheme="minorHAnsi" w:hAnsiTheme="majorBidi" w:cstheme="majorBidi"/>
                <w:lang w:val="ro-RO" w:eastAsia="en-US"/>
              </w:rPr>
            </w:pPr>
            <w:r w:rsidRPr="00F16974">
              <w:rPr>
                <w:rFonts w:asciiTheme="majorBidi" w:eastAsia="TimesNewRomanPSMT" w:hAnsiTheme="majorBidi" w:cstheme="majorBidi"/>
                <w:lang w:val="ro-RO" w:eastAsia="en-US"/>
              </w:rPr>
              <w:t>legislația națională</w:t>
            </w:r>
          </w:p>
        </w:tc>
      </w:tr>
      <w:tr w:rsidR="00964655" w:rsidRPr="00A42EDC" w14:paraId="453F99A8" w14:textId="77777777" w:rsidTr="006B61CE">
        <w:tc>
          <w:tcPr>
            <w:tcW w:w="9344" w:type="dxa"/>
          </w:tcPr>
          <w:p w14:paraId="408E38C1" w14:textId="51873531" w:rsidR="005432F3" w:rsidRPr="00F16974" w:rsidRDefault="005432F3" w:rsidP="005432F3">
            <w:pPr>
              <w:spacing w:line="276" w:lineRule="auto"/>
              <w:ind w:firstLine="743"/>
              <w:jc w:val="both"/>
              <w:rPr>
                <w:rFonts w:asciiTheme="majorBidi" w:eastAsia="Google Sans Text" w:hAnsiTheme="majorBidi" w:cstheme="majorBidi"/>
                <w:color w:val="1B1C1D"/>
                <w:lang w:val="ro-RO"/>
              </w:rPr>
            </w:pPr>
            <w:r w:rsidRPr="00F16974">
              <w:rPr>
                <w:rFonts w:asciiTheme="majorBidi" w:eastAsia="Google Sans Text" w:hAnsiTheme="majorBidi" w:cstheme="majorBidi"/>
                <w:color w:val="1B1C1D"/>
                <w:lang w:val="ro-RO"/>
              </w:rPr>
              <w:t>Proiectul de Regulament asigură transpunerea Directivei (UE) 2016/802 a Parlamentului European și a Consiliului din 11 mai 2016, privind reducerea conținutului de sulf din anumiți combustibili lichizi, în legislația națională. Obiectivele directivei – protejarea sănătății umane și a mediului prin reducerea emisiilor de SO₂ – sunt preluate</w:t>
            </w:r>
            <w:r w:rsidR="00BF04BA">
              <w:rPr>
                <w:rFonts w:asciiTheme="majorBidi" w:eastAsia="Google Sans Text" w:hAnsiTheme="majorBidi" w:cstheme="majorBidi"/>
                <w:color w:val="1B1C1D"/>
                <w:lang w:val="ro-RO"/>
              </w:rPr>
              <w:t xml:space="preserve"> la nivel național</w:t>
            </w:r>
            <w:r w:rsidRPr="00F16974">
              <w:rPr>
                <w:rFonts w:asciiTheme="majorBidi" w:eastAsia="Google Sans Text" w:hAnsiTheme="majorBidi" w:cstheme="majorBidi"/>
                <w:color w:val="1B1C1D"/>
                <w:lang w:val="ro-RO"/>
              </w:rPr>
              <w:t xml:space="preserve">, iar prevederile proiectului sunt echivalente ca efect juridic cu cele ale directivei, </w:t>
            </w:r>
            <w:r w:rsidR="004D6D45">
              <w:rPr>
                <w:rFonts w:asciiTheme="majorBidi" w:eastAsia="Google Sans Text" w:hAnsiTheme="majorBidi" w:cstheme="majorBidi"/>
                <w:color w:val="1B1C1D"/>
                <w:lang w:val="ro-RO"/>
              </w:rPr>
              <w:t xml:space="preserve"> iar </w:t>
            </w:r>
            <w:r w:rsidRPr="00F16974">
              <w:rPr>
                <w:rFonts w:asciiTheme="majorBidi" w:eastAsia="Google Sans Text" w:hAnsiTheme="majorBidi" w:cstheme="majorBidi"/>
                <w:color w:val="1B1C1D"/>
                <w:lang w:val="ro-RO"/>
              </w:rPr>
              <w:t>norme</w:t>
            </w:r>
            <w:r w:rsidR="004D6D45">
              <w:rPr>
                <w:rFonts w:asciiTheme="majorBidi" w:eastAsia="Google Sans Text" w:hAnsiTheme="majorBidi" w:cstheme="majorBidi"/>
                <w:color w:val="1B1C1D"/>
                <w:lang w:val="ro-RO"/>
              </w:rPr>
              <w:t>le</w:t>
            </w:r>
            <w:r w:rsidRPr="00F16974">
              <w:rPr>
                <w:rFonts w:asciiTheme="majorBidi" w:eastAsia="Google Sans Text" w:hAnsiTheme="majorBidi" w:cstheme="majorBidi"/>
                <w:color w:val="1B1C1D"/>
                <w:lang w:val="ro-RO"/>
              </w:rPr>
              <w:t xml:space="preserve"> suplimentare </w:t>
            </w:r>
            <w:r w:rsidR="00BF04BA">
              <w:rPr>
                <w:rFonts w:asciiTheme="majorBidi" w:eastAsia="Google Sans Text" w:hAnsiTheme="majorBidi" w:cstheme="majorBidi"/>
                <w:color w:val="1B1C1D"/>
                <w:lang w:val="ro-RO"/>
              </w:rPr>
              <w:t xml:space="preserve">incluse </w:t>
            </w:r>
            <w:r w:rsidR="004D6D45">
              <w:rPr>
                <w:rFonts w:asciiTheme="majorBidi" w:eastAsia="Google Sans Text" w:hAnsiTheme="majorBidi" w:cstheme="majorBidi"/>
                <w:color w:val="1B1C1D"/>
                <w:lang w:val="ro-RO"/>
              </w:rPr>
              <w:t xml:space="preserve">nu </w:t>
            </w:r>
            <w:r w:rsidRPr="00F16974">
              <w:rPr>
                <w:rFonts w:asciiTheme="majorBidi" w:eastAsia="Google Sans Text" w:hAnsiTheme="majorBidi" w:cstheme="majorBidi"/>
                <w:color w:val="1B1C1D"/>
                <w:lang w:val="ro-RO"/>
              </w:rPr>
              <w:t>depășeasc cerințele U</w:t>
            </w:r>
            <w:r w:rsidR="00BF04BA">
              <w:rPr>
                <w:rFonts w:asciiTheme="majorBidi" w:eastAsia="Google Sans Text" w:hAnsiTheme="majorBidi" w:cstheme="majorBidi"/>
                <w:color w:val="1B1C1D"/>
                <w:lang w:val="ro-RO"/>
              </w:rPr>
              <w:t>E, ci doar facilitează o aplicare mai clară a cerințelor.</w:t>
            </w:r>
          </w:p>
          <w:p w14:paraId="2812E578" w14:textId="5D5C1130" w:rsidR="008842BC" w:rsidRPr="00F16974" w:rsidRDefault="008842BC" w:rsidP="005432F3">
            <w:pPr>
              <w:spacing w:line="276" w:lineRule="auto"/>
              <w:ind w:firstLine="743"/>
              <w:jc w:val="both"/>
              <w:rPr>
                <w:rFonts w:asciiTheme="majorBidi" w:eastAsia="Google Sans Text" w:hAnsiTheme="majorBidi" w:cstheme="majorBidi"/>
                <w:color w:val="1B1C1D"/>
                <w:lang w:val="ro-RO"/>
              </w:rPr>
            </w:pPr>
            <w:r w:rsidRPr="00F16974">
              <w:rPr>
                <w:rFonts w:asciiTheme="majorBidi" w:eastAsia="Google Sans Text" w:hAnsiTheme="majorBidi" w:cstheme="majorBidi"/>
                <w:color w:val="1B1C1D"/>
                <w:lang w:val="ro-RO"/>
              </w:rPr>
              <w:t xml:space="preserve">Unele prevederi ale directivei nu au fost preluate în proiectul de </w:t>
            </w:r>
            <w:r w:rsidR="009D034A" w:rsidRPr="00F16974">
              <w:rPr>
                <w:rFonts w:asciiTheme="majorBidi" w:eastAsia="Google Sans Text" w:hAnsiTheme="majorBidi" w:cstheme="majorBidi"/>
                <w:color w:val="1B1C1D"/>
                <w:lang w:val="ro-RO"/>
              </w:rPr>
              <w:t>R</w:t>
            </w:r>
            <w:r w:rsidRPr="00F16974">
              <w:rPr>
                <w:rFonts w:asciiTheme="majorBidi" w:eastAsia="Google Sans Text" w:hAnsiTheme="majorBidi" w:cstheme="majorBidi"/>
                <w:color w:val="1B1C1D"/>
                <w:lang w:val="ro-RO"/>
              </w:rPr>
              <w:t xml:space="preserve">egulament, întrucât nu sunt aplicabile în contextul național, cum ar fi cerințele specifice navelor sau infrastructurii maritime, sau combustibililor marini, având în vedere că Republica Moldova nu are ieșire </w:t>
            </w:r>
            <w:r w:rsidR="00146B1D">
              <w:rPr>
                <w:rFonts w:asciiTheme="majorBidi" w:eastAsia="Google Sans Text" w:hAnsiTheme="majorBidi" w:cstheme="majorBidi"/>
                <w:color w:val="1B1C1D"/>
                <w:lang w:val="ro-RO"/>
              </w:rPr>
              <w:t xml:space="preserve">directă </w:t>
            </w:r>
            <w:r w:rsidRPr="00F16974">
              <w:rPr>
                <w:rFonts w:asciiTheme="majorBidi" w:eastAsia="Google Sans Text" w:hAnsiTheme="majorBidi" w:cstheme="majorBidi"/>
                <w:color w:val="1B1C1D"/>
                <w:lang w:val="ro-RO"/>
              </w:rPr>
              <w:t xml:space="preserve">la mare. </w:t>
            </w:r>
          </w:p>
          <w:p w14:paraId="2230DBBD" w14:textId="7C3CA265" w:rsidR="005432F3" w:rsidRPr="00F16974" w:rsidRDefault="005432F3" w:rsidP="005432F3">
            <w:pPr>
              <w:spacing w:line="276" w:lineRule="auto"/>
              <w:ind w:firstLine="743"/>
              <w:jc w:val="both"/>
              <w:rPr>
                <w:rFonts w:asciiTheme="majorBidi" w:eastAsia="Google Sans Text" w:hAnsiTheme="majorBidi" w:cstheme="majorBidi"/>
                <w:color w:val="1B1C1D"/>
                <w:lang w:val="ro-RO"/>
              </w:rPr>
            </w:pPr>
            <w:r w:rsidRPr="00F16974">
              <w:rPr>
                <w:rFonts w:asciiTheme="majorBidi" w:eastAsia="Google Sans Text" w:hAnsiTheme="majorBidi" w:cstheme="majorBidi"/>
                <w:color w:val="1B1C1D"/>
                <w:lang w:val="ro-RO"/>
              </w:rPr>
              <w:t>Directiva 2016/802 este strâns legată de alte acte legislative europene relevante, inclusiv Directiva 2010/75/UE privind emisiile industriale și Directiva 2008/50/CE privind calitatea aerului</w:t>
            </w:r>
            <w:r w:rsidR="009D034A" w:rsidRPr="00F16974">
              <w:rPr>
                <w:rFonts w:asciiTheme="majorBidi" w:eastAsia="Google Sans Text" w:hAnsiTheme="majorBidi" w:cstheme="majorBidi"/>
                <w:color w:val="1B1C1D"/>
                <w:lang w:val="ro-RO"/>
              </w:rPr>
              <w:t xml:space="preserve"> trasspusă la nivel național prin Legea nr. 98/2022 mprivind calitatea aerului atmosferic</w:t>
            </w:r>
            <w:r w:rsidRPr="00F16974">
              <w:rPr>
                <w:rFonts w:asciiTheme="majorBidi" w:eastAsia="Google Sans Text" w:hAnsiTheme="majorBidi" w:cstheme="majorBidi"/>
                <w:color w:val="1B1C1D"/>
                <w:lang w:val="ro-RO"/>
              </w:rPr>
              <w:t>. Proiectul de act normativ este conceput astfel încât să fie coerent cu aceste reglementări, de exemplu prin includerea excepțiilor aplicabile instalațiilor mari de ardere, în conformitate cu Directiva 2010/75/UE</w:t>
            </w:r>
            <w:r w:rsidR="008842BC" w:rsidRPr="00F16974">
              <w:rPr>
                <w:rFonts w:asciiTheme="majorBidi" w:eastAsia="Google Sans Text" w:hAnsiTheme="majorBidi" w:cstheme="majorBidi"/>
                <w:color w:val="1B1C1D"/>
                <w:lang w:val="ro-RO"/>
              </w:rPr>
              <w:t xml:space="preserve"> care </w:t>
            </w:r>
            <w:r w:rsidR="009D034A" w:rsidRPr="00F16974">
              <w:rPr>
                <w:rFonts w:asciiTheme="majorBidi" w:eastAsia="Google Sans Text" w:hAnsiTheme="majorBidi" w:cstheme="majorBidi"/>
                <w:color w:val="1B1C1D"/>
                <w:lang w:val="ro-RO"/>
              </w:rPr>
              <w:t xml:space="preserve">este </w:t>
            </w:r>
            <w:r w:rsidR="008842BC" w:rsidRPr="00F16974">
              <w:rPr>
                <w:rFonts w:asciiTheme="majorBidi" w:eastAsia="Google Sans Text" w:hAnsiTheme="majorBidi" w:cstheme="majorBidi"/>
                <w:color w:val="1B1C1D"/>
                <w:lang w:val="ro-RO"/>
              </w:rPr>
              <w:t>transpusă la nivel național prin Legea nr. 227/2022 privind emisiile industriale</w:t>
            </w:r>
            <w:r w:rsidRPr="00F16974">
              <w:rPr>
                <w:rFonts w:asciiTheme="majorBidi" w:eastAsia="Google Sans Text" w:hAnsiTheme="majorBidi" w:cstheme="majorBidi"/>
                <w:color w:val="1B1C1D"/>
                <w:lang w:val="ro-RO"/>
              </w:rPr>
              <w:t>. Aceasta garantează armonizarea între regimul privind conținutul de sulf în combustibili și cel privind emisiile specifice instalațiilor, evitând suprapuneri sau contradicții legislative.</w:t>
            </w:r>
          </w:p>
          <w:p w14:paraId="476AAD56" w14:textId="77777777" w:rsidR="005432F3" w:rsidRPr="00F16974" w:rsidRDefault="005432F3" w:rsidP="005432F3">
            <w:pPr>
              <w:spacing w:line="276" w:lineRule="auto"/>
              <w:ind w:firstLine="743"/>
              <w:jc w:val="both"/>
              <w:rPr>
                <w:rFonts w:asciiTheme="majorBidi" w:eastAsia="Google Sans Text" w:hAnsiTheme="majorBidi" w:cstheme="majorBidi"/>
                <w:color w:val="1B1C1D"/>
                <w:lang w:val="ro-RO"/>
              </w:rPr>
            </w:pPr>
            <w:r w:rsidRPr="00F16974">
              <w:rPr>
                <w:rFonts w:asciiTheme="majorBidi" w:eastAsia="Google Sans Text" w:hAnsiTheme="majorBidi" w:cstheme="majorBidi"/>
                <w:color w:val="1B1C1D"/>
                <w:lang w:val="ro-RO"/>
              </w:rPr>
              <w:t>Tabelul de concordanță anexat la dosarul proiectului demonstrează corespondența detaliată între prevederile directivei UE și cele ale proiectului național, consolidând transparența și conformitatea transpunerii.</w:t>
            </w:r>
          </w:p>
          <w:p w14:paraId="49971CFB" w14:textId="32B79BE5" w:rsidR="00BB560C" w:rsidRPr="00F16974" w:rsidRDefault="00BB560C" w:rsidP="001D1E2D">
            <w:pPr>
              <w:spacing w:line="276" w:lineRule="auto"/>
              <w:ind w:firstLine="743"/>
              <w:jc w:val="both"/>
              <w:rPr>
                <w:rFonts w:asciiTheme="majorBidi" w:eastAsiaTheme="minorHAnsi" w:hAnsiTheme="majorBidi" w:cstheme="majorBidi"/>
                <w:lang w:val="ro-MD" w:eastAsia="en-US"/>
              </w:rPr>
            </w:pPr>
          </w:p>
        </w:tc>
      </w:tr>
      <w:tr w:rsidR="00964655" w:rsidRPr="00F16974" w14:paraId="7176F15E" w14:textId="77777777" w:rsidTr="00B054C5">
        <w:tc>
          <w:tcPr>
            <w:tcW w:w="9344" w:type="dxa"/>
            <w:shd w:val="clear" w:color="auto" w:fill="F2F2F2" w:themeFill="background1" w:themeFillShade="F2"/>
          </w:tcPr>
          <w:p w14:paraId="33F69F05" w14:textId="77777777" w:rsidR="001D5F93" w:rsidRPr="00F16974" w:rsidRDefault="001D5F93" w:rsidP="00272E04">
            <w:pPr>
              <w:widowControl/>
              <w:autoSpaceDE w:val="0"/>
              <w:autoSpaceDN w:val="0"/>
              <w:adjustRightInd w:val="0"/>
              <w:spacing w:line="276" w:lineRule="auto"/>
              <w:jc w:val="both"/>
              <w:rPr>
                <w:rFonts w:asciiTheme="majorBidi" w:eastAsiaTheme="minorHAnsi" w:hAnsiTheme="majorBidi" w:cstheme="majorBidi"/>
                <w:lang w:val="ro-RO" w:eastAsia="en-US"/>
              </w:rPr>
            </w:pPr>
            <w:r w:rsidRPr="00F16974">
              <w:rPr>
                <w:rFonts w:asciiTheme="majorBidi" w:eastAsiaTheme="minorHAnsi" w:hAnsiTheme="majorBidi" w:cstheme="majorBidi"/>
                <w:lang w:val="ro-RO" w:eastAsia="en-US"/>
              </w:rPr>
              <w:t xml:space="preserve">5.2. </w:t>
            </w:r>
            <w:r w:rsidRPr="00F16974">
              <w:rPr>
                <w:rFonts w:asciiTheme="majorBidi" w:eastAsia="TimesNewRomanPSMT" w:hAnsiTheme="majorBidi" w:cstheme="majorBidi"/>
                <w:lang w:val="ro-RO" w:eastAsia="en-US"/>
              </w:rPr>
              <w:t xml:space="preserve">Măsuri </w:t>
            </w:r>
            <w:r w:rsidRPr="00F16974">
              <w:rPr>
                <w:rFonts w:asciiTheme="majorBidi" w:eastAsiaTheme="minorHAnsi" w:hAnsiTheme="majorBidi" w:cstheme="majorBidi"/>
                <w:lang w:val="ro-RO" w:eastAsia="en-US"/>
              </w:rPr>
              <w:t xml:space="preserve">normative care </w:t>
            </w:r>
            <w:r w:rsidRPr="00F16974">
              <w:rPr>
                <w:rFonts w:asciiTheme="majorBidi" w:eastAsia="TimesNewRomanPSMT" w:hAnsiTheme="majorBidi" w:cstheme="majorBidi"/>
                <w:lang w:val="ro-RO" w:eastAsia="en-US"/>
              </w:rPr>
              <w:t xml:space="preserve">urmăresc </w:t>
            </w:r>
            <w:r w:rsidRPr="00F16974">
              <w:rPr>
                <w:rFonts w:asciiTheme="majorBidi" w:eastAsiaTheme="minorHAnsi" w:hAnsiTheme="majorBidi" w:cstheme="majorBidi"/>
                <w:lang w:val="ro-RO" w:eastAsia="en-US"/>
              </w:rPr>
              <w:t>crearea cadrului juridic intern necesar pentru</w:t>
            </w:r>
          </w:p>
          <w:p w14:paraId="173F4641" w14:textId="77777777" w:rsidR="00964655" w:rsidRPr="00F16974" w:rsidRDefault="001D5F93" w:rsidP="00272E04">
            <w:pPr>
              <w:spacing w:line="276" w:lineRule="auto"/>
              <w:jc w:val="both"/>
              <w:rPr>
                <w:rFonts w:asciiTheme="majorBidi" w:eastAsiaTheme="minorHAnsi" w:hAnsiTheme="majorBidi" w:cstheme="majorBidi"/>
                <w:lang w:val="ro-RO" w:eastAsia="en-US"/>
              </w:rPr>
            </w:pPr>
            <w:r w:rsidRPr="00F16974">
              <w:rPr>
                <w:rFonts w:asciiTheme="majorBidi" w:eastAsiaTheme="minorHAnsi" w:hAnsiTheme="majorBidi" w:cstheme="majorBidi"/>
                <w:lang w:val="ro-RO" w:eastAsia="en-US"/>
              </w:rPr>
              <w:t>implementarea legisla</w:t>
            </w:r>
            <w:r w:rsidRPr="00F16974">
              <w:rPr>
                <w:rFonts w:asciiTheme="majorBidi" w:eastAsia="TimesNewRomanPSMT" w:hAnsiTheme="majorBidi" w:cstheme="majorBidi"/>
                <w:lang w:val="ro-RO" w:eastAsia="en-US"/>
              </w:rPr>
              <w:t>ț</w:t>
            </w:r>
            <w:r w:rsidRPr="00F16974">
              <w:rPr>
                <w:rFonts w:asciiTheme="majorBidi" w:eastAsiaTheme="minorHAnsi" w:hAnsiTheme="majorBidi" w:cstheme="majorBidi"/>
                <w:lang w:val="ro-RO" w:eastAsia="en-US"/>
              </w:rPr>
              <w:t>iei UE</w:t>
            </w:r>
          </w:p>
        </w:tc>
      </w:tr>
      <w:tr w:rsidR="00964655" w:rsidRPr="00A42EDC" w14:paraId="2F239E68" w14:textId="77777777" w:rsidTr="006B61CE">
        <w:tc>
          <w:tcPr>
            <w:tcW w:w="9344" w:type="dxa"/>
          </w:tcPr>
          <w:p w14:paraId="4A454F82" w14:textId="77777777" w:rsidR="00964655" w:rsidRPr="00F16974" w:rsidRDefault="00F00840" w:rsidP="00BA2148">
            <w:pPr>
              <w:spacing w:line="276" w:lineRule="auto"/>
              <w:ind w:firstLine="743"/>
              <w:jc w:val="both"/>
              <w:rPr>
                <w:rFonts w:asciiTheme="majorBidi" w:eastAsia="Google Sans Text" w:hAnsiTheme="majorBidi" w:cstheme="majorBidi"/>
                <w:color w:val="1B1C1D"/>
                <w:lang w:val="ro-RO"/>
              </w:rPr>
            </w:pPr>
            <w:r w:rsidRPr="00F16974">
              <w:rPr>
                <w:rFonts w:asciiTheme="majorBidi" w:eastAsia="Google Sans Text" w:hAnsiTheme="majorBidi" w:cstheme="majorBidi"/>
                <w:color w:val="1B1C1D"/>
                <w:lang w:val="ro-RO"/>
              </w:rPr>
              <w:t xml:space="preserve">Proiectul creează cadrul juridic intern specific și necesar pentru implementarea obligațiilor ce </w:t>
            </w:r>
            <w:r w:rsidRPr="00F16974">
              <w:rPr>
                <w:rFonts w:asciiTheme="majorBidi" w:eastAsia="Google Sans Text" w:hAnsiTheme="majorBidi" w:cstheme="majorBidi"/>
                <w:color w:val="1B1C1D"/>
                <w:lang w:val="ro-RO"/>
              </w:rPr>
              <w:lastRenderedPageBreak/>
              <w:t>decurg din Acordul de Asociere RM-UE și Tratatul Comunității Energiei în domeniul calității combustibililor, asigurând aplicabilitatea directă a standardelor europene pe teritoriul Republicii Moldova.</w:t>
            </w:r>
          </w:p>
          <w:p w14:paraId="7B16A778" w14:textId="32522C69" w:rsidR="00120AD0" w:rsidRPr="00F16974" w:rsidRDefault="00120AD0" w:rsidP="00120AD0">
            <w:pPr>
              <w:pStyle w:val="BodyText"/>
              <w:ind w:firstLine="743"/>
              <w:jc w:val="both"/>
              <w:rPr>
                <w:rFonts w:asciiTheme="majorBidi" w:eastAsiaTheme="minorHAnsi" w:hAnsiTheme="majorBidi" w:cstheme="majorBidi"/>
                <w:lang w:val="ro-RO" w:eastAsia="en-US"/>
              </w:rPr>
            </w:pPr>
            <w:r w:rsidRPr="00F16974">
              <w:rPr>
                <w:rFonts w:asciiTheme="majorBidi" w:hAnsiTheme="majorBidi" w:cstheme="majorBidi"/>
                <w:lang w:val="ro-RO"/>
              </w:rPr>
              <w:t>Din perspectiva legislației naționale în vigoare, proiectul este complementar cu Legea nr. 98/2022 privind calitatea aerului contribuind la realizarea obiectivelor acesteia. De asemenea, nu contravine Legii privind piața produselor petroliere nr. 461/2001</w:t>
            </w:r>
            <w:r w:rsidR="009D034A" w:rsidRPr="00F16974">
              <w:rPr>
                <w:rFonts w:asciiTheme="majorBidi" w:hAnsiTheme="majorBidi" w:cstheme="majorBidi"/>
                <w:lang w:val="ro-RO"/>
              </w:rPr>
              <w:t>.</w:t>
            </w:r>
          </w:p>
        </w:tc>
      </w:tr>
      <w:tr w:rsidR="00964655" w:rsidRPr="00A42EDC" w14:paraId="5A5FAB29" w14:textId="77777777" w:rsidTr="00113FDC">
        <w:tc>
          <w:tcPr>
            <w:tcW w:w="9344" w:type="dxa"/>
            <w:shd w:val="clear" w:color="auto" w:fill="BFBFBF" w:themeFill="background1" w:themeFillShade="BF"/>
          </w:tcPr>
          <w:p w14:paraId="0480C058" w14:textId="77777777" w:rsidR="00964655" w:rsidRPr="00F16974" w:rsidRDefault="001D5F93" w:rsidP="00272E04">
            <w:pPr>
              <w:spacing w:line="276" w:lineRule="auto"/>
              <w:jc w:val="both"/>
              <w:rPr>
                <w:rFonts w:asciiTheme="majorBidi" w:eastAsiaTheme="minorHAnsi" w:hAnsiTheme="majorBidi" w:cstheme="majorBidi"/>
                <w:lang w:val="ro-RO" w:eastAsia="en-US"/>
              </w:rPr>
            </w:pPr>
            <w:r w:rsidRPr="00F16974">
              <w:rPr>
                <w:rFonts w:asciiTheme="majorBidi" w:eastAsiaTheme="minorHAnsi" w:hAnsiTheme="majorBidi" w:cstheme="majorBidi"/>
                <w:b/>
                <w:bCs/>
                <w:lang w:val="ro-RO" w:eastAsia="en-US"/>
              </w:rPr>
              <w:lastRenderedPageBreak/>
              <w:t>6. Avizarea și consultarea publică a proiectului actului normativ</w:t>
            </w:r>
          </w:p>
        </w:tc>
      </w:tr>
      <w:tr w:rsidR="00964655" w:rsidRPr="00A42EDC" w14:paraId="70F9A61E" w14:textId="77777777" w:rsidTr="006B61CE">
        <w:tc>
          <w:tcPr>
            <w:tcW w:w="9344" w:type="dxa"/>
          </w:tcPr>
          <w:p w14:paraId="233630C4" w14:textId="02A45BDC" w:rsidR="00964655" w:rsidRPr="00F16974" w:rsidRDefault="00F00840" w:rsidP="00BA2148">
            <w:pPr>
              <w:spacing w:line="276" w:lineRule="auto"/>
              <w:ind w:firstLine="743"/>
              <w:jc w:val="both"/>
              <w:rPr>
                <w:rFonts w:asciiTheme="majorBidi" w:eastAsiaTheme="minorHAnsi" w:hAnsiTheme="majorBidi" w:cstheme="majorBidi"/>
                <w:lang w:val="ro-RO" w:eastAsia="en-US"/>
              </w:rPr>
            </w:pPr>
            <w:r w:rsidRPr="00F16974">
              <w:rPr>
                <w:rFonts w:asciiTheme="majorBidi" w:eastAsia="Google Sans Text" w:hAnsiTheme="majorBidi" w:cstheme="majorBidi"/>
                <w:color w:val="1B1C1D"/>
                <w:lang w:val="ro-RO"/>
              </w:rPr>
              <w:t>Proiectul de act normativ, însoțit de prezenta Notă de fundamentare, va fi supus consultării publice conform Legii nr. 239/2008 privind transparența în procesul decizional. Vor fi solicitate avize de la ministerele și agențiile de resort, precum și de la asociațiile de afaceri relevante. Sinteza propunerilor și obiecțiilor va fi analizată și integrată în versiunea finală a proiectului.</w:t>
            </w:r>
          </w:p>
        </w:tc>
      </w:tr>
      <w:tr w:rsidR="00964655" w:rsidRPr="00F16974" w14:paraId="652243D9" w14:textId="77777777" w:rsidTr="00113FDC">
        <w:tc>
          <w:tcPr>
            <w:tcW w:w="9344" w:type="dxa"/>
            <w:shd w:val="clear" w:color="auto" w:fill="BFBFBF" w:themeFill="background1" w:themeFillShade="BF"/>
          </w:tcPr>
          <w:p w14:paraId="3466C1B6" w14:textId="77777777" w:rsidR="00964655" w:rsidRPr="00F16974" w:rsidRDefault="00113FDC" w:rsidP="00272E04">
            <w:pPr>
              <w:spacing w:line="276" w:lineRule="auto"/>
              <w:jc w:val="both"/>
              <w:rPr>
                <w:rFonts w:asciiTheme="majorBidi" w:eastAsiaTheme="minorHAnsi" w:hAnsiTheme="majorBidi" w:cstheme="majorBidi"/>
                <w:lang w:val="ro-RO" w:eastAsia="en-US"/>
              </w:rPr>
            </w:pPr>
            <w:r w:rsidRPr="00F16974">
              <w:rPr>
                <w:rFonts w:asciiTheme="majorBidi" w:eastAsiaTheme="minorHAnsi" w:hAnsiTheme="majorBidi" w:cstheme="majorBidi"/>
                <w:b/>
                <w:bCs/>
                <w:lang w:val="ro-RO" w:eastAsia="en-US"/>
              </w:rPr>
              <w:t>7. Concluziile expertizelor</w:t>
            </w:r>
          </w:p>
        </w:tc>
      </w:tr>
      <w:tr w:rsidR="00105E74" w:rsidRPr="00F16974" w14:paraId="69D0582D" w14:textId="77777777" w:rsidTr="006B61CE">
        <w:tc>
          <w:tcPr>
            <w:tcW w:w="9344" w:type="dxa"/>
          </w:tcPr>
          <w:p w14:paraId="6E91C8C6" w14:textId="0A332F7B" w:rsidR="00105E74" w:rsidRPr="00F16974" w:rsidRDefault="00105E74" w:rsidP="00D70988">
            <w:pPr>
              <w:pStyle w:val="BodyText"/>
              <w:jc w:val="both"/>
              <w:rPr>
                <w:rFonts w:asciiTheme="majorBidi" w:eastAsiaTheme="minorHAnsi" w:hAnsiTheme="majorBidi" w:cstheme="majorBidi"/>
                <w:lang w:val="ro-RO" w:eastAsia="en-US"/>
              </w:rPr>
            </w:pPr>
          </w:p>
        </w:tc>
      </w:tr>
      <w:tr w:rsidR="00105E74" w:rsidRPr="00A42EDC" w14:paraId="6ABEEB89" w14:textId="77777777" w:rsidTr="00113FDC">
        <w:tc>
          <w:tcPr>
            <w:tcW w:w="9344" w:type="dxa"/>
            <w:shd w:val="clear" w:color="auto" w:fill="BFBFBF" w:themeFill="background1" w:themeFillShade="BF"/>
          </w:tcPr>
          <w:p w14:paraId="78D3A71D" w14:textId="77777777" w:rsidR="00105E74" w:rsidRPr="00F16974" w:rsidRDefault="00113FDC" w:rsidP="00272E04">
            <w:pPr>
              <w:spacing w:line="276" w:lineRule="auto"/>
              <w:jc w:val="both"/>
              <w:rPr>
                <w:rFonts w:asciiTheme="majorBidi" w:eastAsiaTheme="minorHAnsi" w:hAnsiTheme="majorBidi" w:cstheme="majorBidi"/>
                <w:lang w:val="ro-RO" w:eastAsia="en-US"/>
              </w:rPr>
            </w:pPr>
            <w:r w:rsidRPr="00F16974">
              <w:rPr>
                <w:rFonts w:asciiTheme="majorBidi" w:eastAsiaTheme="minorHAnsi" w:hAnsiTheme="majorBidi" w:cstheme="majorBidi"/>
                <w:b/>
                <w:bCs/>
                <w:lang w:val="ro-RO" w:eastAsia="en-US"/>
              </w:rPr>
              <w:t>8. Modul de încorporare a actului în cadrul normativ existent</w:t>
            </w:r>
          </w:p>
        </w:tc>
      </w:tr>
      <w:tr w:rsidR="00105E74" w:rsidRPr="00A42EDC" w14:paraId="03BC6A97" w14:textId="77777777" w:rsidTr="006B61CE">
        <w:tc>
          <w:tcPr>
            <w:tcW w:w="9344" w:type="dxa"/>
          </w:tcPr>
          <w:p w14:paraId="395EC51B" w14:textId="77777777" w:rsidR="00105E74" w:rsidRPr="00F16974" w:rsidRDefault="00272E04" w:rsidP="00BA2148">
            <w:pPr>
              <w:spacing w:line="276" w:lineRule="auto"/>
              <w:ind w:firstLine="601"/>
              <w:jc w:val="both"/>
              <w:rPr>
                <w:rFonts w:asciiTheme="majorBidi" w:eastAsiaTheme="minorHAnsi" w:hAnsiTheme="majorBidi" w:cstheme="majorBidi"/>
                <w:lang w:val="ro-RO" w:eastAsia="en-US"/>
              </w:rPr>
            </w:pPr>
            <w:r w:rsidRPr="00F16974">
              <w:rPr>
                <w:rFonts w:asciiTheme="majorBidi" w:eastAsia="Google Sans Text" w:hAnsiTheme="majorBidi" w:cstheme="majorBidi"/>
                <w:color w:val="1B1C1D"/>
                <w:lang w:val="ro-RO"/>
              </w:rPr>
              <w:t xml:space="preserve">Proiectul de Hotărâre a Guvernului </w:t>
            </w:r>
            <w:r w:rsidRPr="00F16974">
              <w:rPr>
                <w:rFonts w:asciiTheme="majorBidi" w:eastAsia="Google Sans Text" w:hAnsiTheme="majorBidi" w:cstheme="majorBidi"/>
                <w:bCs/>
                <w:color w:val="1B1C1D"/>
                <w:lang w:val="ro-RO"/>
              </w:rPr>
              <w:t>abrogă în mod expres Hotărârea Guvernului nr</w:t>
            </w:r>
            <w:r w:rsidRPr="00F16974">
              <w:rPr>
                <w:rFonts w:asciiTheme="majorBidi" w:eastAsia="Google Sans Text" w:hAnsiTheme="majorBidi" w:cstheme="majorBidi"/>
                <w:b/>
                <w:color w:val="1B1C1D"/>
                <w:lang w:val="ro-RO"/>
              </w:rPr>
              <w:t xml:space="preserve">. </w:t>
            </w:r>
            <w:r w:rsidRPr="00F16974">
              <w:rPr>
                <w:rFonts w:asciiTheme="majorBidi" w:eastAsia="Google Sans Text" w:hAnsiTheme="majorBidi" w:cstheme="majorBidi"/>
                <w:bCs/>
                <w:color w:val="1B1C1D"/>
                <w:lang w:val="ro-RO"/>
              </w:rPr>
              <w:t>414/2016,</w:t>
            </w:r>
            <w:r w:rsidRPr="00F16974">
              <w:rPr>
                <w:rFonts w:asciiTheme="majorBidi" w:eastAsia="Google Sans Text" w:hAnsiTheme="majorBidi" w:cstheme="majorBidi"/>
                <w:color w:val="1B1C1D"/>
                <w:lang w:val="ro-RO"/>
              </w:rPr>
              <w:t xml:space="preserve"> asigurând astfel eliminarea paralelismelor și a contradicțiilor din legislație. Proiectul nu necesită modificarea imediată a altor acte normative, ci se încorporează în cadrul legal existent, acționând ca legislație specială în raport cu Legea nr. 1515/1993 privind protecția mediului înconjurător și ca act de implementare a obiectivelor Legii nr. 98/2022 privind calitatea aerului atmosferic.</w:t>
            </w:r>
          </w:p>
        </w:tc>
      </w:tr>
      <w:tr w:rsidR="00105E74" w:rsidRPr="00F16974" w14:paraId="2560CC33" w14:textId="77777777" w:rsidTr="00113FDC">
        <w:tc>
          <w:tcPr>
            <w:tcW w:w="9344" w:type="dxa"/>
            <w:shd w:val="clear" w:color="auto" w:fill="BFBFBF" w:themeFill="background1" w:themeFillShade="BF"/>
          </w:tcPr>
          <w:p w14:paraId="6E51C4CC" w14:textId="77777777" w:rsidR="00113FDC" w:rsidRPr="00F16974" w:rsidRDefault="00113FDC" w:rsidP="00272E04">
            <w:pPr>
              <w:widowControl/>
              <w:autoSpaceDE w:val="0"/>
              <w:autoSpaceDN w:val="0"/>
              <w:adjustRightInd w:val="0"/>
              <w:spacing w:line="276" w:lineRule="auto"/>
              <w:jc w:val="both"/>
              <w:rPr>
                <w:rFonts w:asciiTheme="majorBidi" w:eastAsiaTheme="minorHAnsi" w:hAnsiTheme="majorBidi" w:cstheme="majorBidi"/>
                <w:b/>
                <w:bCs/>
                <w:lang w:val="ro-RO" w:eastAsia="en-US"/>
              </w:rPr>
            </w:pPr>
            <w:r w:rsidRPr="00F16974">
              <w:rPr>
                <w:rFonts w:asciiTheme="majorBidi" w:eastAsiaTheme="minorHAnsi" w:hAnsiTheme="majorBidi" w:cstheme="majorBidi"/>
                <w:b/>
                <w:bCs/>
                <w:lang w:val="ro-RO" w:eastAsia="en-US"/>
              </w:rPr>
              <w:t>9. Măsurile necesare pentru implementarea prevederilor proiectului actului</w:t>
            </w:r>
          </w:p>
          <w:p w14:paraId="51F7AAD0" w14:textId="77777777" w:rsidR="00105E74" w:rsidRPr="00F16974" w:rsidRDefault="00113FDC" w:rsidP="00272E04">
            <w:pPr>
              <w:spacing w:line="276" w:lineRule="auto"/>
              <w:jc w:val="both"/>
              <w:rPr>
                <w:rFonts w:asciiTheme="majorBidi" w:eastAsiaTheme="minorHAnsi" w:hAnsiTheme="majorBidi" w:cstheme="majorBidi"/>
                <w:lang w:val="ro-RO" w:eastAsia="en-US"/>
              </w:rPr>
            </w:pPr>
            <w:r w:rsidRPr="00F16974">
              <w:rPr>
                <w:rFonts w:asciiTheme="majorBidi" w:eastAsiaTheme="minorHAnsi" w:hAnsiTheme="majorBidi" w:cstheme="majorBidi"/>
                <w:b/>
                <w:bCs/>
                <w:lang w:val="ro-RO" w:eastAsia="en-US"/>
              </w:rPr>
              <w:t>normativ</w:t>
            </w:r>
          </w:p>
        </w:tc>
      </w:tr>
      <w:tr w:rsidR="00105E74" w:rsidRPr="00A42EDC" w14:paraId="7C7BA0BE" w14:textId="77777777" w:rsidTr="006B61CE">
        <w:tc>
          <w:tcPr>
            <w:tcW w:w="9344" w:type="dxa"/>
          </w:tcPr>
          <w:p w14:paraId="5CB3149F" w14:textId="3E542DFE" w:rsidR="00105E74" w:rsidRPr="00F16974" w:rsidRDefault="00272E04" w:rsidP="00BA2148">
            <w:pPr>
              <w:spacing w:line="276" w:lineRule="auto"/>
              <w:ind w:firstLine="601"/>
              <w:jc w:val="both"/>
              <w:rPr>
                <w:rFonts w:asciiTheme="majorBidi" w:eastAsia="Google Sans Text" w:hAnsiTheme="majorBidi" w:cstheme="majorBidi"/>
                <w:color w:val="1B1C1D"/>
                <w:lang w:val="ro-RO"/>
              </w:rPr>
            </w:pPr>
            <w:r w:rsidRPr="00F16974">
              <w:rPr>
                <w:rFonts w:asciiTheme="majorBidi" w:eastAsia="Google Sans Text" w:hAnsiTheme="majorBidi" w:cstheme="majorBidi"/>
                <w:color w:val="1B1C1D"/>
                <w:lang w:val="ro-RO"/>
              </w:rPr>
              <w:t>Implementarea prevederilor proiectului va fi asigurată de Agenția Navală a Republicii Moldova, Inspectoratul pentru Protecția Mediului</w:t>
            </w:r>
            <w:r w:rsidR="006C0078">
              <w:rPr>
                <w:rFonts w:asciiTheme="majorBidi" w:eastAsia="Google Sans Text" w:hAnsiTheme="majorBidi" w:cstheme="majorBidi"/>
                <w:color w:val="1B1C1D"/>
                <w:lang w:val="ro-RO"/>
              </w:rPr>
              <w:t>, Inspectoratul de Stat pentru Supravegherea Produselor Nealimentarr,</w:t>
            </w:r>
            <w:r w:rsidRPr="00F16974">
              <w:rPr>
                <w:rFonts w:asciiTheme="majorBidi" w:eastAsia="Google Sans Text" w:hAnsiTheme="majorBidi" w:cstheme="majorBidi"/>
                <w:color w:val="1B1C1D"/>
                <w:lang w:val="ro-RO"/>
              </w:rPr>
              <w:t xml:space="preserve"> fiecare în limita competențelor sale. Nu sunt necesare elaborarea unor acte normative suplimentare pentru punerea în aplicare a prezentei hotărâri. Autoritățile responsabile vor elabora, după caz, proceduri interne și ghiduri pentru a asigura aplicarea uniformă a noilor cerințe.</w:t>
            </w:r>
          </w:p>
          <w:p w14:paraId="5D2B0D53" w14:textId="561A1109" w:rsidR="005F06A3" w:rsidRPr="00F16974" w:rsidRDefault="005F06A3" w:rsidP="006D1F86">
            <w:pPr>
              <w:widowControl/>
              <w:spacing w:after="120" w:line="276" w:lineRule="auto"/>
              <w:ind w:left="34" w:firstLine="567"/>
              <w:jc w:val="both"/>
              <w:rPr>
                <w:rFonts w:asciiTheme="majorBidi" w:hAnsiTheme="majorBidi" w:cstheme="majorBidi"/>
                <w:lang w:val="ro-RO"/>
              </w:rPr>
            </w:pPr>
            <w:r w:rsidRPr="00F16974">
              <w:rPr>
                <w:rFonts w:asciiTheme="majorBidi" w:hAnsiTheme="majorBidi" w:cstheme="majorBidi"/>
                <w:lang w:val="ro-RO"/>
              </w:rPr>
              <w:t xml:space="preserve">Ministerul Mediului împreună cu </w:t>
            </w:r>
            <w:r w:rsidR="007343D3" w:rsidRPr="00F16974">
              <w:rPr>
                <w:rFonts w:asciiTheme="majorBidi" w:hAnsiTheme="majorBidi" w:cstheme="majorBidi"/>
                <w:lang w:val="ro-RO"/>
              </w:rPr>
              <w:t xml:space="preserve">Ministerul </w:t>
            </w:r>
            <w:r w:rsidR="00A25D86" w:rsidRPr="00F16974">
              <w:rPr>
                <w:rFonts w:asciiTheme="majorBidi" w:hAnsiTheme="majorBidi" w:cstheme="majorBidi"/>
                <w:lang w:val="ro-RO"/>
              </w:rPr>
              <w:t>Dezvoltării Economice și Digitalizării</w:t>
            </w:r>
            <w:r w:rsidRPr="00F16974">
              <w:rPr>
                <w:rFonts w:asciiTheme="majorBidi" w:hAnsiTheme="majorBidi" w:cstheme="majorBidi"/>
                <w:lang w:val="ro-RO"/>
              </w:rPr>
              <w:t xml:space="preserve"> vor organiza seminare și vor disemina materiale informative către toți importatorii și distribuitorii de combustibili. Scopul este de a le aduce la cunoștință noile cerințe și termenele de conformare, precum și modul de raportare a datelor. Prin asociațiile de business, se vor transmite notificări oficiale privind intrarea în vigoare a noilor reguli, astfel încât mediul de afaceri să fie pregătit.</w:t>
            </w:r>
          </w:p>
          <w:p w14:paraId="3C3247D7" w14:textId="15B989D0" w:rsidR="005F06A3" w:rsidRPr="00F16974" w:rsidRDefault="005F06A3" w:rsidP="006D1F86">
            <w:pPr>
              <w:widowControl/>
              <w:spacing w:after="120" w:line="276" w:lineRule="auto"/>
              <w:ind w:left="34" w:firstLine="567"/>
              <w:jc w:val="both"/>
              <w:rPr>
                <w:rFonts w:asciiTheme="majorBidi" w:hAnsiTheme="majorBidi" w:cstheme="majorBidi"/>
                <w:lang w:val="ro-RO"/>
              </w:rPr>
            </w:pPr>
            <w:r w:rsidRPr="00F16974">
              <w:rPr>
                <w:rFonts w:asciiTheme="majorBidi" w:hAnsiTheme="majorBidi" w:cstheme="majorBidi"/>
                <w:lang w:val="ro-RO"/>
              </w:rPr>
              <w:t>Inspectoratul pentru Protecția Mediului își va instrui inspectorii cu privire la noile prerogative (în special legate de controlul navelor, activitate care poate necesita cooperare cu Căpitănia Portului Giurgiulești).</w:t>
            </w:r>
          </w:p>
          <w:p w14:paraId="0D8683D1" w14:textId="7EECC79F" w:rsidR="005F06A3" w:rsidRPr="00F16974" w:rsidRDefault="005F06A3" w:rsidP="00BA2148">
            <w:pPr>
              <w:spacing w:line="276" w:lineRule="auto"/>
              <w:ind w:firstLine="601"/>
              <w:jc w:val="both"/>
              <w:rPr>
                <w:rFonts w:asciiTheme="majorBidi" w:eastAsiaTheme="minorHAnsi" w:hAnsiTheme="majorBidi" w:cstheme="majorBidi"/>
                <w:lang w:val="ro-RO" w:eastAsia="en-US"/>
              </w:rPr>
            </w:pPr>
          </w:p>
        </w:tc>
      </w:tr>
      <w:tr w:rsidR="00105E74" w:rsidRPr="00A42EDC" w14:paraId="05276268" w14:textId="77777777" w:rsidTr="006B61CE">
        <w:tc>
          <w:tcPr>
            <w:tcW w:w="9344" w:type="dxa"/>
          </w:tcPr>
          <w:p w14:paraId="2DD2A597" w14:textId="77777777" w:rsidR="00105E74" w:rsidRPr="00F16974" w:rsidRDefault="00105E74" w:rsidP="00272E04">
            <w:pPr>
              <w:spacing w:line="276" w:lineRule="auto"/>
              <w:jc w:val="both"/>
              <w:rPr>
                <w:rFonts w:asciiTheme="majorBidi" w:eastAsiaTheme="minorHAnsi" w:hAnsiTheme="majorBidi" w:cstheme="majorBidi"/>
                <w:lang w:val="ro-RO" w:eastAsia="en-US"/>
              </w:rPr>
            </w:pPr>
          </w:p>
        </w:tc>
      </w:tr>
    </w:tbl>
    <w:p w14:paraId="52F6ED5F" w14:textId="77777777" w:rsidR="00113FDC" w:rsidRPr="00F16974" w:rsidRDefault="00113FDC" w:rsidP="00272E04">
      <w:pPr>
        <w:spacing w:line="276" w:lineRule="auto"/>
        <w:jc w:val="both"/>
        <w:rPr>
          <w:rFonts w:asciiTheme="majorBidi" w:eastAsiaTheme="minorHAnsi" w:hAnsiTheme="majorBidi" w:cstheme="majorBidi"/>
          <w:lang w:val="ro-RO" w:eastAsia="en-US"/>
        </w:rPr>
      </w:pPr>
    </w:p>
    <w:p w14:paraId="65FD3B30" w14:textId="77777777" w:rsidR="00113FDC" w:rsidRPr="00F16974" w:rsidRDefault="00113FDC" w:rsidP="00272E04">
      <w:pPr>
        <w:spacing w:line="276" w:lineRule="auto"/>
        <w:jc w:val="both"/>
        <w:rPr>
          <w:rFonts w:asciiTheme="majorBidi" w:eastAsiaTheme="minorHAnsi" w:hAnsiTheme="majorBidi" w:cstheme="majorBidi"/>
          <w:lang w:val="ro-RO" w:eastAsia="en-US"/>
        </w:rPr>
      </w:pPr>
    </w:p>
    <w:p w14:paraId="3ED48CEF" w14:textId="77777777" w:rsidR="007444FF" w:rsidRPr="00F16974" w:rsidRDefault="00113FDC" w:rsidP="00272E04">
      <w:pPr>
        <w:spacing w:line="276" w:lineRule="auto"/>
        <w:jc w:val="both"/>
        <w:rPr>
          <w:rFonts w:asciiTheme="majorBidi" w:hAnsiTheme="majorBidi" w:cstheme="majorBidi"/>
          <w:lang w:val="ro-RO"/>
        </w:rPr>
      </w:pPr>
      <w:r w:rsidRPr="00F16974">
        <w:rPr>
          <w:rFonts w:asciiTheme="majorBidi" w:eastAsiaTheme="minorHAnsi" w:hAnsiTheme="majorBidi" w:cstheme="majorBidi"/>
          <w:lang w:val="ro-RO" w:eastAsia="en-US"/>
        </w:rPr>
        <w:t>/semnat electronic/                    ---------------------</w:t>
      </w:r>
    </w:p>
    <w:sectPr w:rsidR="007444FF" w:rsidRPr="00F16974" w:rsidSect="0045245A">
      <w:pgSz w:w="11906" w:h="16838" w:code="9"/>
      <w:pgMar w:top="1418" w:right="851" w:bottom="1418" w:left="1701" w:header="284" w:footer="14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oogle Sans Text">
    <w:charset w:val="00"/>
    <w:family w:val="auto"/>
    <w:pitch w:val="default"/>
  </w:font>
  <w:font w:name="TimesNewRomanPS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C90C855A"/>
    <w:lvl w:ilvl="0">
      <w:numFmt w:val="bullet"/>
      <w:lvlText w:val=""/>
      <w:lvlJc w:val="left"/>
      <w:pPr>
        <w:ind w:left="3587" w:hanging="360"/>
      </w:pPr>
      <w:rPr>
        <w:rFonts w:ascii="Symbol" w:hAnsi="Symbol" w:cs="Symbol" w:hint="default"/>
      </w:rPr>
    </w:lvl>
    <w:lvl w:ilvl="1">
      <w:numFmt w:val="bullet"/>
      <w:lvlText w:val="o"/>
      <w:lvlJc w:val="left"/>
      <w:pPr>
        <w:ind w:left="4307" w:hanging="360"/>
      </w:pPr>
      <w:rPr>
        <w:rFonts w:ascii="Courier New" w:hAnsi="Courier New" w:cs="Courier New" w:hint="default"/>
      </w:rPr>
    </w:lvl>
    <w:lvl w:ilvl="2">
      <w:numFmt w:val="bullet"/>
      <w:lvlText w:val=""/>
      <w:lvlJc w:val="left"/>
      <w:pPr>
        <w:ind w:left="5027" w:hanging="360"/>
      </w:pPr>
      <w:rPr>
        <w:rFonts w:ascii="Wingdings" w:hAnsi="Wingdings" w:cs="Wingdings" w:hint="default"/>
      </w:rPr>
    </w:lvl>
    <w:lvl w:ilvl="3">
      <w:numFmt w:val="bullet"/>
      <w:lvlText w:val=""/>
      <w:lvlJc w:val="left"/>
      <w:pPr>
        <w:ind w:left="5747" w:hanging="360"/>
      </w:pPr>
      <w:rPr>
        <w:rFonts w:ascii="Symbol" w:hAnsi="Symbol" w:cs="Symbol" w:hint="default"/>
      </w:rPr>
    </w:lvl>
    <w:lvl w:ilvl="4">
      <w:numFmt w:val="bullet"/>
      <w:lvlText w:val="o"/>
      <w:lvlJc w:val="left"/>
      <w:pPr>
        <w:ind w:left="6467" w:hanging="360"/>
      </w:pPr>
      <w:rPr>
        <w:rFonts w:ascii="Courier New" w:hAnsi="Courier New" w:cs="Courier New" w:hint="default"/>
      </w:rPr>
    </w:lvl>
    <w:lvl w:ilvl="5">
      <w:numFmt w:val="bullet"/>
      <w:lvlText w:val=""/>
      <w:lvlJc w:val="left"/>
      <w:pPr>
        <w:ind w:left="7187" w:hanging="360"/>
      </w:pPr>
      <w:rPr>
        <w:rFonts w:ascii="Wingdings" w:hAnsi="Wingdings" w:cs="Wingdings" w:hint="default"/>
      </w:rPr>
    </w:lvl>
    <w:lvl w:ilvl="6">
      <w:numFmt w:val="bullet"/>
      <w:lvlText w:val=""/>
      <w:lvlJc w:val="left"/>
      <w:pPr>
        <w:ind w:left="7907" w:hanging="360"/>
      </w:pPr>
      <w:rPr>
        <w:rFonts w:ascii="Symbol" w:hAnsi="Symbol" w:cs="Symbol" w:hint="default"/>
      </w:rPr>
    </w:lvl>
    <w:lvl w:ilvl="7">
      <w:numFmt w:val="bullet"/>
      <w:lvlText w:val="o"/>
      <w:lvlJc w:val="left"/>
      <w:pPr>
        <w:ind w:left="8627" w:hanging="360"/>
      </w:pPr>
      <w:rPr>
        <w:rFonts w:ascii="Courier New" w:hAnsi="Courier New" w:cs="Courier New" w:hint="default"/>
      </w:rPr>
    </w:lvl>
    <w:lvl w:ilvl="8">
      <w:numFmt w:val="bullet"/>
      <w:lvlText w:val=""/>
      <w:lvlJc w:val="left"/>
      <w:pPr>
        <w:ind w:left="9347" w:hanging="360"/>
      </w:pPr>
      <w:rPr>
        <w:rFonts w:ascii="Wingdings" w:hAnsi="Wingdings" w:cs="Wingdings" w:hint="default"/>
      </w:rPr>
    </w:lvl>
  </w:abstractNum>
  <w:abstractNum w:abstractNumId="1" w15:restartNumberingAfterBreak="0">
    <w:nsid w:val="00A99201"/>
    <w:multiLevelType w:val="multilevel"/>
    <w:tmpl w:val="796EE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5EC5942"/>
    <w:multiLevelType w:val="hybridMultilevel"/>
    <w:tmpl w:val="2CB20730"/>
    <w:lvl w:ilvl="0" w:tplc="04090001">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F0301F"/>
    <w:multiLevelType w:val="multilevel"/>
    <w:tmpl w:val="C9D0B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D23E4"/>
    <w:multiLevelType w:val="hybridMultilevel"/>
    <w:tmpl w:val="31CCEDB0"/>
    <w:lvl w:ilvl="0" w:tplc="70DC2366">
      <w:start w:val="1"/>
      <w:numFmt w:val="bullet"/>
      <w:lvlText w:val=""/>
      <w:lvlJc w:val="left"/>
      <w:pPr>
        <w:ind w:left="1321"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987610"/>
    <w:multiLevelType w:val="multilevel"/>
    <w:tmpl w:val="3778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B6600"/>
    <w:multiLevelType w:val="multilevel"/>
    <w:tmpl w:val="D062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53513"/>
    <w:multiLevelType w:val="hybridMultilevel"/>
    <w:tmpl w:val="96D4BA96"/>
    <w:lvl w:ilvl="0" w:tplc="040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8" w15:restartNumberingAfterBreak="0">
    <w:nsid w:val="267341A2"/>
    <w:multiLevelType w:val="multilevel"/>
    <w:tmpl w:val="2820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10752"/>
    <w:multiLevelType w:val="multilevel"/>
    <w:tmpl w:val="281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C48E0"/>
    <w:multiLevelType w:val="multilevel"/>
    <w:tmpl w:val="DD02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B0E39"/>
    <w:multiLevelType w:val="multilevel"/>
    <w:tmpl w:val="AEAE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960B4"/>
    <w:multiLevelType w:val="hybridMultilevel"/>
    <w:tmpl w:val="64045DD6"/>
    <w:lvl w:ilvl="0" w:tplc="70DC2366">
      <w:start w:val="1"/>
      <w:numFmt w:val="bullet"/>
      <w:lvlText w:val=""/>
      <w:lvlJc w:val="left"/>
      <w:pPr>
        <w:ind w:left="2064" w:hanging="360"/>
      </w:pPr>
      <w:rPr>
        <w:rFonts w:ascii="Symbol" w:hAnsi="Symbol" w:hint="default"/>
        <w:sz w:val="20"/>
        <w:szCs w:val="20"/>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3" w15:restartNumberingAfterBreak="0">
    <w:nsid w:val="4B605EDB"/>
    <w:multiLevelType w:val="hybridMultilevel"/>
    <w:tmpl w:val="9E408970"/>
    <w:lvl w:ilvl="0" w:tplc="70DC2366">
      <w:start w:val="1"/>
      <w:numFmt w:val="bullet"/>
      <w:lvlText w:val=""/>
      <w:lvlJc w:val="left"/>
      <w:pPr>
        <w:ind w:left="1321" w:hanging="360"/>
      </w:pPr>
      <w:rPr>
        <w:rFonts w:ascii="Symbol" w:hAnsi="Symbol" w:hint="default"/>
        <w:sz w:val="20"/>
        <w:szCs w:val="20"/>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4" w15:restartNumberingAfterBreak="0">
    <w:nsid w:val="4BD73581"/>
    <w:multiLevelType w:val="multilevel"/>
    <w:tmpl w:val="8C1C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375F4"/>
    <w:multiLevelType w:val="hybridMultilevel"/>
    <w:tmpl w:val="977AB540"/>
    <w:lvl w:ilvl="0" w:tplc="A306B3A8">
      <w:numFmt w:val="bullet"/>
      <w:lvlText w:val="-"/>
      <w:lvlJc w:val="left"/>
      <w:pPr>
        <w:ind w:left="720" w:hanging="360"/>
      </w:pPr>
      <w:rPr>
        <w:rFonts w:ascii="Calibri" w:eastAsia="Times New Roman"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A9B3E7A"/>
    <w:multiLevelType w:val="multilevel"/>
    <w:tmpl w:val="2DC6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3E0659"/>
    <w:multiLevelType w:val="hybridMultilevel"/>
    <w:tmpl w:val="070E0692"/>
    <w:lvl w:ilvl="0" w:tplc="531A9C40">
      <w:start w:val="1"/>
      <w:numFmt w:val="bullet"/>
      <w:lvlText w:val=""/>
      <w:lvlJc w:val="left"/>
      <w:pPr>
        <w:ind w:left="720" w:hanging="360"/>
      </w:pPr>
      <w:rPr>
        <w:rFonts w:ascii="Symbol" w:hAnsi="Symbol" w:cstheme="majorBidi"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C23865"/>
    <w:multiLevelType w:val="multilevel"/>
    <w:tmpl w:val="866C8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881CEC"/>
    <w:multiLevelType w:val="hybridMultilevel"/>
    <w:tmpl w:val="75466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FF30B2F"/>
    <w:multiLevelType w:val="multilevel"/>
    <w:tmpl w:val="77FC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2F0955"/>
    <w:multiLevelType w:val="multilevel"/>
    <w:tmpl w:val="63E8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67219"/>
    <w:multiLevelType w:val="multilevel"/>
    <w:tmpl w:val="11568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477622">
    <w:abstractNumId w:val="19"/>
  </w:num>
  <w:num w:numId="2" w16cid:durableId="939458771">
    <w:abstractNumId w:val="17"/>
  </w:num>
  <w:num w:numId="3" w16cid:durableId="53508200">
    <w:abstractNumId w:val="2"/>
  </w:num>
  <w:num w:numId="4" w16cid:durableId="1218394233">
    <w:abstractNumId w:val="13"/>
  </w:num>
  <w:num w:numId="5" w16cid:durableId="1275749023">
    <w:abstractNumId w:val="4"/>
  </w:num>
  <w:num w:numId="6" w16cid:durableId="163013449">
    <w:abstractNumId w:val="0"/>
  </w:num>
  <w:num w:numId="7" w16cid:durableId="840199882">
    <w:abstractNumId w:val="12"/>
  </w:num>
  <w:num w:numId="8" w16cid:durableId="386538159">
    <w:abstractNumId w:val="15"/>
  </w:num>
  <w:num w:numId="9" w16cid:durableId="404960802">
    <w:abstractNumId w:val="7"/>
  </w:num>
  <w:num w:numId="10" w16cid:durableId="1075858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6567265">
    <w:abstractNumId w:val="20"/>
  </w:num>
  <w:num w:numId="12" w16cid:durableId="1073166160">
    <w:abstractNumId w:val="11"/>
  </w:num>
  <w:num w:numId="13" w16cid:durableId="496266823">
    <w:abstractNumId w:val="10"/>
  </w:num>
  <w:num w:numId="14" w16cid:durableId="1531063769">
    <w:abstractNumId w:val="16"/>
  </w:num>
  <w:num w:numId="15" w16cid:durableId="1855991781">
    <w:abstractNumId w:val="5"/>
  </w:num>
  <w:num w:numId="16" w16cid:durableId="1096483425">
    <w:abstractNumId w:val="14"/>
  </w:num>
  <w:num w:numId="17" w16cid:durableId="1603804890">
    <w:abstractNumId w:val="22"/>
  </w:num>
  <w:num w:numId="18" w16cid:durableId="2042238367">
    <w:abstractNumId w:val="8"/>
  </w:num>
  <w:num w:numId="19" w16cid:durableId="1433625385">
    <w:abstractNumId w:val="9"/>
  </w:num>
  <w:num w:numId="20" w16cid:durableId="1337536989">
    <w:abstractNumId w:val="6"/>
  </w:num>
  <w:num w:numId="21" w16cid:durableId="420640805">
    <w:abstractNumId w:val="3"/>
  </w:num>
  <w:num w:numId="22" w16cid:durableId="406925093">
    <w:abstractNumId w:val="21"/>
  </w:num>
  <w:num w:numId="23" w16cid:durableId="17479914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B3"/>
    <w:rsid w:val="00001869"/>
    <w:rsid w:val="00003717"/>
    <w:rsid w:val="0000651C"/>
    <w:rsid w:val="000277E2"/>
    <w:rsid w:val="00050D34"/>
    <w:rsid w:val="0006290D"/>
    <w:rsid w:val="000A5BEC"/>
    <w:rsid w:val="000A6170"/>
    <w:rsid w:val="000A6E9A"/>
    <w:rsid w:val="000D7075"/>
    <w:rsid w:val="000F5CF7"/>
    <w:rsid w:val="0010463C"/>
    <w:rsid w:val="00105E74"/>
    <w:rsid w:val="00113FDC"/>
    <w:rsid w:val="00120AD0"/>
    <w:rsid w:val="00122CCE"/>
    <w:rsid w:val="00122EC4"/>
    <w:rsid w:val="00146B1D"/>
    <w:rsid w:val="00163E3B"/>
    <w:rsid w:val="001A489E"/>
    <w:rsid w:val="001B0422"/>
    <w:rsid w:val="001B0433"/>
    <w:rsid w:val="001B3913"/>
    <w:rsid w:val="001C1CF6"/>
    <w:rsid w:val="001D1E2D"/>
    <w:rsid w:val="001D5F93"/>
    <w:rsid w:val="001F7BE4"/>
    <w:rsid w:val="00214843"/>
    <w:rsid w:val="00222856"/>
    <w:rsid w:val="00230F68"/>
    <w:rsid w:val="00245542"/>
    <w:rsid w:val="0025066F"/>
    <w:rsid w:val="00262568"/>
    <w:rsid w:val="00271519"/>
    <w:rsid w:val="00272E04"/>
    <w:rsid w:val="00277697"/>
    <w:rsid w:val="00277FCF"/>
    <w:rsid w:val="002A4D44"/>
    <w:rsid w:val="002C3810"/>
    <w:rsid w:val="002D2398"/>
    <w:rsid w:val="002E5339"/>
    <w:rsid w:val="002E7D4E"/>
    <w:rsid w:val="003201AF"/>
    <w:rsid w:val="0033663D"/>
    <w:rsid w:val="003538B2"/>
    <w:rsid w:val="003575DB"/>
    <w:rsid w:val="00374492"/>
    <w:rsid w:val="00384F24"/>
    <w:rsid w:val="00386D50"/>
    <w:rsid w:val="00387309"/>
    <w:rsid w:val="003A0F1C"/>
    <w:rsid w:val="003A12ED"/>
    <w:rsid w:val="003A3A75"/>
    <w:rsid w:val="003B0AE0"/>
    <w:rsid w:val="003B4307"/>
    <w:rsid w:val="003E5897"/>
    <w:rsid w:val="00401D76"/>
    <w:rsid w:val="004104E4"/>
    <w:rsid w:val="00413BEE"/>
    <w:rsid w:val="004213D7"/>
    <w:rsid w:val="004337E7"/>
    <w:rsid w:val="00434C8E"/>
    <w:rsid w:val="00443878"/>
    <w:rsid w:val="0045245A"/>
    <w:rsid w:val="00456002"/>
    <w:rsid w:val="00461E02"/>
    <w:rsid w:val="00484731"/>
    <w:rsid w:val="00495DA1"/>
    <w:rsid w:val="00496C82"/>
    <w:rsid w:val="004A46DB"/>
    <w:rsid w:val="004C5415"/>
    <w:rsid w:val="004D0E29"/>
    <w:rsid w:val="004D6D45"/>
    <w:rsid w:val="004D6FFE"/>
    <w:rsid w:val="004F1F4F"/>
    <w:rsid w:val="0052508A"/>
    <w:rsid w:val="005265AE"/>
    <w:rsid w:val="00527954"/>
    <w:rsid w:val="005432F3"/>
    <w:rsid w:val="005461B2"/>
    <w:rsid w:val="00550E6E"/>
    <w:rsid w:val="00564706"/>
    <w:rsid w:val="00591896"/>
    <w:rsid w:val="00591A9D"/>
    <w:rsid w:val="00593060"/>
    <w:rsid w:val="005A717A"/>
    <w:rsid w:val="005C1446"/>
    <w:rsid w:val="005D6FEA"/>
    <w:rsid w:val="005F06A3"/>
    <w:rsid w:val="006100B0"/>
    <w:rsid w:val="00623B9D"/>
    <w:rsid w:val="00637060"/>
    <w:rsid w:val="00643A2F"/>
    <w:rsid w:val="006553B3"/>
    <w:rsid w:val="00674C58"/>
    <w:rsid w:val="00691118"/>
    <w:rsid w:val="006A09CA"/>
    <w:rsid w:val="006A26C7"/>
    <w:rsid w:val="006B61CE"/>
    <w:rsid w:val="006B6CA2"/>
    <w:rsid w:val="006C0078"/>
    <w:rsid w:val="006D1F86"/>
    <w:rsid w:val="006D72BC"/>
    <w:rsid w:val="006E4037"/>
    <w:rsid w:val="006E5E6A"/>
    <w:rsid w:val="006F024B"/>
    <w:rsid w:val="006F3C30"/>
    <w:rsid w:val="00706407"/>
    <w:rsid w:val="007167A1"/>
    <w:rsid w:val="007343D3"/>
    <w:rsid w:val="00736111"/>
    <w:rsid w:val="00740672"/>
    <w:rsid w:val="00741FB4"/>
    <w:rsid w:val="007444FF"/>
    <w:rsid w:val="00746CE7"/>
    <w:rsid w:val="007665B9"/>
    <w:rsid w:val="007677C2"/>
    <w:rsid w:val="007A3D9D"/>
    <w:rsid w:val="00800893"/>
    <w:rsid w:val="0080659B"/>
    <w:rsid w:val="00831D40"/>
    <w:rsid w:val="0083449C"/>
    <w:rsid w:val="00862A72"/>
    <w:rsid w:val="00871C2B"/>
    <w:rsid w:val="008842BC"/>
    <w:rsid w:val="008D3B51"/>
    <w:rsid w:val="008D46FA"/>
    <w:rsid w:val="008F6066"/>
    <w:rsid w:val="008F7C5E"/>
    <w:rsid w:val="00906D7D"/>
    <w:rsid w:val="009202B6"/>
    <w:rsid w:val="0092139A"/>
    <w:rsid w:val="00932D1F"/>
    <w:rsid w:val="00945A2B"/>
    <w:rsid w:val="00951ADB"/>
    <w:rsid w:val="00964655"/>
    <w:rsid w:val="00994822"/>
    <w:rsid w:val="00994ECB"/>
    <w:rsid w:val="009A0D68"/>
    <w:rsid w:val="009A16AA"/>
    <w:rsid w:val="009A38A6"/>
    <w:rsid w:val="009B0D3B"/>
    <w:rsid w:val="009C1BAB"/>
    <w:rsid w:val="009D034A"/>
    <w:rsid w:val="009E4A76"/>
    <w:rsid w:val="009E7BC6"/>
    <w:rsid w:val="009F2368"/>
    <w:rsid w:val="009F5C44"/>
    <w:rsid w:val="00A14C4D"/>
    <w:rsid w:val="00A25D86"/>
    <w:rsid w:val="00A26B0F"/>
    <w:rsid w:val="00A328A2"/>
    <w:rsid w:val="00A36F01"/>
    <w:rsid w:val="00A42845"/>
    <w:rsid w:val="00A42EDC"/>
    <w:rsid w:val="00A42F10"/>
    <w:rsid w:val="00A766C9"/>
    <w:rsid w:val="00A923FD"/>
    <w:rsid w:val="00AB2A68"/>
    <w:rsid w:val="00AB667B"/>
    <w:rsid w:val="00AB6863"/>
    <w:rsid w:val="00AB79C4"/>
    <w:rsid w:val="00AC207B"/>
    <w:rsid w:val="00AD1BC6"/>
    <w:rsid w:val="00B054C5"/>
    <w:rsid w:val="00B0712F"/>
    <w:rsid w:val="00B1795D"/>
    <w:rsid w:val="00B35A83"/>
    <w:rsid w:val="00B54A07"/>
    <w:rsid w:val="00B61933"/>
    <w:rsid w:val="00B652AA"/>
    <w:rsid w:val="00B81264"/>
    <w:rsid w:val="00B819E4"/>
    <w:rsid w:val="00B83E8A"/>
    <w:rsid w:val="00B86E5F"/>
    <w:rsid w:val="00B94F59"/>
    <w:rsid w:val="00BA2148"/>
    <w:rsid w:val="00BB0CC1"/>
    <w:rsid w:val="00BB1883"/>
    <w:rsid w:val="00BB560C"/>
    <w:rsid w:val="00BE5141"/>
    <w:rsid w:val="00BF04BA"/>
    <w:rsid w:val="00BF53E1"/>
    <w:rsid w:val="00C02779"/>
    <w:rsid w:val="00C05E4D"/>
    <w:rsid w:val="00C07D92"/>
    <w:rsid w:val="00C15F38"/>
    <w:rsid w:val="00C40B8C"/>
    <w:rsid w:val="00C549AD"/>
    <w:rsid w:val="00C764C3"/>
    <w:rsid w:val="00C80988"/>
    <w:rsid w:val="00C90E97"/>
    <w:rsid w:val="00C93BA9"/>
    <w:rsid w:val="00C9477F"/>
    <w:rsid w:val="00CC7F45"/>
    <w:rsid w:val="00CE1A78"/>
    <w:rsid w:val="00CF4E4D"/>
    <w:rsid w:val="00D005F8"/>
    <w:rsid w:val="00D03D9F"/>
    <w:rsid w:val="00D15D96"/>
    <w:rsid w:val="00D23CC3"/>
    <w:rsid w:val="00D31827"/>
    <w:rsid w:val="00D552D4"/>
    <w:rsid w:val="00D5599B"/>
    <w:rsid w:val="00D70988"/>
    <w:rsid w:val="00D73141"/>
    <w:rsid w:val="00D75F26"/>
    <w:rsid w:val="00DA2EA4"/>
    <w:rsid w:val="00DA4DD2"/>
    <w:rsid w:val="00DB487A"/>
    <w:rsid w:val="00DB660E"/>
    <w:rsid w:val="00DD2BF9"/>
    <w:rsid w:val="00E139C3"/>
    <w:rsid w:val="00E14D3B"/>
    <w:rsid w:val="00E17EF9"/>
    <w:rsid w:val="00E22A89"/>
    <w:rsid w:val="00E2487F"/>
    <w:rsid w:val="00E92031"/>
    <w:rsid w:val="00E960E7"/>
    <w:rsid w:val="00EB11C0"/>
    <w:rsid w:val="00EB3714"/>
    <w:rsid w:val="00EE22A3"/>
    <w:rsid w:val="00EE7B08"/>
    <w:rsid w:val="00F00840"/>
    <w:rsid w:val="00F16974"/>
    <w:rsid w:val="00F2648D"/>
    <w:rsid w:val="00F5579D"/>
    <w:rsid w:val="00F90FB6"/>
    <w:rsid w:val="00F96AA2"/>
    <w:rsid w:val="00FA3AFF"/>
    <w:rsid w:val="00FB121E"/>
    <w:rsid w:val="00FB2501"/>
    <w:rsid w:val="00FB7F51"/>
    <w:rsid w:val="00FC62FC"/>
    <w:rsid w:val="00FD2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7AC51"/>
  <w15:chartTrackingRefBased/>
  <w15:docId w15:val="{0294BDCD-B830-4009-B0B1-16D4C4DD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2CCE"/>
    <w:pPr>
      <w:widowControl w:val="0"/>
      <w:ind w:firstLine="0"/>
    </w:pPr>
    <w:rPr>
      <w:rFonts w:ascii="Arial" w:eastAsia="Arial" w:hAnsi="Arial" w:cs="Arial"/>
      <w:sz w:val="22"/>
      <w:lang w:val="ru-RU" w:eastAsia="ru-RU"/>
    </w:rPr>
  </w:style>
  <w:style w:type="paragraph" w:styleId="Heading3">
    <w:name w:val="heading 3"/>
    <w:basedOn w:val="Normal"/>
    <w:next w:val="Normal"/>
    <w:link w:val="Heading3Char"/>
    <w:rsid w:val="00122CCE"/>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uiPriority w:val="9"/>
    <w:semiHidden/>
    <w:unhideWhenUsed/>
    <w:qFormat/>
    <w:rsid w:val="00C05E4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D0E2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D0E2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2CCE"/>
    <w:rPr>
      <w:rFonts w:ascii="Arial" w:eastAsia="Arial" w:hAnsi="Arial" w:cs="Arial"/>
      <w:b/>
      <w:szCs w:val="28"/>
      <w:lang w:val="ru-RU" w:eastAsia="ru-RU"/>
    </w:rPr>
  </w:style>
  <w:style w:type="table" w:styleId="TableGrid">
    <w:name w:val="Table Grid"/>
    <w:basedOn w:val="TableNormal"/>
    <w:uiPriority w:val="39"/>
    <w:rsid w:val="006B6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Liste Paragraf,Normal bullet 2,body 2,List Paragraph1,Bullet List Paragraph,Bullet list,Graph &amp; Table tite,Level 1 Bullet,List Paragraph in table,Lista de nivel 1,Llista Nivell1,Paragraphe de liste PBLH,Tasks,numbe,列出段落,Ha"/>
    <w:basedOn w:val="Normal"/>
    <w:link w:val="ListParagraphChar"/>
    <w:uiPriority w:val="34"/>
    <w:qFormat/>
    <w:rsid w:val="004C5415"/>
    <w:pPr>
      <w:ind w:left="720"/>
      <w:contextualSpacing/>
    </w:pPr>
  </w:style>
  <w:style w:type="character" w:styleId="CommentReference">
    <w:name w:val="annotation reference"/>
    <w:basedOn w:val="DefaultParagraphFont"/>
    <w:uiPriority w:val="99"/>
    <w:semiHidden/>
    <w:unhideWhenUsed/>
    <w:rsid w:val="00564706"/>
    <w:rPr>
      <w:sz w:val="16"/>
      <w:szCs w:val="16"/>
    </w:rPr>
  </w:style>
  <w:style w:type="paragraph" w:styleId="CommentText">
    <w:name w:val="annotation text"/>
    <w:basedOn w:val="Normal"/>
    <w:link w:val="CommentTextChar"/>
    <w:uiPriority w:val="99"/>
    <w:unhideWhenUsed/>
    <w:rsid w:val="00564706"/>
    <w:rPr>
      <w:sz w:val="20"/>
      <w:szCs w:val="20"/>
    </w:rPr>
  </w:style>
  <w:style w:type="character" w:customStyle="1" w:styleId="CommentTextChar">
    <w:name w:val="Comment Text Char"/>
    <w:basedOn w:val="DefaultParagraphFont"/>
    <w:link w:val="CommentText"/>
    <w:uiPriority w:val="99"/>
    <w:rsid w:val="00564706"/>
    <w:rPr>
      <w:rFonts w:ascii="Arial" w:eastAsia="Arial" w:hAnsi="Arial" w:cs="Arial"/>
      <w:sz w:val="20"/>
      <w:szCs w:val="20"/>
      <w:lang w:val="ru-RU" w:eastAsia="ru-RU"/>
    </w:rPr>
  </w:style>
  <w:style w:type="paragraph" w:styleId="CommentSubject">
    <w:name w:val="annotation subject"/>
    <w:basedOn w:val="CommentText"/>
    <w:next w:val="CommentText"/>
    <w:link w:val="CommentSubjectChar"/>
    <w:uiPriority w:val="99"/>
    <w:semiHidden/>
    <w:unhideWhenUsed/>
    <w:rsid w:val="00564706"/>
    <w:rPr>
      <w:b/>
      <w:bCs/>
    </w:rPr>
  </w:style>
  <w:style w:type="character" w:customStyle="1" w:styleId="CommentSubjectChar">
    <w:name w:val="Comment Subject Char"/>
    <w:basedOn w:val="CommentTextChar"/>
    <w:link w:val="CommentSubject"/>
    <w:uiPriority w:val="99"/>
    <w:semiHidden/>
    <w:rsid w:val="00564706"/>
    <w:rPr>
      <w:rFonts w:ascii="Arial" w:eastAsia="Arial" w:hAnsi="Arial" w:cs="Arial"/>
      <w:b/>
      <w:bCs/>
      <w:sz w:val="20"/>
      <w:szCs w:val="20"/>
      <w:lang w:val="ru-RU" w:eastAsia="ru-RU"/>
    </w:rPr>
  </w:style>
  <w:style w:type="paragraph" w:styleId="BalloonText">
    <w:name w:val="Balloon Text"/>
    <w:basedOn w:val="Normal"/>
    <w:link w:val="BalloonTextChar"/>
    <w:uiPriority w:val="99"/>
    <w:semiHidden/>
    <w:unhideWhenUsed/>
    <w:rsid w:val="005647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706"/>
    <w:rPr>
      <w:rFonts w:ascii="Segoe UI" w:eastAsia="Arial" w:hAnsi="Segoe UI" w:cs="Segoe UI"/>
      <w:sz w:val="18"/>
      <w:szCs w:val="18"/>
      <w:lang w:val="ru-RU" w:eastAsia="ru-RU"/>
    </w:rPr>
  </w:style>
  <w:style w:type="character" w:styleId="Strong">
    <w:name w:val="Strong"/>
    <w:basedOn w:val="DefaultParagraphFont"/>
    <w:uiPriority w:val="22"/>
    <w:qFormat/>
    <w:rsid w:val="00C9477F"/>
    <w:rPr>
      <w:b/>
      <w:bCs/>
    </w:rPr>
  </w:style>
  <w:style w:type="paragraph" w:customStyle="1" w:styleId="FirstParagraph">
    <w:name w:val="First Paragraph"/>
    <w:basedOn w:val="BodyText"/>
    <w:next w:val="BodyText"/>
    <w:qFormat/>
    <w:rsid w:val="002D2398"/>
    <w:pPr>
      <w:widowControl/>
      <w:spacing w:before="180" w:after="180"/>
    </w:pPr>
    <w:rPr>
      <w:rFonts w:asciiTheme="minorHAnsi" w:eastAsiaTheme="minorHAnsi" w:hAnsiTheme="minorHAnsi" w:cstheme="minorBidi"/>
      <w:sz w:val="24"/>
      <w:szCs w:val="24"/>
      <w:lang w:val="ro" w:eastAsia="en-US"/>
    </w:rPr>
  </w:style>
  <w:style w:type="paragraph" w:styleId="BodyText">
    <w:name w:val="Body Text"/>
    <w:basedOn w:val="Normal"/>
    <w:link w:val="BodyTextChar"/>
    <w:uiPriority w:val="99"/>
    <w:unhideWhenUsed/>
    <w:rsid w:val="002D2398"/>
    <w:pPr>
      <w:spacing w:after="120"/>
    </w:pPr>
  </w:style>
  <w:style w:type="character" w:customStyle="1" w:styleId="BodyTextChar">
    <w:name w:val="Body Text Char"/>
    <w:basedOn w:val="DefaultParagraphFont"/>
    <w:link w:val="BodyText"/>
    <w:uiPriority w:val="99"/>
    <w:rsid w:val="002D2398"/>
    <w:rPr>
      <w:rFonts w:ascii="Arial" w:eastAsia="Arial" w:hAnsi="Arial" w:cs="Arial"/>
      <w:sz w:val="22"/>
      <w:lang w:val="ru-RU" w:eastAsia="ru-RU"/>
    </w:rPr>
  </w:style>
  <w:style w:type="character" w:styleId="Hyperlink">
    <w:name w:val="Hyperlink"/>
    <w:basedOn w:val="DefaultParagraphFont"/>
    <w:uiPriority w:val="99"/>
    <w:unhideWhenUsed/>
    <w:rsid w:val="009F2368"/>
    <w:rPr>
      <w:color w:val="0563C1" w:themeColor="hyperlink"/>
      <w:u w:val="single"/>
    </w:rPr>
  </w:style>
  <w:style w:type="character" w:styleId="FollowedHyperlink">
    <w:name w:val="FollowedHyperlink"/>
    <w:basedOn w:val="DefaultParagraphFont"/>
    <w:uiPriority w:val="99"/>
    <w:semiHidden/>
    <w:unhideWhenUsed/>
    <w:rsid w:val="00706407"/>
    <w:rPr>
      <w:color w:val="954F72" w:themeColor="followedHyperlink"/>
      <w:u w:val="single"/>
    </w:rPr>
  </w:style>
  <w:style w:type="paragraph" w:styleId="NormalWeb">
    <w:name w:val="Normal (Web)"/>
    <w:basedOn w:val="Normal"/>
    <w:uiPriority w:val="99"/>
    <w:unhideWhenUsed/>
    <w:rsid w:val="008D3B51"/>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D3B51"/>
    <w:rPr>
      <w:i/>
      <w:iCs/>
    </w:rPr>
  </w:style>
  <w:style w:type="paragraph" w:styleId="Revision">
    <w:name w:val="Revision"/>
    <w:hidden/>
    <w:uiPriority w:val="99"/>
    <w:semiHidden/>
    <w:rsid w:val="00E139C3"/>
    <w:pPr>
      <w:ind w:firstLine="0"/>
    </w:pPr>
    <w:rPr>
      <w:rFonts w:ascii="Arial" w:eastAsia="Arial" w:hAnsi="Arial" w:cs="Arial"/>
      <w:sz w:val="22"/>
      <w:lang w:val="ru-RU" w:eastAsia="ru-RU"/>
    </w:rPr>
  </w:style>
  <w:style w:type="character" w:customStyle="1" w:styleId="ListParagraphChar">
    <w:name w:val="List Paragraph Char"/>
    <w:aliases w:val="Bullet Points Char,Liste Paragraf Char,Normal bullet 2 Char,body 2 Char,List Paragraph1 Char,Bullet List Paragraph Char,Bullet list Char,Graph &amp; Table tite Char,Level 1 Bullet Char,List Paragraph in table Char,Lista de nivel 1 Char"/>
    <w:link w:val="ListParagraph"/>
    <w:uiPriority w:val="34"/>
    <w:qFormat/>
    <w:locked/>
    <w:rsid w:val="00B35A83"/>
    <w:rPr>
      <w:rFonts w:ascii="Arial" w:eastAsia="Arial" w:hAnsi="Arial" w:cs="Arial"/>
      <w:sz w:val="22"/>
      <w:lang w:val="ru-RU" w:eastAsia="ru-RU"/>
    </w:rPr>
  </w:style>
  <w:style w:type="character" w:customStyle="1" w:styleId="Heading5Char">
    <w:name w:val="Heading 5 Char"/>
    <w:basedOn w:val="DefaultParagraphFont"/>
    <w:link w:val="Heading5"/>
    <w:uiPriority w:val="9"/>
    <w:semiHidden/>
    <w:rsid w:val="004D0E29"/>
    <w:rPr>
      <w:rFonts w:asciiTheme="majorHAnsi" w:eastAsiaTheme="majorEastAsia" w:hAnsiTheme="majorHAnsi" w:cstheme="majorBidi"/>
      <w:color w:val="2E74B5" w:themeColor="accent1" w:themeShade="BF"/>
      <w:sz w:val="22"/>
      <w:lang w:val="ru-RU" w:eastAsia="ru-RU"/>
    </w:rPr>
  </w:style>
  <w:style w:type="character" w:customStyle="1" w:styleId="Heading6Char">
    <w:name w:val="Heading 6 Char"/>
    <w:basedOn w:val="DefaultParagraphFont"/>
    <w:link w:val="Heading6"/>
    <w:uiPriority w:val="9"/>
    <w:semiHidden/>
    <w:rsid w:val="004D0E29"/>
    <w:rPr>
      <w:rFonts w:asciiTheme="majorHAnsi" w:eastAsiaTheme="majorEastAsia" w:hAnsiTheme="majorHAnsi" w:cstheme="majorBidi"/>
      <w:color w:val="1F4D78" w:themeColor="accent1" w:themeShade="7F"/>
      <w:sz w:val="22"/>
      <w:lang w:val="ru-RU" w:eastAsia="ru-RU"/>
    </w:rPr>
  </w:style>
  <w:style w:type="paragraph" w:customStyle="1" w:styleId="Compact">
    <w:name w:val="Compact"/>
    <w:basedOn w:val="BodyText"/>
    <w:qFormat/>
    <w:rsid w:val="00F90FB6"/>
    <w:pPr>
      <w:widowControl/>
      <w:spacing w:before="36" w:after="36"/>
    </w:pPr>
    <w:rPr>
      <w:rFonts w:asciiTheme="minorHAnsi" w:eastAsiaTheme="minorHAnsi" w:hAnsiTheme="minorHAnsi" w:cstheme="minorBidi"/>
      <w:sz w:val="24"/>
      <w:szCs w:val="24"/>
      <w:lang w:val="ro" w:eastAsia="en-US"/>
    </w:rPr>
  </w:style>
  <w:style w:type="character" w:customStyle="1" w:styleId="Heading4Char">
    <w:name w:val="Heading 4 Char"/>
    <w:basedOn w:val="DefaultParagraphFont"/>
    <w:link w:val="Heading4"/>
    <w:uiPriority w:val="9"/>
    <w:semiHidden/>
    <w:rsid w:val="00C05E4D"/>
    <w:rPr>
      <w:rFonts w:asciiTheme="majorHAnsi" w:eastAsiaTheme="majorEastAsia" w:hAnsiTheme="majorHAnsi" w:cstheme="majorBidi"/>
      <w:i/>
      <w:iCs/>
      <w:color w:val="2E74B5" w:themeColor="accent1" w:themeShade="BF"/>
      <w:sz w:val="22"/>
      <w:lang w:val="ru-RU" w:eastAsia="ru-RU"/>
    </w:rPr>
  </w:style>
  <w:style w:type="character" w:customStyle="1" w:styleId="italic">
    <w:name w:val="italic"/>
    <w:basedOn w:val="DefaultParagraphFont"/>
    <w:rsid w:val="00B0712F"/>
  </w:style>
  <w:style w:type="character" w:styleId="UnresolvedMention">
    <w:name w:val="Unresolved Mention"/>
    <w:basedOn w:val="DefaultParagraphFont"/>
    <w:uiPriority w:val="99"/>
    <w:semiHidden/>
    <w:unhideWhenUsed/>
    <w:rsid w:val="009A3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2568">
      <w:bodyDiv w:val="1"/>
      <w:marLeft w:val="0"/>
      <w:marRight w:val="0"/>
      <w:marTop w:val="0"/>
      <w:marBottom w:val="0"/>
      <w:divBdr>
        <w:top w:val="none" w:sz="0" w:space="0" w:color="auto"/>
        <w:left w:val="none" w:sz="0" w:space="0" w:color="auto"/>
        <w:bottom w:val="none" w:sz="0" w:space="0" w:color="auto"/>
        <w:right w:val="none" w:sz="0" w:space="0" w:color="auto"/>
      </w:divBdr>
    </w:div>
    <w:div w:id="316612320">
      <w:bodyDiv w:val="1"/>
      <w:marLeft w:val="0"/>
      <w:marRight w:val="0"/>
      <w:marTop w:val="0"/>
      <w:marBottom w:val="0"/>
      <w:divBdr>
        <w:top w:val="none" w:sz="0" w:space="0" w:color="auto"/>
        <w:left w:val="none" w:sz="0" w:space="0" w:color="auto"/>
        <w:bottom w:val="none" w:sz="0" w:space="0" w:color="auto"/>
        <w:right w:val="none" w:sz="0" w:space="0" w:color="auto"/>
      </w:divBdr>
    </w:div>
    <w:div w:id="38391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fax.com/newsroom/top-stories/110555/?utm_source=chatgp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1F56D-B3EC-4318-9363-3335DFFB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10</Pages>
  <Words>4119</Words>
  <Characters>27065</Characters>
  <Application>Microsoft Office Word</Application>
  <DocSecurity>0</DocSecurity>
  <Lines>416</Lines>
  <Paragraphs>175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Direcția politici în domeniul protecției aerului atmosferic</cp:lastModifiedBy>
  <cp:revision>181</cp:revision>
  <dcterms:created xsi:type="dcterms:W3CDTF">2025-07-25T20:06:00Z</dcterms:created>
  <dcterms:modified xsi:type="dcterms:W3CDTF">2025-11-18T12:08:00Z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b3d584a4-80e3-4780-8403-c6cf93c6e5ca</vt:lpwstr>
  </property>
</Properties>
</file>