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6" w:type="dxa"/>
        <w:tblInd w:w="-176" w:type="dxa"/>
        <w:tblBorders>
          <w:top w:val="double" w:sz="6" w:space="0" w:color="auto"/>
          <w:bottom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1440"/>
        <w:gridCol w:w="3852"/>
      </w:tblGrid>
      <w:tr w:rsidR="00C46EDE" w:rsidRPr="009834C2" w14:paraId="56FCB661" w14:textId="77777777" w:rsidTr="0082791F">
        <w:trPr>
          <w:cantSplit/>
          <w:trHeight w:val="783"/>
        </w:trPr>
        <w:tc>
          <w:tcPr>
            <w:tcW w:w="4244" w:type="dxa"/>
            <w:vAlign w:val="center"/>
          </w:tcPr>
          <w:p w14:paraId="0ADC930B" w14:textId="4D7DC58C" w:rsidR="00C46EDE" w:rsidRPr="009834C2" w:rsidRDefault="00C46EDE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4B01C7AA" w14:textId="77777777" w:rsidR="00C46EDE" w:rsidRPr="009834C2" w:rsidRDefault="00434EF1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834C2">
              <w:rPr>
                <w:noProof/>
              </w:rPr>
              <w:drawing>
                <wp:inline distT="0" distB="0" distL="114300" distR="114300" wp14:anchorId="4A122AD2" wp14:editId="360192B5">
                  <wp:extent cx="586740" cy="720090"/>
                  <wp:effectExtent l="0" t="0" r="3810" b="3810"/>
                  <wp:docPr id="1" name="Picture 1" descr="stema-moldov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tema-moldovei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  <w:vAlign w:val="center"/>
          </w:tcPr>
          <w:p w14:paraId="1E55A737" w14:textId="77777777" w:rsidR="00C46EDE" w:rsidRPr="009834C2" w:rsidRDefault="00C46EDE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</w:tbl>
    <w:p w14:paraId="37ED996E" w14:textId="77777777" w:rsidR="00C46EDE" w:rsidRPr="009834C2" w:rsidRDefault="00C46EDE">
      <w:pPr>
        <w:jc w:val="center"/>
        <w:rPr>
          <w:rFonts w:eastAsia="Times New Roman"/>
          <w:b/>
          <w:i/>
          <w:lang w:eastAsia="ru-RU"/>
        </w:rPr>
      </w:pPr>
    </w:p>
    <w:p w14:paraId="3123E3E8" w14:textId="77777777" w:rsidR="00C46EDE" w:rsidRPr="009834C2" w:rsidRDefault="00434EF1">
      <w:pPr>
        <w:jc w:val="center"/>
        <w:rPr>
          <w:rFonts w:eastAsia="Times New Roman"/>
          <w:b/>
          <w:i/>
          <w:lang w:eastAsia="ru-RU"/>
        </w:rPr>
      </w:pPr>
      <w:r w:rsidRPr="009834C2">
        <w:rPr>
          <w:rFonts w:eastAsia="Times New Roman"/>
          <w:b/>
          <w:i/>
          <w:lang w:eastAsia="ru-RU"/>
        </w:rPr>
        <w:t>AGENŢIA GEODEZIE, CARTOGRAFIE ŞI CADASTRU</w:t>
      </w:r>
    </w:p>
    <w:p w14:paraId="48EB180B" w14:textId="77777777" w:rsidR="00C46EDE" w:rsidRPr="009834C2" w:rsidRDefault="00C46EDE">
      <w:pPr>
        <w:jc w:val="center"/>
        <w:rPr>
          <w:rFonts w:eastAsia="Times New Roman"/>
          <w:b/>
          <w:i/>
          <w:lang w:eastAsia="ru-RU"/>
        </w:rPr>
      </w:pPr>
    </w:p>
    <w:p w14:paraId="7E0632E3" w14:textId="77777777" w:rsidR="00C46EDE" w:rsidRPr="009834C2" w:rsidRDefault="00434EF1">
      <w:pPr>
        <w:jc w:val="center"/>
        <w:rPr>
          <w:rFonts w:eastAsia="Times New Roman"/>
          <w:b/>
          <w:i/>
          <w:lang w:eastAsia="ru-RU"/>
        </w:rPr>
      </w:pPr>
      <w:r w:rsidRPr="009834C2">
        <w:rPr>
          <w:rFonts w:eastAsia="Times New Roman"/>
          <w:b/>
          <w:i/>
          <w:lang w:eastAsia="ru-RU"/>
        </w:rPr>
        <w:t>Ordin nr. _____</w:t>
      </w:r>
    </w:p>
    <w:p w14:paraId="4EDB26F3" w14:textId="77777777" w:rsidR="00C46EDE" w:rsidRPr="009834C2" w:rsidRDefault="00C46EDE">
      <w:pPr>
        <w:pStyle w:val="aa"/>
        <w:jc w:val="center"/>
        <w:rPr>
          <w:i/>
          <w:sz w:val="24"/>
          <w:szCs w:val="24"/>
        </w:rPr>
      </w:pPr>
    </w:p>
    <w:p w14:paraId="042DC34A" w14:textId="42BB375E" w:rsidR="00442E0F" w:rsidRPr="009834C2" w:rsidRDefault="003647AA" w:rsidP="00442E0F">
      <w:pPr>
        <w:pStyle w:val="aa"/>
        <w:tabs>
          <w:tab w:val="clear" w:pos="8306"/>
          <w:tab w:val="right" w:pos="7655"/>
        </w:tabs>
        <w:ind w:firstLine="567"/>
        <w:jc w:val="both"/>
        <w:rPr>
          <w:sz w:val="24"/>
          <w:szCs w:val="24"/>
        </w:rPr>
      </w:pPr>
      <w:bookmarkStart w:id="0" w:name="OLE_LINK13"/>
      <w:bookmarkStart w:id="1" w:name="OLE_LINK3"/>
      <w:bookmarkStart w:id="2" w:name="OLE_LINK4"/>
      <w:r w:rsidRPr="009834C2">
        <w:rPr>
          <w:sz w:val="24"/>
          <w:szCs w:val="24"/>
        </w:rPr>
        <w:t>„</w:t>
      </w:r>
      <w:r w:rsidR="00442E0F" w:rsidRPr="009834C2">
        <w:rPr>
          <w:sz w:val="24"/>
          <w:szCs w:val="24"/>
        </w:rPr>
        <w:t>___“_____________202</w:t>
      </w:r>
      <w:r w:rsidR="00336AED" w:rsidRPr="009834C2">
        <w:rPr>
          <w:sz w:val="24"/>
          <w:szCs w:val="24"/>
        </w:rPr>
        <w:t>5</w:t>
      </w:r>
      <w:r w:rsidR="00442E0F" w:rsidRPr="009834C2">
        <w:rPr>
          <w:sz w:val="24"/>
          <w:szCs w:val="24"/>
        </w:rPr>
        <w:tab/>
      </w:r>
      <w:r w:rsidR="00442E0F" w:rsidRPr="009834C2">
        <w:rPr>
          <w:sz w:val="24"/>
          <w:szCs w:val="24"/>
        </w:rPr>
        <w:tab/>
      </w:r>
      <w:r w:rsidR="00442E0F" w:rsidRPr="009834C2">
        <w:rPr>
          <w:sz w:val="24"/>
          <w:szCs w:val="24"/>
        </w:rPr>
        <w:tab/>
        <w:t>mun. Chișinău</w:t>
      </w:r>
    </w:p>
    <w:p w14:paraId="4FEF8463" w14:textId="77777777" w:rsidR="00FE47EB" w:rsidRPr="009834C2" w:rsidRDefault="00FE47EB" w:rsidP="00FE47EB">
      <w:pPr>
        <w:pStyle w:val="af0"/>
        <w:ind w:firstLine="567"/>
        <w:rPr>
          <w:rStyle w:val="ae"/>
          <w:b w:val="0"/>
          <w:i/>
          <w:lang w:val="ro-RO"/>
        </w:rPr>
      </w:pPr>
    </w:p>
    <w:p w14:paraId="0360CB17" w14:textId="77777777" w:rsidR="00E74C7A" w:rsidRPr="009834C2" w:rsidRDefault="00442E0F" w:rsidP="00E74C7A">
      <w:pPr>
        <w:pStyle w:val="af0"/>
        <w:ind w:firstLine="567"/>
        <w:rPr>
          <w:rStyle w:val="ae"/>
          <w:b w:val="0"/>
          <w:i/>
          <w:lang w:val="ro-RO"/>
        </w:rPr>
      </w:pPr>
      <w:r w:rsidRPr="009834C2">
        <w:rPr>
          <w:rStyle w:val="ae"/>
          <w:b w:val="0"/>
          <w:i/>
          <w:lang w:val="ro-RO"/>
        </w:rPr>
        <w:t>„</w:t>
      </w:r>
      <w:r w:rsidR="00E74C7A" w:rsidRPr="009834C2">
        <w:rPr>
          <w:rStyle w:val="ae"/>
          <w:b w:val="0"/>
          <w:i/>
          <w:lang w:val="ro-RO"/>
        </w:rPr>
        <w:t>cu privire la aprobarea Instrucțiunii</w:t>
      </w:r>
    </w:p>
    <w:p w14:paraId="30001C62" w14:textId="0059B342" w:rsidR="00E74C7A" w:rsidRDefault="00E74C7A" w:rsidP="00E74C7A">
      <w:pPr>
        <w:pStyle w:val="af0"/>
        <w:ind w:firstLine="567"/>
        <w:rPr>
          <w:rStyle w:val="ae"/>
          <w:b w:val="0"/>
          <w:i/>
          <w:lang w:val="ro-RO"/>
        </w:rPr>
      </w:pPr>
      <w:r w:rsidRPr="009834C2">
        <w:rPr>
          <w:rStyle w:val="ae"/>
          <w:b w:val="0"/>
          <w:i/>
          <w:lang w:val="ro-RO"/>
        </w:rPr>
        <w:t xml:space="preserve"> privind procedura de înregistrare a lucrărilor </w:t>
      </w:r>
      <w:r w:rsidR="00AE30A0">
        <w:rPr>
          <w:rStyle w:val="ae"/>
          <w:b w:val="0"/>
          <w:i/>
          <w:lang w:val="ro-RO"/>
        </w:rPr>
        <w:t>topogeodezice</w:t>
      </w:r>
    </w:p>
    <w:p w14:paraId="619339D3" w14:textId="5C7CEA84" w:rsidR="00FB1490" w:rsidRPr="009834C2" w:rsidRDefault="00FB1490" w:rsidP="00E74C7A">
      <w:pPr>
        <w:pStyle w:val="af0"/>
        <w:ind w:firstLine="567"/>
        <w:rPr>
          <w:rStyle w:val="ae"/>
          <w:b w:val="0"/>
          <w:i/>
          <w:lang w:val="ro-RO"/>
        </w:rPr>
      </w:pPr>
      <w:r w:rsidRPr="00FB1490">
        <w:rPr>
          <w:rStyle w:val="ae"/>
          <w:b w:val="0"/>
          <w:i/>
          <w:lang w:val="ro-RO"/>
        </w:rPr>
        <w:t>Sistemul informațional geografic de stat</w:t>
      </w:r>
    </w:p>
    <w:p w14:paraId="56A0D1F3" w14:textId="687F1A29" w:rsidR="00C46EDE" w:rsidRPr="009834C2" w:rsidRDefault="00E74C7A" w:rsidP="00E74C7A">
      <w:pPr>
        <w:pStyle w:val="af0"/>
        <w:ind w:firstLine="567"/>
        <w:rPr>
          <w:rStyle w:val="ae"/>
          <w:b w:val="0"/>
          <w:i/>
          <w:lang w:val="ro-RO"/>
        </w:rPr>
      </w:pPr>
      <w:r w:rsidRPr="009834C2">
        <w:rPr>
          <w:rStyle w:val="ae"/>
          <w:b w:val="0"/>
          <w:i/>
          <w:lang w:val="ro-RO"/>
        </w:rPr>
        <w:t xml:space="preserve">Registrul de stat al lucrărilor </w:t>
      </w:r>
      <w:r w:rsidR="00184FBA">
        <w:rPr>
          <w:rStyle w:val="ae"/>
          <w:b w:val="0"/>
          <w:i/>
          <w:lang w:val="ro-RO"/>
        </w:rPr>
        <w:t>topogeodezice</w:t>
      </w:r>
      <w:r w:rsidRPr="009834C2">
        <w:rPr>
          <w:rStyle w:val="ae"/>
          <w:b w:val="0"/>
          <w:i/>
          <w:lang w:val="ro-RO"/>
        </w:rPr>
        <w:t>”</w:t>
      </w:r>
    </w:p>
    <w:p w14:paraId="72F68AFB" w14:textId="77777777" w:rsidR="00442E0F" w:rsidRPr="009834C2" w:rsidRDefault="00442E0F">
      <w:pPr>
        <w:pStyle w:val="af0"/>
        <w:ind w:firstLine="567"/>
        <w:jc w:val="both"/>
        <w:rPr>
          <w:lang w:val="ro-RO"/>
        </w:rPr>
      </w:pPr>
    </w:p>
    <w:p w14:paraId="753AF88E" w14:textId="50EB9F0F" w:rsidR="00CD3DE9" w:rsidRPr="009834C2" w:rsidRDefault="00F3330B" w:rsidP="00FF50F0">
      <w:pPr>
        <w:spacing w:before="240"/>
        <w:ind w:firstLine="567"/>
        <w:jc w:val="both"/>
      </w:pPr>
      <w:bookmarkStart w:id="3" w:name="OLE_LINK6"/>
      <w:bookmarkStart w:id="4" w:name="OLE_LINK5"/>
      <w:bookmarkEnd w:id="0"/>
      <w:bookmarkEnd w:id="1"/>
      <w:bookmarkEnd w:id="2"/>
      <w:r w:rsidRPr="009834C2">
        <w:rPr>
          <w:color w:val="000000"/>
        </w:rPr>
        <w:t xml:space="preserve">În temeiul </w:t>
      </w:r>
      <w:r w:rsidR="006E4E32" w:rsidRPr="009834C2">
        <w:rPr>
          <w:color w:val="000000"/>
        </w:rPr>
        <w:t xml:space="preserve">prevederilor </w:t>
      </w:r>
      <w:r w:rsidR="00336AED" w:rsidRPr="009834C2">
        <w:rPr>
          <w:color w:val="000000"/>
        </w:rPr>
        <w:t>art</w:t>
      </w:r>
      <w:r w:rsidR="006E4E32" w:rsidRPr="009834C2">
        <w:rPr>
          <w:color w:val="000000"/>
        </w:rPr>
        <w:t>icolului</w:t>
      </w:r>
      <w:r w:rsidR="00336AED" w:rsidRPr="009834C2">
        <w:rPr>
          <w:color w:val="000000"/>
        </w:rPr>
        <w:t xml:space="preserve"> 3</w:t>
      </w:r>
      <w:r w:rsidR="00336AED" w:rsidRPr="009834C2">
        <w:rPr>
          <w:color w:val="000000"/>
          <w:vertAlign w:val="superscript"/>
        </w:rPr>
        <w:t>2</w:t>
      </w:r>
      <w:r w:rsidR="00336AED" w:rsidRPr="009834C2">
        <w:rPr>
          <w:color w:val="000000"/>
        </w:rPr>
        <w:t xml:space="preserve"> alin (</w:t>
      </w:r>
      <w:r w:rsidR="00184FBA">
        <w:rPr>
          <w:color w:val="000000"/>
        </w:rPr>
        <w:t>3</w:t>
      </w:r>
      <w:r w:rsidR="00336AED" w:rsidRPr="009834C2">
        <w:rPr>
          <w:color w:val="000000"/>
        </w:rPr>
        <w:t xml:space="preserve">) </w:t>
      </w:r>
      <w:r w:rsidR="00184FBA">
        <w:t xml:space="preserve">și art. 8 lit. b) </w:t>
      </w:r>
      <w:r w:rsidR="00336AED" w:rsidRPr="009834C2">
        <w:rPr>
          <w:color w:val="000000"/>
        </w:rPr>
        <w:t>din Legea 77</w:t>
      </w:r>
      <w:r w:rsidR="00FF50F0" w:rsidRPr="009834C2">
        <w:rPr>
          <w:color w:val="000000"/>
        </w:rPr>
        <w:t>8</w:t>
      </w:r>
      <w:r w:rsidR="00336AED" w:rsidRPr="009834C2">
        <w:rPr>
          <w:color w:val="000000"/>
        </w:rPr>
        <w:t xml:space="preserve">/2001 </w:t>
      </w:r>
      <w:r w:rsidR="00FF50F0" w:rsidRPr="009834C2">
        <w:rPr>
          <w:color w:val="000000"/>
        </w:rPr>
        <w:t>c</w:t>
      </w:r>
      <w:r w:rsidR="006E4E32" w:rsidRPr="009834C2">
        <w:rPr>
          <w:color w:val="000000"/>
        </w:rPr>
        <w:t xml:space="preserve">u privire la geodezie, cartografie și geoinformatică (Monitorul Oficial al Republicii Moldova, 2002, nr.29-31, art.160), cu modificările ulterioare, a punctului </w:t>
      </w:r>
      <w:r w:rsidR="00184FBA">
        <w:rPr>
          <w:color w:val="000000"/>
        </w:rPr>
        <w:t>16</w:t>
      </w:r>
      <w:r w:rsidR="006E4E32" w:rsidRPr="009834C2">
        <w:rPr>
          <w:color w:val="000000"/>
        </w:rPr>
        <w:t xml:space="preserve"> din Conceptul Sistemului informațional geografic de stat „Registrul de stat al lucrărilor topografo-geodezice”</w:t>
      </w:r>
      <w:r w:rsidR="00387A63" w:rsidRPr="009834C2">
        <w:rPr>
          <w:color w:val="000000"/>
        </w:rPr>
        <w:t>,</w:t>
      </w:r>
      <w:r w:rsidR="006E4E32" w:rsidRPr="009834C2">
        <w:rPr>
          <w:color w:val="000000"/>
        </w:rPr>
        <w:t xml:space="preserve"> </w:t>
      </w:r>
      <w:r w:rsidR="00387A63" w:rsidRPr="009834C2">
        <w:rPr>
          <w:color w:val="000000"/>
        </w:rPr>
        <w:t>a</w:t>
      </w:r>
      <w:r w:rsidR="006E4E32" w:rsidRPr="009834C2">
        <w:rPr>
          <w:color w:val="000000"/>
        </w:rPr>
        <w:t xml:space="preserve">probat prin Hotărârea Guvernului nr. 229/2023 (Monitorul Oficial al Republicii Moldova, 2023, nr.175, art.394) și a </w:t>
      </w:r>
      <w:r w:rsidR="00184FBA">
        <w:rPr>
          <w:color w:val="000000"/>
        </w:rPr>
        <w:t>subpunctului</w:t>
      </w:r>
      <w:r w:rsidR="006E4E32" w:rsidRPr="009834C2">
        <w:rPr>
          <w:color w:val="000000"/>
        </w:rPr>
        <w:t xml:space="preserve"> 1</w:t>
      </w:r>
      <w:r w:rsidR="00184FBA">
        <w:rPr>
          <w:color w:val="000000"/>
        </w:rPr>
        <w:t>8.1</w:t>
      </w:r>
      <w:r w:rsidR="006E4E32" w:rsidRPr="009834C2">
        <w:rPr>
          <w:color w:val="000000"/>
        </w:rPr>
        <w:t xml:space="preserve"> din Regulamentul cu privire la modalitatea de ținere a Registrului de stat al lucrărilor topografo-geodezice, inclusiv mecanismul de înregistrare și eliberare a informației din Registru</w:t>
      </w:r>
      <w:r w:rsidR="00F755FE" w:rsidRPr="009834C2">
        <w:rPr>
          <w:color w:val="000000"/>
        </w:rPr>
        <w:t>,</w:t>
      </w:r>
      <w:r w:rsidR="006E4E32" w:rsidRPr="009834C2">
        <w:rPr>
          <w:color w:val="000000"/>
        </w:rPr>
        <w:t xml:space="preserve"> </w:t>
      </w:r>
      <w:r w:rsidR="00FE6A26" w:rsidRPr="009834C2">
        <w:rPr>
          <w:color w:val="000000"/>
        </w:rPr>
        <w:t xml:space="preserve">aprobat prin Hotărârea Guvernului nr. 118/2025 </w:t>
      </w:r>
      <w:r w:rsidR="006E4E32" w:rsidRPr="009834C2">
        <w:rPr>
          <w:color w:val="000000"/>
        </w:rPr>
        <w:t>(Monitorul Oficial al Republicii Moldova, 202</w:t>
      </w:r>
      <w:r w:rsidR="00FE6A26" w:rsidRPr="009834C2">
        <w:rPr>
          <w:color w:val="000000"/>
        </w:rPr>
        <w:t>5</w:t>
      </w:r>
      <w:r w:rsidR="006E4E32" w:rsidRPr="009834C2">
        <w:rPr>
          <w:color w:val="000000"/>
        </w:rPr>
        <w:t>, nr.1</w:t>
      </w:r>
      <w:r w:rsidR="00FE6A26" w:rsidRPr="009834C2">
        <w:rPr>
          <w:color w:val="000000"/>
        </w:rPr>
        <w:t>43</w:t>
      </w:r>
      <w:r w:rsidR="006E4E32" w:rsidRPr="009834C2">
        <w:rPr>
          <w:color w:val="000000"/>
        </w:rPr>
        <w:t>, art.</w:t>
      </w:r>
      <w:r w:rsidR="00FE6A26" w:rsidRPr="009834C2">
        <w:rPr>
          <w:color w:val="000000"/>
        </w:rPr>
        <w:t>146</w:t>
      </w:r>
      <w:r w:rsidR="006E4E32" w:rsidRPr="009834C2">
        <w:rPr>
          <w:color w:val="000000"/>
        </w:rPr>
        <w:t>)</w:t>
      </w:r>
      <w:r w:rsidR="00CD3DE9" w:rsidRPr="009834C2">
        <w:rPr>
          <w:rFonts w:eastAsia="Times New Roman"/>
          <w:lang w:eastAsia="zh-CN"/>
        </w:rPr>
        <w:t xml:space="preserve"> </w:t>
      </w:r>
      <w:r w:rsidR="000D28A4" w:rsidRPr="009834C2">
        <w:rPr>
          <w:rFonts w:eastAsia="Times New Roman"/>
          <w:lang w:eastAsia="zh-CN"/>
        </w:rPr>
        <w:t>se emite prezentul</w:t>
      </w:r>
      <w:r w:rsidR="00184FBA">
        <w:rPr>
          <w:rFonts w:eastAsia="Times New Roman"/>
          <w:lang w:eastAsia="zh-CN"/>
        </w:rPr>
        <w:t>:</w:t>
      </w:r>
    </w:p>
    <w:p w14:paraId="1655F0DE" w14:textId="0BBF15DE" w:rsidR="00C46EDE" w:rsidRPr="009834C2" w:rsidRDefault="00434EF1" w:rsidP="00FF50F0">
      <w:pPr>
        <w:pStyle w:val="af0"/>
        <w:spacing w:before="240"/>
        <w:ind w:firstLine="567"/>
        <w:jc w:val="center"/>
        <w:rPr>
          <w:b/>
          <w:lang w:val="ro-RO"/>
        </w:rPr>
      </w:pPr>
      <w:r w:rsidRPr="009834C2">
        <w:rPr>
          <w:b/>
          <w:lang w:val="ro-RO"/>
        </w:rPr>
        <w:t>ORD</w:t>
      </w:r>
      <w:r w:rsidR="003647AA" w:rsidRPr="009834C2">
        <w:rPr>
          <w:b/>
          <w:lang w:val="ro-RO"/>
        </w:rPr>
        <w:t>IN</w:t>
      </w:r>
      <w:r w:rsidRPr="009834C2">
        <w:rPr>
          <w:b/>
          <w:lang w:val="ro-RO"/>
        </w:rPr>
        <w:t>:</w:t>
      </w:r>
      <w:r w:rsidR="0041116A" w:rsidRPr="009834C2">
        <w:rPr>
          <w:b/>
          <w:lang w:val="ro-RO"/>
        </w:rPr>
        <w:t xml:space="preserve"> </w:t>
      </w:r>
    </w:p>
    <w:p w14:paraId="7A064126" w14:textId="71D8A712" w:rsidR="00C46EDE" w:rsidRPr="009834C2" w:rsidRDefault="00434EF1" w:rsidP="00FF50F0">
      <w:pPr>
        <w:pStyle w:val="af1"/>
        <w:numPr>
          <w:ilvl w:val="0"/>
          <w:numId w:val="6"/>
        </w:numPr>
        <w:tabs>
          <w:tab w:val="left" w:pos="990"/>
        </w:tabs>
        <w:spacing w:before="240"/>
        <w:ind w:left="0" w:firstLine="720"/>
        <w:jc w:val="both"/>
      </w:pPr>
      <w:bookmarkStart w:id="5" w:name="_Hlk158040797"/>
      <w:bookmarkEnd w:id="3"/>
      <w:bookmarkEnd w:id="4"/>
      <w:r w:rsidRPr="009834C2">
        <w:t>Se aprobă</w:t>
      </w:r>
      <w:r w:rsidR="00AE30A0">
        <w:t xml:space="preserve"> Instrucțiunea privind înregistrarea lucrărilor topogeodezice </w:t>
      </w:r>
      <w:r w:rsidR="00336AED" w:rsidRPr="009834C2">
        <w:t xml:space="preserve">în Registrul de stat al lucrărilor topogeodezice </w:t>
      </w:r>
      <w:r w:rsidRPr="009834C2">
        <w:t>(</w:t>
      </w:r>
      <w:r w:rsidR="00B540F3" w:rsidRPr="009834C2">
        <w:rPr>
          <w:i/>
          <w:iCs/>
        </w:rPr>
        <w:t>conform</w:t>
      </w:r>
      <w:r w:rsidRPr="009834C2">
        <w:rPr>
          <w:i/>
          <w:iCs/>
        </w:rPr>
        <w:t xml:space="preserve"> anexe</w:t>
      </w:r>
      <w:r w:rsidR="00B540F3" w:rsidRPr="009834C2">
        <w:rPr>
          <w:i/>
          <w:iCs/>
        </w:rPr>
        <w:t>i nr. 1</w:t>
      </w:r>
      <w:r w:rsidRPr="009834C2">
        <w:t>).</w:t>
      </w:r>
    </w:p>
    <w:bookmarkEnd w:id="5"/>
    <w:p w14:paraId="35B1E562" w14:textId="1B10E0B0" w:rsidR="00C46EDE" w:rsidRPr="009834C2" w:rsidRDefault="003A2CC1" w:rsidP="0082791F">
      <w:pPr>
        <w:pStyle w:val="af0"/>
        <w:numPr>
          <w:ilvl w:val="0"/>
          <w:numId w:val="6"/>
        </w:numPr>
        <w:tabs>
          <w:tab w:val="left" w:pos="709"/>
          <w:tab w:val="left" w:pos="851"/>
          <w:tab w:val="left" w:pos="990"/>
        </w:tabs>
        <w:spacing w:line="276" w:lineRule="auto"/>
        <w:ind w:left="0" w:firstLine="720"/>
        <w:jc w:val="both"/>
        <w:rPr>
          <w:lang w:val="ro-RO"/>
        </w:rPr>
      </w:pPr>
      <w:r w:rsidRPr="009834C2">
        <w:rPr>
          <w:lang w:val="ro-RO"/>
        </w:rPr>
        <w:t xml:space="preserve">Prezentul Ordin se publică pe </w:t>
      </w:r>
      <w:r w:rsidR="007F3E94">
        <w:rPr>
          <w:lang w:val="ro-RO"/>
        </w:rPr>
        <w:t>site-ul (a se vedea HG nr.728/2023)</w:t>
      </w:r>
      <w:r w:rsidR="00A801C7">
        <w:rPr>
          <w:lang w:val="ro-RO"/>
        </w:rPr>
        <w:t xml:space="preserve"> </w:t>
      </w:r>
      <w:r w:rsidRPr="009834C2">
        <w:rPr>
          <w:lang w:val="ro-RO"/>
        </w:rPr>
        <w:t>web</w:t>
      </w:r>
      <w:r w:rsidR="00C74694" w:rsidRPr="009834C2">
        <w:rPr>
          <w:lang w:val="ro-RO"/>
        </w:rPr>
        <w:t xml:space="preserve"> a Agenției Geodezie, Cartografie și Cadastru (agcc.gov.md)</w:t>
      </w:r>
      <w:r w:rsidR="00B63F80" w:rsidRPr="009834C2">
        <w:rPr>
          <w:lang w:val="ro-RO"/>
        </w:rPr>
        <w:t xml:space="preserve"> </w:t>
      </w:r>
      <w:r w:rsidR="00902BFA" w:rsidRPr="009834C2">
        <w:rPr>
          <w:lang w:val="ro-RO"/>
        </w:rPr>
        <w:t>și</w:t>
      </w:r>
      <w:r w:rsidR="00187361" w:rsidRPr="009834C2">
        <w:rPr>
          <w:lang w:val="ro-RO"/>
        </w:rPr>
        <w:t xml:space="preserve"> </w:t>
      </w:r>
      <w:r w:rsidR="00C74694" w:rsidRPr="009834C2">
        <w:rPr>
          <w:lang w:val="ro-RO"/>
        </w:rPr>
        <w:t>pe pagina web</w:t>
      </w:r>
      <w:r w:rsidR="00187361" w:rsidRPr="009834C2">
        <w:rPr>
          <w:lang w:val="ro-RO"/>
        </w:rPr>
        <w:t xml:space="preserve"> </w:t>
      </w:r>
      <w:r w:rsidR="006E4E32" w:rsidRPr="009834C2">
        <w:rPr>
          <w:lang w:val="ro-RO"/>
        </w:rPr>
        <w:t xml:space="preserve">a </w:t>
      </w:r>
      <w:r w:rsidR="00187361" w:rsidRPr="009834C2">
        <w:rPr>
          <w:lang w:val="ro-RO"/>
        </w:rPr>
        <w:t>Sistemul</w:t>
      </w:r>
      <w:r w:rsidR="006E4E32" w:rsidRPr="009834C2">
        <w:rPr>
          <w:lang w:val="ro-RO"/>
        </w:rPr>
        <w:t>ui</w:t>
      </w:r>
      <w:r w:rsidR="00187361" w:rsidRPr="009834C2">
        <w:rPr>
          <w:lang w:val="ro-RO"/>
        </w:rPr>
        <w:t xml:space="preserve"> informațional geografic de stat </w:t>
      </w:r>
      <w:r w:rsidR="006E4E32" w:rsidRPr="009834C2">
        <w:rPr>
          <w:lang w:val="ro-RO"/>
        </w:rPr>
        <w:t>„Registrul de stat al lucrărilor topografo-geodezice”</w:t>
      </w:r>
      <w:r w:rsidR="00017AAC" w:rsidRPr="009834C2">
        <w:rPr>
          <w:lang w:val="ro-RO"/>
        </w:rPr>
        <w:t xml:space="preserve"> </w:t>
      </w:r>
      <w:r w:rsidR="00187361" w:rsidRPr="009834C2">
        <w:rPr>
          <w:lang w:val="ro-RO"/>
        </w:rPr>
        <w:t>(</w:t>
      </w:r>
      <w:r w:rsidR="006E4E32" w:rsidRPr="009834C2">
        <w:rPr>
          <w:lang w:val="ro-RO"/>
        </w:rPr>
        <w:t>topodata.gov</w:t>
      </w:r>
      <w:r w:rsidR="00187361" w:rsidRPr="009834C2">
        <w:rPr>
          <w:lang w:val="ro-RO"/>
        </w:rPr>
        <w:t>.md).</w:t>
      </w:r>
    </w:p>
    <w:p w14:paraId="04B9A6F7" w14:textId="36A10218" w:rsidR="00C46EDE" w:rsidRPr="009834C2" w:rsidRDefault="00434EF1" w:rsidP="0082791F">
      <w:pPr>
        <w:pStyle w:val="af0"/>
        <w:numPr>
          <w:ilvl w:val="0"/>
          <w:numId w:val="6"/>
        </w:numPr>
        <w:tabs>
          <w:tab w:val="left" w:pos="709"/>
          <w:tab w:val="left" w:pos="851"/>
          <w:tab w:val="left" w:pos="990"/>
        </w:tabs>
        <w:spacing w:line="276" w:lineRule="auto"/>
        <w:ind w:left="0" w:firstLine="720"/>
        <w:jc w:val="both"/>
        <w:rPr>
          <w:lang w:val="ro-RO"/>
        </w:rPr>
      </w:pPr>
      <w:r w:rsidRPr="009834C2">
        <w:rPr>
          <w:lang w:val="ro-RO"/>
        </w:rPr>
        <w:t xml:space="preserve">Controlul asupra executării prezentului ordin se pune în sarcina </w:t>
      </w:r>
      <w:r w:rsidR="000D28A4" w:rsidRPr="009834C2">
        <w:rPr>
          <w:lang w:val="ro-RO"/>
        </w:rPr>
        <w:t>Directorului general adjunct</w:t>
      </w:r>
      <w:r w:rsidRPr="009834C2">
        <w:rPr>
          <w:lang w:val="ro-RO"/>
        </w:rPr>
        <w:t xml:space="preserve">, </w:t>
      </w:r>
      <w:r w:rsidR="000D28A4" w:rsidRPr="009834C2">
        <w:rPr>
          <w:lang w:val="ro-RO"/>
        </w:rPr>
        <w:t xml:space="preserve">Dl </w:t>
      </w:r>
      <w:r w:rsidR="00187361" w:rsidRPr="009834C2">
        <w:rPr>
          <w:lang w:val="ro-RO"/>
        </w:rPr>
        <w:t>Ion CREȚU</w:t>
      </w:r>
      <w:r w:rsidRPr="009834C2">
        <w:rPr>
          <w:lang w:val="ro-RO"/>
        </w:rPr>
        <w:t>.</w:t>
      </w:r>
    </w:p>
    <w:p w14:paraId="187CA5E5" w14:textId="61243B1C" w:rsidR="00E74C7A" w:rsidRPr="009834C2" w:rsidRDefault="00E74C7A" w:rsidP="0082791F">
      <w:pPr>
        <w:pStyle w:val="af0"/>
        <w:numPr>
          <w:ilvl w:val="0"/>
          <w:numId w:val="6"/>
        </w:numPr>
        <w:tabs>
          <w:tab w:val="left" w:pos="709"/>
          <w:tab w:val="left" w:pos="851"/>
          <w:tab w:val="left" w:pos="990"/>
        </w:tabs>
        <w:spacing w:line="276" w:lineRule="auto"/>
        <w:ind w:left="0" w:firstLine="720"/>
        <w:jc w:val="both"/>
        <w:rPr>
          <w:lang w:val="ro-RO"/>
        </w:rPr>
      </w:pPr>
      <w:r w:rsidRPr="009834C2">
        <w:rPr>
          <w:lang w:val="ro-RO"/>
        </w:rPr>
        <w:t>Instrucțiunea intră în vigoare la 1 ianuarie 2026</w:t>
      </w:r>
    </w:p>
    <w:p w14:paraId="3ED1C45B" w14:textId="5A202B4D" w:rsidR="00EE2327" w:rsidRPr="009834C2" w:rsidRDefault="00EE2327" w:rsidP="00187361">
      <w:pPr>
        <w:pStyle w:val="af0"/>
        <w:spacing w:line="276" w:lineRule="auto"/>
        <w:jc w:val="both"/>
        <w:rPr>
          <w:lang w:val="ro-RO"/>
        </w:rPr>
      </w:pPr>
    </w:p>
    <w:p w14:paraId="1F2A12D9" w14:textId="77777777" w:rsidR="00E32BAF" w:rsidRPr="009834C2" w:rsidRDefault="00E32BAF" w:rsidP="00187361">
      <w:pPr>
        <w:pStyle w:val="af0"/>
        <w:spacing w:line="276" w:lineRule="auto"/>
        <w:jc w:val="both"/>
        <w:rPr>
          <w:lang w:val="ro-RO"/>
        </w:rPr>
      </w:pPr>
    </w:p>
    <w:p w14:paraId="2517B317" w14:textId="77777777" w:rsidR="00C46EDE" w:rsidRPr="009834C2" w:rsidRDefault="00434EF1" w:rsidP="00F86800">
      <w:pPr>
        <w:spacing w:line="276" w:lineRule="auto"/>
        <w:ind w:hanging="900"/>
        <w:jc w:val="center"/>
        <w:rPr>
          <w:b/>
        </w:rPr>
      </w:pPr>
      <w:r w:rsidRPr="009834C2">
        <w:rPr>
          <w:b/>
        </w:rPr>
        <w:t>Director general</w:t>
      </w:r>
      <w:r w:rsidRPr="009834C2">
        <w:rPr>
          <w:b/>
        </w:rPr>
        <w:tab/>
      </w:r>
      <w:r w:rsidRPr="009834C2">
        <w:rPr>
          <w:b/>
        </w:rPr>
        <w:tab/>
      </w:r>
      <w:r w:rsidRPr="009834C2">
        <w:rPr>
          <w:b/>
        </w:rPr>
        <w:tab/>
      </w:r>
      <w:r w:rsidRPr="009834C2">
        <w:rPr>
          <w:b/>
        </w:rPr>
        <w:tab/>
      </w:r>
      <w:r w:rsidRPr="009834C2">
        <w:rPr>
          <w:b/>
        </w:rPr>
        <w:tab/>
      </w:r>
      <w:r w:rsidRPr="009834C2">
        <w:rPr>
          <w:b/>
        </w:rPr>
        <w:tab/>
        <w:t>Ivan DANII</w:t>
      </w:r>
    </w:p>
    <w:p w14:paraId="3E04F9DF" w14:textId="77777777" w:rsidR="00442E0F" w:rsidRPr="009834C2" w:rsidRDefault="00442E0F" w:rsidP="00442E0F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6AF8CA00" w14:textId="656A625A" w:rsidR="00F86800" w:rsidRPr="009834C2" w:rsidRDefault="00F86800" w:rsidP="00442E0F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3D4BF661" w14:textId="77777777" w:rsidR="00F86800" w:rsidRPr="009834C2" w:rsidRDefault="00F86800" w:rsidP="00442E0F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193E4004" w14:textId="70C3EA5D" w:rsidR="00C46EDE" w:rsidRPr="009834C2" w:rsidRDefault="00434EF1" w:rsidP="00187361">
      <w:pPr>
        <w:pStyle w:val="af4"/>
        <w:rPr>
          <w:rFonts w:ascii="Times New Roman" w:hAnsi="Times New Roman" w:cs="Times New Roman"/>
          <w:i/>
          <w:sz w:val="24"/>
          <w:szCs w:val="24"/>
        </w:rPr>
      </w:pPr>
      <w:r w:rsidRPr="009834C2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32BFC24" w14:textId="77777777" w:rsidR="00FE6A26" w:rsidRPr="009834C2" w:rsidRDefault="00FE6A26" w:rsidP="00FE6A26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2974EDB0" w14:textId="77777777" w:rsidR="00FE6A26" w:rsidRPr="009834C2" w:rsidRDefault="00FE6A26" w:rsidP="00FE6A2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2B1CA8A9" w14:textId="62C8F57B" w:rsidR="00FE6A26" w:rsidRPr="009834C2" w:rsidRDefault="00FE6A26" w:rsidP="00FE6A26">
      <w:pPr>
        <w:spacing w:line="276" w:lineRule="auto"/>
        <w:contextualSpacing/>
        <w:jc w:val="right"/>
        <w:rPr>
          <w:rFonts w:eastAsia="Calibri"/>
          <w:i/>
          <w:iCs/>
        </w:rPr>
      </w:pPr>
      <w:r w:rsidRPr="009834C2">
        <w:rPr>
          <w:rFonts w:eastAsia="Calibri"/>
          <w:i/>
          <w:iCs/>
        </w:rPr>
        <w:t>Anexa</w:t>
      </w:r>
      <w:r w:rsidR="009D6B58" w:rsidRPr="009834C2">
        <w:rPr>
          <w:rFonts w:eastAsia="Calibri"/>
          <w:i/>
          <w:iCs/>
        </w:rPr>
        <w:t xml:space="preserve"> </w:t>
      </w:r>
      <w:r w:rsidRPr="009834C2">
        <w:rPr>
          <w:rFonts w:eastAsia="Calibri"/>
          <w:i/>
          <w:iCs/>
        </w:rPr>
        <w:t>1</w:t>
      </w:r>
    </w:p>
    <w:p w14:paraId="61FD1050" w14:textId="13776A51" w:rsidR="009D6B58" w:rsidRPr="009834C2" w:rsidRDefault="001045E4" w:rsidP="001045E4">
      <w:pPr>
        <w:spacing w:before="120" w:after="120" w:line="360" w:lineRule="auto"/>
        <w:contextualSpacing/>
        <w:jc w:val="right"/>
        <w:rPr>
          <w:i/>
          <w:iCs/>
        </w:rPr>
      </w:pPr>
      <w:r w:rsidRPr="009834C2">
        <w:rPr>
          <w:i/>
          <w:iCs/>
        </w:rPr>
        <w:t>la Ordinul nr. ____ din „___” ______ 2025</w:t>
      </w:r>
    </w:p>
    <w:p w14:paraId="42D31A98" w14:textId="77777777" w:rsidR="000F5772" w:rsidRDefault="000F5772" w:rsidP="001045E4">
      <w:pPr>
        <w:spacing w:before="120" w:after="120" w:line="360" w:lineRule="auto"/>
        <w:jc w:val="center"/>
        <w:rPr>
          <w:b/>
        </w:rPr>
      </w:pPr>
    </w:p>
    <w:p w14:paraId="6D625508" w14:textId="608BD64B" w:rsidR="001045E4" w:rsidRPr="009834C2" w:rsidRDefault="001045E4" w:rsidP="000F5772">
      <w:pPr>
        <w:spacing w:before="120" w:after="120" w:line="360" w:lineRule="auto"/>
        <w:jc w:val="center"/>
        <w:rPr>
          <w:b/>
        </w:rPr>
      </w:pPr>
      <w:r w:rsidRPr="009834C2">
        <w:rPr>
          <w:b/>
        </w:rPr>
        <w:t>INSTRUCȚIUNE</w:t>
      </w:r>
    </w:p>
    <w:p w14:paraId="665B8424" w14:textId="3B90DAA2" w:rsidR="001045E4" w:rsidRPr="009834C2" w:rsidRDefault="001045E4" w:rsidP="001045E4">
      <w:pPr>
        <w:spacing w:before="120" w:after="120" w:line="360" w:lineRule="auto"/>
        <w:jc w:val="center"/>
        <w:rPr>
          <w:b/>
        </w:rPr>
      </w:pPr>
      <w:r w:rsidRPr="009834C2">
        <w:rPr>
          <w:b/>
        </w:rPr>
        <w:t xml:space="preserve">privind procedura de înregistrare a lucrărilor </w:t>
      </w:r>
      <w:r w:rsidR="00184FBA">
        <w:rPr>
          <w:b/>
        </w:rPr>
        <w:t>topogeodezice</w:t>
      </w:r>
      <w:r w:rsidRPr="009834C2">
        <w:rPr>
          <w:b/>
        </w:rPr>
        <w:t xml:space="preserve"> în </w:t>
      </w:r>
      <w:bookmarkStart w:id="6" w:name="_Hlk213167587"/>
      <w:r w:rsidRPr="009834C2">
        <w:rPr>
          <w:b/>
        </w:rPr>
        <w:t>Sistemul informațional geografic de stat</w:t>
      </w:r>
      <w:bookmarkEnd w:id="6"/>
      <w:r w:rsidRPr="009834C2">
        <w:rPr>
          <w:b/>
        </w:rPr>
        <w:t xml:space="preserve"> „Registrul de stat al lucrărilor </w:t>
      </w:r>
      <w:r w:rsidR="00184FBA">
        <w:rPr>
          <w:b/>
        </w:rPr>
        <w:t>topogeodezice</w:t>
      </w:r>
      <w:r w:rsidRPr="009834C2">
        <w:rPr>
          <w:b/>
        </w:rPr>
        <w:t>”</w:t>
      </w:r>
    </w:p>
    <w:p w14:paraId="6EEA47F2" w14:textId="77777777" w:rsidR="009834C2" w:rsidRPr="009834C2" w:rsidRDefault="009834C2" w:rsidP="009834C2">
      <w:pPr>
        <w:spacing w:line="360" w:lineRule="auto"/>
        <w:contextualSpacing/>
        <w:jc w:val="center"/>
        <w:rPr>
          <w:b/>
          <w:bCs/>
        </w:rPr>
      </w:pPr>
      <w:r w:rsidRPr="009834C2">
        <w:rPr>
          <w:b/>
          <w:bCs/>
        </w:rPr>
        <w:t>Capitolul I</w:t>
      </w:r>
    </w:p>
    <w:p w14:paraId="1A6E4506" w14:textId="6E824C0E" w:rsidR="008303EE" w:rsidRPr="009834C2" w:rsidRDefault="009834C2" w:rsidP="007F3E94">
      <w:pPr>
        <w:spacing w:line="360" w:lineRule="auto"/>
        <w:contextualSpacing/>
        <w:jc w:val="center"/>
        <w:rPr>
          <w:b/>
          <w:bCs/>
        </w:rPr>
      </w:pPr>
      <w:r w:rsidRPr="009834C2">
        <w:rPr>
          <w:b/>
          <w:bCs/>
        </w:rPr>
        <w:t>DISPOZIȚII GENERALE</w:t>
      </w:r>
    </w:p>
    <w:p w14:paraId="4EAE6333" w14:textId="17AC95D2" w:rsidR="009834C2" w:rsidRPr="009834C2" w:rsidRDefault="00DF4D14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>
        <w:t xml:space="preserve">  Prezenta </w:t>
      </w:r>
      <w:r w:rsidR="007F3E94">
        <w:t>I</w:t>
      </w:r>
      <w:r>
        <w:t>nstrucțiune s</w:t>
      </w:r>
      <w:r w:rsidRPr="00DF4D14">
        <w:t xml:space="preserve">tabilește procedura, etapele, responsabilitățile, formatele și termenele de înregistrare a lucrărilor topogeodezice în Registrul de stat al lucrărilor topogeodezice (în continuare – </w:t>
      </w:r>
      <w:r>
        <w:t>RLTG</w:t>
      </w:r>
      <w:r w:rsidRPr="00DF4D14">
        <w:t>), în aplicarea Legii nr. 778/2001 și HG nr. 118/2025.</w:t>
      </w:r>
    </w:p>
    <w:p w14:paraId="42DDC9E0" w14:textId="68DD5137" w:rsidR="002A0926" w:rsidRDefault="002A0926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2A0926">
        <w:t>Prezenta Instrucțiune este elaborată în temeiul art. 3</w:t>
      </w:r>
      <w:r w:rsidRPr="008303EE">
        <w:rPr>
          <w:vertAlign w:val="superscript"/>
        </w:rPr>
        <w:t>2</w:t>
      </w:r>
      <w:r w:rsidR="008303EE">
        <w:t xml:space="preserve"> alin. </w:t>
      </w:r>
      <w:r w:rsidR="008303EE" w:rsidRPr="008303EE">
        <w:t xml:space="preserve">(3) </w:t>
      </w:r>
      <w:r w:rsidR="008303EE">
        <w:t>și</w:t>
      </w:r>
      <w:r w:rsidR="00F03658">
        <w:t xml:space="preserve"> art. </w:t>
      </w:r>
      <w:r w:rsidR="008303EE">
        <w:t>8 lit. b)</w:t>
      </w:r>
      <w:r w:rsidR="00852F5D">
        <w:t xml:space="preserve"> </w:t>
      </w:r>
      <w:r w:rsidRPr="002A0926">
        <w:t>din Legea nr. 778/2001, Hotărârii Guvernului nr. 229/2023 și Hotărârii Guvernului nr. 118/2025.</w:t>
      </w:r>
    </w:p>
    <w:p w14:paraId="132083FB" w14:textId="5C444C26" w:rsidR="009834C2" w:rsidRDefault="009834C2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9834C2">
        <w:t>În sensul prezentei Instrucțiuni se respectă definițiile și subiecții prevăzuți în Regulamentul aprobat prin Hotărârea Guvernului nr. 118/2025, respectiv:</w:t>
      </w:r>
    </w:p>
    <w:p w14:paraId="0CFE5CF6" w14:textId="5864182B" w:rsidR="008303EE" w:rsidRDefault="008303EE" w:rsidP="00DE68E3">
      <w:pPr>
        <w:pStyle w:val="af1"/>
        <w:numPr>
          <w:ilvl w:val="1"/>
          <w:numId w:val="20"/>
        </w:numPr>
        <w:spacing w:line="360" w:lineRule="auto"/>
        <w:jc w:val="both"/>
      </w:pPr>
      <w:r w:rsidRPr="009834C2">
        <w:t>posesorul;</w:t>
      </w:r>
    </w:p>
    <w:p w14:paraId="4ABD0B19" w14:textId="515F8A5C" w:rsidR="008303EE" w:rsidRDefault="008303EE" w:rsidP="00DE68E3">
      <w:pPr>
        <w:pStyle w:val="af1"/>
        <w:numPr>
          <w:ilvl w:val="1"/>
          <w:numId w:val="20"/>
        </w:numPr>
        <w:spacing w:line="360" w:lineRule="auto"/>
        <w:jc w:val="both"/>
      </w:pPr>
      <w:r w:rsidRPr="009834C2">
        <w:t>deținătorul;</w:t>
      </w:r>
    </w:p>
    <w:p w14:paraId="64879C6C" w14:textId="293F300E" w:rsidR="008303EE" w:rsidRDefault="008303EE" w:rsidP="00DE68E3">
      <w:pPr>
        <w:pStyle w:val="af1"/>
        <w:numPr>
          <w:ilvl w:val="1"/>
          <w:numId w:val="20"/>
        </w:numPr>
        <w:spacing w:line="360" w:lineRule="auto"/>
        <w:jc w:val="both"/>
      </w:pPr>
      <w:r w:rsidRPr="009834C2">
        <w:t>registratorii</w:t>
      </w:r>
      <w:r w:rsidR="007F3E94">
        <w:t>;</w:t>
      </w:r>
    </w:p>
    <w:p w14:paraId="2ADFB099" w14:textId="4F18FDDE" w:rsidR="008303EE" w:rsidRDefault="008303EE" w:rsidP="00DE68E3">
      <w:pPr>
        <w:pStyle w:val="af1"/>
        <w:numPr>
          <w:ilvl w:val="1"/>
          <w:numId w:val="20"/>
        </w:numPr>
        <w:spacing w:line="360" w:lineRule="auto"/>
        <w:jc w:val="both"/>
      </w:pPr>
      <w:r w:rsidRPr="009834C2">
        <w:t>furnizorii</w:t>
      </w:r>
      <w:r w:rsidR="007F3E94">
        <w:t>;</w:t>
      </w:r>
    </w:p>
    <w:p w14:paraId="67AAC48E" w14:textId="1A296A51" w:rsidR="008303EE" w:rsidRDefault="008303EE" w:rsidP="00DE68E3">
      <w:pPr>
        <w:pStyle w:val="af1"/>
        <w:numPr>
          <w:ilvl w:val="1"/>
          <w:numId w:val="20"/>
        </w:numPr>
        <w:spacing w:line="360" w:lineRule="auto"/>
        <w:jc w:val="both"/>
      </w:pPr>
      <w:r w:rsidRPr="009834C2">
        <w:t>destinatarii</w:t>
      </w:r>
      <w:r w:rsidR="007F3E94">
        <w:t>.</w:t>
      </w:r>
    </w:p>
    <w:p w14:paraId="466C49CB" w14:textId="5C577434" w:rsidR="00852F5D" w:rsidRDefault="00852F5D" w:rsidP="00852F5D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852F5D">
        <w:t xml:space="preserve">Se supun înregistrării în </w:t>
      </w:r>
      <w:r>
        <w:t>RLTG</w:t>
      </w:r>
      <w:r w:rsidRPr="00852F5D">
        <w:t xml:space="preserve"> următoarele categorii de lucrări </w:t>
      </w:r>
      <w:r>
        <w:t>topogeodezice</w:t>
      </w:r>
      <w:r w:rsidRPr="00852F5D">
        <w:t>, conform art. 3</w:t>
      </w:r>
      <w:r w:rsidRPr="00852F5D">
        <w:rPr>
          <w:vertAlign w:val="superscript"/>
        </w:rPr>
        <w:t>2</w:t>
      </w:r>
      <w:r w:rsidRPr="00852F5D">
        <w:t xml:space="preserve"> alin. (1) din Legea nr. 778/2001 și pct. 41 din Regulamentul aprobat prin Hotărârea Guvernului nr. 118/2025:</w:t>
      </w:r>
    </w:p>
    <w:p w14:paraId="01483F42" w14:textId="77777777" w:rsidR="00852F5D" w:rsidRDefault="00852F5D" w:rsidP="00852F5D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>planurile topografice inginerești și de execuție;</w:t>
      </w:r>
    </w:p>
    <w:p w14:paraId="4BAF829E" w14:textId="6272685F" w:rsidR="00852F5D" w:rsidRDefault="00852F5D" w:rsidP="00852F5D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>ortoimaginile;</w:t>
      </w:r>
    </w:p>
    <w:p w14:paraId="2732D7B8" w14:textId="7DEC9644" w:rsidR="00852F5D" w:rsidRDefault="00852F5D" w:rsidP="00852F5D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 xml:space="preserve"> modelele digitale ale reliefului, elaborate în urma prospecțiunilor topografice, geodezice și a ridicărilor topografice de execuție;</w:t>
      </w:r>
    </w:p>
    <w:p w14:paraId="648A777F" w14:textId="33C29976" w:rsidR="00852F5D" w:rsidRDefault="00852F5D" w:rsidP="00852F5D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 xml:space="preserve"> lucrările fotogrammetrice;</w:t>
      </w:r>
    </w:p>
    <w:p w14:paraId="201D764C" w14:textId="1DA086F1" w:rsidR="00852F5D" w:rsidRDefault="00852F5D" w:rsidP="00852F5D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 xml:space="preserve"> scanările LiDAR.</w:t>
      </w:r>
    </w:p>
    <w:p w14:paraId="129123B5" w14:textId="6B6BF552" w:rsidR="009834C2" w:rsidRDefault="009834C2" w:rsidP="002B7067">
      <w:pPr>
        <w:pStyle w:val="af1"/>
        <w:numPr>
          <w:ilvl w:val="0"/>
          <w:numId w:val="20"/>
        </w:numPr>
        <w:spacing w:line="360" w:lineRule="auto"/>
        <w:jc w:val="both"/>
      </w:pPr>
      <w:r>
        <w:t>Accesul la</w:t>
      </w:r>
      <w:r w:rsidR="00DF4D14">
        <w:t xml:space="preserve"> Sistemului informațional geografic de stat  „Registrul de stat al lucrărilor topografo-geodezice”</w:t>
      </w:r>
      <w:r>
        <w:t xml:space="preserve"> </w:t>
      </w:r>
      <w:r w:rsidR="00DF4D14" w:rsidRPr="00DF4D14">
        <w:t xml:space="preserve">(în continuare – </w:t>
      </w:r>
      <w:r w:rsidR="00DF4D14">
        <w:t>SI RLTG</w:t>
      </w:r>
      <w:r w:rsidR="00DF4D14" w:rsidRPr="00DF4D14">
        <w:t>)</w:t>
      </w:r>
      <w:r w:rsidR="00DF4D14">
        <w:t xml:space="preserve"> </w:t>
      </w:r>
      <w:r>
        <w:t>se realizează prin intermediul platformei „topodata.gov.md”.</w:t>
      </w:r>
    </w:p>
    <w:p w14:paraId="3BC452EC" w14:textId="5F48AF68" w:rsidR="009834C2" w:rsidRDefault="00DE68E3" w:rsidP="00DE68E3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 xml:space="preserve"> </w:t>
      </w:r>
      <w:r w:rsidR="009834C2">
        <w:t>Accesul public la platformă permite vizualizarea informației publice disponibile, în limitele stabilite de posesor.</w:t>
      </w:r>
    </w:p>
    <w:p w14:paraId="37FDB683" w14:textId="01EB6233" w:rsidR="00DE68E3" w:rsidRDefault="00DE68E3" w:rsidP="00DE68E3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lastRenderedPageBreak/>
        <w:t>Furnizorii accesează funcționalitățile dedicate acestora prin autentificare obligatorie prin serviciul guvernamental MPass</w:t>
      </w:r>
      <w:r w:rsidR="007F3E94">
        <w:t>.</w:t>
      </w:r>
    </w:p>
    <w:p w14:paraId="5F73BEBF" w14:textId="4599BB4F" w:rsidR="00DE68E3" w:rsidRDefault="00DE68E3" w:rsidP="00DE68E3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 xml:space="preserve">După autentificare, furnizorii utilizează interfața specializată destinată înregistrării și gestionării lucrărilor </w:t>
      </w:r>
      <w:r w:rsidR="00DF4D14">
        <w:t>topogeodezice</w:t>
      </w:r>
      <w:r>
        <w:t>.</w:t>
      </w:r>
    </w:p>
    <w:p w14:paraId="21CEDED2" w14:textId="21BA6226" w:rsidR="00DE68E3" w:rsidRDefault="00DE68E3" w:rsidP="00DE68E3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>Accesul la funcționalitățile de înregistrare în RLTG este permis exclusiv furnizorilor autentificați.</w:t>
      </w:r>
    </w:p>
    <w:p w14:paraId="3389E137" w14:textId="3E4A9AE5" w:rsidR="0071560A" w:rsidRDefault="0071560A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>
        <w:t>Furnizorii poartă responsabilitatea pentru utilizarea corespunzătoare și confidențialitatea mijloacelor de autentificare utilizate în procesul de accesare a SI RLTG.</w:t>
      </w:r>
    </w:p>
    <w:p w14:paraId="323EA13E" w14:textId="0B1F2E44" w:rsidR="0071560A" w:rsidRDefault="0071560A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>
        <w:t>Orice tentativă de acces neautorizat la funcționalitățile furnizorilor se raportează posesorului și poate atrage măsuri în condițiile legislației în vigoare.</w:t>
      </w:r>
    </w:p>
    <w:p w14:paraId="40D40BF2" w14:textId="6D562AAE" w:rsidR="00DE68E3" w:rsidRDefault="00DE68E3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DE68E3">
        <w:t xml:space="preserve">Furnizorii utilizează datele obținute din RLTG exclusiv în scopul executării lucrărilor </w:t>
      </w:r>
      <w:r w:rsidR="00DF4D14">
        <w:t>topogeodezice</w:t>
      </w:r>
      <w:r w:rsidRPr="00DE68E3">
        <w:t>, fără drept de distribuire către terți.</w:t>
      </w:r>
    </w:p>
    <w:p w14:paraId="2EEE8F38" w14:textId="1DB04E4C" w:rsidR="002A0926" w:rsidRDefault="00DE68E3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DE68E3">
        <w:t>Accesul furnizorilor la datele din RLTG se efectuează doar pentru zona de lucru delimitată în sistem.</w:t>
      </w:r>
    </w:p>
    <w:p w14:paraId="0C5FFD03" w14:textId="092802DB" w:rsidR="00DE68E3" w:rsidRDefault="00DE68E3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>
        <w:t xml:space="preserve"> Deținătorul asigură administrarea tehnică și suportul operațional al SI RLTG, în conformitate cu legislația în vigoare.</w:t>
      </w:r>
    </w:p>
    <w:p w14:paraId="334B362F" w14:textId="67B04BE7" w:rsidR="00DE68E3" w:rsidRDefault="00DE68E3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>
        <w:t xml:space="preserve"> Posesorul stabilește regulile de utilizare a datelor, cerințele tehnice și metodologia aferentă RLTG și monitorizează respectarea acestora.</w:t>
      </w:r>
    </w:p>
    <w:p w14:paraId="6E98BCE7" w14:textId="71AFF40E" w:rsidR="00852F5D" w:rsidRDefault="00852F5D" w:rsidP="00DE68E3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852F5D">
        <w:t xml:space="preserve">Furnizorul inițiază procedura de înregistrare a lucrărilor </w:t>
      </w:r>
      <w:r>
        <w:t>topogeodezice</w:t>
      </w:r>
      <w:r w:rsidRPr="00852F5D">
        <w:t xml:space="preserve"> în SI RLTG la demararea acestora, prin delimitarea zonei de lucru și completarea informațiilor inițiale aferente lucrării</w:t>
      </w:r>
      <w:r>
        <w:t>.</w:t>
      </w:r>
    </w:p>
    <w:p w14:paraId="68EF4558" w14:textId="77777777" w:rsidR="00FA3F67" w:rsidRPr="009834C2" w:rsidRDefault="00FA3F67" w:rsidP="00FA3F67">
      <w:pPr>
        <w:spacing w:line="360" w:lineRule="auto"/>
        <w:contextualSpacing/>
        <w:jc w:val="center"/>
        <w:rPr>
          <w:b/>
          <w:bCs/>
        </w:rPr>
      </w:pPr>
      <w:r w:rsidRPr="009834C2">
        <w:rPr>
          <w:b/>
          <w:bCs/>
        </w:rPr>
        <w:t>Capitolul II</w:t>
      </w:r>
    </w:p>
    <w:p w14:paraId="3E442141" w14:textId="77777777" w:rsidR="00FA3F67" w:rsidRDefault="00FA3F67" w:rsidP="00FA3F67">
      <w:pPr>
        <w:spacing w:line="360" w:lineRule="auto"/>
        <w:contextualSpacing/>
        <w:jc w:val="center"/>
        <w:rPr>
          <w:b/>
          <w:bCs/>
        </w:rPr>
      </w:pPr>
      <w:r w:rsidRPr="009834C2">
        <w:rPr>
          <w:b/>
          <w:bCs/>
        </w:rPr>
        <w:t>PROCEDURA DE ÎNREGISTRARE</w:t>
      </w:r>
    </w:p>
    <w:p w14:paraId="344B937D" w14:textId="77777777" w:rsidR="00DF4D14" w:rsidRDefault="00DF4D14" w:rsidP="00FA3F67">
      <w:pPr>
        <w:spacing w:line="360" w:lineRule="auto"/>
        <w:contextualSpacing/>
        <w:jc w:val="center"/>
        <w:rPr>
          <w:b/>
          <w:bCs/>
        </w:rPr>
      </w:pPr>
    </w:p>
    <w:p w14:paraId="2AB36B15" w14:textId="77777777" w:rsidR="00FA3F67" w:rsidRPr="009834C2" w:rsidRDefault="00FA3F67" w:rsidP="00FA3F67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9834C2">
        <w:t>Furnizorul delimitează în SI RLTG perimetrul lucrărilor topografo-geodezice.</w:t>
      </w:r>
    </w:p>
    <w:p w14:paraId="54E8F32A" w14:textId="37D70150" w:rsidR="00FA3F67" w:rsidRDefault="00FA3F67" w:rsidP="00FA3F67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9834C2">
        <w:t>Perimetrul trebuie să corespundă strict lucrărilor planificate sau executate</w:t>
      </w:r>
      <w:r>
        <w:t>.</w:t>
      </w:r>
    </w:p>
    <w:p w14:paraId="7D5584D1" w14:textId="23DB8701" w:rsidR="00FA3F67" w:rsidRDefault="00FA3F67" w:rsidP="00FA3F67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9834C2">
        <w:t xml:space="preserve">Delimitarea unei suprafețe </w:t>
      </w:r>
      <w:r>
        <w:t xml:space="preserve">diferite </w:t>
      </w:r>
      <w:r w:rsidRPr="009834C2">
        <w:t xml:space="preserve">decât aria reală </w:t>
      </w:r>
      <w:r>
        <w:t xml:space="preserve">de executare a lucrărilor </w:t>
      </w:r>
      <w:r w:rsidRPr="009834C2">
        <w:t>este interzisă</w:t>
      </w:r>
      <w:r>
        <w:t>.</w:t>
      </w:r>
    </w:p>
    <w:p w14:paraId="2520322F" w14:textId="2FBA74E8" w:rsidR="00FA3F67" w:rsidRDefault="00FA3F67" w:rsidP="00FA3F67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FA3F67">
        <w:t>Furnizorul completează formularul electronic aferent zonei de lucru, cu indicarea</w:t>
      </w:r>
      <w:r>
        <w:t>:</w:t>
      </w:r>
    </w:p>
    <w:p w14:paraId="2F754B0B" w14:textId="716AB149" w:rsidR="00FA3F67" w:rsidRPr="009834C2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9834C2">
        <w:t>tipul lucrării;</w:t>
      </w:r>
    </w:p>
    <w:p w14:paraId="41CCBB2A" w14:textId="77777777" w:rsidR="00FA3F67" w:rsidRPr="009834C2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9834C2">
        <w:t>descrierea;</w:t>
      </w:r>
    </w:p>
    <w:p w14:paraId="66350FC0" w14:textId="77777777" w:rsidR="00FA3F67" w:rsidRPr="009834C2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9834C2">
        <w:t>scopul;</w:t>
      </w:r>
    </w:p>
    <w:p w14:paraId="1CAA1C42" w14:textId="77777777" w:rsidR="00FA3F67" w:rsidRPr="009834C2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9834C2">
        <w:t>beneficiarul;</w:t>
      </w:r>
    </w:p>
    <w:p w14:paraId="450ACBD8" w14:textId="77777777" w:rsidR="00FA3F67" w:rsidRPr="009834C2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9834C2">
        <w:t>executantul;</w:t>
      </w:r>
    </w:p>
    <w:p w14:paraId="4A3AFC54" w14:textId="77777777" w:rsidR="00FA3F67" w:rsidRPr="009834C2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9834C2">
        <w:t>adresa/localizarea.</w:t>
      </w:r>
    </w:p>
    <w:p w14:paraId="76285F3E" w14:textId="2460F424" w:rsidR="00FA3F67" w:rsidRDefault="00FA3F67" w:rsidP="00FA3F67">
      <w:pPr>
        <w:pStyle w:val="af1"/>
        <w:numPr>
          <w:ilvl w:val="0"/>
          <w:numId w:val="20"/>
        </w:numPr>
        <w:spacing w:line="360" w:lineRule="auto"/>
        <w:ind w:left="0" w:firstLine="360"/>
        <w:jc w:val="both"/>
      </w:pPr>
      <w:r w:rsidRPr="00FA3F67">
        <w:t>După completarea formularului, furnizorul selectează una dintre acțiunile disponibile în SI RLTG:</w:t>
      </w:r>
    </w:p>
    <w:p w14:paraId="54F8BF4D" w14:textId="77777777" w:rsidR="00FA3F67" w:rsidRPr="00FA3F67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lastRenderedPageBreak/>
        <w:t>Solicitarea informațiilor existente în RLTG – furnizorul obține, în mod automat, datele disponibile pentru perimetrul desenat, în limitele permise de posesor;</w:t>
      </w:r>
    </w:p>
    <w:p w14:paraId="47C4A25D" w14:textId="7A03BC5E" w:rsidR="00FA3F67" w:rsidRPr="00FA3F67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t>Predarea spre examinare – furnizorul transmite documentele pentru verificare și validare de către registrator;</w:t>
      </w:r>
    </w:p>
    <w:p w14:paraId="762EB60F" w14:textId="52175424" w:rsidR="00FA3F67" w:rsidRDefault="00FA3F67" w:rsidP="00FA3F67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t xml:space="preserve">Predarea spre înregistrare – </w:t>
      </w:r>
      <w:r w:rsidR="00C81468">
        <w:t xml:space="preserve">este </w:t>
      </w:r>
      <w:r w:rsidRPr="00FA3F67">
        <w:t>disponibilă exclusiv după validarea lucrărilor și generarea codului unic de înregistrare de către sistem.</w:t>
      </w:r>
    </w:p>
    <w:p w14:paraId="7D09FFB5" w14:textId="77777777" w:rsidR="00FA3F67" w:rsidRDefault="00FA3F67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t>În vederea predării spre examinare a lucrărilor executate, furnizorul atașează în SI RLTG următoarele documente obligatorii:</w:t>
      </w:r>
    </w:p>
    <w:p w14:paraId="5C36C2B4" w14:textId="7B1FDC0F" w:rsidR="00FA3F67" w:rsidRDefault="00FA3F67" w:rsidP="007731C8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t xml:space="preserve"> actul lucrărilor topografo-geodezice – în format PDF, semnat electronic</w:t>
      </w:r>
      <w:r w:rsidR="007F3E94">
        <w:t>;</w:t>
      </w:r>
    </w:p>
    <w:p w14:paraId="594B87D7" w14:textId="77777777" w:rsidR="00FA3F67" w:rsidRDefault="00FA3F67" w:rsidP="007731C8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t xml:space="preserve"> planul topografic – în format PDF;</w:t>
      </w:r>
    </w:p>
    <w:p w14:paraId="3F220031" w14:textId="77777777" w:rsidR="00FA3F67" w:rsidRDefault="00FA3F67" w:rsidP="007731C8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t>fișierul vectorial al planului – în format DXF;</w:t>
      </w:r>
    </w:p>
    <w:p w14:paraId="4E81B5E1" w14:textId="77777777" w:rsidR="007731C8" w:rsidRDefault="00FA3F67" w:rsidP="007731C8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t xml:space="preserve"> imaginea raster a planului, cu fișier de georeferențiere – în format TIFF/TFW;</w:t>
      </w:r>
    </w:p>
    <w:p w14:paraId="64D17370" w14:textId="2C37C42F" w:rsidR="00FA3F67" w:rsidRDefault="00FA3F67" w:rsidP="007731C8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A3F67">
        <w:t xml:space="preserve"> alte documente tehnice confirmative, dacă </w:t>
      </w:r>
      <w:r w:rsidR="00DF4D14" w:rsidRPr="00FA3F67">
        <w:t>sânt</w:t>
      </w:r>
      <w:r w:rsidRPr="00FA3F67">
        <w:t xml:space="preserve"> solicitate de regulamentele tehnice aplicabile sau de registrator în procesul de verificare.</w:t>
      </w:r>
    </w:p>
    <w:p w14:paraId="30237020" w14:textId="3072F4E8" w:rsidR="007731C8" w:rsidRDefault="007731C8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7731C8">
        <w:t>La transmiterea documentelor, sistemul confirmă electronic înregistrarea cererii și atribuie un număr unic de identificare a solicitării, care devine referință procedurală pe durata examinării.</w:t>
      </w:r>
    </w:p>
    <w:p w14:paraId="51510745" w14:textId="36F9ABC5" w:rsidR="007731C8" w:rsidRDefault="007731C8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7731C8">
        <w:t>Furnizorul are obligația să se asigure că documentele transmise s</w:t>
      </w:r>
      <w:r w:rsidR="007F3E94">
        <w:t>â</w:t>
      </w:r>
      <w:r w:rsidRPr="007731C8">
        <w:t xml:space="preserve">nt complete, corecte, lizibile, georeferențiate corect și conforme cerințelor </w:t>
      </w:r>
      <w:r>
        <w:t xml:space="preserve">prezentei </w:t>
      </w:r>
      <w:r w:rsidR="005E7483">
        <w:t>I</w:t>
      </w:r>
      <w:r>
        <w:t>nstrucțiuni și a cadrului normativ</w:t>
      </w:r>
      <w:r w:rsidRPr="007731C8">
        <w:t xml:space="preserve"> în vigoare.</w:t>
      </w:r>
    </w:p>
    <w:p w14:paraId="5B5EED93" w14:textId="65988468" w:rsidR="00DC7CC2" w:rsidRDefault="00DC7CC2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DC7CC2">
        <w:t>După încărcarea documentelor, furnizorul transmite setul complet spre examinare prin intermediul funcționalității dedicate din SI RLTG.</w:t>
      </w:r>
    </w:p>
    <w:p w14:paraId="2D8DA638" w14:textId="260C811D" w:rsidR="00DC7CC2" w:rsidRDefault="00DC7CC2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DC7CC2">
        <w:t>Sistemul înregistrează automat cererea și atribuie un număr unic de identificare, care este afișat furnizorului și vizibil registratorului.</w:t>
      </w:r>
    </w:p>
    <w:p w14:paraId="6722AE34" w14:textId="3B5B78D8" w:rsidR="00DC7CC2" w:rsidRDefault="00DC7CC2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DC7CC2">
        <w:t>Documentele transmise în SI RLTG nu pot fi modificate unilateral de furnizor după depunere.</w:t>
      </w:r>
    </w:p>
    <w:p w14:paraId="55EF3ACD" w14:textId="49E7EA63" w:rsidR="00FE235F" w:rsidRDefault="00FE235F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E235F">
        <w:t>În cazul necesității corectării sau completării documentelor, furnizorul poate retransmite setul de documente doar în baza notificării registratorului, conform procedurii stabilite în SI RLTG.</w:t>
      </w:r>
    </w:p>
    <w:p w14:paraId="34872547" w14:textId="37263F76" w:rsidR="00BD4AE5" w:rsidRDefault="00BD4AE5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BD4AE5">
        <w:t>Registratorul examinează  documentele depuse în SI RLTG în termen de 5 zile lucrătoare</w:t>
      </w:r>
      <w:r>
        <w:t>.</w:t>
      </w:r>
    </w:p>
    <w:p w14:paraId="06984056" w14:textId="1F311297" w:rsidR="00BD4AE5" w:rsidRDefault="00BD4AE5" w:rsidP="00BD4AE5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BD4AE5">
        <w:t xml:space="preserve">În cazul în care termenul prevăzut la punctul </w:t>
      </w:r>
      <w:r>
        <w:t>25</w:t>
      </w:r>
      <w:r w:rsidRPr="00BD4AE5">
        <w:t xml:space="preserve"> este depășit și furnizorul nu a primit nici o soluție sau un refuz motivat prin SI RLTG, </w:t>
      </w:r>
      <w:r>
        <w:t>solicitarea</w:t>
      </w:r>
      <w:r w:rsidRPr="00BD4AE5">
        <w:t xml:space="preserve"> se transferă automat către registratorul desemnat de deținătorul SI RLTG, care este obligat să o examineze și să emită o soluție în termen de 5 zile lucrătoare.</w:t>
      </w:r>
    </w:p>
    <w:p w14:paraId="31D34A1F" w14:textId="3051BCC3" w:rsidR="00BD4AE5" w:rsidRDefault="00BD4AE5" w:rsidP="00BD4AE5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BD4AE5">
        <w:t xml:space="preserve">Atât registratorul, cât și registratorul desemnat de deținător sunt obligați să </w:t>
      </w:r>
      <w:r>
        <w:t xml:space="preserve">emită o decizie. </w:t>
      </w:r>
      <w:r w:rsidRPr="00BD4AE5">
        <w:t xml:space="preserve">Neemiterea unei soluții în termenele prevăzute constituie refuz tacit, care poate fi contestat conform prevederilor </w:t>
      </w:r>
      <w:r>
        <w:t xml:space="preserve">punctelor </w:t>
      </w:r>
      <w:r w:rsidR="00E5570E">
        <w:t xml:space="preserve">53 și </w:t>
      </w:r>
      <w:r>
        <w:t xml:space="preserve">55 din </w:t>
      </w:r>
      <w:r w:rsidR="00E5570E">
        <w:t>R</w:t>
      </w:r>
      <w:r>
        <w:t xml:space="preserve">egulamentul cu privire la modalitatea de ținere a </w:t>
      </w:r>
      <w:r>
        <w:lastRenderedPageBreak/>
        <w:t>Registrului de stat al lucrărilor topografo-geodezice, inclusiv mecanismul de înregistrare și eliberare a informației din Registru aprobat prin HG 118/2025</w:t>
      </w:r>
      <w:r w:rsidR="007F3E94">
        <w:t>.</w:t>
      </w:r>
    </w:p>
    <w:p w14:paraId="55DFD078" w14:textId="0B5103DC" w:rsidR="006E275E" w:rsidRDefault="006E275E" w:rsidP="007731C8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6E275E">
        <w:t xml:space="preserve">Registratorul efectuează exclusiv verificări administrative și procedurale asupra documentelor transmise prin SI RLTG, fără a examina sau aprecia conținutul tehnic al lucrărilor </w:t>
      </w:r>
      <w:r w:rsidR="00BD4AE5">
        <w:t>topogeodezice</w:t>
      </w:r>
      <w:r w:rsidRPr="006E275E">
        <w:t>.</w:t>
      </w:r>
    </w:p>
    <w:p w14:paraId="363029C8" w14:textId="29EC0B89" w:rsidR="00FE235F" w:rsidRDefault="006E275E" w:rsidP="00E5570E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>Î</w:t>
      </w:r>
      <w:r w:rsidRPr="006E275E">
        <w:t>n procesul de examinare, registratorul verifică</w:t>
      </w:r>
      <w:r w:rsidR="00FE235F">
        <w:t>:</w:t>
      </w:r>
    </w:p>
    <w:p w14:paraId="70BFA7D5" w14:textId="7D16DE62" w:rsidR="00FE235F" w:rsidRDefault="006E275E" w:rsidP="00E5570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6E275E">
        <w:t>existența formularului completat în SI RLTG</w:t>
      </w:r>
      <w:r w:rsidR="00FE235F">
        <w:t>;</w:t>
      </w:r>
    </w:p>
    <w:p w14:paraId="3A252473" w14:textId="715E4D69" w:rsidR="006E275E" w:rsidRDefault="006E275E" w:rsidP="00E5570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6E275E">
        <w:t>coerența datelor declarate privind tipul lucrării, beneficiarul, executantul și zona de lucru;</w:t>
      </w:r>
    </w:p>
    <w:p w14:paraId="03968FD7" w14:textId="49CCA011" w:rsidR="00FE235F" w:rsidRDefault="00E62433" w:rsidP="00E5570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>d</w:t>
      </w:r>
      <w:r w:rsidR="006E275E" w:rsidRPr="006E275E">
        <w:t>elimitare</w:t>
      </w:r>
      <w:r>
        <w:t>a corectă</w:t>
      </w:r>
      <w:r w:rsidR="006E275E" w:rsidRPr="006E275E">
        <w:t xml:space="preserve"> a perimetrului lucrării în sistem (existența poligonului, poziționarea acestuia, închiderea geometriei);</w:t>
      </w:r>
    </w:p>
    <w:p w14:paraId="02420A25" w14:textId="6B72112D" w:rsidR="006E275E" w:rsidRDefault="006E275E" w:rsidP="00E5570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6E275E">
        <w:t>prezența tuturor documentelor obligatorii;</w:t>
      </w:r>
    </w:p>
    <w:p w14:paraId="4B66BA63" w14:textId="6E134DC2" w:rsidR="006E275E" w:rsidRDefault="006E275E" w:rsidP="00E5570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6E275E">
        <w:t>respectarea formatelor de fișiere stabilite (PDF, DXF, TIFF/TFW);</w:t>
      </w:r>
    </w:p>
    <w:p w14:paraId="1B38CBAA" w14:textId="233F6AC7" w:rsidR="006E275E" w:rsidRDefault="00CF73FC" w:rsidP="00E5570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CF73FC">
        <w:t>lipsa depunerilor duplicate pentru aceeași zonă și lucrare</w:t>
      </w:r>
      <w:r w:rsidR="007F3E94">
        <w:t>.</w:t>
      </w:r>
    </w:p>
    <w:p w14:paraId="4F242D2E" w14:textId="4CD21CBF" w:rsidR="00FE235F" w:rsidRDefault="00FE235F" w:rsidP="00E5570E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FE235F">
        <w:t>Registratorul nu verifică conținutul tehnic al ridicărilor, calculelor, planului topografic sau altor elemente</w:t>
      </w:r>
      <w:r>
        <w:t xml:space="preserve"> tehnice</w:t>
      </w:r>
      <w:r w:rsidRPr="00FE235F">
        <w:t>. Responsabilitatea tehnică integrală aparține furnizorului care a executat lucrarea.</w:t>
      </w:r>
    </w:p>
    <w:p w14:paraId="37E27222" w14:textId="3CB36614" w:rsidR="00CF73FC" w:rsidRDefault="00CF73FC" w:rsidP="006E275E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 w:rsidRPr="00CF73FC">
        <w:t>Registratorul nu verifică, sub nicio formă:</w:t>
      </w:r>
    </w:p>
    <w:p w14:paraId="23281CDA" w14:textId="59B99338" w:rsidR="00CF73FC" w:rsidRDefault="00CF73FC" w:rsidP="00CF73FC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jc w:val="both"/>
      </w:pPr>
      <w:r>
        <w:t xml:space="preserve">precizia </w:t>
      </w:r>
      <w:r w:rsidRPr="00CF73FC">
        <w:t>măsurătorilor;</w:t>
      </w:r>
    </w:p>
    <w:p w14:paraId="35867723" w14:textId="70FCB193" w:rsidR="00CF73FC" w:rsidRDefault="00CF73FC" w:rsidP="00CF73FC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jc w:val="both"/>
      </w:pPr>
      <w:r w:rsidRPr="00CF73FC">
        <w:t xml:space="preserve">metoda </w:t>
      </w:r>
      <w:r>
        <w:t>prin care a fost efectuată r</w:t>
      </w:r>
      <w:r w:rsidRPr="00CF73FC">
        <w:t>idicare</w:t>
      </w:r>
      <w:r>
        <w:t>a</w:t>
      </w:r>
      <w:r w:rsidRPr="00CF73FC">
        <w:t xml:space="preserve"> topografică;</w:t>
      </w:r>
    </w:p>
    <w:p w14:paraId="7D6336FB" w14:textId="473373BE" w:rsidR="00CF73FC" w:rsidRDefault="00CF73FC" w:rsidP="00CF73FC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jc w:val="both"/>
      </w:pPr>
      <w:r w:rsidRPr="00CF73FC">
        <w:t>corectitudinea prelucrării datelor;</w:t>
      </w:r>
    </w:p>
    <w:p w14:paraId="75383B8A" w14:textId="52F00F56" w:rsidR="00CF73FC" w:rsidRDefault="00E62433" w:rsidP="00CF73FC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jc w:val="both"/>
      </w:pPr>
      <w:r>
        <w:t>calitatea planului topografic</w:t>
      </w:r>
      <w:r w:rsidR="007D5073">
        <w:t>.</w:t>
      </w:r>
    </w:p>
    <w:p w14:paraId="0015A13B" w14:textId="6482C487" w:rsidR="00FE235F" w:rsidRDefault="00FE235F" w:rsidP="006E275E">
      <w:pPr>
        <w:pStyle w:val="af1"/>
        <w:numPr>
          <w:ilvl w:val="0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>În urma verificării, registratorul execută una din următoarele acțiuni:</w:t>
      </w:r>
    </w:p>
    <w:p w14:paraId="58D6FB52" w14:textId="6B69EEED" w:rsidR="00FE235F" w:rsidRDefault="007D5073" w:rsidP="006E275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>a</w:t>
      </w:r>
      <w:r w:rsidR="00FE235F" w:rsidRPr="00FE235F">
        <w:t>ccept</w:t>
      </w:r>
      <w:r w:rsidR="00FE235F">
        <w:t>ă</w:t>
      </w:r>
      <w:r w:rsidR="00FE235F" w:rsidRPr="00FE235F">
        <w:t xml:space="preserve"> documente și continu</w:t>
      </w:r>
      <w:r w:rsidR="00FE235F">
        <w:t>ă</w:t>
      </w:r>
      <w:r w:rsidR="00FE235F" w:rsidRPr="00FE235F">
        <w:t xml:space="preserve"> procedur</w:t>
      </w:r>
      <w:r w:rsidR="00FE235F">
        <w:t>a</w:t>
      </w:r>
      <w:r w:rsidR="00FE235F" w:rsidRPr="00FE235F">
        <w:t xml:space="preserve"> de înregistrare, în cazul în care documentele s</w:t>
      </w:r>
      <w:r>
        <w:t>â</w:t>
      </w:r>
      <w:r w:rsidR="00FE235F" w:rsidRPr="00FE235F">
        <w:t>nt complete, conforme și corespund cerințelor stabilite</w:t>
      </w:r>
      <w:r w:rsidR="00FE235F">
        <w:t xml:space="preserve"> de prezenta </w:t>
      </w:r>
      <w:r w:rsidR="005E7483">
        <w:t>I</w:t>
      </w:r>
      <w:r w:rsidR="00FE235F">
        <w:t>nstrucțiune;</w:t>
      </w:r>
    </w:p>
    <w:p w14:paraId="4A745D0B" w14:textId="59FFE1CC" w:rsidR="00FE235F" w:rsidRDefault="00FE235F" w:rsidP="006E275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 xml:space="preserve"> </w:t>
      </w:r>
      <w:r w:rsidR="007D5073">
        <w:t>r</w:t>
      </w:r>
      <w:r w:rsidRPr="00FE235F">
        <w:t>estitui</w:t>
      </w:r>
      <w:r>
        <w:t>e</w:t>
      </w:r>
      <w:r w:rsidRPr="00FE235F">
        <w:t xml:space="preserve"> solicitar</w:t>
      </w:r>
      <w:r>
        <w:t xml:space="preserve">ea </w:t>
      </w:r>
      <w:r w:rsidRPr="00FE235F">
        <w:t>pentru completare, în cazul constatării unor lipsuri, erori formale sau documente neconforme. Restituirea se efectuează prin notificare în SI RLTG, cu indicarea elementelor ce urmează a fi completate sau corectate</w:t>
      </w:r>
      <w:r w:rsidR="00E62433">
        <w:t>;</w:t>
      </w:r>
    </w:p>
    <w:p w14:paraId="74FCD106" w14:textId="46B5D4CD" w:rsidR="00FE235F" w:rsidRDefault="00FE235F" w:rsidP="006E275E">
      <w:pPr>
        <w:pStyle w:val="af1"/>
        <w:numPr>
          <w:ilvl w:val="1"/>
          <w:numId w:val="20"/>
        </w:numPr>
        <w:tabs>
          <w:tab w:val="left" w:pos="900"/>
        </w:tabs>
        <w:spacing w:line="360" w:lineRule="auto"/>
        <w:ind w:left="0" w:firstLine="360"/>
        <w:jc w:val="both"/>
      </w:pPr>
      <w:r>
        <w:t xml:space="preserve"> </w:t>
      </w:r>
      <w:r w:rsidR="007D5073">
        <w:t>r</w:t>
      </w:r>
      <w:r w:rsidR="006E275E" w:rsidRPr="006E275E">
        <w:t>efuz</w:t>
      </w:r>
      <w:r w:rsidR="006E275E">
        <w:t>ă</w:t>
      </w:r>
      <w:r w:rsidR="006E275E" w:rsidRPr="006E275E">
        <w:t xml:space="preserve"> </w:t>
      </w:r>
      <w:r w:rsidR="00760E3C">
        <w:t xml:space="preserve">înregistrarea </w:t>
      </w:r>
      <w:r w:rsidR="006E275E">
        <w:t>documentelor</w:t>
      </w:r>
      <w:r w:rsidR="006E275E" w:rsidRPr="006E275E">
        <w:t>, în situația în care documentele nu respectă condițiile procedurale esențiale stabilite de cadrul normativ</w:t>
      </w:r>
      <w:r w:rsidR="006E275E">
        <w:t xml:space="preserve"> și prezenta </w:t>
      </w:r>
      <w:r w:rsidR="005E7483">
        <w:t>I</w:t>
      </w:r>
      <w:r w:rsidR="006E275E">
        <w:t>nstrucțiune</w:t>
      </w:r>
      <w:r w:rsidR="006E275E" w:rsidRPr="006E275E">
        <w:t>. Refuzul se comunică prin SI RLTG și poate fi contestat la Comisia de contestare, conform procedurii aprobate</w:t>
      </w:r>
      <w:r w:rsidR="007D5073">
        <w:t>.</w:t>
      </w:r>
    </w:p>
    <w:p w14:paraId="7DE0F3FB" w14:textId="4D93D3AE" w:rsidR="00C81468" w:rsidRDefault="00C81468" w:rsidP="00C81468">
      <w:pPr>
        <w:pStyle w:val="af1"/>
        <w:numPr>
          <w:ilvl w:val="0"/>
          <w:numId w:val="20"/>
        </w:numPr>
        <w:tabs>
          <w:tab w:val="left" w:pos="270"/>
          <w:tab w:val="left" w:pos="900"/>
        </w:tabs>
        <w:spacing w:line="360" w:lineRule="auto"/>
        <w:ind w:left="0" w:firstLine="360"/>
        <w:jc w:val="both"/>
      </w:pPr>
      <w:r w:rsidRPr="00C81468">
        <w:t xml:space="preserve">Responsabilitatea privind corectitudinea tehnică, completitudinea, exactitatea datelor și calitatea lucrărilor topografo-geodezice revine integral inginerului </w:t>
      </w:r>
      <w:r>
        <w:t>certificat</w:t>
      </w:r>
      <w:r w:rsidRPr="00C81468">
        <w:t xml:space="preserve"> care le-a executat și semnat.</w:t>
      </w:r>
    </w:p>
    <w:p w14:paraId="38C28230" w14:textId="73ACE880" w:rsidR="00C81468" w:rsidRDefault="00C81468" w:rsidP="00C81468">
      <w:pPr>
        <w:pStyle w:val="af1"/>
        <w:numPr>
          <w:ilvl w:val="0"/>
          <w:numId w:val="20"/>
        </w:numPr>
        <w:tabs>
          <w:tab w:val="left" w:pos="270"/>
          <w:tab w:val="left" w:pos="900"/>
        </w:tabs>
        <w:spacing w:line="360" w:lineRule="auto"/>
        <w:ind w:left="0" w:firstLine="360"/>
        <w:jc w:val="both"/>
      </w:pPr>
      <w:r w:rsidRPr="00C81468">
        <w:t>În cazul în care, în urma examinării, registratorul are suspiciuni rezonabile cu privire la calitatea tehnică a lucrărilor depuse, acesta poate sesiza Inspectoratul Național pentru Supraveghere Tehnică pentru verificare de specialitate.</w:t>
      </w:r>
    </w:p>
    <w:p w14:paraId="75F44CF7" w14:textId="457C3836" w:rsidR="00C81468" w:rsidRDefault="00C81468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left="0" w:firstLine="360"/>
        <w:jc w:val="both"/>
      </w:pPr>
      <w:r w:rsidRPr="00C81468">
        <w:lastRenderedPageBreak/>
        <w:t xml:space="preserve">Sesizarea prevăzută la </w:t>
      </w:r>
      <w:r>
        <w:t>pct.2</w:t>
      </w:r>
      <w:r w:rsidR="00560805">
        <w:t>9</w:t>
      </w:r>
      <w:r w:rsidRPr="00C81468">
        <w:t xml:space="preserve"> nu suspendă </w:t>
      </w:r>
      <w:r w:rsidR="00560805">
        <w:t>termenul de examinare iar</w:t>
      </w:r>
      <w:r w:rsidRPr="00C81468">
        <w:t xml:space="preserve"> registratorul continuă procesul conform prezentei Instrucțiuni.</w:t>
      </w:r>
    </w:p>
    <w:p w14:paraId="0416A508" w14:textId="5315C08B" w:rsidR="00F13435" w:rsidRDefault="00F13435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firstLine="360"/>
        <w:jc w:val="both"/>
      </w:pPr>
      <w:r>
        <w:t xml:space="preserve"> În cazul acceptării documentelor de către Registrator, SI RLTG generează automat numărul unic de înregistrare</w:t>
      </w:r>
      <w:r w:rsidR="007D5073">
        <w:t xml:space="preserve"> </w:t>
      </w:r>
      <w:r>
        <w:t>(cod QR) și îl aplică pe planul topografic.</w:t>
      </w:r>
    </w:p>
    <w:p w14:paraId="6E04E74A" w14:textId="4B926F25" w:rsidR="00F13435" w:rsidRDefault="00F13435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firstLine="360"/>
        <w:jc w:val="both"/>
      </w:pPr>
      <w:r>
        <w:t>Planul topografic cu numărul unic de înregistrare</w:t>
      </w:r>
      <w:r w:rsidR="007D5073">
        <w:t xml:space="preserve"> </w:t>
      </w:r>
      <w:r>
        <w:t>(cod QR) este remis către furnizor pentru a fi semnat electronic</w:t>
      </w:r>
      <w:r w:rsidR="007D5073">
        <w:t>.</w:t>
      </w:r>
    </w:p>
    <w:p w14:paraId="09296DAA" w14:textId="3156B06E" w:rsidR="00F13435" w:rsidRDefault="00F13435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firstLine="360"/>
        <w:jc w:val="both"/>
      </w:pPr>
      <w:r>
        <w:t xml:space="preserve">Furnizorul semnează electronic planul topografic cu numărul unic de înregistrare și îl </w:t>
      </w:r>
      <w:r w:rsidR="00760E3C">
        <w:t xml:space="preserve">predă spre </w:t>
      </w:r>
      <w:r>
        <w:t>în</w:t>
      </w:r>
      <w:r w:rsidR="00760E3C">
        <w:t xml:space="preserve">registrare în RLTG pentru finalizarea procedurii conform subpunctului </w:t>
      </w:r>
      <w:r w:rsidR="004F1AFF" w:rsidRPr="00CE2EB2">
        <w:t>17</w:t>
      </w:r>
      <w:r w:rsidR="00760E3C" w:rsidRPr="00CE2EB2">
        <w:t>.3</w:t>
      </w:r>
      <w:r w:rsidR="00760E3C">
        <w:t xml:space="preserve"> al prezentei </w:t>
      </w:r>
      <w:r w:rsidR="007D5073">
        <w:t>I</w:t>
      </w:r>
      <w:r w:rsidR="00760E3C">
        <w:t>nstrucțiuni.</w:t>
      </w:r>
    </w:p>
    <w:p w14:paraId="3BC7474C" w14:textId="26AEA5AE" w:rsidR="00F13435" w:rsidRDefault="00F13435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firstLine="360"/>
        <w:jc w:val="both"/>
      </w:pPr>
      <w:r>
        <w:t>Lucrarea se consideră înregistrată după ce sistemul confirmă validitatea numărului unic și a semnăturii electronice.</w:t>
      </w:r>
    </w:p>
    <w:p w14:paraId="14BC2B5D" w14:textId="6321CE6E" w:rsidR="00F13435" w:rsidRDefault="00F13435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firstLine="360"/>
        <w:jc w:val="both"/>
      </w:pPr>
      <w:r>
        <w:t xml:space="preserve"> Data și numărul de înregistrare atribuite de SI RLTG reprezintă momentul oficial al înregistrării și conferă documentului caracter de act tehnic oficial.</w:t>
      </w:r>
    </w:p>
    <w:p w14:paraId="33F3ADAA" w14:textId="570A816E" w:rsidR="00F13435" w:rsidRDefault="00F13435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firstLine="360"/>
        <w:jc w:val="both"/>
      </w:pPr>
      <w:r>
        <w:t xml:space="preserve"> Datele și documentele înregistrate se arhivează automat în format electronic în cadrul SI RLTG, în conformitate cu legislația privind arhiva electronică de stat.</w:t>
      </w:r>
    </w:p>
    <w:p w14:paraId="69659E2B" w14:textId="0D55BAB0" w:rsidR="00F13435" w:rsidRDefault="00F13435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firstLine="360"/>
        <w:jc w:val="both"/>
      </w:pPr>
      <w:r>
        <w:t xml:space="preserve"> Refuzul de înregistrare poate fi contestat la Comisia de contestare instituită conform Hotărârii Guvernului nr. 118/2025, în termen de </w:t>
      </w:r>
      <w:r w:rsidR="00760E3C">
        <w:t>10</w:t>
      </w:r>
      <w:r>
        <w:t xml:space="preserve"> zile lucrătoare de la data comunicării.</w:t>
      </w:r>
    </w:p>
    <w:p w14:paraId="2CD6B56F" w14:textId="5DDDC3E2" w:rsidR="00FA3F67" w:rsidRDefault="00F13435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  <w:tab w:val="left" w:pos="1080"/>
        </w:tabs>
        <w:spacing w:line="360" w:lineRule="auto"/>
        <w:ind w:firstLine="360"/>
        <w:jc w:val="both"/>
      </w:pPr>
      <w:r>
        <w:t xml:space="preserve"> Hotărârea Comisiei de contestare este definitivă la nivelul procedurii administrative și poate fi </w:t>
      </w:r>
      <w:r w:rsidR="007D5073">
        <w:t xml:space="preserve">contestată </w:t>
      </w:r>
      <w:r>
        <w:t>în instanța de judecată, conform legislației în vigoare.</w:t>
      </w:r>
    </w:p>
    <w:p w14:paraId="5B8C32C2" w14:textId="77777777" w:rsidR="00760E3C" w:rsidRPr="004F1AFF" w:rsidRDefault="00760E3C" w:rsidP="00760E3C">
      <w:pPr>
        <w:spacing w:line="360" w:lineRule="auto"/>
        <w:contextualSpacing/>
        <w:jc w:val="center"/>
        <w:rPr>
          <w:b/>
          <w:bCs/>
        </w:rPr>
      </w:pPr>
      <w:r w:rsidRPr="004F1AFF">
        <w:rPr>
          <w:b/>
          <w:bCs/>
        </w:rPr>
        <w:t>Capitolul IV</w:t>
      </w:r>
    </w:p>
    <w:p w14:paraId="2C841558" w14:textId="77777777" w:rsidR="00760E3C" w:rsidRPr="004F1AFF" w:rsidRDefault="00760E3C" w:rsidP="00760E3C">
      <w:pPr>
        <w:spacing w:line="360" w:lineRule="auto"/>
        <w:contextualSpacing/>
        <w:jc w:val="center"/>
        <w:rPr>
          <w:b/>
          <w:bCs/>
        </w:rPr>
      </w:pPr>
      <w:r w:rsidRPr="004F1AFF">
        <w:rPr>
          <w:b/>
          <w:bCs/>
        </w:rPr>
        <w:t>DISPOZIȚII FINALE</w:t>
      </w:r>
    </w:p>
    <w:p w14:paraId="6A19A6BC" w14:textId="77777777" w:rsidR="00760E3C" w:rsidRDefault="00760E3C" w:rsidP="00760E3C">
      <w:pPr>
        <w:tabs>
          <w:tab w:val="left" w:pos="270"/>
          <w:tab w:val="left" w:pos="900"/>
        </w:tabs>
        <w:spacing w:line="360" w:lineRule="auto"/>
        <w:jc w:val="both"/>
      </w:pPr>
    </w:p>
    <w:p w14:paraId="2DBAB4FF" w14:textId="74633B4E" w:rsidR="00760E3C" w:rsidRDefault="00AE30A0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</w:tabs>
        <w:spacing w:line="360" w:lineRule="auto"/>
        <w:ind w:left="0" w:firstLine="360"/>
        <w:jc w:val="both"/>
      </w:pPr>
      <w:r w:rsidRPr="00AE30A0">
        <w:t>În temeiul art. 3</w:t>
      </w:r>
      <w:r w:rsidRPr="00AE30A0">
        <w:rPr>
          <w:vertAlign w:val="superscript"/>
        </w:rPr>
        <w:t>2</w:t>
      </w:r>
      <w:r w:rsidRPr="00AE30A0">
        <w:t xml:space="preserve"> alin. (1) din Legea nr. 778/2001, lucrările topografo-geodezice se înregistrează obligatoriu în Registrul de stat al lucrărilor topogeodezice.</w:t>
      </w:r>
    </w:p>
    <w:p w14:paraId="22E79428" w14:textId="0632B281" w:rsidR="00760E3C" w:rsidRDefault="00AE30A0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</w:tabs>
        <w:spacing w:line="360" w:lineRule="auto"/>
        <w:ind w:left="0" w:firstLine="360"/>
        <w:jc w:val="both"/>
      </w:pPr>
      <w:r>
        <w:t>Planurile</w:t>
      </w:r>
      <w:r w:rsidRPr="00AE30A0">
        <w:t xml:space="preserve"> </w:t>
      </w:r>
      <w:r>
        <w:t>topografice</w:t>
      </w:r>
      <w:r w:rsidRPr="00AE30A0">
        <w:t xml:space="preserve"> neînregistrate în SI RLTG nu se consideră valabile și nu pot produce efecte tehnice sau juridice în procesul de proiectare, autorizare, execuție sau dare în exploatare.</w:t>
      </w:r>
    </w:p>
    <w:p w14:paraId="4E081D97" w14:textId="1FB09743" w:rsidR="00852F5D" w:rsidRDefault="00852F5D" w:rsidP="00852F5D">
      <w:pPr>
        <w:pStyle w:val="af1"/>
        <w:numPr>
          <w:ilvl w:val="0"/>
          <w:numId w:val="20"/>
        </w:numPr>
        <w:tabs>
          <w:tab w:val="left" w:pos="270"/>
          <w:tab w:val="left" w:pos="900"/>
        </w:tabs>
        <w:spacing w:line="360" w:lineRule="auto"/>
        <w:ind w:left="0" w:firstLine="360"/>
        <w:jc w:val="both"/>
      </w:pPr>
      <w:r w:rsidRPr="00852F5D">
        <w:t xml:space="preserve"> Autoritățile administrației publice locale de nivelul întâi care operează sau vor opera registre locale ale lucrărilor </w:t>
      </w:r>
      <w:r>
        <w:t>topogeodezice</w:t>
      </w:r>
      <w:r w:rsidRPr="00852F5D">
        <w:t xml:space="preserve"> au obligația de a asigura interoperabilitatea acestora cu SI RLTG, în conformitate cu prevederile Hotăr</w:t>
      </w:r>
      <w:r w:rsidR="007D5073">
        <w:t>â</w:t>
      </w:r>
      <w:r w:rsidRPr="00852F5D">
        <w:t>rii Guvernului nr. 118/2025, și de a notifica posesorul SI RLTG despre implementarea mecanismelor de interoperabilitate.</w:t>
      </w:r>
    </w:p>
    <w:sectPr w:rsidR="00852F5D" w:rsidSect="00E32BAF"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189"/>
    <w:multiLevelType w:val="multilevel"/>
    <w:tmpl w:val="04C93189"/>
    <w:lvl w:ilvl="0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5E603E"/>
    <w:multiLevelType w:val="hybridMultilevel"/>
    <w:tmpl w:val="CEF28F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01027C"/>
    <w:multiLevelType w:val="multilevel"/>
    <w:tmpl w:val="3AF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44D9C"/>
    <w:multiLevelType w:val="multilevel"/>
    <w:tmpl w:val="5EF4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F0E99"/>
    <w:multiLevelType w:val="multilevel"/>
    <w:tmpl w:val="FBA45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055EA8"/>
    <w:multiLevelType w:val="multilevel"/>
    <w:tmpl w:val="43055E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3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6132FE"/>
    <w:multiLevelType w:val="multilevel"/>
    <w:tmpl w:val="3AF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C54F6"/>
    <w:multiLevelType w:val="multilevel"/>
    <w:tmpl w:val="32BA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A6160"/>
    <w:multiLevelType w:val="multilevel"/>
    <w:tmpl w:val="BE38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E30C8"/>
    <w:multiLevelType w:val="multilevel"/>
    <w:tmpl w:val="3AFE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BC2096"/>
    <w:multiLevelType w:val="hybridMultilevel"/>
    <w:tmpl w:val="A208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84FCE"/>
    <w:multiLevelType w:val="multilevel"/>
    <w:tmpl w:val="3AF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40ECD"/>
    <w:multiLevelType w:val="multilevel"/>
    <w:tmpl w:val="E108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9D5365"/>
    <w:multiLevelType w:val="multilevel"/>
    <w:tmpl w:val="3AF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42E7D"/>
    <w:multiLevelType w:val="multilevel"/>
    <w:tmpl w:val="6FA42E7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F06D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776331"/>
    <w:multiLevelType w:val="multilevel"/>
    <w:tmpl w:val="43055E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3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441A8E"/>
    <w:multiLevelType w:val="multilevel"/>
    <w:tmpl w:val="3AF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8524F"/>
    <w:multiLevelType w:val="hybridMultilevel"/>
    <w:tmpl w:val="9D3231C4"/>
    <w:lvl w:ilvl="0" w:tplc="817E6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A93949"/>
    <w:multiLevelType w:val="multilevel"/>
    <w:tmpl w:val="DE6E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559443">
    <w:abstractNumId w:val="5"/>
  </w:num>
  <w:num w:numId="2" w16cid:durableId="1250650343">
    <w:abstractNumId w:val="0"/>
  </w:num>
  <w:num w:numId="3" w16cid:durableId="1431510454">
    <w:abstractNumId w:val="14"/>
  </w:num>
  <w:num w:numId="4" w16cid:durableId="1406102824">
    <w:abstractNumId w:val="18"/>
  </w:num>
  <w:num w:numId="5" w16cid:durableId="188446298">
    <w:abstractNumId w:val="9"/>
  </w:num>
  <w:num w:numId="6" w16cid:durableId="26220186">
    <w:abstractNumId w:val="16"/>
  </w:num>
  <w:num w:numId="7" w16cid:durableId="1503004415">
    <w:abstractNumId w:val="10"/>
  </w:num>
  <w:num w:numId="8" w16cid:durableId="757945113">
    <w:abstractNumId w:val="4"/>
  </w:num>
  <w:num w:numId="9" w16cid:durableId="1158153290">
    <w:abstractNumId w:val="13"/>
  </w:num>
  <w:num w:numId="10" w16cid:durableId="2009938692">
    <w:abstractNumId w:val="11"/>
  </w:num>
  <w:num w:numId="11" w16cid:durableId="2027244632">
    <w:abstractNumId w:val="6"/>
  </w:num>
  <w:num w:numId="12" w16cid:durableId="1126659516">
    <w:abstractNumId w:val="1"/>
  </w:num>
  <w:num w:numId="13" w16cid:durableId="2022393793">
    <w:abstractNumId w:val="2"/>
  </w:num>
  <w:num w:numId="14" w16cid:durableId="2088533391">
    <w:abstractNumId w:val="17"/>
  </w:num>
  <w:num w:numId="15" w16cid:durableId="475029558">
    <w:abstractNumId w:val="3"/>
  </w:num>
  <w:num w:numId="16" w16cid:durableId="939875836">
    <w:abstractNumId w:val="12"/>
  </w:num>
  <w:num w:numId="17" w16cid:durableId="749697122">
    <w:abstractNumId w:val="8"/>
  </w:num>
  <w:num w:numId="18" w16cid:durableId="1856113454">
    <w:abstractNumId w:val="19"/>
  </w:num>
  <w:num w:numId="19" w16cid:durableId="863320801">
    <w:abstractNumId w:val="7"/>
  </w:num>
  <w:num w:numId="20" w16cid:durableId="1434788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00"/>
    <w:rsid w:val="00006A4F"/>
    <w:rsid w:val="00017AAC"/>
    <w:rsid w:val="0003367B"/>
    <w:rsid w:val="00046198"/>
    <w:rsid w:val="00047647"/>
    <w:rsid w:val="00062269"/>
    <w:rsid w:val="000671C4"/>
    <w:rsid w:val="00071C96"/>
    <w:rsid w:val="0007643F"/>
    <w:rsid w:val="00077C01"/>
    <w:rsid w:val="00080CC1"/>
    <w:rsid w:val="000A45F0"/>
    <w:rsid w:val="000A7E3C"/>
    <w:rsid w:val="000B2E3F"/>
    <w:rsid w:val="000B39EB"/>
    <w:rsid w:val="000C54EB"/>
    <w:rsid w:val="000D28A4"/>
    <w:rsid w:val="000E2E45"/>
    <w:rsid w:val="000E6F3A"/>
    <w:rsid w:val="000F22DB"/>
    <w:rsid w:val="000F5772"/>
    <w:rsid w:val="001045E4"/>
    <w:rsid w:val="00106733"/>
    <w:rsid w:val="001072CE"/>
    <w:rsid w:val="00107858"/>
    <w:rsid w:val="00112FDA"/>
    <w:rsid w:val="00115A7C"/>
    <w:rsid w:val="00115D77"/>
    <w:rsid w:val="00142914"/>
    <w:rsid w:val="00144218"/>
    <w:rsid w:val="0016036D"/>
    <w:rsid w:val="00161174"/>
    <w:rsid w:val="0016249D"/>
    <w:rsid w:val="001646C6"/>
    <w:rsid w:val="001731B9"/>
    <w:rsid w:val="00183120"/>
    <w:rsid w:val="00184FBA"/>
    <w:rsid w:val="00187361"/>
    <w:rsid w:val="00194130"/>
    <w:rsid w:val="001962DE"/>
    <w:rsid w:val="001B3241"/>
    <w:rsid w:val="001D1A66"/>
    <w:rsid w:val="001D47D4"/>
    <w:rsid w:val="001F01FB"/>
    <w:rsid w:val="001F062F"/>
    <w:rsid w:val="001F07F8"/>
    <w:rsid w:val="00200B9E"/>
    <w:rsid w:val="002011CD"/>
    <w:rsid w:val="00214C52"/>
    <w:rsid w:val="002206C6"/>
    <w:rsid w:val="00227E53"/>
    <w:rsid w:val="00232F24"/>
    <w:rsid w:val="002542EE"/>
    <w:rsid w:val="0025447E"/>
    <w:rsid w:val="00265AF7"/>
    <w:rsid w:val="00272A6F"/>
    <w:rsid w:val="00274117"/>
    <w:rsid w:val="00275622"/>
    <w:rsid w:val="00281E48"/>
    <w:rsid w:val="00284BF5"/>
    <w:rsid w:val="002A08A8"/>
    <w:rsid w:val="002A0926"/>
    <w:rsid w:val="002A32C7"/>
    <w:rsid w:val="002A77DD"/>
    <w:rsid w:val="002B1AD6"/>
    <w:rsid w:val="002B56FC"/>
    <w:rsid w:val="002C46C5"/>
    <w:rsid w:val="002C50D0"/>
    <w:rsid w:val="002D41E6"/>
    <w:rsid w:val="002D4528"/>
    <w:rsid w:val="002D52FA"/>
    <w:rsid w:val="002E68C1"/>
    <w:rsid w:val="002F00F1"/>
    <w:rsid w:val="00303410"/>
    <w:rsid w:val="00306BC5"/>
    <w:rsid w:val="00313D14"/>
    <w:rsid w:val="00314F05"/>
    <w:rsid w:val="00320100"/>
    <w:rsid w:val="003211D7"/>
    <w:rsid w:val="00336443"/>
    <w:rsid w:val="00336AED"/>
    <w:rsid w:val="0035213F"/>
    <w:rsid w:val="003647AA"/>
    <w:rsid w:val="00372695"/>
    <w:rsid w:val="00383B2D"/>
    <w:rsid w:val="00385F65"/>
    <w:rsid w:val="00387A63"/>
    <w:rsid w:val="0039111C"/>
    <w:rsid w:val="00391761"/>
    <w:rsid w:val="00391B60"/>
    <w:rsid w:val="003A2CBC"/>
    <w:rsid w:val="003A2CC1"/>
    <w:rsid w:val="003A544F"/>
    <w:rsid w:val="003A5912"/>
    <w:rsid w:val="003B2C79"/>
    <w:rsid w:val="003B450D"/>
    <w:rsid w:val="003B5C83"/>
    <w:rsid w:val="003C78EA"/>
    <w:rsid w:val="003D02D0"/>
    <w:rsid w:val="003D05AC"/>
    <w:rsid w:val="003D3A45"/>
    <w:rsid w:val="003D4CB5"/>
    <w:rsid w:val="003F6E12"/>
    <w:rsid w:val="00401C52"/>
    <w:rsid w:val="00404393"/>
    <w:rsid w:val="0041116A"/>
    <w:rsid w:val="004115A5"/>
    <w:rsid w:val="00426F9D"/>
    <w:rsid w:val="00434EF1"/>
    <w:rsid w:val="00440C76"/>
    <w:rsid w:val="00440F42"/>
    <w:rsid w:val="00442E0F"/>
    <w:rsid w:val="00452C44"/>
    <w:rsid w:val="00454DDE"/>
    <w:rsid w:val="004552E5"/>
    <w:rsid w:val="004610BF"/>
    <w:rsid w:val="00473AE8"/>
    <w:rsid w:val="00481D18"/>
    <w:rsid w:val="00486B38"/>
    <w:rsid w:val="004872F1"/>
    <w:rsid w:val="004A5ABD"/>
    <w:rsid w:val="004B143E"/>
    <w:rsid w:val="004B36BA"/>
    <w:rsid w:val="004D2A79"/>
    <w:rsid w:val="004D30AA"/>
    <w:rsid w:val="004D54EE"/>
    <w:rsid w:val="004D7A89"/>
    <w:rsid w:val="004F1AFF"/>
    <w:rsid w:val="004F3025"/>
    <w:rsid w:val="005004EE"/>
    <w:rsid w:val="00500E95"/>
    <w:rsid w:val="00515E38"/>
    <w:rsid w:val="0052287E"/>
    <w:rsid w:val="00531381"/>
    <w:rsid w:val="00531996"/>
    <w:rsid w:val="0054398A"/>
    <w:rsid w:val="00560805"/>
    <w:rsid w:val="00560ABD"/>
    <w:rsid w:val="00563AD6"/>
    <w:rsid w:val="00564429"/>
    <w:rsid w:val="005712B7"/>
    <w:rsid w:val="005805E0"/>
    <w:rsid w:val="005A752B"/>
    <w:rsid w:val="005B5AB8"/>
    <w:rsid w:val="005C25B1"/>
    <w:rsid w:val="005D18E3"/>
    <w:rsid w:val="005E3C47"/>
    <w:rsid w:val="005E7483"/>
    <w:rsid w:val="005F3A70"/>
    <w:rsid w:val="00603AE1"/>
    <w:rsid w:val="0061113E"/>
    <w:rsid w:val="0061446F"/>
    <w:rsid w:val="00637181"/>
    <w:rsid w:val="006501FA"/>
    <w:rsid w:val="00651750"/>
    <w:rsid w:val="00661290"/>
    <w:rsid w:val="00680610"/>
    <w:rsid w:val="00682B01"/>
    <w:rsid w:val="00686960"/>
    <w:rsid w:val="006906EA"/>
    <w:rsid w:val="00691B12"/>
    <w:rsid w:val="006928D8"/>
    <w:rsid w:val="006C4E1D"/>
    <w:rsid w:val="006C5962"/>
    <w:rsid w:val="006D490A"/>
    <w:rsid w:val="006E275E"/>
    <w:rsid w:val="006E4E32"/>
    <w:rsid w:val="00707856"/>
    <w:rsid w:val="00707F36"/>
    <w:rsid w:val="0071560A"/>
    <w:rsid w:val="00715D7E"/>
    <w:rsid w:val="00725C93"/>
    <w:rsid w:val="007303CB"/>
    <w:rsid w:val="00730D90"/>
    <w:rsid w:val="00753435"/>
    <w:rsid w:val="00760E3C"/>
    <w:rsid w:val="00766052"/>
    <w:rsid w:val="007731C8"/>
    <w:rsid w:val="00786EFD"/>
    <w:rsid w:val="00787952"/>
    <w:rsid w:val="00797856"/>
    <w:rsid w:val="007A38C2"/>
    <w:rsid w:val="007A7E01"/>
    <w:rsid w:val="007B0575"/>
    <w:rsid w:val="007C36F7"/>
    <w:rsid w:val="007C4297"/>
    <w:rsid w:val="007D0820"/>
    <w:rsid w:val="007D5073"/>
    <w:rsid w:val="007D647B"/>
    <w:rsid w:val="007E0A5E"/>
    <w:rsid w:val="007F3E94"/>
    <w:rsid w:val="00802906"/>
    <w:rsid w:val="00806222"/>
    <w:rsid w:val="0082209F"/>
    <w:rsid w:val="0082231B"/>
    <w:rsid w:val="0082791F"/>
    <w:rsid w:val="008303EE"/>
    <w:rsid w:val="008322E0"/>
    <w:rsid w:val="008323BC"/>
    <w:rsid w:val="00834448"/>
    <w:rsid w:val="00847772"/>
    <w:rsid w:val="00851297"/>
    <w:rsid w:val="00851901"/>
    <w:rsid w:val="00852F5D"/>
    <w:rsid w:val="00863FA7"/>
    <w:rsid w:val="00870871"/>
    <w:rsid w:val="00870B0F"/>
    <w:rsid w:val="00870DCB"/>
    <w:rsid w:val="0087631B"/>
    <w:rsid w:val="00876B78"/>
    <w:rsid w:val="008836A2"/>
    <w:rsid w:val="00886F7C"/>
    <w:rsid w:val="008A21C5"/>
    <w:rsid w:val="008B2D72"/>
    <w:rsid w:val="008C49BA"/>
    <w:rsid w:val="008C4CE9"/>
    <w:rsid w:val="008C50C5"/>
    <w:rsid w:val="008C623F"/>
    <w:rsid w:val="008C6B0C"/>
    <w:rsid w:val="008D34C8"/>
    <w:rsid w:val="008E1541"/>
    <w:rsid w:val="008E27EF"/>
    <w:rsid w:val="008F15EF"/>
    <w:rsid w:val="008F1F09"/>
    <w:rsid w:val="008F3935"/>
    <w:rsid w:val="008F7777"/>
    <w:rsid w:val="00902BFA"/>
    <w:rsid w:val="009061AF"/>
    <w:rsid w:val="00907712"/>
    <w:rsid w:val="009160FA"/>
    <w:rsid w:val="009301A3"/>
    <w:rsid w:val="00940111"/>
    <w:rsid w:val="00942189"/>
    <w:rsid w:val="00942B70"/>
    <w:rsid w:val="00944193"/>
    <w:rsid w:val="00950007"/>
    <w:rsid w:val="00952461"/>
    <w:rsid w:val="009533EB"/>
    <w:rsid w:val="00953862"/>
    <w:rsid w:val="00956575"/>
    <w:rsid w:val="00956FFE"/>
    <w:rsid w:val="00971BB2"/>
    <w:rsid w:val="009729A7"/>
    <w:rsid w:val="00975F54"/>
    <w:rsid w:val="00977D5B"/>
    <w:rsid w:val="00980A74"/>
    <w:rsid w:val="009811FE"/>
    <w:rsid w:val="009834C2"/>
    <w:rsid w:val="00985E33"/>
    <w:rsid w:val="00987D6C"/>
    <w:rsid w:val="00991EB4"/>
    <w:rsid w:val="009A1C67"/>
    <w:rsid w:val="009A6D5E"/>
    <w:rsid w:val="009B3125"/>
    <w:rsid w:val="009C10B5"/>
    <w:rsid w:val="009C1F4D"/>
    <w:rsid w:val="009C3FC5"/>
    <w:rsid w:val="009D6B58"/>
    <w:rsid w:val="009E1D19"/>
    <w:rsid w:val="009E7753"/>
    <w:rsid w:val="009F053F"/>
    <w:rsid w:val="00A01AB3"/>
    <w:rsid w:val="00A25223"/>
    <w:rsid w:val="00A32403"/>
    <w:rsid w:val="00A33C83"/>
    <w:rsid w:val="00A42878"/>
    <w:rsid w:val="00A53449"/>
    <w:rsid w:val="00A603CF"/>
    <w:rsid w:val="00A645EE"/>
    <w:rsid w:val="00A71A65"/>
    <w:rsid w:val="00A7260E"/>
    <w:rsid w:val="00A75AF2"/>
    <w:rsid w:val="00A75F6E"/>
    <w:rsid w:val="00A801C7"/>
    <w:rsid w:val="00A97813"/>
    <w:rsid w:val="00AA1619"/>
    <w:rsid w:val="00AB7A62"/>
    <w:rsid w:val="00AD151F"/>
    <w:rsid w:val="00AD55D3"/>
    <w:rsid w:val="00AE30A0"/>
    <w:rsid w:val="00AE3981"/>
    <w:rsid w:val="00AE5A7F"/>
    <w:rsid w:val="00AE5D43"/>
    <w:rsid w:val="00AE7E18"/>
    <w:rsid w:val="00AF3F5F"/>
    <w:rsid w:val="00AF41DC"/>
    <w:rsid w:val="00AF68BA"/>
    <w:rsid w:val="00AF6A0E"/>
    <w:rsid w:val="00B053B2"/>
    <w:rsid w:val="00B1452E"/>
    <w:rsid w:val="00B1496E"/>
    <w:rsid w:val="00B15D25"/>
    <w:rsid w:val="00B24C88"/>
    <w:rsid w:val="00B268FB"/>
    <w:rsid w:val="00B46677"/>
    <w:rsid w:val="00B540F3"/>
    <w:rsid w:val="00B63F80"/>
    <w:rsid w:val="00B72D67"/>
    <w:rsid w:val="00B7657D"/>
    <w:rsid w:val="00B805E5"/>
    <w:rsid w:val="00B82D24"/>
    <w:rsid w:val="00B91D6D"/>
    <w:rsid w:val="00BA264A"/>
    <w:rsid w:val="00BA5037"/>
    <w:rsid w:val="00BB06C5"/>
    <w:rsid w:val="00BB247D"/>
    <w:rsid w:val="00BD2FF7"/>
    <w:rsid w:val="00BD4AE5"/>
    <w:rsid w:val="00BD4CC8"/>
    <w:rsid w:val="00BE1859"/>
    <w:rsid w:val="00BE5601"/>
    <w:rsid w:val="00BF300F"/>
    <w:rsid w:val="00BF59CA"/>
    <w:rsid w:val="00BF69C7"/>
    <w:rsid w:val="00C15C62"/>
    <w:rsid w:val="00C22D0C"/>
    <w:rsid w:val="00C377DF"/>
    <w:rsid w:val="00C46EDE"/>
    <w:rsid w:val="00C56A86"/>
    <w:rsid w:val="00C635BE"/>
    <w:rsid w:val="00C70564"/>
    <w:rsid w:val="00C74694"/>
    <w:rsid w:val="00C81468"/>
    <w:rsid w:val="00C83174"/>
    <w:rsid w:val="00C84EA8"/>
    <w:rsid w:val="00CA31B6"/>
    <w:rsid w:val="00CA70BB"/>
    <w:rsid w:val="00CC1162"/>
    <w:rsid w:val="00CD05A1"/>
    <w:rsid w:val="00CD3DE9"/>
    <w:rsid w:val="00CD4821"/>
    <w:rsid w:val="00CD4C6E"/>
    <w:rsid w:val="00CD58A3"/>
    <w:rsid w:val="00CD6981"/>
    <w:rsid w:val="00CE2EB2"/>
    <w:rsid w:val="00CF0EEE"/>
    <w:rsid w:val="00CF2239"/>
    <w:rsid w:val="00CF73FC"/>
    <w:rsid w:val="00D077C3"/>
    <w:rsid w:val="00D1146B"/>
    <w:rsid w:val="00D12918"/>
    <w:rsid w:val="00D13EF4"/>
    <w:rsid w:val="00D1589C"/>
    <w:rsid w:val="00D167E2"/>
    <w:rsid w:val="00D207E6"/>
    <w:rsid w:val="00D353A2"/>
    <w:rsid w:val="00D41D42"/>
    <w:rsid w:val="00D42731"/>
    <w:rsid w:val="00D5483A"/>
    <w:rsid w:val="00D57897"/>
    <w:rsid w:val="00D7388C"/>
    <w:rsid w:val="00D75D8A"/>
    <w:rsid w:val="00D871E1"/>
    <w:rsid w:val="00D905D2"/>
    <w:rsid w:val="00D90601"/>
    <w:rsid w:val="00D92BC5"/>
    <w:rsid w:val="00D93543"/>
    <w:rsid w:val="00DA2C79"/>
    <w:rsid w:val="00DB3A11"/>
    <w:rsid w:val="00DC1A19"/>
    <w:rsid w:val="00DC512E"/>
    <w:rsid w:val="00DC719A"/>
    <w:rsid w:val="00DC7CC2"/>
    <w:rsid w:val="00DD1A8C"/>
    <w:rsid w:val="00DD3256"/>
    <w:rsid w:val="00DD3C7B"/>
    <w:rsid w:val="00DD58D9"/>
    <w:rsid w:val="00DD6399"/>
    <w:rsid w:val="00DE68E3"/>
    <w:rsid w:val="00DF4D14"/>
    <w:rsid w:val="00E06143"/>
    <w:rsid w:val="00E11C64"/>
    <w:rsid w:val="00E12064"/>
    <w:rsid w:val="00E206A9"/>
    <w:rsid w:val="00E20BDA"/>
    <w:rsid w:val="00E21ACD"/>
    <w:rsid w:val="00E25566"/>
    <w:rsid w:val="00E25E14"/>
    <w:rsid w:val="00E27015"/>
    <w:rsid w:val="00E32BAF"/>
    <w:rsid w:val="00E43E1E"/>
    <w:rsid w:val="00E458CD"/>
    <w:rsid w:val="00E463E4"/>
    <w:rsid w:val="00E5198C"/>
    <w:rsid w:val="00E52465"/>
    <w:rsid w:val="00E5321F"/>
    <w:rsid w:val="00E54B6E"/>
    <w:rsid w:val="00E5570E"/>
    <w:rsid w:val="00E62433"/>
    <w:rsid w:val="00E62773"/>
    <w:rsid w:val="00E62FFE"/>
    <w:rsid w:val="00E73B17"/>
    <w:rsid w:val="00E74C7A"/>
    <w:rsid w:val="00E82372"/>
    <w:rsid w:val="00E851B1"/>
    <w:rsid w:val="00E85F88"/>
    <w:rsid w:val="00E86653"/>
    <w:rsid w:val="00E935A3"/>
    <w:rsid w:val="00EA5A9C"/>
    <w:rsid w:val="00EB0F77"/>
    <w:rsid w:val="00EB1C63"/>
    <w:rsid w:val="00EB54D0"/>
    <w:rsid w:val="00EC36CF"/>
    <w:rsid w:val="00EC4A6B"/>
    <w:rsid w:val="00EC79F6"/>
    <w:rsid w:val="00EE107F"/>
    <w:rsid w:val="00EE2327"/>
    <w:rsid w:val="00EE45B6"/>
    <w:rsid w:val="00EF2C38"/>
    <w:rsid w:val="00EF3A96"/>
    <w:rsid w:val="00F00AEC"/>
    <w:rsid w:val="00F034BD"/>
    <w:rsid w:val="00F03658"/>
    <w:rsid w:val="00F13435"/>
    <w:rsid w:val="00F23A1E"/>
    <w:rsid w:val="00F271CB"/>
    <w:rsid w:val="00F3330B"/>
    <w:rsid w:val="00F546F5"/>
    <w:rsid w:val="00F57638"/>
    <w:rsid w:val="00F704F8"/>
    <w:rsid w:val="00F755FE"/>
    <w:rsid w:val="00F762C4"/>
    <w:rsid w:val="00F76953"/>
    <w:rsid w:val="00F86800"/>
    <w:rsid w:val="00F97553"/>
    <w:rsid w:val="00FA3F67"/>
    <w:rsid w:val="00FB1490"/>
    <w:rsid w:val="00FB7E56"/>
    <w:rsid w:val="00FE144B"/>
    <w:rsid w:val="00FE235F"/>
    <w:rsid w:val="00FE47EB"/>
    <w:rsid w:val="00FE6A26"/>
    <w:rsid w:val="00FF00B9"/>
    <w:rsid w:val="00FF21E5"/>
    <w:rsid w:val="00FF50F0"/>
    <w:rsid w:val="00FF5EA2"/>
    <w:rsid w:val="3DFD5DB2"/>
    <w:rsid w:val="7515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B2813"/>
  <w15:docId w15:val="{1D17F3D2-0818-4069-BC33-FBEC01A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MD" w:eastAsia="ru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o-RO" w:eastAsia="ja-JP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2694"/>
        <w:tab w:val="left" w:pos="3544"/>
        <w:tab w:val="left" w:pos="3686"/>
        <w:tab w:val="left" w:pos="4678"/>
      </w:tabs>
      <w:jc w:val="center"/>
      <w:outlineLvl w:val="1"/>
    </w:pPr>
    <w:rPr>
      <w:rFonts w:eastAsia="Times New Roman"/>
      <w:b/>
      <w:i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45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pPr>
      <w:spacing w:before="120" w:after="120"/>
      <w:ind w:firstLine="340"/>
    </w:pPr>
    <w:rPr>
      <w:rFonts w:eastAsia="Times New Roman"/>
      <w:szCs w:val="20"/>
      <w:lang w:val="en-US" w:eastAsia="de-DE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styleId="a9">
    <w:name w:val="Emphasis"/>
    <w:qFormat/>
    <w:rPr>
      <w:i/>
      <w:iCs/>
    </w:rPr>
  </w:style>
  <w:style w:type="paragraph" w:styleId="aa">
    <w:name w:val="header"/>
    <w:basedOn w:val="a"/>
    <w:link w:val="ab"/>
    <w:unhideWhenUsed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paragraph" w:styleId="ad">
    <w:name w:val="Normal (Web)"/>
    <w:basedOn w:val="a"/>
    <w:uiPriority w:val="99"/>
    <w:unhideWhenUsed/>
    <w:pPr>
      <w:ind w:firstLine="567"/>
      <w:jc w:val="both"/>
    </w:pPr>
    <w:rPr>
      <w:rFonts w:eastAsia="Times New Roman"/>
      <w:lang w:eastAsia="ru-RU"/>
    </w:rPr>
  </w:style>
  <w:style w:type="character" w:styleId="ae">
    <w:name w:val="Strong"/>
    <w:uiPriority w:val="22"/>
    <w:qFormat/>
    <w:rPr>
      <w:b/>
      <w:bCs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</w:style>
  <w:style w:type="paragraph" w:customStyle="1" w:styleId="cp">
    <w:name w:val="cp"/>
    <w:basedOn w:val="a"/>
    <w:uiPriority w:val="99"/>
    <w:semiHidden/>
    <w:pPr>
      <w:jc w:val="center"/>
    </w:pPr>
    <w:rPr>
      <w:rFonts w:eastAsia="Times New Roman"/>
      <w:b/>
      <w:bCs/>
      <w:lang w:eastAsia="ru-RU"/>
    </w:rPr>
  </w:style>
  <w:style w:type="paragraph" w:customStyle="1" w:styleId="cb">
    <w:name w:val="cb"/>
    <w:basedOn w:val="a"/>
    <w:uiPriority w:val="99"/>
    <w:semiHidden/>
    <w:pPr>
      <w:jc w:val="center"/>
    </w:pPr>
    <w:rPr>
      <w:rFonts w:eastAsia="Times New Roman"/>
      <w:b/>
      <w:bCs/>
      <w:lang w:eastAsia="ru-RU"/>
    </w:rPr>
  </w:style>
  <w:style w:type="paragraph" w:customStyle="1" w:styleId="tt">
    <w:name w:val="tt"/>
    <w:basedOn w:val="a"/>
    <w:uiPriority w:val="99"/>
    <w:semiHidden/>
    <w:pPr>
      <w:jc w:val="center"/>
    </w:pPr>
    <w:rPr>
      <w:rFonts w:eastAsia="Times New Roman"/>
      <w:b/>
      <w:bCs/>
      <w:lang w:eastAsia="ru-RU"/>
    </w:rPr>
  </w:style>
  <w:style w:type="paragraph" w:customStyle="1" w:styleId="pb">
    <w:name w:val="pb"/>
    <w:basedOn w:val="a"/>
    <w:uiPriority w:val="99"/>
    <w:semiHidden/>
    <w:pPr>
      <w:jc w:val="center"/>
    </w:pPr>
    <w:rPr>
      <w:rFonts w:eastAsia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pPr>
      <w:jc w:val="center"/>
    </w:pPr>
    <w:rPr>
      <w:rFonts w:eastAsia="Times New Roman"/>
      <w:lang w:eastAsia="ru-RU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Pr>
      <w:rFonts w:eastAsia="Times New Roman"/>
      <w:b/>
      <w:i/>
      <w:sz w:val="24"/>
      <w:lang w:val="ro-RO" w:eastAsia="ru-RU"/>
    </w:rPr>
  </w:style>
  <w:style w:type="character" w:customStyle="1" w:styleId="ab">
    <w:name w:val="Верхний колонтитул Знак"/>
    <w:link w:val="aa"/>
    <w:rPr>
      <w:rFonts w:eastAsia="Times New Roman"/>
      <w:lang w:val="ru-RU" w:eastAsia="ru-RU"/>
    </w:rPr>
  </w:style>
  <w:style w:type="paragraph" w:customStyle="1" w:styleId="BodyText21">
    <w:name w:val="Body Text 21"/>
    <w:basedOn w:val="a"/>
    <w:pPr>
      <w:tabs>
        <w:tab w:val="left" w:pos="1614"/>
      </w:tabs>
      <w:ind w:firstLine="567"/>
    </w:pPr>
    <w:rPr>
      <w:rFonts w:eastAsia="Times New Roman"/>
      <w:szCs w:val="20"/>
      <w:lang w:eastAsia="ru-RU"/>
    </w:rPr>
  </w:style>
  <w:style w:type="character" w:customStyle="1" w:styleId="10">
    <w:name w:val="Заголовок 1 Знак"/>
    <w:link w:val="1"/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  <w:lang w:eastAsia="ja-JP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a6">
    <w:name w:val="Основной текст Знак"/>
    <w:link w:val="a5"/>
    <w:rPr>
      <w:rFonts w:eastAsia="Times New Roman"/>
      <w:sz w:val="24"/>
      <w:lang w:val="en-US" w:eastAsia="de-DE"/>
    </w:rPr>
  </w:style>
  <w:style w:type="character" w:customStyle="1" w:styleId="a8">
    <w:name w:val="Основной текст с отступом Знак"/>
    <w:link w:val="a7"/>
    <w:rPr>
      <w:sz w:val="24"/>
      <w:szCs w:val="24"/>
      <w:lang w:eastAsia="ja-JP"/>
    </w:rPr>
  </w:style>
  <w:style w:type="paragraph" w:styleId="af0">
    <w:name w:val="No Spacing"/>
    <w:uiPriority w:val="1"/>
    <w:qFormat/>
    <w:rPr>
      <w:sz w:val="24"/>
      <w:szCs w:val="24"/>
      <w:lang w:val="ru-RU" w:eastAsia="ja-JP"/>
    </w:rPr>
  </w:style>
  <w:style w:type="character" w:customStyle="1" w:styleId="docheader">
    <w:name w:val="doc_header"/>
    <w:basedOn w:val="a0"/>
  </w:style>
  <w:style w:type="character" w:customStyle="1" w:styleId="apple-converted-space">
    <w:name w:val="apple-converted-space"/>
    <w:basedOn w:val="a0"/>
  </w:style>
  <w:style w:type="character" w:customStyle="1" w:styleId="22">
    <w:name w:val="Основной текст с отступом 2 Знак"/>
    <w:link w:val="21"/>
    <w:rPr>
      <w:sz w:val="24"/>
      <w:szCs w:val="24"/>
      <w:lang w:eastAsia="ja-JP"/>
    </w:rPr>
  </w:style>
  <w:style w:type="paragraph" w:customStyle="1" w:styleId="rg">
    <w:name w:val="rg"/>
    <w:basedOn w:val="a"/>
    <w:uiPriority w:val="99"/>
    <w:pPr>
      <w:jc w:val="right"/>
    </w:pPr>
    <w:rPr>
      <w:rFonts w:eastAsia="Times New Roman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paragraph" w:styleId="af1">
    <w:name w:val="List Paragraph"/>
    <w:aliases w:val="List Paragraph 1,Resume Title"/>
    <w:basedOn w:val="a"/>
    <w:link w:val="af2"/>
    <w:uiPriority w:val="34"/>
    <w:qFormat/>
    <w:pPr>
      <w:ind w:left="720"/>
      <w:contextualSpacing/>
    </w:pPr>
  </w:style>
  <w:style w:type="character" w:styleId="af3">
    <w:name w:val="Unresolved Mention"/>
    <w:basedOn w:val="a0"/>
    <w:uiPriority w:val="99"/>
    <w:semiHidden/>
    <w:unhideWhenUsed/>
    <w:rsid w:val="00E206A9"/>
    <w:rPr>
      <w:color w:val="605E5C"/>
      <w:shd w:val="clear" w:color="auto" w:fill="E1DFDD"/>
    </w:rPr>
  </w:style>
  <w:style w:type="paragraph" w:customStyle="1" w:styleId="ListParagraph1">
    <w:name w:val="List Paragraph1"/>
    <w:basedOn w:val="a"/>
    <w:uiPriority w:val="34"/>
    <w:qFormat/>
    <w:rsid w:val="00EE2327"/>
    <w:pPr>
      <w:spacing w:after="200" w:line="276" w:lineRule="auto"/>
      <w:ind w:left="720"/>
      <w:contextualSpacing/>
    </w:pPr>
    <w:rPr>
      <w:rFonts w:ascii="Calibri" w:eastAsia="Batang" w:hAnsi="Calibri"/>
      <w:sz w:val="22"/>
      <w:szCs w:val="22"/>
      <w:lang w:val="sq-AL" w:eastAsia="en-US"/>
    </w:rPr>
  </w:style>
  <w:style w:type="paragraph" w:styleId="af4">
    <w:name w:val="footer"/>
    <w:basedOn w:val="a"/>
    <w:link w:val="af5"/>
    <w:uiPriority w:val="99"/>
    <w:unhideWhenUsed/>
    <w:rsid w:val="00442E0F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442E0F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af2">
    <w:name w:val="Абзац списка Знак"/>
    <w:aliases w:val="List Paragraph 1 Знак,Resume Title Знак"/>
    <w:basedOn w:val="a0"/>
    <w:link w:val="af1"/>
    <w:uiPriority w:val="34"/>
    <w:locked/>
    <w:rsid w:val="00FE6A26"/>
    <w:rPr>
      <w:sz w:val="24"/>
      <w:szCs w:val="24"/>
      <w:lang w:val="ru-RU" w:eastAsia="ja-JP"/>
    </w:rPr>
  </w:style>
  <w:style w:type="character" w:customStyle="1" w:styleId="30">
    <w:name w:val="Заголовок 3 Знак"/>
    <w:basedOn w:val="a0"/>
    <w:link w:val="3"/>
    <w:semiHidden/>
    <w:rsid w:val="001045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ja-JP"/>
    </w:rPr>
  </w:style>
  <w:style w:type="paragraph" w:styleId="af6">
    <w:name w:val="Revision"/>
    <w:hidden/>
    <w:uiPriority w:val="99"/>
    <w:semiHidden/>
    <w:rsid w:val="007F3E94"/>
    <w:rPr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4EC46-43F4-4FE8-90DD-299DDB3B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NAG</Company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DCBI_ARFC</dc:creator>
  <cp:lastModifiedBy>Olga Stubei</cp:lastModifiedBy>
  <cp:revision>77</cp:revision>
  <cp:lastPrinted>2025-11-04T15:31:00Z</cp:lastPrinted>
  <dcterms:created xsi:type="dcterms:W3CDTF">2024-02-20T06:47:00Z</dcterms:created>
  <dcterms:modified xsi:type="dcterms:W3CDTF">2025-11-12T07:41:00Z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810A8BC46CBD4BD5B2E95CD243C676D7_13</vt:lpwstr>
  </property>
</Properties>
</file>