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DD43" w14:textId="26642CB7" w:rsidR="00D347B4" w:rsidRPr="00785186" w:rsidRDefault="001C5050" w:rsidP="001C505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i/>
          <w:iCs/>
          <w:sz w:val="28"/>
          <w:szCs w:val="28"/>
          <w:lang w:val="ro-MD"/>
        </w:rPr>
        <w:t>Anexa</w:t>
      </w:r>
    </w:p>
    <w:p w14:paraId="29887063" w14:textId="5F7B5D00" w:rsidR="001C5050" w:rsidRPr="00785186" w:rsidRDefault="001C5050" w:rsidP="001C505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i/>
          <w:iCs/>
          <w:sz w:val="28"/>
          <w:szCs w:val="28"/>
          <w:lang w:val="ro-MD"/>
        </w:rPr>
        <w:t>la Ordinul directorului general al AGCC</w:t>
      </w:r>
    </w:p>
    <w:p w14:paraId="467319B1" w14:textId="23A8F7F5" w:rsidR="001C5050" w:rsidRPr="00785186" w:rsidRDefault="001C5050" w:rsidP="001C505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i/>
          <w:iCs/>
          <w:sz w:val="28"/>
          <w:szCs w:val="28"/>
          <w:lang w:val="ro-MD"/>
        </w:rPr>
        <w:t>nr.____ din __________________</w:t>
      </w:r>
    </w:p>
    <w:p w14:paraId="44F33ABC" w14:textId="77777777" w:rsidR="001C5050" w:rsidRPr="00785186" w:rsidRDefault="001C5050" w:rsidP="001C505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</w:p>
    <w:p w14:paraId="095A5764" w14:textId="05E5375C" w:rsidR="001C5050" w:rsidRPr="00785186" w:rsidRDefault="001C5050" w:rsidP="00CE401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INSTRUCȚIUNE</w:t>
      </w:r>
      <w:r w:rsidR="004506D7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A</w:t>
      </w:r>
    </w:p>
    <w:p w14:paraId="1E271B12" w14:textId="28679781" w:rsidR="005C3C13" w:rsidRPr="00785186" w:rsidRDefault="008B19A7" w:rsidP="001C5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pentru</w:t>
      </w:r>
      <w:r w:rsidR="001C5050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5C3C13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prezentare</w:t>
      </w:r>
      <w:r w:rsidR="001C5050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 </w:t>
      </w:r>
      <w:r w:rsidR="00D92296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D</w:t>
      </w:r>
      <w:r w:rsidR="001C5050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ărilor de seamă</w:t>
      </w:r>
      <w:r w:rsidR="00F5405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privind rapoartele </w:t>
      </w: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br/>
      </w:r>
      <w:r w:rsidR="00F5405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de evaluare</w:t>
      </w:r>
      <w:r w:rsidR="001C5050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D92296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întocmite </w:t>
      </w:r>
      <w:r w:rsidR="00CD2FC6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de evaluatorii bunurilor imobile</w:t>
      </w:r>
      <w:r w:rsidR="005C3C13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</w:t>
      </w:r>
    </w:p>
    <w:p w14:paraId="166EC230" w14:textId="1CD1228C" w:rsidR="001C5050" w:rsidRPr="00785186" w:rsidRDefault="005C3C13" w:rsidP="001C5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prin intermediul întreprinderilor de evaluare</w:t>
      </w:r>
    </w:p>
    <w:p w14:paraId="244D75E3" w14:textId="5EB17F4B" w:rsidR="007306D7" w:rsidRPr="00785186" w:rsidRDefault="007306D7" w:rsidP="001C50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5A6D3E21" w14:textId="207DE6FD" w:rsidR="00C149B1" w:rsidRPr="00785186" w:rsidRDefault="00C149B1" w:rsidP="00C149B1">
      <w:pPr>
        <w:pStyle w:val="ListParagraph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DISPOZIȚII GENERALE</w:t>
      </w:r>
    </w:p>
    <w:p w14:paraId="31E14CDA" w14:textId="77777777" w:rsidR="00CD1493" w:rsidRPr="00785186" w:rsidRDefault="00CD1493" w:rsidP="00CD1493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69E374EA" w14:textId="2194D73B" w:rsidR="007306D7" w:rsidRPr="00785186" w:rsidRDefault="008E6CD2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Prezenta instrucțiune</w:t>
      </w:r>
      <w:r w:rsidR="005705D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este elaborată în </w:t>
      </w:r>
      <w:r w:rsidR="00946EA6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temeiul </w:t>
      </w:r>
      <w:r w:rsidR="00EA454D" w:rsidRPr="00785186">
        <w:rPr>
          <w:rFonts w:ascii="Times New Roman" w:hAnsi="Times New Roman" w:cs="Times New Roman"/>
          <w:sz w:val="28"/>
          <w:szCs w:val="28"/>
          <w:lang w:val="ro-MD"/>
        </w:rPr>
        <w:t>art. 20</w:t>
      </w:r>
      <w:r w:rsidR="00EA454D" w:rsidRPr="0078518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="00EA454D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și art. 30 alin</w:t>
      </w:r>
      <w:r w:rsidR="00946EA6" w:rsidRPr="00785186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EA454D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(6) din</w:t>
      </w:r>
      <w:r w:rsidR="005705D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Leg</w:t>
      </w:r>
      <w:r w:rsidR="00EA454D" w:rsidRPr="00785186">
        <w:rPr>
          <w:rFonts w:ascii="Times New Roman" w:hAnsi="Times New Roman" w:cs="Times New Roman"/>
          <w:sz w:val="28"/>
          <w:szCs w:val="28"/>
          <w:lang w:val="ro-MD"/>
        </w:rPr>
        <w:t>ea</w:t>
      </w:r>
      <w:r w:rsidR="005705D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nr.989/2002 cu privire la activitatea de evaluare și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stabilește modul de prezentare a dăr</w:t>
      </w:r>
      <w:r w:rsidR="00FC3C20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ilor de seamă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privind rapoartele de evaluare întocmite de evaluatorii bunurilor imobile</w:t>
      </w:r>
      <w:r w:rsidR="00FC3C20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, prin intermediul întreprinderilor de evaluare </w:t>
      </w:r>
      <w:r w:rsidR="00427B2B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(în continuare – </w:t>
      </w:r>
      <w:r w:rsidR="00427B2B" w:rsidRPr="00785186">
        <w:rPr>
          <w:rFonts w:ascii="Times New Roman" w:hAnsi="Times New Roman" w:cs="Times New Roman"/>
          <w:i/>
          <w:iCs/>
          <w:sz w:val="28"/>
          <w:szCs w:val="28"/>
          <w:lang w:val="ro-MD"/>
        </w:rPr>
        <w:t>Darea de seamă</w:t>
      </w:r>
      <w:r w:rsidR="00427B2B" w:rsidRPr="00785186">
        <w:rPr>
          <w:rFonts w:ascii="Times New Roman" w:hAnsi="Times New Roman" w:cs="Times New Roman"/>
          <w:sz w:val="28"/>
          <w:szCs w:val="28"/>
          <w:lang w:val="ro-MD"/>
        </w:rPr>
        <w:t>)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2A6522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EC35B25" w14:textId="73C4B595" w:rsidR="008E6CD2" w:rsidRPr="00785186" w:rsidRDefault="008E6CD2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Darea de seamă </w:t>
      </w:r>
      <w:r w:rsidR="00276413" w:rsidRPr="00785186">
        <w:rPr>
          <w:rFonts w:ascii="Times New Roman" w:hAnsi="Times New Roman" w:cs="Times New Roman"/>
          <w:sz w:val="28"/>
          <w:szCs w:val="28"/>
          <w:lang w:val="ro-MD"/>
        </w:rPr>
        <w:t>se prezintă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A58DA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în mod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obligatori</w:t>
      </w:r>
      <w:r w:rsidR="00276413" w:rsidRPr="00785186">
        <w:rPr>
          <w:rFonts w:ascii="Times New Roman" w:hAnsi="Times New Roman" w:cs="Times New Roman"/>
          <w:sz w:val="28"/>
          <w:szCs w:val="28"/>
          <w:lang w:val="ro-MD"/>
        </w:rPr>
        <w:t>u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76413" w:rsidRPr="00785186">
        <w:rPr>
          <w:rFonts w:ascii="Times New Roman" w:hAnsi="Times New Roman" w:cs="Times New Roman"/>
          <w:sz w:val="28"/>
          <w:szCs w:val="28"/>
          <w:lang w:val="ro-MD"/>
        </w:rPr>
        <w:t>de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A58DA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către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evaluatorii bunurilor imobile </w:t>
      </w:r>
      <w:r w:rsidR="00103EBA" w:rsidRPr="001C3D81">
        <w:rPr>
          <w:rFonts w:ascii="Times New Roman" w:hAnsi="Times New Roman" w:cs="Times New Roman"/>
          <w:sz w:val="28"/>
          <w:szCs w:val="28"/>
          <w:lang w:val="ro-MD"/>
        </w:rPr>
        <w:t>certificați</w:t>
      </w:r>
      <w:r w:rsidR="00103EB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care desfășoară activitate de evaluare a bunurilor imobile</w:t>
      </w:r>
      <w:r w:rsidR="005705D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pe teritoriul Republicii Moldova</w:t>
      </w:r>
      <w:r w:rsidR="005A58DA" w:rsidRPr="00785186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276413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în conformitate cu prevederile art. 22, lit. e) din Legea nr.989/2002 cu privire la activitatea de evaluare.</w:t>
      </w:r>
    </w:p>
    <w:p w14:paraId="3A5C4A1E" w14:textId="44478652" w:rsidR="00D5374A" w:rsidRPr="00785186" w:rsidRDefault="007E79C5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Structura și conținutul Dări</w:t>
      </w:r>
      <w:r w:rsidR="005A58DA" w:rsidRPr="00785186">
        <w:rPr>
          <w:rFonts w:ascii="Times New Roman" w:hAnsi="Times New Roman" w:cs="Times New Roman"/>
          <w:sz w:val="28"/>
          <w:szCs w:val="28"/>
          <w:lang w:val="ro-MD"/>
        </w:rPr>
        <w:t>lor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de seamă prevăzute la art. 20</w:t>
      </w:r>
      <w:r w:rsidRPr="0078518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alin. (3) din Legea nr. 989/2002 </w:t>
      </w:r>
      <w:r w:rsidR="0023379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cu privire la activitatea de evaluare,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se stabilesc prin modelul standard din Anexa la prezenta </w:t>
      </w:r>
      <w:r w:rsidR="005A58DA" w:rsidRPr="00785186">
        <w:rPr>
          <w:rFonts w:ascii="Times New Roman" w:hAnsi="Times New Roman" w:cs="Times New Roman"/>
          <w:sz w:val="28"/>
          <w:szCs w:val="28"/>
          <w:lang w:val="ro-MD"/>
        </w:rPr>
        <w:t>I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nstrucțiune, care </w:t>
      </w:r>
      <w:r w:rsidR="005A58DA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include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informațiile obligatorii prevăzute de lege.</w:t>
      </w:r>
    </w:p>
    <w:p w14:paraId="573469D6" w14:textId="177F8D21" w:rsidR="00F54054" w:rsidRPr="00785186" w:rsidRDefault="008E6CD2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Darea de seamă se </w:t>
      </w:r>
      <w:r w:rsidR="00084196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prezintă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în format electronic</w:t>
      </w:r>
      <w:r w:rsidR="005807B2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la adresa oficială a Direcției evaluarea bunurilor din cadrul Agenției Geodezie, Cartografie și Cadastru</w:t>
      </w:r>
      <w:r w:rsidR="00262897">
        <w:rPr>
          <w:rFonts w:ascii="Times New Roman" w:hAnsi="Times New Roman" w:cs="Times New Roman"/>
          <w:sz w:val="28"/>
          <w:szCs w:val="28"/>
          <w:lang w:val="ro-MD"/>
        </w:rPr>
        <w:t xml:space="preserve"> –</w:t>
      </w:r>
      <w:r w:rsidR="005807B2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hyperlink r:id="rId8" w:history="1">
        <w:r w:rsidR="00262897" w:rsidRPr="00A26F0F">
          <w:rPr>
            <w:rStyle w:val="Hyperlink"/>
            <w:rFonts w:ascii="Times New Roman" w:hAnsi="Times New Roman" w:cs="Times New Roman"/>
            <w:sz w:val="28"/>
            <w:szCs w:val="28"/>
            <w:lang w:val="ro-MD"/>
          </w:rPr>
          <w:t>deb@agcc.gov.md</w:t>
        </w:r>
      </w:hyperlink>
      <w:r w:rsidR="005705D5" w:rsidRPr="00785186">
        <w:rPr>
          <w:rFonts w:ascii="Times New Roman" w:hAnsi="Times New Roman" w:cs="Times New Roman"/>
          <w:sz w:val="28"/>
          <w:szCs w:val="28"/>
          <w:lang w:val="ro-MD"/>
        </w:rPr>
        <w:t>, după cum urmează:</w:t>
      </w:r>
    </w:p>
    <w:p w14:paraId="01CA3067" w14:textId="24FD7D5C" w:rsidR="00F54054" w:rsidRPr="00785186" w:rsidRDefault="009964A5" w:rsidP="008F38F6">
      <w:pPr>
        <w:pStyle w:val="ListParagraph"/>
        <w:numPr>
          <w:ilvl w:val="1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f</w:t>
      </w:r>
      <w:r w:rsidR="00233794" w:rsidRPr="00785186">
        <w:rPr>
          <w:rFonts w:ascii="Times New Roman" w:hAnsi="Times New Roman" w:cs="Times New Roman"/>
          <w:sz w:val="28"/>
          <w:szCs w:val="28"/>
          <w:lang w:val="ro-MD"/>
        </w:rPr>
        <w:t>ișier PDF, semnat electronic;</w:t>
      </w:r>
    </w:p>
    <w:p w14:paraId="387FFB4C" w14:textId="583CF3AD" w:rsidR="005705D5" w:rsidRPr="00785186" w:rsidRDefault="009964A5" w:rsidP="008F38F6">
      <w:pPr>
        <w:pStyle w:val="ListParagraph"/>
        <w:numPr>
          <w:ilvl w:val="1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33794" w:rsidRPr="00785186">
        <w:rPr>
          <w:rFonts w:ascii="Times New Roman" w:hAnsi="Times New Roman" w:cs="Times New Roman"/>
          <w:sz w:val="28"/>
          <w:szCs w:val="28"/>
          <w:lang w:val="ro-MD"/>
        </w:rPr>
        <w:t>fișier Excel, destinat prelucrării datelor pentru generarea rapoartelor statistice.</w:t>
      </w:r>
    </w:p>
    <w:p w14:paraId="11DB7893" w14:textId="449AB17F" w:rsidR="002F5314" w:rsidRDefault="00F62BA8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62BA8">
        <w:rPr>
          <w:rFonts w:ascii="Times New Roman" w:hAnsi="Times New Roman" w:cs="Times New Roman"/>
          <w:sz w:val="28"/>
          <w:szCs w:val="28"/>
          <w:lang w:val="ro-MD"/>
        </w:rPr>
        <w:t>În conformitate cu art. 20</w:t>
      </w:r>
      <w:r w:rsidRPr="001C3D81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F62BA8">
        <w:rPr>
          <w:rFonts w:ascii="Times New Roman" w:hAnsi="Times New Roman" w:cs="Times New Roman"/>
          <w:sz w:val="28"/>
          <w:szCs w:val="28"/>
          <w:lang w:val="ro-MD"/>
        </w:rPr>
        <w:t xml:space="preserve"> alin. (2) din Legea nr.989/2002</w:t>
      </w:r>
      <w:r w:rsidR="00521ABB" w:rsidRPr="00521AB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21ABB" w:rsidRPr="00785186">
        <w:rPr>
          <w:rFonts w:ascii="Times New Roman" w:hAnsi="Times New Roman" w:cs="Times New Roman"/>
          <w:sz w:val="28"/>
          <w:szCs w:val="28"/>
          <w:lang w:val="ro-MD"/>
        </w:rPr>
        <w:t>cu privire la activitatea de evaluare</w:t>
      </w:r>
      <w:r w:rsidRPr="00F62BA8">
        <w:rPr>
          <w:rFonts w:ascii="Times New Roman" w:hAnsi="Times New Roman" w:cs="Times New Roman"/>
          <w:sz w:val="28"/>
          <w:szCs w:val="28"/>
          <w:lang w:val="ro-MD"/>
        </w:rPr>
        <w:t xml:space="preserve">, evaluatorii bunurilor imobile, prin intermediul întreprinderilor de evaluare, sunt obligați să </w:t>
      </w:r>
      <w:r w:rsidRPr="00965269">
        <w:rPr>
          <w:rFonts w:ascii="Times New Roman" w:hAnsi="Times New Roman" w:cs="Times New Roman"/>
          <w:sz w:val="28"/>
          <w:szCs w:val="28"/>
          <w:lang w:val="ro-MD"/>
        </w:rPr>
        <w:t>prezinte Agenției</w:t>
      </w:r>
      <w:r w:rsidR="00834FD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34FDC" w:rsidRPr="006A6DC7">
        <w:rPr>
          <w:rFonts w:ascii="Times New Roman" w:hAnsi="Times New Roman" w:cs="Times New Roman"/>
          <w:sz w:val="28"/>
          <w:szCs w:val="28"/>
          <w:lang w:val="ro-MD"/>
        </w:rPr>
        <w:t>Geodezie, Cartografie și Cadastru</w:t>
      </w:r>
      <w:r w:rsidRPr="00965269">
        <w:rPr>
          <w:rFonts w:ascii="Times New Roman" w:hAnsi="Times New Roman" w:cs="Times New Roman"/>
          <w:sz w:val="28"/>
          <w:szCs w:val="28"/>
          <w:lang w:val="ro-MD"/>
        </w:rPr>
        <w:t xml:space="preserve"> și</w:t>
      </w:r>
      <w:r w:rsidRPr="00F62BA8">
        <w:rPr>
          <w:rFonts w:ascii="Times New Roman" w:hAnsi="Times New Roman" w:cs="Times New Roman"/>
          <w:sz w:val="28"/>
          <w:szCs w:val="28"/>
          <w:lang w:val="ro-MD"/>
        </w:rPr>
        <w:t xml:space="preserve"> rapoartele de evaluare aferente bunurilor imobile proprietate publică.</w:t>
      </w:r>
      <w:r w:rsidR="002F531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31CD02B4" w14:textId="1227EDAD" w:rsidR="00F62BA8" w:rsidRDefault="006A6DC7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A6DC7">
        <w:rPr>
          <w:rFonts w:ascii="Times New Roman" w:hAnsi="Times New Roman" w:cs="Times New Roman"/>
          <w:sz w:val="28"/>
          <w:szCs w:val="28"/>
          <w:lang w:val="ro-MD"/>
        </w:rPr>
        <w:t>Rapoartele de evaluare aferente bunurilor imobile proprietate publică se transmit în format electronic la adresa oficială a Direcției evaluarea bunurilor din cadrul Agenției Geodezie, Cartografie și Cadastru</w:t>
      </w:r>
      <w:r w:rsidR="002F5314">
        <w:rPr>
          <w:rFonts w:ascii="Times New Roman" w:hAnsi="Times New Roman" w:cs="Times New Roman"/>
          <w:sz w:val="28"/>
          <w:szCs w:val="28"/>
          <w:lang w:val="ro-MD"/>
        </w:rPr>
        <w:t xml:space="preserve"> –</w:t>
      </w:r>
      <w:r w:rsidR="002F531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hyperlink r:id="rId9" w:history="1">
        <w:r w:rsidR="002F5314" w:rsidRPr="00A26F0F">
          <w:rPr>
            <w:rStyle w:val="Hyperlink"/>
            <w:rFonts w:ascii="Times New Roman" w:hAnsi="Times New Roman" w:cs="Times New Roman"/>
            <w:sz w:val="28"/>
            <w:szCs w:val="28"/>
            <w:lang w:val="ro-MD"/>
          </w:rPr>
          <w:t>deb@agcc.gov.md</w:t>
        </w:r>
      </w:hyperlink>
      <w:r w:rsidR="002F5314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Pr="006A6DC7">
        <w:rPr>
          <w:rFonts w:ascii="Times New Roman" w:hAnsi="Times New Roman" w:cs="Times New Roman"/>
          <w:sz w:val="28"/>
          <w:szCs w:val="28"/>
          <w:lang w:val="ro-MD"/>
        </w:rPr>
        <w:t xml:space="preserve">sub formă de fișier PDF, denumit </w:t>
      </w:r>
      <w:r w:rsidR="009042D3">
        <w:rPr>
          <w:rFonts w:ascii="Times New Roman" w:hAnsi="Times New Roman" w:cs="Times New Roman"/>
          <w:sz w:val="28"/>
          <w:szCs w:val="28"/>
          <w:lang w:val="ro-MD"/>
        </w:rPr>
        <w:t>conform</w:t>
      </w:r>
      <w:r w:rsidRPr="006A6DC7">
        <w:rPr>
          <w:rFonts w:ascii="Times New Roman" w:hAnsi="Times New Roman" w:cs="Times New Roman"/>
          <w:sz w:val="28"/>
          <w:szCs w:val="28"/>
          <w:lang w:val="ro-MD"/>
        </w:rPr>
        <w:t xml:space="preserve"> numărului raportului de evaluare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Pr="006A6DC7">
        <w:rPr>
          <w:rFonts w:ascii="Times New Roman" w:hAnsi="Times New Roman" w:cs="Times New Roman"/>
          <w:sz w:val="28"/>
          <w:szCs w:val="28"/>
          <w:lang w:val="ro-MD"/>
        </w:rPr>
        <w:t>denumirii întreprinderii de evaluare</w:t>
      </w:r>
      <w:r w:rsidR="00CB135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4F419F4F" w14:textId="7DA103F3" w:rsidR="00F62BA8" w:rsidRDefault="00F62BA8" w:rsidP="00F62BA8">
      <w:pPr>
        <w:pStyle w:val="ListParagraph"/>
        <w:numPr>
          <w:ilvl w:val="0"/>
          <w:numId w:val="1"/>
        </w:numPr>
        <w:spacing w:after="0"/>
        <w:ind w:left="0" w:firstLine="27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62BA8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În cazul în care rapoartele de evaluare se referă la bunuri imobile deținute în cote-părți de către autorități publice și entități private, se aplică </w:t>
      </w:r>
      <w:r w:rsidR="002F5314">
        <w:rPr>
          <w:rFonts w:ascii="Times New Roman" w:hAnsi="Times New Roman" w:cs="Times New Roman"/>
          <w:sz w:val="28"/>
          <w:szCs w:val="28"/>
          <w:lang w:val="ro-MD"/>
        </w:rPr>
        <w:t>după cum urmează</w:t>
      </w:r>
      <w:r w:rsidRPr="00F62BA8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0D157D94" w14:textId="0D49C302" w:rsidR="00F62BA8" w:rsidRDefault="00F62BA8" w:rsidP="00F62BA8">
      <w:pPr>
        <w:pStyle w:val="ListParagraph"/>
        <w:numPr>
          <w:ilvl w:val="1"/>
          <w:numId w:val="1"/>
        </w:numPr>
        <w:tabs>
          <w:tab w:val="left" w:pos="900"/>
        </w:tabs>
        <w:spacing w:after="0"/>
        <w:ind w:left="0" w:firstLine="28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C3D81">
        <w:rPr>
          <w:rFonts w:ascii="Times New Roman" w:hAnsi="Times New Roman" w:cs="Times New Roman"/>
          <w:sz w:val="28"/>
          <w:szCs w:val="28"/>
          <w:lang w:val="ro-MD"/>
        </w:rPr>
        <w:t xml:space="preserve">dacă beneficiarul evaluării este o autoritate publică, raportul se consideră aferent proprietății publice și se transmite către </w:t>
      </w:r>
      <w:r w:rsidR="00AD4C4F" w:rsidRPr="00AD4C4F">
        <w:rPr>
          <w:rFonts w:ascii="Times New Roman" w:hAnsi="Times New Roman" w:cs="Times New Roman"/>
          <w:sz w:val="28"/>
          <w:szCs w:val="28"/>
          <w:lang w:val="ro-MD"/>
        </w:rPr>
        <w:t>Agenția Geodezie, Cartografie și Cadastru, prin intermediul întreprinderii de evaluare</w:t>
      </w:r>
      <w:r w:rsidRPr="001C3D81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FAE4241" w14:textId="07E8C2FB" w:rsidR="00F62BA8" w:rsidRPr="001C3D81" w:rsidRDefault="00F62BA8" w:rsidP="001C3D81">
      <w:pPr>
        <w:pStyle w:val="ListParagraph"/>
        <w:numPr>
          <w:ilvl w:val="1"/>
          <w:numId w:val="1"/>
        </w:numPr>
        <w:tabs>
          <w:tab w:val="left" w:pos="900"/>
        </w:tabs>
        <w:spacing w:after="0"/>
        <w:ind w:left="0" w:firstLine="28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C3D81">
        <w:rPr>
          <w:rFonts w:ascii="Times New Roman" w:hAnsi="Times New Roman" w:cs="Times New Roman"/>
          <w:sz w:val="28"/>
          <w:szCs w:val="28"/>
          <w:lang w:val="ro-MD"/>
        </w:rPr>
        <w:t xml:space="preserve">dacă beneficiarul este o entitate privată, raportul se consideră aferent proprietății private și nu se transmite </w:t>
      </w:r>
      <w:r w:rsidR="00AD4C4F" w:rsidRPr="00AD4C4F">
        <w:rPr>
          <w:rFonts w:ascii="Times New Roman" w:hAnsi="Times New Roman" w:cs="Times New Roman"/>
          <w:sz w:val="28"/>
          <w:szCs w:val="28"/>
          <w:lang w:val="ro-MD"/>
        </w:rPr>
        <w:t>Agenți</w:t>
      </w:r>
      <w:r w:rsidR="00AD4C4F">
        <w:rPr>
          <w:rFonts w:ascii="Times New Roman" w:hAnsi="Times New Roman" w:cs="Times New Roman"/>
          <w:sz w:val="28"/>
          <w:szCs w:val="28"/>
          <w:lang w:val="ro-MD"/>
        </w:rPr>
        <w:t>ei</w:t>
      </w:r>
      <w:r w:rsidR="00AD4C4F" w:rsidRPr="00AD4C4F">
        <w:rPr>
          <w:rFonts w:ascii="Times New Roman" w:hAnsi="Times New Roman" w:cs="Times New Roman"/>
          <w:sz w:val="28"/>
          <w:szCs w:val="28"/>
          <w:lang w:val="ro-MD"/>
        </w:rPr>
        <w:t xml:space="preserve"> Geodezie, Cartografie și Cadastru</w:t>
      </w:r>
      <w:r w:rsidRPr="001C3D81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45693224" w14:textId="1821466E" w:rsidR="0091283D" w:rsidRDefault="0091283D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1283D">
        <w:rPr>
          <w:rFonts w:ascii="Times New Roman" w:hAnsi="Times New Roman" w:cs="Times New Roman"/>
          <w:sz w:val="28"/>
          <w:szCs w:val="28"/>
          <w:lang w:val="ro-MD"/>
        </w:rPr>
        <w:t xml:space="preserve">Rapoartele de evaluare aferente bunurilor imobile proprietate publică, care se consideră secrete de stat în sensul Legii nr. 245/2008 </w:t>
      </w:r>
      <w:r>
        <w:rPr>
          <w:rFonts w:ascii="Times New Roman" w:hAnsi="Times New Roman" w:cs="Times New Roman"/>
          <w:sz w:val="28"/>
          <w:szCs w:val="28"/>
          <w:lang w:val="ro-MD"/>
        </w:rPr>
        <w:t>cu privire la</w:t>
      </w:r>
      <w:r w:rsidRPr="0091283D">
        <w:rPr>
          <w:rFonts w:ascii="Times New Roman" w:hAnsi="Times New Roman" w:cs="Times New Roman"/>
          <w:sz w:val="28"/>
          <w:szCs w:val="28"/>
          <w:lang w:val="ro-MD"/>
        </w:rPr>
        <w:t xml:space="preserve"> secretul de stat, nu se raportează și nu se prezintă Agenției. </w:t>
      </w:r>
    </w:p>
    <w:p w14:paraId="12FC2BF8" w14:textId="0DAEAC5D" w:rsidR="0062438D" w:rsidRDefault="0062438D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2438D">
        <w:rPr>
          <w:rFonts w:ascii="Times New Roman" w:hAnsi="Times New Roman" w:cs="Times New Roman"/>
          <w:sz w:val="28"/>
          <w:szCs w:val="28"/>
          <w:lang w:val="ro-MD"/>
        </w:rPr>
        <w:t>În cazul în care raportul de evaluare este elaborat de doi sau mai mulți evaluatori certificați, fiecare evaluator implicat are obligația de a completa și prezenta Darea de seamă aferentă raportului respectiv.</w:t>
      </w:r>
    </w:p>
    <w:p w14:paraId="4A3E2D35" w14:textId="05DFC1F4" w:rsidR="008E6CD2" w:rsidRPr="00785186" w:rsidRDefault="00B90F3F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Termenul de </w:t>
      </w:r>
      <w:r w:rsidR="002F5C47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prezentare </w:t>
      </w:r>
      <w:r w:rsidR="00CE401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a </w:t>
      </w:r>
      <w:r w:rsidR="004421FC" w:rsidRPr="00785186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CE401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ărilor de seamă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este</w:t>
      </w:r>
      <w:r w:rsidR="008E6CD2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trimestrial, până la data de 20 a lunii următoare trimestrului de raportare</w:t>
      </w:r>
      <w:r w:rsidR="002F5C47" w:rsidRPr="00785186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53A5F4C" w14:textId="2E458A7B" w:rsidR="00921748" w:rsidRPr="00785186" w:rsidRDefault="004421FC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Primirea Dărilor</w:t>
      </w:r>
      <w:r w:rsidR="0092174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de seamă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se confirmă prin notificare electronică transmisă de</w:t>
      </w:r>
      <w:r w:rsidR="0092174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Direcția evaluarea bunurilor din cadrul Agenției Geodezie, Cartografie și Cadastru</w:t>
      </w:r>
      <w:r w:rsidR="005C3C1F" w:rsidRPr="00785186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63431B09" w14:textId="7C0F5D70" w:rsidR="007C6388" w:rsidRPr="00785186" w:rsidRDefault="007C6388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În cazul</w:t>
      </w:r>
      <w:r w:rsidR="0092174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completării incorecte, </w:t>
      </w:r>
      <w:r w:rsidR="004421FC" w:rsidRPr="00785186">
        <w:rPr>
          <w:rFonts w:ascii="Times New Roman" w:hAnsi="Times New Roman" w:cs="Times New Roman"/>
          <w:sz w:val="28"/>
          <w:szCs w:val="28"/>
          <w:lang w:val="ro-MD"/>
        </w:rPr>
        <w:t>Darea de seamă</w:t>
      </w:r>
      <w:r w:rsidR="0092174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se restituie evaluatorului </w:t>
      </w:r>
      <w:r w:rsidR="008741A9">
        <w:rPr>
          <w:rFonts w:ascii="Times New Roman" w:hAnsi="Times New Roman" w:cs="Times New Roman"/>
          <w:sz w:val="28"/>
          <w:szCs w:val="28"/>
          <w:lang w:val="ro-MD"/>
        </w:rPr>
        <w:t xml:space="preserve">certificat </w:t>
      </w:r>
      <w:r w:rsidR="0092174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pentru </w:t>
      </w:r>
      <w:r w:rsidR="004421FC" w:rsidRPr="00785186">
        <w:rPr>
          <w:rFonts w:ascii="Times New Roman" w:hAnsi="Times New Roman" w:cs="Times New Roman"/>
          <w:sz w:val="28"/>
          <w:szCs w:val="28"/>
          <w:lang w:val="ro-MD"/>
        </w:rPr>
        <w:t>rectificare</w:t>
      </w:r>
      <w:r w:rsidR="0092174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. Termenul de corectare este de 10 zile </w:t>
      </w:r>
      <w:r w:rsidR="00DA328B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calendaristice </w:t>
      </w:r>
      <w:r w:rsidR="00921748" w:rsidRPr="00785186">
        <w:rPr>
          <w:rFonts w:ascii="Times New Roman" w:hAnsi="Times New Roman" w:cs="Times New Roman"/>
          <w:sz w:val="28"/>
          <w:szCs w:val="28"/>
          <w:lang w:val="ro-MD"/>
        </w:rPr>
        <w:t>de la data notificării.</w:t>
      </w:r>
    </w:p>
    <w:p w14:paraId="0D9371DD" w14:textId="663DAEAC" w:rsidR="00FE32E9" w:rsidRPr="00785186" w:rsidRDefault="00FE32E9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În cazul constatării unor omisiuni de către evaluator, acesta efectuează rectificările necesare și prezintă Darea de seamă corectată</w:t>
      </w:r>
      <w:r w:rsidR="008741A9">
        <w:rPr>
          <w:rFonts w:ascii="Times New Roman" w:hAnsi="Times New Roman" w:cs="Times New Roman"/>
          <w:sz w:val="28"/>
          <w:szCs w:val="28"/>
          <w:lang w:val="ro-MD"/>
        </w:rPr>
        <w:t>, bifând opțiunea corespunzătoare</w:t>
      </w:r>
      <w:r w:rsidR="00AC0A32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BCC4015" w14:textId="6CD11B1A" w:rsidR="005C19F4" w:rsidRPr="005C19F4" w:rsidRDefault="00AA7A6D" w:rsidP="005C19F4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Evaluatorii care nu au elaborat rapoarte de evaluare în trimestrul de raportare </w:t>
      </w:r>
      <w:r w:rsidR="005C19F4">
        <w:rPr>
          <w:rFonts w:ascii="Times New Roman" w:hAnsi="Times New Roman" w:cs="Times New Roman"/>
          <w:sz w:val="28"/>
          <w:szCs w:val="28"/>
          <w:lang w:val="ro-MD"/>
        </w:rPr>
        <w:t xml:space="preserve">nu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sunt obligați</w:t>
      </w:r>
      <w:r w:rsidR="00D2669F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să </w:t>
      </w:r>
      <w:r w:rsidR="001F0179" w:rsidRPr="00785186">
        <w:rPr>
          <w:rFonts w:ascii="Times New Roman" w:hAnsi="Times New Roman" w:cs="Times New Roman"/>
          <w:sz w:val="28"/>
          <w:szCs w:val="28"/>
          <w:lang w:val="ro-MD"/>
        </w:rPr>
        <w:t>prezinte</w:t>
      </w:r>
      <w:r w:rsidR="00D2669F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Darea de seamă</w:t>
      </w:r>
      <w:r w:rsidR="00D65377" w:rsidRPr="00785186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D2669F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62897">
        <w:rPr>
          <w:rFonts w:ascii="Times New Roman" w:hAnsi="Times New Roman" w:cs="Times New Roman"/>
          <w:sz w:val="28"/>
          <w:szCs w:val="28"/>
          <w:lang w:val="ro-MD"/>
        </w:rPr>
        <w:t>însă</w:t>
      </w:r>
      <w:r w:rsidR="005C19F4">
        <w:rPr>
          <w:rFonts w:ascii="Times New Roman" w:hAnsi="Times New Roman" w:cs="Times New Roman"/>
          <w:sz w:val="28"/>
          <w:szCs w:val="28"/>
          <w:lang w:val="ro-MD"/>
        </w:rPr>
        <w:t xml:space="preserve"> prima </w:t>
      </w:r>
      <w:r w:rsidR="00037ACC" w:rsidRPr="00037ACC">
        <w:rPr>
          <w:rFonts w:ascii="Times New Roman" w:hAnsi="Times New Roman" w:cs="Times New Roman"/>
          <w:sz w:val="28"/>
          <w:szCs w:val="28"/>
          <w:lang w:val="ro-MD"/>
        </w:rPr>
        <w:t>Dare de seamă aferentă activității de monitorizare</w:t>
      </w:r>
      <w:r w:rsidR="0026289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037ACC" w:rsidRPr="00037ACC">
        <w:rPr>
          <w:rFonts w:ascii="Times New Roman" w:hAnsi="Times New Roman" w:cs="Times New Roman"/>
          <w:sz w:val="28"/>
          <w:szCs w:val="28"/>
          <w:lang w:val="ro-MD"/>
        </w:rPr>
        <w:t>și anume pentru trimestrul I al anului 2026, se prezintă de fiecare evaluato</w:t>
      </w:r>
      <w:r w:rsidR="00262897">
        <w:rPr>
          <w:rFonts w:ascii="Times New Roman" w:hAnsi="Times New Roman" w:cs="Times New Roman"/>
          <w:sz w:val="28"/>
          <w:szCs w:val="28"/>
          <w:lang w:val="ro-MD"/>
        </w:rPr>
        <w:t>r</w:t>
      </w:r>
      <w:r w:rsidR="00CA1FDA">
        <w:rPr>
          <w:rFonts w:ascii="Times New Roman" w:hAnsi="Times New Roman" w:cs="Times New Roman"/>
          <w:sz w:val="28"/>
          <w:szCs w:val="28"/>
          <w:lang w:val="ro-MD"/>
        </w:rPr>
        <w:t xml:space="preserve"> certificat</w:t>
      </w:r>
      <w:r w:rsidR="00262897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037ACC" w:rsidRPr="00037ACC">
        <w:rPr>
          <w:rFonts w:ascii="Times New Roman" w:hAnsi="Times New Roman" w:cs="Times New Roman"/>
          <w:sz w:val="28"/>
          <w:szCs w:val="28"/>
          <w:lang w:val="ro-MD"/>
        </w:rPr>
        <w:t xml:space="preserve"> prin completarea acesteia doar cu datele de identificare.</w:t>
      </w:r>
    </w:p>
    <w:p w14:paraId="5981F97E" w14:textId="07177AA1" w:rsidR="000A0DC9" w:rsidRPr="00785186" w:rsidRDefault="00D65377" w:rsidP="00AA7A6D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0A0DC9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valuatorul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care</w:t>
      </w:r>
      <w:r w:rsidR="000A0DC9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activează în mai multe întreprinderi de evaluare prezintă Dare de seamă pe fiecare întreprindere de evaluare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în parte</w:t>
      </w:r>
      <w:r w:rsidR="000A0DC9" w:rsidRPr="00785186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01A05BD" w14:textId="10CE436E" w:rsidR="003D3ED2" w:rsidRDefault="003D3ED2" w:rsidP="00AA7A6D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C3D81">
        <w:rPr>
          <w:rFonts w:ascii="Times New Roman" w:hAnsi="Times New Roman" w:cs="Times New Roman"/>
          <w:sz w:val="28"/>
          <w:szCs w:val="28"/>
          <w:lang w:val="ro-MD"/>
        </w:rPr>
        <w:t xml:space="preserve">Întreprinderea de evaluare </w:t>
      </w:r>
      <w:r w:rsidR="00E64D22" w:rsidRPr="00E64D22">
        <w:rPr>
          <w:rFonts w:ascii="Times New Roman" w:hAnsi="Times New Roman" w:cs="Times New Roman"/>
          <w:sz w:val="28"/>
          <w:szCs w:val="28"/>
          <w:lang w:val="ro-MD"/>
        </w:rPr>
        <w:t>nu prezintă separat Darea de seamă și are rol exclusiv de monitorizare a activității evaluatorului bunurilor imobile certificat în cadrul acesteia, privind respectarea termenelor și cerințelor de raportare</w:t>
      </w:r>
      <w:r w:rsidRPr="001C3D81">
        <w:rPr>
          <w:rFonts w:ascii="Times New Roman" w:hAnsi="Times New Roman" w:cs="Times New Roman"/>
          <w:sz w:val="28"/>
          <w:szCs w:val="28"/>
          <w:lang w:val="ro-MD"/>
        </w:rPr>
        <w:t xml:space="preserve">. Responsabilitatea pentru completarea, semnarea electronică și transmiterea Dării de seamă revine </w:t>
      </w:r>
      <w:r w:rsidR="00E64D22">
        <w:rPr>
          <w:rFonts w:ascii="Times New Roman" w:hAnsi="Times New Roman" w:cs="Times New Roman"/>
          <w:sz w:val="28"/>
          <w:szCs w:val="28"/>
          <w:lang w:val="ro-MD"/>
        </w:rPr>
        <w:t xml:space="preserve">în mod </w:t>
      </w:r>
      <w:r w:rsidRPr="001C3D81">
        <w:rPr>
          <w:rFonts w:ascii="Times New Roman" w:hAnsi="Times New Roman" w:cs="Times New Roman"/>
          <w:sz w:val="28"/>
          <w:szCs w:val="28"/>
          <w:lang w:val="ro-MD"/>
        </w:rPr>
        <w:t>exclusiv evaluatorului bunurilor imobile care activează în cadrul întreprinderi</w:t>
      </w:r>
      <w:r w:rsidR="00E64D22">
        <w:rPr>
          <w:rFonts w:ascii="Times New Roman" w:hAnsi="Times New Roman" w:cs="Times New Roman"/>
          <w:sz w:val="28"/>
          <w:szCs w:val="28"/>
          <w:lang w:val="ro-MD"/>
        </w:rPr>
        <w:t>i respective.</w:t>
      </w:r>
    </w:p>
    <w:p w14:paraId="33621ED4" w14:textId="77777777" w:rsidR="006A46C1" w:rsidRPr="00785186" w:rsidRDefault="006A46C1" w:rsidP="006A46C1">
      <w:pPr>
        <w:pStyle w:val="ListParagraph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25B6E0B" w14:textId="5A3C6909" w:rsidR="000A0DC9" w:rsidRPr="00785186" w:rsidRDefault="000A0DC9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3FC299AD" w14:textId="7010FF88" w:rsidR="000A0DC9" w:rsidRPr="00785186" w:rsidRDefault="00C149B1" w:rsidP="000A0DC9">
      <w:pPr>
        <w:pStyle w:val="ListParagraph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lastRenderedPageBreak/>
        <w:t xml:space="preserve">MODUL DE COMPLETARE A </w:t>
      </w:r>
      <w:r w:rsidR="0041753C" w:rsidRPr="00785186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t xml:space="preserve">Dărilor de seamă </w:t>
      </w:r>
      <w:r w:rsidR="00FC08B4" w:rsidRPr="00785186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br/>
      </w:r>
      <w:r w:rsidR="0041753C" w:rsidRPr="00785186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t xml:space="preserve">privind rapoartele de evaluare întocmite </w:t>
      </w:r>
      <w:r w:rsidR="00FC08B4" w:rsidRPr="00785186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br/>
      </w:r>
      <w:r w:rsidR="0041753C" w:rsidRPr="00785186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t>de evaluatorii bunurilor imobile</w:t>
      </w:r>
      <w:r w:rsidR="000A0DC9" w:rsidRPr="00785186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t>,</w:t>
      </w:r>
      <w:r w:rsidR="000A0DC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CD1493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br/>
      </w:r>
      <w:r w:rsidR="000A0DC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PRIN INTERMEDIUL ÎNTREPRINDERILOR DE EVALUARE</w:t>
      </w:r>
    </w:p>
    <w:p w14:paraId="34A5E6C1" w14:textId="77777777" w:rsidR="00C149B1" w:rsidRPr="00785186" w:rsidRDefault="00C149B1" w:rsidP="00C149B1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7C542672" w14:textId="77777777" w:rsidR="000A0DC9" w:rsidRPr="00785186" w:rsidRDefault="000A0DC9" w:rsidP="008F38F6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Darea de seamă se completează după cum urmează:</w:t>
      </w:r>
    </w:p>
    <w:p w14:paraId="2473409E" w14:textId="59200636" w:rsidR="008910B9" w:rsidRPr="00785186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D0752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0752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„Denumirea întreprinderii de evaluare” </w:t>
      </w:r>
      <w:r w:rsidR="00531644" w:rsidRPr="00785186">
        <w:rPr>
          <w:rFonts w:ascii="Times New Roman" w:hAnsi="Times New Roman" w:cs="Times New Roman"/>
          <w:sz w:val="28"/>
          <w:szCs w:val="28"/>
          <w:lang w:val="ro-MD"/>
        </w:rPr>
        <w:t>–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07524" w:rsidRPr="00785186">
        <w:rPr>
          <w:rFonts w:ascii="Times New Roman" w:hAnsi="Times New Roman" w:cs="Times New Roman"/>
          <w:sz w:val="28"/>
          <w:szCs w:val="28"/>
          <w:lang w:val="ro-MD"/>
        </w:rPr>
        <w:t>denumirea</w:t>
      </w:r>
      <w:r w:rsidR="0053164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07524" w:rsidRPr="00785186">
        <w:rPr>
          <w:rFonts w:ascii="Times New Roman" w:hAnsi="Times New Roman" w:cs="Times New Roman"/>
          <w:sz w:val="28"/>
          <w:szCs w:val="28"/>
          <w:lang w:val="ro-MD"/>
        </w:rPr>
        <w:t>completă a întreprinderii de evaluare prin intermediul căr</w:t>
      </w:r>
      <w:r w:rsidR="00B90F3F" w:rsidRPr="00785186">
        <w:rPr>
          <w:rFonts w:ascii="Times New Roman" w:hAnsi="Times New Roman" w:cs="Times New Roman"/>
          <w:sz w:val="28"/>
          <w:szCs w:val="28"/>
          <w:lang w:val="ro-MD"/>
        </w:rPr>
        <w:t>eia</w:t>
      </w:r>
      <w:r w:rsidR="00D0752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evaluatorul bunurilor imobile prezintă </w:t>
      </w:r>
      <w:r w:rsidR="00943B4F" w:rsidRPr="00785186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D07524" w:rsidRPr="00785186">
        <w:rPr>
          <w:rFonts w:ascii="Times New Roman" w:hAnsi="Times New Roman" w:cs="Times New Roman"/>
          <w:sz w:val="28"/>
          <w:szCs w:val="28"/>
          <w:lang w:val="ro-MD"/>
        </w:rPr>
        <w:t>area de seamă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0B48BB45" w14:textId="28518350" w:rsidR="008910B9" w:rsidRPr="00785186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D0752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0752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„IDNO” </w:t>
      </w:r>
      <w:r w:rsidR="0053164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D07524" w:rsidRPr="00785186">
        <w:rPr>
          <w:rFonts w:ascii="Times New Roman" w:hAnsi="Times New Roman" w:cs="Times New Roman"/>
          <w:sz w:val="28"/>
          <w:szCs w:val="28"/>
          <w:lang w:val="ro-MD"/>
        </w:rPr>
        <w:t>numărul de identificare de stat a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l</w:t>
      </w:r>
      <w:r w:rsidR="00D0752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întreprinderii, cod numeric unic atribuit de organul înregistrării de stat persoanelor juridice și întreprinzătorilor individuali la momentul înregistrării de stat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0A84008F" w14:textId="32D5E971" w:rsidR="008910B9" w:rsidRPr="00785186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26E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„Numele</w:t>
      </w:r>
      <w:r w:rsidR="00335EA8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,</w:t>
      </w:r>
      <w:r w:rsidR="001B26E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prenumele evaluatorului”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>numele și prenumele evaluatorului bunurilor imobile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01864310" w14:textId="1164CC93" w:rsidR="008910B9" w:rsidRPr="00785186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26E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„Seria, numărul certificatului”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>seria și numărul certificatului evaluatorului bunurilor imobile e</w:t>
      </w:r>
      <w:r w:rsidR="000B5660" w:rsidRPr="00785186">
        <w:rPr>
          <w:rFonts w:ascii="Times New Roman" w:hAnsi="Times New Roman" w:cs="Times New Roman"/>
          <w:sz w:val="28"/>
          <w:szCs w:val="28"/>
          <w:lang w:val="ro-MD"/>
        </w:rPr>
        <w:t>liberat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de Agenția Geodezie, Cartografie și Cadastru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2605796" w14:textId="67B4CA0D" w:rsidR="008910B9" w:rsidRPr="00785186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26E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”Data eliberării certificatului”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data </w:t>
      </w:r>
      <w:r w:rsidR="0088493A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eliberării 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>certificatul</w:t>
      </w:r>
      <w:r w:rsidR="00B90F3F" w:rsidRPr="00785186">
        <w:rPr>
          <w:rFonts w:ascii="Times New Roman" w:hAnsi="Times New Roman" w:cs="Times New Roman"/>
          <w:sz w:val="28"/>
          <w:szCs w:val="28"/>
          <w:lang w:val="ro-MD"/>
        </w:rPr>
        <w:t>ui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evaluatorului bunurilor imobile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EA1C73F" w14:textId="5D7F0861" w:rsidR="008910B9" w:rsidRPr="00785186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26E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„Data prezentării </w:t>
      </w:r>
      <w:r w:rsidR="00A5767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D</w:t>
      </w:r>
      <w:r w:rsidR="001B26E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ări</w:t>
      </w:r>
      <w:r w:rsidR="00A5767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i</w:t>
      </w:r>
      <w:r w:rsidR="001B26E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 seamă”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data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transmiterii efective a </w:t>
      </w:r>
      <w:r w:rsidR="00943B4F" w:rsidRPr="00785186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1B26E5" w:rsidRPr="00785186">
        <w:rPr>
          <w:rFonts w:ascii="Times New Roman" w:hAnsi="Times New Roman" w:cs="Times New Roman"/>
          <w:sz w:val="28"/>
          <w:szCs w:val="28"/>
          <w:lang w:val="ro-MD"/>
        </w:rPr>
        <w:t>ării de seamă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9A61498" w14:textId="74B845CD" w:rsidR="00552643" w:rsidRPr="00785186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sz w:val="28"/>
          <w:szCs w:val="28"/>
          <w:lang w:val="ro-MD"/>
        </w:rPr>
        <w:t>La poziția</w:t>
      </w:r>
      <w:r w:rsidR="00B73B6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73B68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„Darea de seamă primară</w:t>
      </w:r>
      <w:r w:rsidR="00A5767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B73B68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/ </w:t>
      </w:r>
      <w:r w:rsidR="00DB6AFF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Darea de seamă </w:t>
      </w:r>
      <w:r w:rsidR="00B73B68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corectată”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B73B6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se bifează </w:t>
      </w:r>
      <w:r w:rsidR="0090422F" w:rsidRPr="00785186">
        <w:rPr>
          <w:rFonts w:ascii="Times New Roman" w:hAnsi="Times New Roman" w:cs="Times New Roman"/>
          <w:sz w:val="28"/>
          <w:szCs w:val="28"/>
          <w:lang w:val="ro-MD"/>
        </w:rPr>
        <w:t>opțiunea corespunzătoare</w:t>
      </w:r>
      <w:r w:rsidR="00B73B6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Dacă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area de seamă </w:t>
      </w:r>
      <w:r w:rsidR="00157F3A" w:rsidRPr="00785186">
        <w:rPr>
          <w:rFonts w:ascii="Times New Roman" w:hAnsi="Times New Roman" w:cs="Times New Roman"/>
          <w:sz w:val="28"/>
          <w:szCs w:val="28"/>
          <w:lang w:val="ro-MD"/>
        </w:rPr>
        <w:t>se prezintă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pentru prima dată în trimestrul </w:t>
      </w:r>
      <w:r w:rsidR="00157F3A" w:rsidRPr="00785186">
        <w:rPr>
          <w:rFonts w:ascii="Times New Roman" w:hAnsi="Times New Roman" w:cs="Times New Roman"/>
          <w:sz w:val="28"/>
          <w:szCs w:val="28"/>
          <w:lang w:val="ro-MD"/>
        </w:rPr>
        <w:t>de raportare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, se </w:t>
      </w:r>
      <w:r w:rsidR="00773C90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bifează 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opțiunea </w:t>
      </w:r>
      <w:r w:rsidR="009F709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„Darea de seamă primară”. 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>În cazul</w:t>
      </w:r>
      <w:r w:rsidR="00157F3A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prezentării unei Dări de seamă rectificate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conform punctului </w:t>
      </w:r>
      <w:r w:rsidR="004D29E8">
        <w:rPr>
          <w:rFonts w:ascii="Times New Roman" w:hAnsi="Times New Roman" w:cs="Times New Roman"/>
          <w:sz w:val="28"/>
          <w:szCs w:val="28"/>
          <w:lang w:val="ro-MD"/>
        </w:rPr>
        <w:t>1</w:t>
      </w:r>
      <w:r w:rsidR="00377796">
        <w:rPr>
          <w:rFonts w:ascii="Times New Roman" w:hAnsi="Times New Roman" w:cs="Times New Roman"/>
          <w:sz w:val="28"/>
          <w:szCs w:val="28"/>
          <w:lang w:val="ro-MD"/>
        </w:rPr>
        <w:t>2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și</w:t>
      </w:r>
      <w:r w:rsidR="0037779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/</w:t>
      </w:r>
      <w:r w:rsidR="0037779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sau </w:t>
      </w:r>
      <w:r w:rsidR="004D29E8">
        <w:rPr>
          <w:rFonts w:ascii="Times New Roman" w:hAnsi="Times New Roman" w:cs="Times New Roman"/>
          <w:sz w:val="28"/>
          <w:szCs w:val="28"/>
          <w:lang w:val="ro-MD"/>
        </w:rPr>
        <w:t>1</w:t>
      </w:r>
      <w:r w:rsidR="00377796">
        <w:rPr>
          <w:rFonts w:ascii="Times New Roman" w:hAnsi="Times New Roman" w:cs="Times New Roman"/>
          <w:sz w:val="28"/>
          <w:szCs w:val="28"/>
          <w:lang w:val="ro-MD"/>
        </w:rPr>
        <w:t>3</w:t>
      </w:r>
      <w:r w:rsidR="007C638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57F3A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al 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>prezent</w:t>
      </w:r>
      <w:r w:rsidR="00157F3A" w:rsidRPr="00785186">
        <w:rPr>
          <w:rFonts w:ascii="Times New Roman" w:hAnsi="Times New Roman" w:cs="Times New Roman"/>
          <w:sz w:val="28"/>
          <w:szCs w:val="28"/>
          <w:lang w:val="ro-MD"/>
        </w:rPr>
        <w:t>ei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>nstrucțiun</w:t>
      </w:r>
      <w:r w:rsidR="00157F3A" w:rsidRPr="00785186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9F7099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, se </w:t>
      </w:r>
      <w:r w:rsidR="00E95D78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bifează </w:t>
      </w:r>
      <w:r w:rsidR="009F709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opțiunea „Darea de seamă corectată”</w:t>
      </w:r>
      <w:r w:rsidR="00A5767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;</w:t>
      </w:r>
    </w:p>
    <w:p w14:paraId="4483C435" w14:textId="52D218DA" w:rsidR="00552643" w:rsidRPr="00785186" w:rsidRDefault="008910B9" w:rsidP="00552643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A73E1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1 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numărul de ordin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e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al rapoartelor de evaluare</w:t>
      </w:r>
      <w:r w:rsidR="00A57674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016946D6" w14:textId="0A2E02E6" w:rsidR="00552643" w:rsidRPr="00785186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Coloana 2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663FD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A73E14" w:rsidRPr="00785186">
        <w:rPr>
          <w:rFonts w:ascii="Times New Roman" w:hAnsi="Times New Roman" w:cs="Times New Roman"/>
          <w:sz w:val="28"/>
          <w:szCs w:val="28"/>
          <w:lang w:val="ro-MD"/>
        </w:rPr>
        <w:t>numărul raportului de evaluare</w:t>
      </w:r>
      <w:r w:rsidR="004C7933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74471B6" w14:textId="71907A07" w:rsidR="00552643" w:rsidRPr="00785186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A73E1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="00A73E1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7663FD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A73E14" w:rsidRPr="00785186">
        <w:rPr>
          <w:rFonts w:ascii="Times New Roman" w:hAnsi="Times New Roman" w:cs="Times New Roman"/>
          <w:sz w:val="28"/>
          <w:szCs w:val="28"/>
          <w:lang w:val="ro-MD"/>
        </w:rPr>
        <w:t>data întocmirii raportului de evaluare</w:t>
      </w:r>
      <w:r w:rsidR="004C7933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EA5B10E" w14:textId="244D67D9" w:rsidR="00552643" w:rsidRPr="00785186" w:rsidRDefault="0033612F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Coloana</w:t>
      </w:r>
      <w:r w:rsidR="002B387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8910B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4 </w:t>
      </w:r>
      <w:r w:rsidR="007663FD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2B3874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tipul 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>obiectului evaluării</w:t>
      </w:r>
      <w:r w:rsidR="00F45BCD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(teren, construcție, încăpere izolată</w:t>
      </w:r>
      <w:r w:rsidR="00995252">
        <w:rPr>
          <w:rFonts w:ascii="Times New Roman" w:hAnsi="Times New Roman" w:cs="Times New Roman"/>
          <w:sz w:val="28"/>
          <w:szCs w:val="28"/>
          <w:lang w:val="ro-MD"/>
        </w:rPr>
        <w:t xml:space="preserve">, bun </w:t>
      </w:r>
      <w:r w:rsidR="00432916">
        <w:rPr>
          <w:rFonts w:ascii="Times New Roman" w:hAnsi="Times New Roman" w:cs="Times New Roman"/>
          <w:sz w:val="28"/>
          <w:szCs w:val="28"/>
          <w:lang w:val="ro-MD"/>
        </w:rPr>
        <w:t xml:space="preserve">imobil </w:t>
      </w:r>
      <w:r w:rsidR="00995252">
        <w:rPr>
          <w:rFonts w:ascii="Times New Roman" w:hAnsi="Times New Roman" w:cs="Times New Roman"/>
          <w:sz w:val="28"/>
          <w:szCs w:val="28"/>
          <w:lang w:val="ro-MD"/>
        </w:rPr>
        <w:t>complex</w:t>
      </w:r>
      <w:r w:rsidR="00F45BCD" w:rsidRPr="00785186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4C7933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F8AB47E" w14:textId="499E9042" w:rsidR="00552643" w:rsidRPr="00EA7301" w:rsidRDefault="0033612F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Coloana</w:t>
      </w:r>
      <w:r w:rsidR="00F45BCD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8910B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5 </w:t>
      </w:r>
      <w:r w:rsidR="004C7933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F45BCD" w:rsidRPr="00EA7301">
        <w:rPr>
          <w:rFonts w:ascii="Times New Roman" w:hAnsi="Times New Roman" w:cs="Times New Roman"/>
          <w:sz w:val="28"/>
          <w:szCs w:val="28"/>
          <w:lang w:val="ro-MD"/>
        </w:rPr>
        <w:t>modul de folosință a obiectului evaluării</w:t>
      </w:r>
      <w:r w:rsidR="00377796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11277F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77796">
        <w:rPr>
          <w:rFonts w:ascii="Times New Roman" w:hAnsi="Times New Roman" w:cs="Times New Roman"/>
          <w:sz w:val="28"/>
          <w:szCs w:val="28"/>
          <w:lang w:val="ro-MD"/>
        </w:rPr>
        <w:t>S</w:t>
      </w:r>
      <w:r w:rsidR="00511E8C" w:rsidRPr="00EA7301">
        <w:rPr>
          <w:rFonts w:ascii="Times New Roman" w:hAnsi="Times New Roman" w:cs="Times New Roman"/>
          <w:sz w:val="28"/>
          <w:szCs w:val="28"/>
          <w:lang w:val="ro-MD"/>
        </w:rPr>
        <w:t>e completează în conformitate cu datele înscrise în Registrul bunurilor imobile</w:t>
      </w:r>
      <w:r w:rsidR="00EA7301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D719DA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conform nomenclatoarelor prevăzute în Anexa nr. 4 la Hotărârea Guvernului nr.201/2025 </w:t>
      </w:r>
      <w:r w:rsidR="00EA233C" w:rsidRPr="00EA7301">
        <w:rPr>
          <w:rFonts w:ascii="Times New Roman" w:hAnsi="Times New Roman" w:cs="Times New Roman"/>
          <w:sz w:val="28"/>
          <w:szCs w:val="28"/>
          <w:lang w:val="ro-MD"/>
        </w:rPr>
        <w:t>cu privire la aprobarea</w:t>
      </w:r>
      <w:r w:rsidR="00511E8C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 Regulamentului privind modul de efectuare a înscrierii în registrul bunurilor imobile</w:t>
      </w:r>
      <w:r w:rsidR="00BC7032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D9533A" w:rsidRPr="00D9533A">
        <w:rPr>
          <w:rFonts w:ascii="Times New Roman" w:hAnsi="Times New Roman" w:cs="Times New Roman"/>
          <w:sz w:val="28"/>
          <w:szCs w:val="28"/>
          <w:lang w:val="ro-MD"/>
        </w:rPr>
        <w:t xml:space="preserve">În cazul în care modul de folosință nu este definit clar, se va specifica utilizarea </w:t>
      </w:r>
      <w:r w:rsidR="00D9533A" w:rsidRPr="00377796">
        <w:rPr>
          <w:rFonts w:ascii="Times New Roman" w:hAnsi="Times New Roman" w:cs="Times New Roman"/>
          <w:i/>
          <w:iCs/>
          <w:sz w:val="28"/>
          <w:szCs w:val="28"/>
          <w:lang w:val="ro-MD"/>
        </w:rPr>
        <w:t>de facto</w:t>
      </w:r>
      <w:r w:rsidR="00D9533A" w:rsidRPr="00D9533A">
        <w:rPr>
          <w:rFonts w:ascii="Times New Roman" w:hAnsi="Times New Roman" w:cs="Times New Roman"/>
          <w:sz w:val="28"/>
          <w:szCs w:val="28"/>
          <w:lang w:val="ro-MD"/>
        </w:rPr>
        <w:t xml:space="preserve"> a bunului imobil</w:t>
      </w:r>
      <w:r w:rsidR="008A5FF9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5843468" w14:textId="4A27CBEF" w:rsidR="00552643" w:rsidRPr="00785186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Coloana</w:t>
      </w:r>
      <w:r w:rsidR="00C45DC7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51C4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6</w:t>
      </w:r>
      <w:r w:rsidR="00C45DC7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C45DC7" w:rsidRPr="00785186">
        <w:rPr>
          <w:rFonts w:ascii="Times New Roman" w:hAnsi="Times New Roman" w:cs="Times New Roman"/>
          <w:sz w:val="28"/>
          <w:szCs w:val="28"/>
          <w:lang w:val="ro-MD"/>
        </w:rPr>
        <w:t>adresa bunului imobil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C45DC7" w:rsidRPr="00785186">
        <w:rPr>
          <w:rFonts w:ascii="Times New Roman" w:hAnsi="Times New Roman" w:cs="Times New Roman"/>
          <w:sz w:val="28"/>
          <w:szCs w:val="28"/>
          <w:lang w:val="ro-MD"/>
        </w:rPr>
        <w:t>raion/municipiu, oraș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>/localitate</w:t>
      </w:r>
      <w:r w:rsidR="00C45DC7" w:rsidRPr="00785186">
        <w:rPr>
          <w:rFonts w:ascii="Times New Roman" w:hAnsi="Times New Roman" w:cs="Times New Roman"/>
          <w:sz w:val="28"/>
          <w:szCs w:val="28"/>
          <w:lang w:val="ro-MD"/>
        </w:rPr>
        <w:t>, strada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C45DC7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. Numărul </w:t>
      </w:r>
      <w:r w:rsidR="000A7195" w:rsidRPr="00785186">
        <w:rPr>
          <w:rFonts w:ascii="Times New Roman" w:hAnsi="Times New Roman" w:cs="Times New Roman"/>
          <w:sz w:val="28"/>
          <w:szCs w:val="28"/>
          <w:lang w:val="ro-MD"/>
        </w:rPr>
        <w:t>de adresă a</w:t>
      </w:r>
      <w:r w:rsidR="004D29E8">
        <w:rPr>
          <w:rFonts w:ascii="Times New Roman" w:hAnsi="Times New Roman" w:cs="Times New Roman"/>
          <w:sz w:val="28"/>
          <w:szCs w:val="28"/>
          <w:lang w:val="ro-MD"/>
        </w:rPr>
        <w:t>l</w:t>
      </w:r>
      <w:r w:rsidR="000A7195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70C13" w:rsidRPr="00785186">
        <w:rPr>
          <w:rFonts w:ascii="Times New Roman" w:hAnsi="Times New Roman" w:cs="Times New Roman"/>
          <w:sz w:val="28"/>
          <w:szCs w:val="28"/>
          <w:lang w:val="ro-MD"/>
        </w:rPr>
        <w:t>bunului imobil</w:t>
      </w:r>
      <w:r w:rsidR="00C45DC7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nu se 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>completează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81B39D5" w14:textId="1FB6753E" w:rsidR="00552643" w:rsidRPr="00785186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C45DC7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51C4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7 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C45DC7" w:rsidRPr="00785186">
        <w:rPr>
          <w:rFonts w:ascii="Times New Roman" w:hAnsi="Times New Roman" w:cs="Times New Roman"/>
          <w:sz w:val="28"/>
          <w:szCs w:val="28"/>
          <w:lang w:val="ro-MD"/>
        </w:rPr>
        <w:t>scopul evaluării</w:t>
      </w:r>
      <w:r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/ utilizarea desemnată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04AC0EF" w14:textId="49788C93" w:rsidR="00552643" w:rsidRPr="00785186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C45DC7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51C4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8 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C45DC7" w:rsidRPr="00785186">
        <w:rPr>
          <w:rFonts w:ascii="Times New Roman" w:hAnsi="Times New Roman" w:cs="Times New Roman"/>
          <w:sz w:val="28"/>
          <w:szCs w:val="28"/>
          <w:lang w:val="ro-MD"/>
        </w:rPr>
        <w:t>data evaluării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760B38E9" w14:textId="7D5116E9" w:rsidR="000972A9" w:rsidRPr="00701C12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01C12">
        <w:rPr>
          <w:rFonts w:ascii="Times New Roman" w:hAnsi="Times New Roman" w:cs="Times New Roman"/>
          <w:b/>
          <w:bCs/>
          <w:sz w:val="28"/>
          <w:szCs w:val="28"/>
          <w:lang w:val="ro-MD"/>
        </w:rPr>
        <w:lastRenderedPageBreak/>
        <w:t>C</w:t>
      </w:r>
      <w:r w:rsidR="000A0DC9" w:rsidRPr="00701C12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C45DC7" w:rsidRPr="00701C1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51C49" w:rsidRPr="00701C1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9 </w:t>
      </w:r>
      <w:r w:rsidR="0011277F" w:rsidRPr="00701C12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C45DC7" w:rsidRPr="00701C12">
        <w:rPr>
          <w:rFonts w:ascii="Times New Roman" w:hAnsi="Times New Roman" w:cs="Times New Roman"/>
          <w:sz w:val="28"/>
          <w:szCs w:val="28"/>
          <w:lang w:val="ro-MD"/>
        </w:rPr>
        <w:t>suprafața obiectului evaluării</w:t>
      </w:r>
      <w:r w:rsidR="006A46C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0972A9" w:rsidRPr="00701C1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A46C1">
        <w:rPr>
          <w:rFonts w:ascii="Times New Roman" w:hAnsi="Times New Roman" w:cs="Times New Roman"/>
          <w:sz w:val="28"/>
          <w:szCs w:val="28"/>
          <w:lang w:val="ro-MD"/>
        </w:rPr>
        <w:t>S</w:t>
      </w:r>
      <w:r w:rsidR="000972A9" w:rsidRPr="00701C12">
        <w:rPr>
          <w:rFonts w:ascii="Times New Roman" w:hAnsi="Times New Roman" w:cs="Times New Roman"/>
          <w:sz w:val="28"/>
          <w:szCs w:val="28"/>
          <w:lang w:val="ro-MD"/>
        </w:rPr>
        <w:t>e completează în conformitate cu datele înscrise în Registrul bunurilor imobile</w:t>
      </w:r>
      <w:r w:rsidR="00F61A98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F61A98" w:rsidRPr="00F61A98">
        <w:rPr>
          <w:rFonts w:ascii="Times New Roman" w:hAnsi="Times New Roman" w:cs="Times New Roman"/>
          <w:sz w:val="28"/>
          <w:szCs w:val="28"/>
          <w:lang w:val="ro-MD"/>
        </w:rPr>
        <w:t>utilizând unitățile de măsură stabilite în funcție de tipul obiectului evaluării, conform punctului 145.5 din Hotărârea Guvernului nr.201/2025</w:t>
      </w:r>
      <w:r w:rsidR="00F61A9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61A98" w:rsidRPr="00EA7301">
        <w:rPr>
          <w:rFonts w:ascii="Times New Roman" w:hAnsi="Times New Roman" w:cs="Times New Roman"/>
          <w:sz w:val="28"/>
          <w:szCs w:val="28"/>
          <w:lang w:val="ro-MD"/>
        </w:rPr>
        <w:t>cu privire la aprobarea Regulamentului privind modul de efectuare a înscrierii în registrul bunurilor imobile</w:t>
      </w:r>
      <w:r w:rsidR="008A5FF9">
        <w:rPr>
          <w:rFonts w:ascii="Times New Roman" w:hAnsi="Times New Roman" w:cs="Times New Roman"/>
          <w:sz w:val="28"/>
          <w:szCs w:val="28"/>
          <w:lang w:val="ro-MD"/>
        </w:rPr>
        <w:t>, după cum urmează</w:t>
      </w:r>
      <w:r w:rsidR="000972A9" w:rsidRPr="00701C12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644494EF" w14:textId="33BF845E" w:rsidR="000972A9" w:rsidRPr="00701C12" w:rsidRDefault="000972A9" w:rsidP="001C3D81">
      <w:pPr>
        <w:pStyle w:val="ListParagraph"/>
        <w:numPr>
          <w:ilvl w:val="2"/>
          <w:numId w:val="1"/>
        </w:numPr>
        <w:tabs>
          <w:tab w:val="left" w:pos="709"/>
          <w:tab w:val="left" w:pos="993"/>
          <w:tab w:val="left" w:pos="127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01C12">
        <w:rPr>
          <w:rFonts w:ascii="Times New Roman" w:hAnsi="Times New Roman" w:cs="Times New Roman"/>
          <w:sz w:val="28"/>
          <w:szCs w:val="28"/>
          <w:lang w:val="ro-MD"/>
        </w:rPr>
        <w:t xml:space="preserve">pentru terenuri </w:t>
      </w:r>
      <w:r w:rsidR="008A5FF9">
        <w:rPr>
          <w:rFonts w:ascii="Times New Roman" w:hAnsi="Times New Roman" w:cs="Times New Roman"/>
          <w:sz w:val="28"/>
          <w:szCs w:val="28"/>
          <w:lang w:val="ro-MD"/>
        </w:rPr>
        <w:t>–</w:t>
      </w:r>
      <w:r w:rsidRPr="00701C12">
        <w:rPr>
          <w:rFonts w:ascii="Times New Roman" w:hAnsi="Times New Roman" w:cs="Times New Roman"/>
          <w:sz w:val="28"/>
          <w:szCs w:val="28"/>
          <w:lang w:val="ro-MD"/>
        </w:rPr>
        <w:t xml:space="preserve"> în</w:t>
      </w:r>
      <w:r w:rsidR="008A5FF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701C12">
        <w:rPr>
          <w:rFonts w:ascii="Times New Roman" w:hAnsi="Times New Roman" w:cs="Times New Roman"/>
          <w:sz w:val="28"/>
          <w:szCs w:val="28"/>
          <w:lang w:val="ro-MD"/>
        </w:rPr>
        <w:t>hectare (ha);</w:t>
      </w:r>
    </w:p>
    <w:p w14:paraId="77833633" w14:textId="56AC9EE5" w:rsidR="000972A9" w:rsidRPr="00701C12" w:rsidRDefault="000972A9" w:rsidP="001C3D81">
      <w:pPr>
        <w:pStyle w:val="ListParagraph"/>
        <w:numPr>
          <w:ilvl w:val="2"/>
          <w:numId w:val="1"/>
        </w:numPr>
        <w:tabs>
          <w:tab w:val="left" w:pos="709"/>
          <w:tab w:val="left" w:pos="993"/>
          <w:tab w:val="left" w:pos="127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01C12">
        <w:rPr>
          <w:rFonts w:ascii="Times New Roman" w:hAnsi="Times New Roman" w:cs="Times New Roman"/>
          <w:sz w:val="28"/>
          <w:szCs w:val="28"/>
          <w:lang w:val="ro-MD"/>
        </w:rPr>
        <w:t>pentru construcții – în metri pătrați (m</w:t>
      </w:r>
      <w:r w:rsidRPr="001C3D81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2</w:t>
      </w:r>
      <w:r w:rsidRPr="00701C12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4D0DB6">
        <w:rPr>
          <w:rFonts w:ascii="Times New Roman" w:hAnsi="Times New Roman" w:cs="Times New Roman"/>
          <w:sz w:val="28"/>
          <w:szCs w:val="28"/>
          <w:lang w:val="ro-MD"/>
        </w:rPr>
        <w:t>;</w:t>
      </w:r>
      <w:r w:rsidRPr="00701C12">
        <w:rPr>
          <w:rFonts w:ascii="Times New Roman" w:hAnsi="Times New Roman" w:cs="Times New Roman"/>
          <w:sz w:val="28"/>
          <w:szCs w:val="28"/>
          <w:lang w:val="ro-MD"/>
        </w:rPr>
        <w:t xml:space="preserve"> indicându-se suprafața totală interioară</w:t>
      </w:r>
      <w:r w:rsidR="0089290C" w:rsidRPr="00701C1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A5FF9" w:rsidRPr="008A5FF9">
        <w:rPr>
          <w:rFonts w:ascii="Times New Roman" w:hAnsi="Times New Roman" w:cs="Times New Roman"/>
          <w:sz w:val="28"/>
          <w:szCs w:val="28"/>
          <w:lang w:val="ro-MD"/>
        </w:rPr>
        <w:t>desfășurată</w:t>
      </w:r>
      <w:r w:rsidR="0089290C" w:rsidRPr="00701C12">
        <w:rPr>
          <w:rFonts w:ascii="Times New Roman" w:hAnsi="Times New Roman" w:cs="Times New Roman"/>
          <w:sz w:val="28"/>
          <w:szCs w:val="28"/>
          <w:lang w:val="ro-MD"/>
        </w:rPr>
        <w:t xml:space="preserve"> pe perimetrul interior al tuturor încăperilor integrate în clădire</w:t>
      </w:r>
      <w:r w:rsidRPr="00701C12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7BD39AD9" w14:textId="4FEBB194" w:rsidR="00552643" w:rsidRPr="00701C12" w:rsidRDefault="000972A9" w:rsidP="001C3D81">
      <w:pPr>
        <w:pStyle w:val="ListParagraph"/>
        <w:numPr>
          <w:ilvl w:val="2"/>
          <w:numId w:val="1"/>
        </w:numPr>
        <w:tabs>
          <w:tab w:val="left" w:pos="709"/>
          <w:tab w:val="left" w:pos="993"/>
          <w:tab w:val="left" w:pos="127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01C12">
        <w:rPr>
          <w:rFonts w:ascii="Times New Roman" w:hAnsi="Times New Roman" w:cs="Times New Roman"/>
          <w:sz w:val="28"/>
          <w:szCs w:val="28"/>
          <w:lang w:val="ro-MD"/>
        </w:rPr>
        <w:t>pentru încăperi izolate – în metri pătrați (m</w:t>
      </w:r>
      <w:r w:rsidRPr="001C3D81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2</w:t>
      </w:r>
      <w:r w:rsidRPr="00701C12">
        <w:rPr>
          <w:rFonts w:ascii="Times New Roman" w:hAnsi="Times New Roman" w:cs="Times New Roman"/>
          <w:sz w:val="28"/>
          <w:szCs w:val="28"/>
          <w:lang w:val="ro-MD"/>
        </w:rPr>
        <w:t>);</w:t>
      </w:r>
    </w:p>
    <w:p w14:paraId="00BBD4E9" w14:textId="7A131636" w:rsidR="002975FD" w:rsidRPr="00EA7301" w:rsidRDefault="002975FD" w:rsidP="00EA7301">
      <w:pPr>
        <w:pStyle w:val="ListParagraph"/>
        <w:numPr>
          <w:ilvl w:val="1"/>
          <w:numId w:val="1"/>
        </w:numPr>
        <w:tabs>
          <w:tab w:val="left" w:pos="709"/>
          <w:tab w:val="left" w:pos="1080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A5FF9">
        <w:rPr>
          <w:rFonts w:ascii="Times New Roman" w:hAnsi="Times New Roman" w:cs="Times New Roman"/>
          <w:b/>
          <w:bCs/>
          <w:sz w:val="28"/>
          <w:szCs w:val="28"/>
          <w:lang w:val="ro-MD"/>
        </w:rPr>
        <w:t>Coloana 10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– </w:t>
      </w:r>
      <w:r w:rsidR="006A46C1">
        <w:rPr>
          <w:rFonts w:ascii="Times New Roman" w:hAnsi="Times New Roman" w:cs="Times New Roman"/>
          <w:sz w:val="28"/>
          <w:szCs w:val="28"/>
          <w:lang w:val="ro-MD"/>
        </w:rPr>
        <w:t xml:space="preserve">tipul valorii stabilite în raportul de evaluare. </w:t>
      </w:r>
      <w:r w:rsidR="002C176A" w:rsidRPr="002C176A">
        <w:rPr>
          <w:rFonts w:ascii="Times New Roman" w:hAnsi="Times New Roman" w:cs="Times New Roman"/>
          <w:sz w:val="28"/>
          <w:szCs w:val="28"/>
          <w:lang w:val="ro-MD"/>
        </w:rPr>
        <w:t xml:space="preserve">În cazul determinării în raportul de evaluare a mai multor tipuri de valori, se </w:t>
      </w:r>
      <w:r w:rsidR="004D29E8">
        <w:rPr>
          <w:rFonts w:ascii="Times New Roman" w:hAnsi="Times New Roman" w:cs="Times New Roman"/>
          <w:sz w:val="28"/>
          <w:szCs w:val="28"/>
          <w:lang w:val="ro-MD"/>
        </w:rPr>
        <w:t>indică</w:t>
      </w:r>
      <w:r w:rsidR="002C176A" w:rsidRPr="002C176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C176A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doar </w:t>
      </w:r>
      <w:r w:rsidR="004D29E8">
        <w:rPr>
          <w:rFonts w:ascii="Times New Roman" w:hAnsi="Times New Roman" w:cs="Times New Roman"/>
          <w:sz w:val="28"/>
          <w:szCs w:val="28"/>
          <w:lang w:val="ro-MD"/>
        </w:rPr>
        <w:t>v</w:t>
      </w:r>
      <w:r w:rsidR="002C176A" w:rsidRPr="00EA7301">
        <w:rPr>
          <w:rFonts w:ascii="Times New Roman" w:hAnsi="Times New Roman" w:cs="Times New Roman"/>
          <w:sz w:val="28"/>
          <w:szCs w:val="28"/>
          <w:lang w:val="ro-MD"/>
        </w:rPr>
        <w:t>aloarea de piață</w:t>
      </w:r>
      <w:r w:rsidR="008A5FF9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354DE6CE" w14:textId="6042C995" w:rsidR="00E027DC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D44AC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BA1BC1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BA1BC1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BA1BC1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11277F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D44AC4" w:rsidRPr="00EA7301">
        <w:rPr>
          <w:rFonts w:ascii="Times New Roman" w:hAnsi="Times New Roman" w:cs="Times New Roman"/>
          <w:sz w:val="28"/>
          <w:szCs w:val="28"/>
          <w:lang w:val="ro-MD"/>
        </w:rPr>
        <w:t>valoarea</w:t>
      </w:r>
      <w:r w:rsidR="00785186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44AC4" w:rsidRPr="00785186">
        <w:rPr>
          <w:rFonts w:ascii="Times New Roman" w:hAnsi="Times New Roman" w:cs="Times New Roman"/>
          <w:sz w:val="28"/>
          <w:szCs w:val="28"/>
          <w:lang w:val="ro-MD"/>
        </w:rPr>
        <w:t>stabilită în raportul de evaluare</w:t>
      </w:r>
      <w:r w:rsidR="006A46C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C115B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A46C1">
        <w:rPr>
          <w:rFonts w:ascii="Times New Roman" w:hAnsi="Times New Roman" w:cs="Times New Roman"/>
          <w:sz w:val="28"/>
          <w:szCs w:val="28"/>
          <w:lang w:val="ro-MD"/>
        </w:rPr>
        <w:t>S</w:t>
      </w:r>
      <w:r w:rsidR="00C115BB">
        <w:rPr>
          <w:rFonts w:ascii="Times New Roman" w:hAnsi="Times New Roman" w:cs="Times New Roman"/>
          <w:sz w:val="28"/>
          <w:szCs w:val="28"/>
          <w:lang w:val="ro-MD"/>
        </w:rPr>
        <w:t xml:space="preserve">e indică </w:t>
      </w:r>
      <w:r w:rsidR="00612D21">
        <w:rPr>
          <w:rFonts w:ascii="Times New Roman" w:hAnsi="Times New Roman" w:cs="Times New Roman"/>
          <w:sz w:val="28"/>
          <w:szCs w:val="28"/>
          <w:lang w:val="ro-MD"/>
        </w:rPr>
        <w:t>ex</w:t>
      </w:r>
      <w:r w:rsidR="00C115BB">
        <w:rPr>
          <w:rFonts w:ascii="Times New Roman" w:hAnsi="Times New Roman" w:cs="Times New Roman"/>
          <w:sz w:val="28"/>
          <w:szCs w:val="28"/>
          <w:lang w:val="ro-MD"/>
        </w:rPr>
        <w:t xml:space="preserve">clusiv </w:t>
      </w:r>
      <w:r w:rsidR="004D29E8">
        <w:rPr>
          <w:rFonts w:ascii="Times New Roman" w:hAnsi="Times New Roman" w:cs="Times New Roman"/>
          <w:sz w:val="28"/>
          <w:szCs w:val="28"/>
          <w:lang w:val="ro-MD"/>
        </w:rPr>
        <w:t xml:space="preserve">fără </w:t>
      </w:r>
      <w:r w:rsidR="00EA7301">
        <w:rPr>
          <w:rFonts w:ascii="Times New Roman" w:hAnsi="Times New Roman" w:cs="Times New Roman"/>
          <w:sz w:val="28"/>
          <w:szCs w:val="28"/>
          <w:lang w:val="ro-MD"/>
        </w:rPr>
        <w:t>ta</w:t>
      </w:r>
      <w:r w:rsidR="006D7F9E">
        <w:rPr>
          <w:rFonts w:ascii="Times New Roman" w:hAnsi="Times New Roman" w:cs="Times New Roman"/>
          <w:sz w:val="28"/>
          <w:szCs w:val="28"/>
          <w:lang w:val="ro-MD"/>
        </w:rPr>
        <w:t>x</w:t>
      </w:r>
      <w:r w:rsidR="00EA7301">
        <w:rPr>
          <w:rFonts w:ascii="Times New Roman" w:hAnsi="Times New Roman" w:cs="Times New Roman"/>
          <w:sz w:val="28"/>
          <w:szCs w:val="28"/>
          <w:lang w:val="ro-MD"/>
        </w:rPr>
        <w:t>a pe valoarea adăugată</w:t>
      </w:r>
      <w:r w:rsidR="006D7F9E">
        <w:rPr>
          <w:rFonts w:ascii="Times New Roman" w:hAnsi="Times New Roman" w:cs="Times New Roman"/>
          <w:sz w:val="28"/>
          <w:szCs w:val="28"/>
          <w:lang w:val="ro-MD"/>
        </w:rPr>
        <w:t xml:space="preserve"> (TVA)</w:t>
      </w:r>
      <w:r w:rsidR="00D44AC4" w:rsidRPr="00785186">
        <w:rPr>
          <w:rFonts w:ascii="Times New Roman" w:hAnsi="Times New Roman" w:cs="Times New Roman"/>
          <w:sz w:val="28"/>
          <w:szCs w:val="28"/>
          <w:lang w:val="ro-MD"/>
        </w:rPr>
        <w:t>, exprimată în lei moldovenești</w:t>
      </w:r>
      <w:r w:rsidR="004D29E8">
        <w:rPr>
          <w:rFonts w:ascii="Times New Roman" w:hAnsi="Times New Roman" w:cs="Times New Roman"/>
          <w:sz w:val="28"/>
          <w:szCs w:val="28"/>
          <w:lang w:val="ro-MD"/>
        </w:rPr>
        <w:t>;</w:t>
      </w:r>
      <w:r w:rsidR="00C115BB">
        <w:rPr>
          <w:rFonts w:ascii="Times New Roman" w:hAnsi="Times New Roman" w:cs="Times New Roman"/>
          <w:sz w:val="28"/>
          <w:szCs w:val="28"/>
          <w:lang w:val="ro-MD"/>
        </w:rPr>
        <w:t xml:space="preserve"> la </w:t>
      </w:r>
      <w:r w:rsidR="00C115BB" w:rsidRPr="006A46C1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mențiuni </w:t>
      </w:r>
      <w:r w:rsidR="00C115BB">
        <w:rPr>
          <w:rFonts w:ascii="Times New Roman" w:hAnsi="Times New Roman" w:cs="Times New Roman"/>
          <w:sz w:val="28"/>
          <w:szCs w:val="28"/>
          <w:lang w:val="ro-MD"/>
        </w:rPr>
        <w:t xml:space="preserve">poate fi indicată valoarea </w:t>
      </w:r>
      <w:r w:rsidR="001B4EA2">
        <w:rPr>
          <w:rFonts w:ascii="Times New Roman" w:hAnsi="Times New Roman" w:cs="Times New Roman"/>
          <w:sz w:val="28"/>
          <w:szCs w:val="28"/>
          <w:lang w:val="ro-MD"/>
        </w:rPr>
        <w:t>in</w:t>
      </w:r>
      <w:r w:rsidR="00C115BB">
        <w:rPr>
          <w:rFonts w:ascii="Times New Roman" w:hAnsi="Times New Roman" w:cs="Times New Roman"/>
          <w:sz w:val="28"/>
          <w:szCs w:val="28"/>
          <w:lang w:val="ro-MD"/>
        </w:rPr>
        <w:t>clusiv TVA</w:t>
      </w:r>
      <w:r w:rsidR="00EA7301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B8D52A8" w14:textId="74C04391" w:rsidR="00E027DC" w:rsidRPr="00EA7301" w:rsidRDefault="00DB0DEA" w:rsidP="006A46C1">
      <w:pPr>
        <w:pStyle w:val="ListParagraph"/>
        <w:numPr>
          <w:ilvl w:val="2"/>
          <w:numId w:val="1"/>
        </w:numPr>
        <w:tabs>
          <w:tab w:val="left" w:pos="709"/>
          <w:tab w:val="left" w:pos="993"/>
          <w:tab w:val="left" w:pos="1276"/>
        </w:tabs>
        <w:spacing w:after="0"/>
        <w:ind w:left="0" w:firstLine="27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În cazul </w:t>
      </w:r>
      <w:r w:rsidR="00D44AC4" w:rsidRPr="00EA7301">
        <w:rPr>
          <w:rFonts w:ascii="Times New Roman" w:hAnsi="Times New Roman" w:cs="Times New Roman"/>
          <w:sz w:val="28"/>
          <w:szCs w:val="28"/>
          <w:lang w:val="ro-MD"/>
        </w:rPr>
        <w:t>rapo</w:t>
      </w:r>
      <w:r w:rsidRPr="00EA7301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D44AC4" w:rsidRPr="00EA7301">
        <w:rPr>
          <w:rFonts w:ascii="Times New Roman" w:hAnsi="Times New Roman" w:cs="Times New Roman"/>
          <w:sz w:val="28"/>
          <w:szCs w:val="28"/>
          <w:lang w:val="ro-MD"/>
        </w:rPr>
        <w:t>rt</w:t>
      </w:r>
      <w:r w:rsidRPr="00EA7301">
        <w:rPr>
          <w:rFonts w:ascii="Times New Roman" w:hAnsi="Times New Roman" w:cs="Times New Roman"/>
          <w:sz w:val="28"/>
          <w:szCs w:val="28"/>
          <w:lang w:val="ro-MD"/>
        </w:rPr>
        <w:t>elor</w:t>
      </w:r>
      <w:r w:rsidR="00D44AC4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 de evaluare </w:t>
      </w:r>
      <w:r w:rsidRPr="00EA7301">
        <w:rPr>
          <w:rFonts w:ascii="Times New Roman" w:hAnsi="Times New Roman" w:cs="Times New Roman"/>
          <w:sz w:val="28"/>
          <w:szCs w:val="28"/>
          <w:lang w:val="ro-MD"/>
        </w:rPr>
        <w:t>care includ</w:t>
      </w:r>
      <w:r w:rsidR="00D44AC4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 mai multe </w:t>
      </w:r>
      <w:r w:rsidR="00C115BB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tipuri de </w:t>
      </w:r>
      <w:r w:rsidR="00D44AC4" w:rsidRPr="00EA7301">
        <w:rPr>
          <w:rFonts w:ascii="Times New Roman" w:hAnsi="Times New Roman" w:cs="Times New Roman"/>
          <w:sz w:val="28"/>
          <w:szCs w:val="28"/>
          <w:lang w:val="ro-MD"/>
        </w:rPr>
        <w:t>bunuri imobile</w:t>
      </w:r>
      <w:r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335EA8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în care valoarea fiecărui </w:t>
      </w:r>
      <w:r w:rsidR="00E027DC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tip de bun imobil </w:t>
      </w:r>
      <w:r w:rsidR="00335EA8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este determinată separat, fiecare valoare se </w:t>
      </w:r>
      <w:r w:rsidR="007B30AF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completează </w:t>
      </w:r>
      <w:r w:rsidR="00335EA8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pe un rând </w:t>
      </w:r>
      <w:r w:rsidRPr="00EA7301">
        <w:rPr>
          <w:rFonts w:ascii="Times New Roman" w:hAnsi="Times New Roman" w:cs="Times New Roman"/>
          <w:sz w:val="28"/>
          <w:szCs w:val="28"/>
          <w:lang w:val="ro-MD"/>
        </w:rPr>
        <w:t>distinct</w:t>
      </w:r>
      <w:r w:rsidR="00335EA8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, corespunzător tipului </w:t>
      </w:r>
      <w:r w:rsidR="00905560" w:rsidRPr="00EA7301">
        <w:rPr>
          <w:rFonts w:ascii="Times New Roman" w:hAnsi="Times New Roman" w:cs="Times New Roman"/>
          <w:sz w:val="28"/>
          <w:szCs w:val="28"/>
          <w:lang w:val="ro-MD"/>
        </w:rPr>
        <w:t>obiectului</w:t>
      </w:r>
      <w:r w:rsidR="00335EA8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 evaluat</w:t>
      </w:r>
      <w:r w:rsidR="006D7F9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1C0EB88" w14:textId="54796A0E" w:rsidR="00B052F1" w:rsidRPr="00EA7301" w:rsidRDefault="00E027DC" w:rsidP="006A46C1">
      <w:pPr>
        <w:pStyle w:val="ListParagraph"/>
        <w:numPr>
          <w:ilvl w:val="2"/>
          <w:numId w:val="1"/>
        </w:numPr>
        <w:tabs>
          <w:tab w:val="left" w:pos="709"/>
          <w:tab w:val="left" w:pos="993"/>
          <w:tab w:val="left" w:pos="1276"/>
        </w:tabs>
        <w:spacing w:after="0"/>
        <w:ind w:left="0" w:firstLine="27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A7301">
        <w:rPr>
          <w:rFonts w:ascii="Times New Roman" w:hAnsi="Times New Roman" w:cs="Times New Roman"/>
          <w:sz w:val="28"/>
          <w:szCs w:val="28"/>
          <w:lang w:val="ro-MD"/>
        </w:rPr>
        <w:t>În cazul rapoartelor de evaluare care includ bunuri imobile complexe</w:t>
      </w:r>
      <w:r w:rsidR="00B052F1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, în care valoarea fiecărui tip de bun imobil este determinată separat, fiecare valoare se </w:t>
      </w:r>
      <w:r w:rsidR="007B30AF" w:rsidRPr="00EA7301">
        <w:rPr>
          <w:rFonts w:ascii="Times New Roman" w:hAnsi="Times New Roman" w:cs="Times New Roman"/>
          <w:sz w:val="28"/>
          <w:szCs w:val="28"/>
          <w:lang w:val="ro-MD"/>
        </w:rPr>
        <w:t>completează</w:t>
      </w:r>
      <w:r w:rsidR="00B052F1"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 pe un rând distinct, corespunzător tipului obiectului evaluat</w:t>
      </w:r>
      <w:r w:rsidR="006D7F9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265CCC1F" w14:textId="535D7A40" w:rsidR="00552643" w:rsidRPr="00EA7301" w:rsidRDefault="00B052F1" w:rsidP="006A46C1">
      <w:pPr>
        <w:pStyle w:val="ListParagraph"/>
        <w:numPr>
          <w:ilvl w:val="2"/>
          <w:numId w:val="1"/>
        </w:numPr>
        <w:tabs>
          <w:tab w:val="left" w:pos="567"/>
          <w:tab w:val="left" w:pos="709"/>
          <w:tab w:val="left" w:pos="1276"/>
        </w:tabs>
        <w:spacing w:after="0"/>
        <w:ind w:left="0" w:firstLine="27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A7301">
        <w:rPr>
          <w:rFonts w:ascii="Times New Roman" w:hAnsi="Times New Roman" w:cs="Times New Roman"/>
          <w:sz w:val="28"/>
          <w:szCs w:val="28"/>
          <w:lang w:val="ro-MD"/>
        </w:rPr>
        <w:t>În cazul rapoartelor de evaluare care includ bunuri imobile complexe, în care valoarea bunului imobil complex este determinată integral, valoarea se înscrie corespunzător suprafeței totale interioare a construcției principale și</w:t>
      </w:r>
      <w:r w:rsidR="006A46C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A7301">
        <w:rPr>
          <w:rFonts w:ascii="Times New Roman" w:hAnsi="Times New Roman" w:cs="Times New Roman"/>
          <w:sz w:val="28"/>
          <w:szCs w:val="28"/>
          <w:lang w:val="ro-MD"/>
        </w:rPr>
        <w:t>/</w:t>
      </w:r>
      <w:r w:rsidR="006A46C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A7301">
        <w:rPr>
          <w:rFonts w:ascii="Times New Roman" w:hAnsi="Times New Roman" w:cs="Times New Roman"/>
          <w:sz w:val="28"/>
          <w:szCs w:val="28"/>
          <w:lang w:val="ro-MD"/>
        </w:rPr>
        <w:t xml:space="preserve">sau sumării tuturor suprafețelor totale interioare a construcțiilor înscrise în Registrul bunurilor imobile. </w:t>
      </w:r>
      <w:r w:rsidR="006D7F9E" w:rsidRPr="006D7F9E">
        <w:rPr>
          <w:rFonts w:ascii="Times New Roman" w:hAnsi="Times New Roman" w:cs="Times New Roman"/>
          <w:sz w:val="28"/>
          <w:szCs w:val="28"/>
          <w:lang w:val="ro-MD"/>
        </w:rPr>
        <w:t>Suprafața terenului aferent acestui bun imobil complex se completează pe un rând distinct, fără completarea valorii acestuia</w:t>
      </w:r>
      <w:r w:rsidR="0011277F" w:rsidRPr="00EA7301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D6FCA3D" w14:textId="3A2BDC4A" w:rsidR="00995252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D44AC4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BA1BC1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BA1BC1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BA1BC1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D44AC4" w:rsidRPr="00785186">
        <w:rPr>
          <w:rFonts w:ascii="Times New Roman" w:hAnsi="Times New Roman" w:cs="Times New Roman"/>
          <w:sz w:val="28"/>
          <w:szCs w:val="28"/>
          <w:lang w:val="ro-MD"/>
        </w:rPr>
        <w:t>statutul juridic al beneficiarului serviciilor de evaluare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D44AC4" w:rsidRPr="00785186">
        <w:rPr>
          <w:rFonts w:ascii="Times New Roman" w:hAnsi="Times New Roman" w:cs="Times New Roman"/>
          <w:sz w:val="28"/>
          <w:szCs w:val="28"/>
          <w:lang w:val="ro-MD"/>
        </w:rPr>
        <w:t>persoană fizică, persoană juridică</w:t>
      </w:r>
      <w:r w:rsidR="00905560" w:rsidRPr="00785186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D44AC4" w:rsidRPr="00785186">
        <w:rPr>
          <w:rFonts w:ascii="Times New Roman" w:hAnsi="Times New Roman" w:cs="Times New Roman"/>
          <w:sz w:val="28"/>
          <w:szCs w:val="28"/>
          <w:lang w:val="ro-MD"/>
        </w:rPr>
        <w:t>instituție publică</w:t>
      </w:r>
      <w:r w:rsidR="0011277F" w:rsidRPr="00785186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995252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33973444" w14:textId="3384494D" w:rsidR="00785186" w:rsidRPr="00785186" w:rsidRDefault="0078518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C3D81">
        <w:rPr>
          <w:rFonts w:ascii="Times New Roman" w:hAnsi="Times New Roman" w:cs="Times New Roman"/>
          <w:b/>
          <w:bCs/>
          <w:sz w:val="28"/>
          <w:szCs w:val="28"/>
          <w:lang w:val="ro-MD"/>
        </w:rPr>
        <w:t>Coloana 1</w:t>
      </w:r>
      <w:r w:rsidR="00BA1BC1"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Pr="001C3D81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–</w:t>
      </w:r>
      <w:r w:rsidRPr="001C3D8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26855">
        <w:rPr>
          <w:rFonts w:ascii="Times New Roman" w:hAnsi="Times New Roman" w:cs="Times New Roman"/>
          <w:sz w:val="28"/>
          <w:szCs w:val="28"/>
          <w:lang w:val="ro-MD"/>
        </w:rPr>
        <w:t>după caz,</w:t>
      </w:r>
      <w:r w:rsidR="00826855" w:rsidRPr="008268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C3D81">
        <w:rPr>
          <w:rFonts w:ascii="Times New Roman" w:hAnsi="Times New Roman" w:cs="Times New Roman"/>
          <w:sz w:val="28"/>
          <w:szCs w:val="28"/>
          <w:lang w:val="ro-MD"/>
        </w:rPr>
        <w:t>se completează cu orice informații suplimentare relevante pentru obiectul evaluării, care nu sunt incluse în celelalte coloane, inclusiv observații privind starea juridică a bunului, eventuale restricții de folosință, servituți sau alte caracteristici speciale ale bunului imobil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evaluat</w:t>
      </w:r>
      <w:r w:rsidRPr="001C3D81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608E30E2" w14:textId="12746F33" w:rsidR="007B02BE" w:rsidRPr="006A46C1" w:rsidRDefault="00D44AC4" w:rsidP="0024318A">
      <w:pPr>
        <w:pStyle w:val="ListParagraph"/>
        <w:numPr>
          <w:ilvl w:val="0"/>
          <w:numId w:val="1"/>
        </w:numPr>
        <w:tabs>
          <w:tab w:val="left" w:pos="142"/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  <w:sectPr w:rsidR="007B02BE" w:rsidRPr="006A46C1" w:rsidSect="006A46C1">
          <w:footerReference w:type="default" r:id="rId10"/>
          <w:pgSz w:w="11906" w:h="16838" w:code="9"/>
          <w:pgMar w:top="1134" w:right="964" w:bottom="1134" w:left="1814" w:header="709" w:footer="709" w:gutter="0"/>
          <w:paperSrc w:first="7" w:other="7"/>
          <w:cols w:space="708"/>
          <w:titlePg/>
          <w:docGrid w:linePitch="299"/>
        </w:sectPr>
      </w:pPr>
      <w:r w:rsidRPr="006A46C1">
        <w:rPr>
          <w:rFonts w:ascii="Times New Roman" w:hAnsi="Times New Roman" w:cs="Times New Roman"/>
          <w:sz w:val="28"/>
          <w:szCs w:val="28"/>
          <w:lang w:val="ro-MD"/>
        </w:rPr>
        <w:t xml:space="preserve">Darea de seamă </w:t>
      </w:r>
      <w:r w:rsidR="00A51CCE" w:rsidRPr="006A46C1">
        <w:rPr>
          <w:rFonts w:ascii="Times New Roman" w:hAnsi="Times New Roman" w:cs="Times New Roman"/>
          <w:sz w:val="28"/>
          <w:szCs w:val="28"/>
          <w:lang w:val="ro-MD"/>
        </w:rPr>
        <w:t>se semnează</w:t>
      </w:r>
      <w:r w:rsidRPr="006A46C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90F3F" w:rsidRPr="006A46C1">
        <w:rPr>
          <w:rFonts w:ascii="Times New Roman" w:hAnsi="Times New Roman" w:cs="Times New Roman"/>
          <w:sz w:val="28"/>
          <w:szCs w:val="28"/>
          <w:lang w:val="ro-MD"/>
        </w:rPr>
        <w:t>electronic</w:t>
      </w:r>
      <w:r w:rsidRPr="006A46C1">
        <w:rPr>
          <w:rFonts w:ascii="Times New Roman" w:hAnsi="Times New Roman" w:cs="Times New Roman"/>
          <w:sz w:val="28"/>
          <w:szCs w:val="28"/>
          <w:lang w:val="ro-MD"/>
        </w:rPr>
        <w:t xml:space="preserve"> de către evaluatorul </w:t>
      </w:r>
      <w:r w:rsidR="006A46C1" w:rsidRPr="006A46C1">
        <w:rPr>
          <w:rFonts w:ascii="Times New Roman" w:hAnsi="Times New Roman" w:cs="Times New Roman"/>
          <w:sz w:val="28"/>
          <w:szCs w:val="28"/>
          <w:lang w:val="ro-MD"/>
        </w:rPr>
        <w:t xml:space="preserve">bunurilor imobile, </w:t>
      </w:r>
      <w:r w:rsidRPr="006A46C1">
        <w:rPr>
          <w:rFonts w:ascii="Times New Roman" w:hAnsi="Times New Roman" w:cs="Times New Roman"/>
          <w:sz w:val="28"/>
          <w:szCs w:val="28"/>
          <w:lang w:val="ro-MD"/>
        </w:rPr>
        <w:t>care a elaborat rapoartele de evaluare</w:t>
      </w:r>
      <w:r w:rsidR="00CF5747" w:rsidRPr="006A46C1">
        <w:rPr>
          <w:rFonts w:ascii="Times New Roman" w:hAnsi="Times New Roman" w:cs="Times New Roman"/>
          <w:sz w:val="28"/>
          <w:szCs w:val="28"/>
          <w:lang w:val="ro-MD"/>
        </w:rPr>
        <w:t>, conform art.30 alin.(6) din Legea nr.989/2002</w:t>
      </w:r>
      <w:r w:rsidR="006A46C1" w:rsidRPr="006A46C1">
        <w:rPr>
          <w:rFonts w:ascii="Times New Roman" w:hAnsi="Times New Roman" w:cs="Times New Roman"/>
          <w:sz w:val="28"/>
          <w:szCs w:val="28"/>
          <w:lang w:val="ro-MD"/>
        </w:rPr>
        <w:t xml:space="preserve"> cu privire la activitatea de evaluare </w:t>
      </w:r>
      <w:r w:rsidR="00CF5747" w:rsidRPr="006A46C1">
        <w:rPr>
          <w:rFonts w:ascii="Times New Roman" w:hAnsi="Times New Roman" w:cs="Times New Roman"/>
          <w:sz w:val="28"/>
          <w:szCs w:val="28"/>
          <w:lang w:val="ro-MD"/>
        </w:rPr>
        <w:t>și Leg</w:t>
      </w:r>
      <w:r w:rsidR="006A46C1" w:rsidRPr="006A46C1">
        <w:rPr>
          <w:rFonts w:ascii="Times New Roman" w:hAnsi="Times New Roman" w:cs="Times New Roman"/>
          <w:sz w:val="28"/>
          <w:szCs w:val="28"/>
          <w:lang w:val="ro-MD"/>
        </w:rPr>
        <w:t xml:space="preserve">ea </w:t>
      </w:r>
      <w:r w:rsidR="00CF5747" w:rsidRPr="006A46C1">
        <w:rPr>
          <w:rFonts w:ascii="Times New Roman" w:hAnsi="Times New Roman" w:cs="Times New Roman"/>
          <w:sz w:val="28"/>
          <w:szCs w:val="28"/>
          <w:lang w:val="ro-MD"/>
        </w:rPr>
        <w:t>nr.</w:t>
      </w:r>
      <w:r w:rsidR="00F264D6" w:rsidRPr="006A46C1">
        <w:rPr>
          <w:rFonts w:ascii="Times New Roman" w:hAnsi="Times New Roman" w:cs="Times New Roman"/>
          <w:sz w:val="28"/>
          <w:szCs w:val="28"/>
          <w:lang w:val="ro-MD"/>
        </w:rPr>
        <w:t>124/2022</w:t>
      </w:r>
      <w:r w:rsidR="00CF5747" w:rsidRPr="006A46C1">
        <w:rPr>
          <w:rFonts w:ascii="Times New Roman" w:hAnsi="Times New Roman" w:cs="Times New Roman"/>
          <w:sz w:val="28"/>
          <w:szCs w:val="28"/>
          <w:lang w:val="ro-MD"/>
        </w:rPr>
        <w:t xml:space="preserve"> privind semnătura electronică și documentul electronic.</w:t>
      </w:r>
      <w:r w:rsidR="00163036" w:rsidRPr="006A46C1">
        <w:rPr>
          <w:rFonts w:ascii="Times New Roman" w:hAnsi="Times New Roman" w:cs="Times New Roman"/>
          <w:sz w:val="28"/>
          <w:szCs w:val="28"/>
          <w:lang w:val="ro-MD"/>
        </w:rPr>
        <w:br w:type="page"/>
      </w:r>
    </w:p>
    <w:p w14:paraId="69D5B18C" w14:textId="2B4C5E2A" w:rsidR="00163036" w:rsidRPr="001C3D81" w:rsidRDefault="00163036" w:rsidP="00163036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lastRenderedPageBreak/>
        <w:t>Anexa</w:t>
      </w:r>
    </w:p>
    <w:p w14:paraId="12A3A70D" w14:textId="45897ECA" w:rsidR="00163036" w:rsidRPr="001C3D81" w:rsidRDefault="00163036" w:rsidP="00163036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>la I</w:t>
      </w:r>
      <w:r w:rsidR="002336EB"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>nstrucțiune</w:t>
      </w:r>
      <w:r w:rsidR="004506D7"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>a</w:t>
      </w:r>
      <w:r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p</w:t>
      </w:r>
      <w:r w:rsidR="008B19A7"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>entru</w:t>
      </w:r>
      <w:r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prezentarea </w:t>
      </w:r>
      <w:r w:rsidR="008B19A7"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br/>
      </w:r>
      <w:r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>Dărilor de seamă privind</w:t>
      </w:r>
      <w:r w:rsidR="008B19A7"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rapoartele </w:t>
      </w:r>
      <w:r w:rsidR="008B19A7"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br/>
      </w:r>
      <w:r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de evaluare întocmite de evaluatorii </w:t>
      </w:r>
      <w:r w:rsidR="008B19A7"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br/>
      </w:r>
      <w:r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bunurilor imobile, prin intermediul </w:t>
      </w:r>
      <w:r w:rsidR="008B19A7"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br/>
      </w:r>
      <w:r w:rsidRPr="001C3D81">
        <w:rPr>
          <w:rFonts w:ascii="Times New Roman" w:hAnsi="Times New Roman" w:cs="Times New Roman"/>
          <w:i/>
          <w:iCs/>
          <w:sz w:val="24"/>
          <w:szCs w:val="24"/>
          <w:lang w:val="ro-MD"/>
        </w:rPr>
        <w:t>întreprinderilor de evaluare</w:t>
      </w:r>
    </w:p>
    <w:p w14:paraId="3C1DF2A3" w14:textId="77777777" w:rsidR="00552643" w:rsidRPr="00785186" w:rsidRDefault="00552643" w:rsidP="00552643">
      <w:pPr>
        <w:tabs>
          <w:tab w:val="left" w:pos="142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EF644EA" w14:textId="71814EB1" w:rsidR="00552643" w:rsidRPr="00785186" w:rsidRDefault="00552643" w:rsidP="00163036">
      <w:pPr>
        <w:tabs>
          <w:tab w:val="left" w:pos="142"/>
          <w:tab w:val="left" w:pos="426"/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Model </w:t>
      </w:r>
      <w:r w:rsidR="007E79C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standard </w:t>
      </w: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 </w:t>
      </w:r>
      <w:r w:rsidR="007E79C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D</w:t>
      </w: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>ări</w:t>
      </w:r>
      <w:r w:rsidR="00CB1353">
        <w:rPr>
          <w:rFonts w:ascii="Times New Roman" w:hAnsi="Times New Roman" w:cs="Times New Roman"/>
          <w:b/>
          <w:bCs/>
          <w:sz w:val="28"/>
          <w:szCs w:val="28"/>
          <w:lang w:val="ro-MD"/>
        </w:rPr>
        <w:t>i</w:t>
      </w:r>
      <w:r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 seama</w:t>
      </w:r>
      <w:r w:rsidR="007E79C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7E79C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br/>
        <w:t xml:space="preserve">privind rapoartele de evaluare întocmite de evaluatorii </w:t>
      </w:r>
      <w:r w:rsidR="007E79C5" w:rsidRPr="00785186">
        <w:rPr>
          <w:rFonts w:ascii="Times New Roman" w:hAnsi="Times New Roman" w:cs="Times New Roman"/>
          <w:b/>
          <w:bCs/>
          <w:sz w:val="28"/>
          <w:szCs w:val="28"/>
          <w:lang w:val="ro-MD"/>
        </w:rPr>
        <w:br/>
        <w:t>bunurilor imobile, prin intermediul întreprinderilor de evaluare</w:t>
      </w:r>
    </w:p>
    <w:p w14:paraId="432DAD74" w14:textId="0323904A" w:rsidR="00EE26A1" w:rsidRPr="00785186" w:rsidRDefault="00EE26A1" w:rsidP="00F45B79">
      <w:pPr>
        <w:tabs>
          <w:tab w:val="left" w:pos="142"/>
          <w:tab w:val="left" w:pos="426"/>
          <w:tab w:val="left" w:pos="567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49ABA37" w14:textId="55C6FF46" w:rsidR="00F45B79" w:rsidRPr="00785186" w:rsidRDefault="00F976E8" w:rsidP="00F45B79">
      <w:pPr>
        <w:tabs>
          <w:tab w:val="left" w:pos="142"/>
          <w:tab w:val="left" w:pos="426"/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F976E8">
        <w:rPr>
          <w:noProof/>
        </w:rPr>
        <w:drawing>
          <wp:inline distT="0" distB="0" distL="0" distR="0" wp14:anchorId="4F33F6C5" wp14:editId="628658CF">
            <wp:extent cx="5868035" cy="6320790"/>
            <wp:effectExtent l="0" t="0" r="0" b="3810"/>
            <wp:docPr id="20916836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632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B79" w:rsidRPr="00785186" w:rsidSect="006B55DE">
      <w:pgSz w:w="11906" w:h="16838" w:code="9"/>
      <w:pgMar w:top="900" w:right="964" w:bottom="1134" w:left="1701" w:header="709" w:footer="709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1FF1" w14:textId="77777777" w:rsidR="008D162B" w:rsidRDefault="008D162B" w:rsidP="006A6789">
      <w:pPr>
        <w:spacing w:after="0" w:line="240" w:lineRule="auto"/>
      </w:pPr>
      <w:r>
        <w:separator/>
      </w:r>
    </w:p>
  </w:endnote>
  <w:endnote w:type="continuationSeparator" w:id="0">
    <w:p w14:paraId="32389C87" w14:textId="77777777" w:rsidR="008D162B" w:rsidRDefault="008D162B" w:rsidP="006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01853"/>
      <w:docPartObj>
        <w:docPartGallery w:val="Page Numbers (Bottom of Page)"/>
        <w:docPartUnique/>
      </w:docPartObj>
    </w:sdtPr>
    <w:sdtEndPr/>
    <w:sdtContent>
      <w:p w14:paraId="09EF69E1" w14:textId="279B4D91" w:rsidR="006B55DE" w:rsidRDefault="006B55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105696" w14:textId="77777777" w:rsidR="006B55DE" w:rsidRDefault="006B5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557D" w14:textId="77777777" w:rsidR="008D162B" w:rsidRDefault="008D162B" w:rsidP="006A6789">
      <w:pPr>
        <w:spacing w:after="0" w:line="240" w:lineRule="auto"/>
      </w:pPr>
      <w:r>
        <w:separator/>
      </w:r>
    </w:p>
  </w:footnote>
  <w:footnote w:type="continuationSeparator" w:id="0">
    <w:p w14:paraId="19ED3979" w14:textId="77777777" w:rsidR="008D162B" w:rsidRDefault="008D162B" w:rsidP="006A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14B"/>
    <w:multiLevelType w:val="hybridMultilevel"/>
    <w:tmpl w:val="012C779A"/>
    <w:lvl w:ilvl="0" w:tplc="54801D68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7940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A86D36"/>
    <w:multiLevelType w:val="hybridMultilevel"/>
    <w:tmpl w:val="27B00794"/>
    <w:lvl w:ilvl="0" w:tplc="5E647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C3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E04AF4"/>
    <w:multiLevelType w:val="hybridMultilevel"/>
    <w:tmpl w:val="E460D62A"/>
    <w:lvl w:ilvl="0" w:tplc="8B1C4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F8"/>
    <w:rsid w:val="000155B9"/>
    <w:rsid w:val="0002593E"/>
    <w:rsid w:val="000313B7"/>
    <w:rsid w:val="00033F51"/>
    <w:rsid w:val="00037ACC"/>
    <w:rsid w:val="00064B1E"/>
    <w:rsid w:val="00066345"/>
    <w:rsid w:val="000808B9"/>
    <w:rsid w:val="00084196"/>
    <w:rsid w:val="00085929"/>
    <w:rsid w:val="00087311"/>
    <w:rsid w:val="000972A9"/>
    <w:rsid w:val="000A0DC9"/>
    <w:rsid w:val="000A1BC0"/>
    <w:rsid w:val="000A7195"/>
    <w:rsid w:val="000B3F61"/>
    <w:rsid w:val="000B5660"/>
    <w:rsid w:val="00103EBA"/>
    <w:rsid w:val="0011277F"/>
    <w:rsid w:val="001275E1"/>
    <w:rsid w:val="001316DE"/>
    <w:rsid w:val="00141048"/>
    <w:rsid w:val="00142372"/>
    <w:rsid w:val="00157F3A"/>
    <w:rsid w:val="00163036"/>
    <w:rsid w:val="001808E3"/>
    <w:rsid w:val="001A0131"/>
    <w:rsid w:val="001B26E5"/>
    <w:rsid w:val="001B4EA2"/>
    <w:rsid w:val="001C3D81"/>
    <w:rsid w:val="001C5050"/>
    <w:rsid w:val="001C7C79"/>
    <w:rsid w:val="001F0179"/>
    <w:rsid w:val="002336EB"/>
    <w:rsid w:val="00233794"/>
    <w:rsid w:val="00260463"/>
    <w:rsid w:val="00262897"/>
    <w:rsid w:val="00276413"/>
    <w:rsid w:val="0027655E"/>
    <w:rsid w:val="00282876"/>
    <w:rsid w:val="002907D6"/>
    <w:rsid w:val="002975FD"/>
    <w:rsid w:val="002A6522"/>
    <w:rsid w:val="002B1B90"/>
    <w:rsid w:val="002B3874"/>
    <w:rsid w:val="002B617F"/>
    <w:rsid w:val="002C176A"/>
    <w:rsid w:val="002D7816"/>
    <w:rsid w:val="002E04D3"/>
    <w:rsid w:val="002E698A"/>
    <w:rsid w:val="002F5314"/>
    <w:rsid w:val="002F5C47"/>
    <w:rsid w:val="003105DA"/>
    <w:rsid w:val="003200AB"/>
    <w:rsid w:val="003231C6"/>
    <w:rsid w:val="00335EA8"/>
    <w:rsid w:val="0033612F"/>
    <w:rsid w:val="003470A4"/>
    <w:rsid w:val="0035747D"/>
    <w:rsid w:val="00370C13"/>
    <w:rsid w:val="00374745"/>
    <w:rsid w:val="00377796"/>
    <w:rsid w:val="00385A6F"/>
    <w:rsid w:val="003943E8"/>
    <w:rsid w:val="003C4D24"/>
    <w:rsid w:val="003D3ED2"/>
    <w:rsid w:val="003E1351"/>
    <w:rsid w:val="003F4CFE"/>
    <w:rsid w:val="0041753C"/>
    <w:rsid w:val="00427B2B"/>
    <w:rsid w:val="00432916"/>
    <w:rsid w:val="00435F12"/>
    <w:rsid w:val="004421FC"/>
    <w:rsid w:val="004506D7"/>
    <w:rsid w:val="004510F8"/>
    <w:rsid w:val="00480804"/>
    <w:rsid w:val="0048082C"/>
    <w:rsid w:val="00494E6C"/>
    <w:rsid w:val="00497BB4"/>
    <w:rsid w:val="004B4449"/>
    <w:rsid w:val="004C48E9"/>
    <w:rsid w:val="004C61D2"/>
    <w:rsid w:val="004C7933"/>
    <w:rsid w:val="004D0DB6"/>
    <w:rsid w:val="004D29E8"/>
    <w:rsid w:val="004E6C19"/>
    <w:rsid w:val="00511E8C"/>
    <w:rsid w:val="0051391A"/>
    <w:rsid w:val="00521ABB"/>
    <w:rsid w:val="00531644"/>
    <w:rsid w:val="005365D9"/>
    <w:rsid w:val="0054400D"/>
    <w:rsid w:val="00552643"/>
    <w:rsid w:val="00566D41"/>
    <w:rsid w:val="005705D5"/>
    <w:rsid w:val="005807B2"/>
    <w:rsid w:val="005A58DA"/>
    <w:rsid w:val="005C19F4"/>
    <w:rsid w:val="005C3C13"/>
    <w:rsid w:val="005C3C1F"/>
    <w:rsid w:val="005C722A"/>
    <w:rsid w:val="00604341"/>
    <w:rsid w:val="00612D21"/>
    <w:rsid w:val="0062438D"/>
    <w:rsid w:val="00631F2D"/>
    <w:rsid w:val="00637051"/>
    <w:rsid w:val="00644338"/>
    <w:rsid w:val="00651C49"/>
    <w:rsid w:val="006665A0"/>
    <w:rsid w:val="006A46C1"/>
    <w:rsid w:val="006A6789"/>
    <w:rsid w:val="006A6DC7"/>
    <w:rsid w:val="006B55DE"/>
    <w:rsid w:val="006D43AD"/>
    <w:rsid w:val="006D7F9E"/>
    <w:rsid w:val="006E47E5"/>
    <w:rsid w:val="00701C12"/>
    <w:rsid w:val="007301F1"/>
    <w:rsid w:val="007306D7"/>
    <w:rsid w:val="00731019"/>
    <w:rsid w:val="00754D61"/>
    <w:rsid w:val="007663FD"/>
    <w:rsid w:val="0077067E"/>
    <w:rsid w:val="00773C90"/>
    <w:rsid w:val="00785186"/>
    <w:rsid w:val="007B02BE"/>
    <w:rsid w:val="007B30AF"/>
    <w:rsid w:val="007C4160"/>
    <w:rsid w:val="007C6388"/>
    <w:rsid w:val="007E79C5"/>
    <w:rsid w:val="00801E0C"/>
    <w:rsid w:val="00826855"/>
    <w:rsid w:val="00833B0F"/>
    <w:rsid w:val="00834FDC"/>
    <w:rsid w:val="00836570"/>
    <w:rsid w:val="008741A9"/>
    <w:rsid w:val="00875FE9"/>
    <w:rsid w:val="0088493A"/>
    <w:rsid w:val="008910B9"/>
    <w:rsid w:val="0089290C"/>
    <w:rsid w:val="008A5829"/>
    <w:rsid w:val="008A5FF9"/>
    <w:rsid w:val="008B19A7"/>
    <w:rsid w:val="008C0A0B"/>
    <w:rsid w:val="008C1C2F"/>
    <w:rsid w:val="008D162B"/>
    <w:rsid w:val="008D19DF"/>
    <w:rsid w:val="008E6CD2"/>
    <w:rsid w:val="008F38F6"/>
    <w:rsid w:val="0090422F"/>
    <w:rsid w:val="009042D3"/>
    <w:rsid w:val="00905560"/>
    <w:rsid w:val="00910A0B"/>
    <w:rsid w:val="0091283D"/>
    <w:rsid w:val="00914A09"/>
    <w:rsid w:val="00921748"/>
    <w:rsid w:val="009231FE"/>
    <w:rsid w:val="00931C97"/>
    <w:rsid w:val="00943B4F"/>
    <w:rsid w:val="00946EA6"/>
    <w:rsid w:val="00964D7E"/>
    <w:rsid w:val="00965269"/>
    <w:rsid w:val="009751B6"/>
    <w:rsid w:val="0098123E"/>
    <w:rsid w:val="00983955"/>
    <w:rsid w:val="00991814"/>
    <w:rsid w:val="009931E9"/>
    <w:rsid w:val="00995252"/>
    <w:rsid w:val="0099567C"/>
    <w:rsid w:val="009964A5"/>
    <w:rsid w:val="009C0CF2"/>
    <w:rsid w:val="009E3386"/>
    <w:rsid w:val="009F4711"/>
    <w:rsid w:val="009F7099"/>
    <w:rsid w:val="00A461CF"/>
    <w:rsid w:val="00A51CCE"/>
    <w:rsid w:val="00A57674"/>
    <w:rsid w:val="00A73E14"/>
    <w:rsid w:val="00A87B3C"/>
    <w:rsid w:val="00AA7A6D"/>
    <w:rsid w:val="00AB0272"/>
    <w:rsid w:val="00AC0A32"/>
    <w:rsid w:val="00AD4C4F"/>
    <w:rsid w:val="00AD6E3F"/>
    <w:rsid w:val="00AE479F"/>
    <w:rsid w:val="00AE670B"/>
    <w:rsid w:val="00B052F1"/>
    <w:rsid w:val="00B3631F"/>
    <w:rsid w:val="00B5244C"/>
    <w:rsid w:val="00B5268A"/>
    <w:rsid w:val="00B562F5"/>
    <w:rsid w:val="00B56CAD"/>
    <w:rsid w:val="00B73B68"/>
    <w:rsid w:val="00B90F3F"/>
    <w:rsid w:val="00B94338"/>
    <w:rsid w:val="00BA1BC1"/>
    <w:rsid w:val="00BB76D5"/>
    <w:rsid w:val="00BC7032"/>
    <w:rsid w:val="00BE3B04"/>
    <w:rsid w:val="00C115BB"/>
    <w:rsid w:val="00C149B1"/>
    <w:rsid w:val="00C34542"/>
    <w:rsid w:val="00C45DC7"/>
    <w:rsid w:val="00C66AB4"/>
    <w:rsid w:val="00C913EA"/>
    <w:rsid w:val="00CA1FDA"/>
    <w:rsid w:val="00CA39C7"/>
    <w:rsid w:val="00CA5D0C"/>
    <w:rsid w:val="00CB1353"/>
    <w:rsid w:val="00CD1493"/>
    <w:rsid w:val="00CD2FC6"/>
    <w:rsid w:val="00CD5CFE"/>
    <w:rsid w:val="00CE4015"/>
    <w:rsid w:val="00CE4D30"/>
    <w:rsid w:val="00CF5747"/>
    <w:rsid w:val="00D07524"/>
    <w:rsid w:val="00D13686"/>
    <w:rsid w:val="00D2669F"/>
    <w:rsid w:val="00D26B55"/>
    <w:rsid w:val="00D27504"/>
    <w:rsid w:val="00D347B4"/>
    <w:rsid w:val="00D44466"/>
    <w:rsid w:val="00D44AC4"/>
    <w:rsid w:val="00D5374A"/>
    <w:rsid w:val="00D5523E"/>
    <w:rsid w:val="00D64AFE"/>
    <w:rsid w:val="00D65377"/>
    <w:rsid w:val="00D66F0C"/>
    <w:rsid w:val="00D719DA"/>
    <w:rsid w:val="00D92296"/>
    <w:rsid w:val="00D9533A"/>
    <w:rsid w:val="00DA328B"/>
    <w:rsid w:val="00DB0DEA"/>
    <w:rsid w:val="00DB69FE"/>
    <w:rsid w:val="00DB6AFF"/>
    <w:rsid w:val="00DE6C67"/>
    <w:rsid w:val="00DE7AF3"/>
    <w:rsid w:val="00E027DC"/>
    <w:rsid w:val="00E046AB"/>
    <w:rsid w:val="00E05A91"/>
    <w:rsid w:val="00E12118"/>
    <w:rsid w:val="00E32853"/>
    <w:rsid w:val="00E342D6"/>
    <w:rsid w:val="00E45D02"/>
    <w:rsid w:val="00E522B2"/>
    <w:rsid w:val="00E575BE"/>
    <w:rsid w:val="00E63D24"/>
    <w:rsid w:val="00E64D22"/>
    <w:rsid w:val="00E76216"/>
    <w:rsid w:val="00E76384"/>
    <w:rsid w:val="00E87CF7"/>
    <w:rsid w:val="00E95D78"/>
    <w:rsid w:val="00EA233C"/>
    <w:rsid w:val="00EA454D"/>
    <w:rsid w:val="00EA7301"/>
    <w:rsid w:val="00EE26A1"/>
    <w:rsid w:val="00EE4392"/>
    <w:rsid w:val="00F03FA6"/>
    <w:rsid w:val="00F264D6"/>
    <w:rsid w:val="00F413A8"/>
    <w:rsid w:val="00F43DBF"/>
    <w:rsid w:val="00F45B79"/>
    <w:rsid w:val="00F45BCD"/>
    <w:rsid w:val="00F54054"/>
    <w:rsid w:val="00F61A98"/>
    <w:rsid w:val="00F62BA8"/>
    <w:rsid w:val="00F66DA6"/>
    <w:rsid w:val="00F976E8"/>
    <w:rsid w:val="00FB2AAA"/>
    <w:rsid w:val="00FC08B4"/>
    <w:rsid w:val="00FC3C20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84F4"/>
  <w15:chartTrackingRefBased/>
  <w15:docId w15:val="{B0BD2E0C-B24B-4CFF-A9DA-24397E7D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0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89"/>
  </w:style>
  <w:style w:type="paragraph" w:styleId="Footer">
    <w:name w:val="footer"/>
    <w:basedOn w:val="Normal"/>
    <w:link w:val="FooterChar"/>
    <w:uiPriority w:val="99"/>
    <w:unhideWhenUsed/>
    <w:rsid w:val="006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89"/>
  </w:style>
  <w:style w:type="character" w:styleId="Hyperlink">
    <w:name w:val="Hyperlink"/>
    <w:basedOn w:val="DefaultParagraphFont"/>
    <w:uiPriority w:val="99"/>
    <w:unhideWhenUsed/>
    <w:rsid w:val="009812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2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40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9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MD" w:eastAsia="ru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@agcc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b@agcc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07EAF-54B0-4510-9C5D-F4FA913F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 Ursu</dc:creator>
  <cp:keywords/>
  <dc:description/>
  <cp:lastModifiedBy>Nadejda Josanu</cp:lastModifiedBy>
  <cp:revision>37</cp:revision>
  <cp:lastPrinted>2025-09-24T06:07:00Z</cp:lastPrinted>
  <dcterms:created xsi:type="dcterms:W3CDTF">2025-10-27T12:04:00Z</dcterms:created>
  <dcterms:modified xsi:type="dcterms:W3CDTF">2025-10-27T14:51:00Z</dcterms:modified>
</cp:coreProperties>
</file>