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55F9" w14:textId="77777777" w:rsidR="002B3380" w:rsidRDefault="002B3380" w:rsidP="007C6E2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6961F916" w14:textId="77777777" w:rsidR="00482AE9" w:rsidRDefault="00482AE9" w:rsidP="007C6E2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6C01AA86" w14:textId="6B81B0A1" w:rsidR="00493489" w:rsidRPr="002B3380" w:rsidRDefault="00493489" w:rsidP="007C6E2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GUVERNUL</w:t>
      </w:r>
    </w:p>
    <w:p w14:paraId="3E68CBD7" w14:textId="528E70A5" w:rsidR="00493489" w:rsidRPr="002B3380" w:rsidRDefault="00493489" w:rsidP="007C6E2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HOTĂRÂRE</w:t>
      </w:r>
      <w:r w:rsidR="00DA6A79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Nr. ___</w:t>
      </w:r>
    </w:p>
    <w:p w14:paraId="16F7BDB5" w14:textId="7848C52B" w:rsidR="00493489" w:rsidRPr="002B3380" w:rsidRDefault="00493489" w:rsidP="004C2FC2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din </w:t>
      </w:r>
      <w:r w:rsidR="00DA6A7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___________________________</w:t>
      </w:r>
    </w:p>
    <w:p w14:paraId="2E3058EC" w14:textId="77777777" w:rsidR="004C2FC2" w:rsidRPr="002B3380" w:rsidRDefault="00493489" w:rsidP="004C2FC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cu privire la </w:t>
      </w:r>
      <w:r w:rsidR="006B56C5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înființarea </w:t>
      </w:r>
      <w:r w:rsidR="00EC556E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Societății pe Acțiuni </w:t>
      </w:r>
    </w:p>
    <w:p w14:paraId="3935994D" w14:textId="4C31D11E" w:rsidR="00493489" w:rsidRPr="002B3380" w:rsidRDefault="006B56C5" w:rsidP="004C2FC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„</w:t>
      </w:r>
      <w:r w:rsidR="00847D6C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Bursa Internațională a Moldovei</w:t>
      </w: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”</w:t>
      </w:r>
    </w:p>
    <w:p w14:paraId="0DC2665E" w14:textId="77777777" w:rsidR="007C6E20" w:rsidRPr="002B3380" w:rsidRDefault="007C6E20" w:rsidP="002B3380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4132B353" w14:textId="3291094A" w:rsidR="00493489" w:rsidRPr="002B3380" w:rsidRDefault="00493489" w:rsidP="00C44E5C">
      <w:pPr>
        <w:tabs>
          <w:tab w:val="left" w:pos="450"/>
        </w:tabs>
        <w:spacing w:line="240" w:lineRule="auto"/>
        <w:ind w:right="2"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În temeiul art.</w:t>
      </w:r>
      <w:r w:rsidR="00067C4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6 alin.</w:t>
      </w:r>
      <w:r w:rsidR="00067C4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(1) lit.</w:t>
      </w:r>
      <w:r w:rsidR="00067C4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e¹) din Legea nr. 121/2007 privind administrarea şi deetatizarea </w:t>
      </w:r>
      <w:r w:rsidR="00EC556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proprietății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publice (Monitorul Oficial al Republicii Moldova, 2007, </w:t>
      </w:r>
      <w:r w:rsidR="00EC556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nr.</w:t>
      </w:r>
      <w:r w:rsidR="00067C4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90-93, art.</w:t>
      </w:r>
      <w:r w:rsidR="00067C4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401),</w:t>
      </w:r>
      <w:r w:rsidR="00D72B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art. 6 alin. (1) lit. d) din Legea bugetului de stat pentru anul 2025 </w:t>
      </w:r>
      <w:r w:rsidR="00BA319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nr. 310/2024 (Monitorul Oficial al Republicii Moldova, 2024, nr. 556-559, art. 768)</w:t>
      </w:r>
      <w:r w:rsidR="000E1EF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2AE9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Guvernul HOTĂRĂŞTE:</w:t>
      </w:r>
    </w:p>
    <w:p w14:paraId="3C5CF3FC" w14:textId="083B2673" w:rsidR="00D72B6C" w:rsidRPr="002B3380" w:rsidRDefault="00493489" w:rsidP="00D72B6C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1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Se acceptă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participarea statului</w:t>
      </w:r>
      <w:r w:rsidR="00D72B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la </w:t>
      </w:r>
      <w:r w:rsidR="00C22E2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constituirea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bursei de valori, fondată sub formă de </w:t>
      </w:r>
      <w:r w:rsidR="00977A1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socie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tate pe acțiuni,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cu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 contribuție de 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20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 din capitalul social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0E44A1" w:rsidRPr="002B3380">
        <w:rPr>
          <w:noProof/>
          <w:sz w:val="24"/>
          <w:szCs w:val="24"/>
          <w:lang w:val="en-US"/>
        </w:rPr>
        <w:t xml:space="preserve">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format la constituire </w:t>
      </w:r>
      <w:r w:rsidR="00D72B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î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 mărime de 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1 500 000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Euro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al cărei cofondatori și cote de participare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E44A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capitalul social sunt: </w:t>
      </w:r>
      <w:r w:rsidR="002B3380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S.A. „Bursa de Valori București</w:t>
      </w:r>
      <w:r w:rsidR="00BA319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26,67</w:t>
      </w:r>
      <w:r w:rsidR="004B1E9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4B1E9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B.C. </w:t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„Moldova Agroindbank”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5703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S.A.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10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2B3380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C.A. </w:t>
      </w:r>
      <w:r w:rsidR="00A5703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„</w:t>
      </w:r>
      <w:r w:rsidR="00F21B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DONARIS </w:t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VIENNA INSURANCE GROUP</w:t>
      </w:r>
      <w:r w:rsidR="00A5703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S.A.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11,67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>B.C.</w:t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„OTP Bank Moldova”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S.A. 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(3,33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%)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 S.A. „Moldcell”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3,33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B.C. 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„Moldindconbank”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5703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S.A. 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(6,67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D72B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O.C.N. 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„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MK Kredit Company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570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S.R.L. 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F21B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S.A. „P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remier Energy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(3,33%) și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S.A.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„</w:t>
      </w:r>
      <w:r w:rsidR="00F21B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Grawe Carat 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As</w:t>
      </w:r>
      <w:r w:rsidR="00F21B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igurări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F21B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(10</w:t>
      </w:r>
      <w:r w:rsidR="00F21B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%</w:t>
      </w:r>
      <w:r w:rsidR="004F4BE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0D79E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0EBA968" w14:textId="54B2C509" w:rsidR="00493489" w:rsidRPr="002B3380" w:rsidRDefault="00933CD1" w:rsidP="00262C08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7F2F8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Se </w:t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stabilește</w:t>
      </w:r>
      <w:r w:rsidR="007F2F8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că Agenția </w:t>
      </w:r>
      <w:r w:rsidR="00786FB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Proprietății</w:t>
      </w:r>
      <w:r w:rsidR="007F2F8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Publice va exercita funcția de deținător al 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acțiunilor</w:t>
      </w:r>
      <w:r w:rsidR="00A4253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71547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statului </w:t>
      </w:r>
      <w:r w:rsidR="007C6E20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în cadrul</w:t>
      </w:r>
      <w:r w:rsidR="001C59A2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C22C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societății </w:t>
      </w:r>
      <w:r w:rsidR="00554B5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pe acțiuni</w:t>
      </w:r>
      <w:r w:rsidR="00C22E2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 prevăzut</w:t>
      </w:r>
      <w:r w:rsidR="0058584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ă</w:t>
      </w:r>
      <w:r w:rsidR="00C22E2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la pct. 1.</w:t>
      </w:r>
    </w:p>
    <w:p w14:paraId="0205BC5F" w14:textId="3C4CFCDA" w:rsidR="00D72B6C" w:rsidRPr="002B3380" w:rsidRDefault="00D72B6C" w:rsidP="00BA3196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3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. Se stabilește că Ministerul Finanțelor va aloca Agenției Proprietății Publice din contul mijloacelor prevăzute în bugetul de stat pentru anul 2025, mijloace financiare în sumă de 300 000 Euro</w:t>
      </w:r>
      <w:r w:rsidR="00BA3196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pentru executarea contribuției prevăzute la pct. 1, precum și alte contribuții ulterioare la capitalul social, în limita acordurilor acționarilor.</w:t>
      </w:r>
    </w:p>
    <w:p w14:paraId="073BAF20" w14:textId="4CB48A3F" w:rsidR="00FA37BE" w:rsidRPr="002B3380" w:rsidRDefault="00D72B6C" w:rsidP="00262C08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4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262C0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Prin derogare de la </w:t>
      </w:r>
      <w:r w:rsidR="00D8122C" w:rsidRPr="002B3380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Regulamentul privind modul și condițiile de acordare și retragere a permisiunii de folosire a denumirii oficiale sau istorice a statului în denumirea persoanei juridice cu scop lucrativ, aprobat prin </w:t>
      </w:r>
      <w:r w:rsidR="00262C0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Hotărâr</w:t>
      </w:r>
      <w:r w:rsidR="00D8122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ea </w:t>
      </w:r>
      <w:r w:rsidR="00262C0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Guvernului nr. 353/2025</w:t>
      </w:r>
      <w:r w:rsidR="00D8122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262C0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FA37B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 permite utilizarea denumirii oficiale a statului „Moldova”, în denumirea societății – Societatea </w:t>
      </w:r>
      <w:r w:rsidR="00933CD1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pe Acțiuni</w:t>
      </w:r>
      <w:r w:rsidR="00FA37B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FA37B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„</w:t>
      </w:r>
      <w:r w:rsidR="00847D6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Bursa Internațională a Moldovei</w:t>
      </w:r>
      <w:r w:rsidR="00FA37B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”.</w:t>
      </w:r>
    </w:p>
    <w:p w14:paraId="1020BA3E" w14:textId="785830CC" w:rsidR="0033267A" w:rsidRPr="002B3380" w:rsidRDefault="0058584A" w:rsidP="0058584A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5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bookmarkStart w:id="0" w:name="_Hlk204336822"/>
      <w:r w:rsidR="00FA37BE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Agenţia Proprietății Publice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 elabora proiectul 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documentelor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 constituire a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le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societății </w:t>
      </w:r>
      <w:r w:rsidR="00554B5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pe acțiuni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prevăzută la pct. 1, cu respectarea cerințelor de conținut stabilite în art. 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31 și 33 din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Leg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ea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nr. </w:t>
      </w:r>
      <w:r w:rsidR="00554B5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1134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/</w:t>
      </w:r>
      <w:r w:rsidR="00554B5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1997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privind societățile </w:t>
      </w:r>
      <w:r w:rsidR="00554B5D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pe acțiuni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și va organiza adunarea 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constitutivă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bookmarkEnd w:id="0"/>
    </w:p>
    <w:p w14:paraId="4E083C8D" w14:textId="02463491" w:rsidR="00786FB8" w:rsidRPr="002B3380" w:rsidRDefault="00262C08" w:rsidP="00A7457C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6</w:t>
      </w:r>
      <w:r w:rsidR="00493489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.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Se </w:t>
      </w:r>
      <w:r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împuternicește, în numele statului, 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director</w:t>
      </w:r>
      <w:r w:rsidR="00900A70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ul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general al </w:t>
      </w:r>
      <w:r w:rsidR="00602EB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33267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Agenției Proprietă</w:t>
      </w:r>
      <w:r w:rsidR="002B78B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ț</w:t>
      </w:r>
      <w:r w:rsidR="0033267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ii Publice</w:t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pentru semnarea 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documentelor</w:t>
      </w:r>
      <w:r w:rsidR="00602EB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 constituire</w:t>
      </w:r>
      <w:r w:rsidR="0033267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al</w:t>
      </w:r>
      <w:r w:rsidR="00602EB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33267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64818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493489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societ</w:t>
      </w:r>
      <w:r w:rsidR="0033267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ății </w:t>
      </w:r>
      <w:r w:rsidR="00602EBB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pe acțiuni</w:t>
      </w:r>
      <w:r w:rsidR="00C22E2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, prevăzut</w:t>
      </w:r>
      <w:r w:rsidR="0058584A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>ă</w:t>
      </w:r>
      <w:r w:rsidR="00C22E24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la pct. 1.</w:t>
      </w:r>
    </w:p>
    <w:p w14:paraId="023CA64B" w14:textId="6DDD2C0A" w:rsidR="00864818" w:rsidRDefault="00864818" w:rsidP="002B3380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7</w:t>
      </w:r>
      <w:r w:rsidR="00A7457C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.</w:t>
      </w:r>
      <w:r w:rsidR="00A7457C" w:rsidRPr="002B33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Prezenta hotărâre intră în vigoare la data publicării în Monitorul Oficial al Republicii Moldova.</w:t>
      </w:r>
    </w:p>
    <w:p w14:paraId="6A8B8A94" w14:textId="77777777" w:rsidR="002B3380" w:rsidRPr="002B3380" w:rsidRDefault="002B3380" w:rsidP="002B3380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C91DFD7" w14:textId="10A01C35" w:rsidR="00332D93" w:rsidRPr="002B3380" w:rsidRDefault="00C44E5C" w:rsidP="00332D9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PRIM-MINISTRU</w:t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  <w:t>Dorin RECEAN</w:t>
      </w:r>
    </w:p>
    <w:p w14:paraId="64957AA3" w14:textId="77777777" w:rsidR="00864818" w:rsidRPr="002B3380" w:rsidRDefault="00864818" w:rsidP="00332D9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073A29CC" w14:textId="1BF6F7EC" w:rsidR="00332D93" w:rsidRPr="002B3380" w:rsidRDefault="00C44E5C" w:rsidP="00332D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Contrasemnează:</w:t>
      </w:r>
    </w:p>
    <w:p w14:paraId="17A693C3" w14:textId="264A6F64" w:rsidR="00332D93" w:rsidRPr="002B3380" w:rsidRDefault="00C44E5C" w:rsidP="00332D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Viceprim-ministru,</w:t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="00332D93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  <w:t>Doina NISTOR</w:t>
      </w:r>
    </w:p>
    <w:p w14:paraId="4F3D3E82" w14:textId="388D9CEE" w:rsidR="00271547" w:rsidRPr="002B3380" w:rsidRDefault="00332D93" w:rsidP="00332D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M</w:t>
      </w:r>
      <w:r w:rsidR="00C44E5C" w:rsidRPr="002B338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inistrul dezvoltării economice și digitalizării</w:t>
      </w:r>
    </w:p>
    <w:sectPr w:rsidR="00271547" w:rsidRPr="002B3380" w:rsidSect="002B3380">
      <w:pgSz w:w="11907" w:h="16839" w:code="9"/>
      <w:pgMar w:top="709" w:right="1440" w:bottom="1135" w:left="1440" w:header="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60BDD"/>
    <w:multiLevelType w:val="hybridMultilevel"/>
    <w:tmpl w:val="7BDADC68"/>
    <w:lvl w:ilvl="0" w:tplc="39000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0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C5"/>
    <w:rsid w:val="00067C49"/>
    <w:rsid w:val="00093662"/>
    <w:rsid w:val="000D79EA"/>
    <w:rsid w:val="000E1EFD"/>
    <w:rsid w:val="000E44A1"/>
    <w:rsid w:val="000F2DFB"/>
    <w:rsid w:val="00113935"/>
    <w:rsid w:val="001824AF"/>
    <w:rsid w:val="001C59A2"/>
    <w:rsid w:val="00221C8F"/>
    <w:rsid w:val="00222FF8"/>
    <w:rsid w:val="00226911"/>
    <w:rsid w:val="00262C08"/>
    <w:rsid w:val="00271547"/>
    <w:rsid w:val="00284A30"/>
    <w:rsid w:val="0029000A"/>
    <w:rsid w:val="002A18C2"/>
    <w:rsid w:val="002B3380"/>
    <w:rsid w:val="002B56EF"/>
    <w:rsid w:val="002B78BC"/>
    <w:rsid w:val="002F1467"/>
    <w:rsid w:val="003025C7"/>
    <w:rsid w:val="0030306A"/>
    <w:rsid w:val="00311287"/>
    <w:rsid w:val="0033267A"/>
    <w:rsid w:val="00332D93"/>
    <w:rsid w:val="00370C04"/>
    <w:rsid w:val="003D37BE"/>
    <w:rsid w:val="00430596"/>
    <w:rsid w:val="00436E77"/>
    <w:rsid w:val="00482AE9"/>
    <w:rsid w:val="00493489"/>
    <w:rsid w:val="004B1E94"/>
    <w:rsid w:val="004C2FC2"/>
    <w:rsid w:val="004F4BE6"/>
    <w:rsid w:val="00507288"/>
    <w:rsid w:val="00522DCB"/>
    <w:rsid w:val="00554B5D"/>
    <w:rsid w:val="0058584A"/>
    <w:rsid w:val="00597FBA"/>
    <w:rsid w:val="005B73D8"/>
    <w:rsid w:val="005C1BC8"/>
    <w:rsid w:val="00602EBB"/>
    <w:rsid w:val="006707E7"/>
    <w:rsid w:val="006B56C5"/>
    <w:rsid w:val="006F6417"/>
    <w:rsid w:val="00700CE4"/>
    <w:rsid w:val="007220D9"/>
    <w:rsid w:val="007504B4"/>
    <w:rsid w:val="00771794"/>
    <w:rsid w:val="00786FB8"/>
    <w:rsid w:val="007928E8"/>
    <w:rsid w:val="007A54D8"/>
    <w:rsid w:val="007C29D6"/>
    <w:rsid w:val="007C42C5"/>
    <w:rsid w:val="007C6E20"/>
    <w:rsid w:val="007F2F8E"/>
    <w:rsid w:val="00815027"/>
    <w:rsid w:val="00824773"/>
    <w:rsid w:val="008362ED"/>
    <w:rsid w:val="00847D6C"/>
    <w:rsid w:val="00864818"/>
    <w:rsid w:val="00865A9F"/>
    <w:rsid w:val="00894DF8"/>
    <w:rsid w:val="008C1158"/>
    <w:rsid w:val="00900A70"/>
    <w:rsid w:val="00904433"/>
    <w:rsid w:val="00933CD1"/>
    <w:rsid w:val="00952F5C"/>
    <w:rsid w:val="00977A1D"/>
    <w:rsid w:val="00977D04"/>
    <w:rsid w:val="00997A74"/>
    <w:rsid w:val="009C22C1"/>
    <w:rsid w:val="009D744B"/>
    <w:rsid w:val="00A17A9F"/>
    <w:rsid w:val="00A42539"/>
    <w:rsid w:val="00A50905"/>
    <w:rsid w:val="00A5703B"/>
    <w:rsid w:val="00A615B3"/>
    <w:rsid w:val="00A7457C"/>
    <w:rsid w:val="00AC7D50"/>
    <w:rsid w:val="00AF6D62"/>
    <w:rsid w:val="00B41FE1"/>
    <w:rsid w:val="00BA3196"/>
    <w:rsid w:val="00BC2E97"/>
    <w:rsid w:val="00BD268C"/>
    <w:rsid w:val="00BF3383"/>
    <w:rsid w:val="00C22E24"/>
    <w:rsid w:val="00C359E5"/>
    <w:rsid w:val="00C44E5C"/>
    <w:rsid w:val="00C84028"/>
    <w:rsid w:val="00C9666A"/>
    <w:rsid w:val="00D72B6C"/>
    <w:rsid w:val="00D8122C"/>
    <w:rsid w:val="00DA6A79"/>
    <w:rsid w:val="00DB6B69"/>
    <w:rsid w:val="00E10E46"/>
    <w:rsid w:val="00E60750"/>
    <w:rsid w:val="00E60C50"/>
    <w:rsid w:val="00E87375"/>
    <w:rsid w:val="00EA49E4"/>
    <w:rsid w:val="00EB09CF"/>
    <w:rsid w:val="00EC556E"/>
    <w:rsid w:val="00F04BC4"/>
    <w:rsid w:val="00F21B47"/>
    <w:rsid w:val="00F907E6"/>
    <w:rsid w:val="00FA37BE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1893"/>
  <w15:chartTrackingRefBased/>
  <w15:docId w15:val="{50A46389-4C70-4C05-9D91-288B27B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11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C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42C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42C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42C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42C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42C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42C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C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C42C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42C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C42C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42C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42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93489"/>
    <w:rPr>
      <w:color w:val="467886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934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22C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22C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22C1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22C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22C1"/>
    <w:rPr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9C22C1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39"/>
    <w:rsid w:val="00DA6A7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6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584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0CB7-5A5E-4A18-B09A-0537791C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405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utica</dc:creator>
  <cp:keywords/>
  <dc:description/>
  <cp:lastModifiedBy>Пользователь</cp:lastModifiedBy>
  <cp:revision>34</cp:revision>
  <cp:lastPrinted>2025-09-25T07:37:00Z</cp:lastPrinted>
  <dcterms:created xsi:type="dcterms:W3CDTF">2025-09-24T09:27:00Z</dcterms:created>
  <dcterms:modified xsi:type="dcterms:W3CDTF">2025-09-25T08:46:00Z</dcterms:modified>
</cp:coreProperties>
</file>