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BA67B" w14:textId="2826DA81" w:rsidR="00F90B49" w:rsidRPr="0065698B" w:rsidRDefault="00F90B49" w:rsidP="00884243">
      <w:pPr>
        <w:jc w:val="right"/>
        <w:rPr>
          <w:i/>
          <w:noProof/>
          <w:sz w:val="28"/>
          <w:szCs w:val="28"/>
          <w:lang w:val="ro-MD"/>
        </w:rPr>
      </w:pPr>
      <w:r w:rsidRPr="0065698B">
        <w:rPr>
          <w:i/>
          <w:noProof/>
          <w:sz w:val="28"/>
          <w:szCs w:val="28"/>
          <w:lang w:val="ro-MD"/>
        </w:rPr>
        <w:t>Proiect</w:t>
      </w:r>
    </w:p>
    <w:p w14:paraId="3A2EC2BB" w14:textId="77777777" w:rsidR="00F90B49" w:rsidRPr="0065698B" w:rsidRDefault="00F90B49" w:rsidP="00F90B49">
      <w:pPr>
        <w:spacing w:line="276" w:lineRule="auto"/>
        <w:jc w:val="right"/>
        <w:rPr>
          <w:i/>
          <w:noProof/>
          <w:sz w:val="28"/>
          <w:szCs w:val="28"/>
          <w:lang w:val="ro-MD"/>
        </w:rPr>
      </w:pPr>
    </w:p>
    <w:p w14:paraId="2EF15820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 w:rsidRPr="0065698B">
        <w:rPr>
          <w:rFonts w:eastAsia="Calibri"/>
          <w:b/>
          <w:sz w:val="28"/>
          <w:szCs w:val="28"/>
          <w:lang w:val="ro-MD"/>
        </w:rPr>
        <w:t>GUVERNUL REPUBLICII MOLDOVA</w:t>
      </w:r>
    </w:p>
    <w:p w14:paraId="7BCE9572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HOTĂR</w:t>
      </w:r>
      <w:r>
        <w:rPr>
          <w:rFonts w:eastAsia="Calibri"/>
          <w:b/>
          <w:sz w:val="28"/>
          <w:szCs w:val="28"/>
          <w:lang w:val="ro-MD"/>
        </w:rPr>
        <w:t>Â</w:t>
      </w:r>
      <w:r w:rsidRPr="0065698B">
        <w:rPr>
          <w:rFonts w:eastAsia="Calibri"/>
          <w:b/>
          <w:sz w:val="28"/>
          <w:szCs w:val="28"/>
          <w:lang w:val="ro-MD"/>
        </w:rPr>
        <w:t>RE nr._______</w:t>
      </w:r>
    </w:p>
    <w:p w14:paraId="3F481DBE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din ________________202</w:t>
      </w:r>
      <w:r w:rsidR="0006359B">
        <w:rPr>
          <w:rFonts w:eastAsia="Calibri"/>
          <w:b/>
          <w:sz w:val="28"/>
          <w:szCs w:val="28"/>
          <w:lang w:val="ro-MD"/>
        </w:rPr>
        <w:t>5</w:t>
      </w:r>
    </w:p>
    <w:p w14:paraId="4CA9C815" w14:textId="77777777" w:rsidR="00F60B5A" w:rsidRDefault="00F90B49" w:rsidP="003B3B7E">
      <w:pPr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Chișinău</w:t>
      </w:r>
    </w:p>
    <w:p w14:paraId="286DA11A" w14:textId="77777777" w:rsidR="003B3B7E" w:rsidRDefault="003B3B7E" w:rsidP="003B3B7E">
      <w:pPr>
        <w:jc w:val="center"/>
        <w:rPr>
          <w:rFonts w:eastAsia="Calibri"/>
          <w:b/>
          <w:sz w:val="28"/>
          <w:szCs w:val="28"/>
          <w:lang w:val="ro-MD"/>
        </w:rPr>
      </w:pPr>
    </w:p>
    <w:p w14:paraId="10CA2343" w14:textId="77777777" w:rsidR="003B3B7E" w:rsidRPr="000B7120" w:rsidRDefault="003B3B7E" w:rsidP="003B3B7E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Privind </w:t>
      </w:r>
      <w:r w:rsidR="0006359B">
        <w:rPr>
          <w:b/>
          <w:noProof/>
          <w:sz w:val="28"/>
          <w:szCs w:val="28"/>
          <w:lang w:val="ro-MD" w:eastAsia="zh-CN"/>
        </w:rPr>
        <w:t>repartizarea</w:t>
      </w:r>
      <w:r>
        <w:rPr>
          <w:b/>
          <w:noProof/>
          <w:sz w:val="28"/>
          <w:szCs w:val="28"/>
          <w:lang w:val="ro-MD" w:eastAsia="zh-CN"/>
        </w:rPr>
        <w:t xml:space="preserve"> </w:t>
      </w:r>
      <w:r w:rsidRPr="000B7120">
        <w:rPr>
          <w:b/>
          <w:noProof/>
          <w:sz w:val="28"/>
          <w:szCs w:val="28"/>
          <w:lang w:val="ro-MD" w:eastAsia="zh-CN"/>
        </w:rPr>
        <w:t>unor alocații aprobate</w:t>
      </w:r>
    </w:p>
    <w:p w14:paraId="35B77963" w14:textId="3CDBB6AA" w:rsidR="003B3B7E" w:rsidRDefault="003B3B7E" w:rsidP="003B3B7E">
      <w:pPr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 în Legea bugetului de stat pentru anul 202</w:t>
      </w:r>
      <w:r w:rsidR="00D1064E">
        <w:rPr>
          <w:b/>
          <w:noProof/>
          <w:sz w:val="28"/>
          <w:szCs w:val="28"/>
          <w:lang w:val="ro-MD" w:eastAsia="zh-CN"/>
        </w:rPr>
        <w:t>5</w:t>
      </w:r>
      <w:r w:rsidRPr="000B7120">
        <w:rPr>
          <w:b/>
          <w:noProof/>
          <w:sz w:val="28"/>
          <w:szCs w:val="28"/>
          <w:lang w:val="ro-MD" w:eastAsia="zh-CN"/>
        </w:rPr>
        <w:t xml:space="preserve"> nr.</w:t>
      </w:r>
      <w:r w:rsidR="00D1064E">
        <w:rPr>
          <w:b/>
          <w:noProof/>
          <w:sz w:val="28"/>
          <w:szCs w:val="28"/>
          <w:lang w:val="ro-MD" w:eastAsia="zh-CN"/>
        </w:rPr>
        <w:t>3</w:t>
      </w:r>
      <w:r w:rsidRPr="000B7120">
        <w:rPr>
          <w:b/>
          <w:noProof/>
          <w:sz w:val="28"/>
          <w:szCs w:val="28"/>
          <w:lang w:val="ro-MD" w:eastAsia="zh-CN"/>
        </w:rPr>
        <w:t>1</w:t>
      </w:r>
      <w:r w:rsidR="00D1064E">
        <w:rPr>
          <w:b/>
          <w:noProof/>
          <w:sz w:val="28"/>
          <w:szCs w:val="28"/>
          <w:lang w:val="ro-MD" w:eastAsia="zh-CN"/>
        </w:rPr>
        <w:t>0</w:t>
      </w:r>
      <w:r w:rsidRPr="000B7120">
        <w:rPr>
          <w:b/>
          <w:noProof/>
          <w:sz w:val="28"/>
          <w:szCs w:val="28"/>
          <w:lang w:val="ro-MD" w:eastAsia="zh-CN"/>
        </w:rPr>
        <w:t>/202</w:t>
      </w:r>
      <w:r w:rsidR="00D1064E">
        <w:rPr>
          <w:b/>
          <w:noProof/>
          <w:sz w:val="28"/>
          <w:szCs w:val="28"/>
          <w:lang w:val="ro-MD" w:eastAsia="zh-CN"/>
        </w:rPr>
        <w:t>4</w:t>
      </w:r>
      <w:r w:rsidR="0025501A">
        <w:rPr>
          <w:b/>
          <w:noProof/>
          <w:sz w:val="28"/>
          <w:szCs w:val="28"/>
          <w:lang w:val="ro-MD" w:eastAsia="zh-CN"/>
        </w:rPr>
        <w:t xml:space="preserve"> </w:t>
      </w:r>
    </w:p>
    <w:p w14:paraId="53FB5B91" w14:textId="369F0437" w:rsidR="0025501A" w:rsidRPr="0025501A" w:rsidRDefault="0025501A" w:rsidP="003B3B7E">
      <w:pPr>
        <w:jc w:val="center"/>
        <w:rPr>
          <w:i/>
          <w:noProof/>
          <w:sz w:val="28"/>
          <w:szCs w:val="28"/>
          <w:lang w:val="ro-MD" w:eastAsia="zh-CN"/>
        </w:rPr>
      </w:pPr>
      <w:r w:rsidRPr="0025501A">
        <w:rPr>
          <w:i/>
          <w:noProof/>
          <w:sz w:val="28"/>
          <w:szCs w:val="28"/>
          <w:lang w:val="ro-MD" w:eastAsia="zh-CN"/>
        </w:rPr>
        <w:t>(</w:t>
      </w:r>
      <w:r>
        <w:rPr>
          <w:i/>
          <w:noProof/>
          <w:sz w:val="28"/>
          <w:szCs w:val="28"/>
          <w:lang w:val="ro-MD" w:eastAsia="zh-CN"/>
        </w:rPr>
        <w:t>pentru servicii energetice)</w:t>
      </w:r>
    </w:p>
    <w:p w14:paraId="5AB89FB5" w14:textId="77777777" w:rsidR="003B3B7E" w:rsidRDefault="003B3B7E" w:rsidP="003B3B7E">
      <w:pPr>
        <w:jc w:val="center"/>
        <w:rPr>
          <w:b/>
          <w:noProof/>
          <w:sz w:val="28"/>
          <w:szCs w:val="28"/>
          <w:lang w:val="ro-MD" w:eastAsia="zh-CN"/>
        </w:rPr>
      </w:pPr>
    </w:p>
    <w:p w14:paraId="77D3CD4D" w14:textId="34066F9E" w:rsidR="003B3B7E" w:rsidRDefault="00D1064E" w:rsidP="001D29E1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 xml:space="preserve">În temeiul </w:t>
      </w:r>
      <w:r w:rsidRPr="0006359B">
        <w:rPr>
          <w:noProof/>
          <w:sz w:val="28"/>
          <w:szCs w:val="28"/>
          <w:lang w:val="ro-MD"/>
        </w:rPr>
        <w:t>art.</w:t>
      </w:r>
      <w:r w:rsidR="0006359B" w:rsidRPr="0006359B">
        <w:rPr>
          <w:noProof/>
          <w:sz w:val="28"/>
          <w:szCs w:val="28"/>
          <w:lang w:val="ro-MD"/>
        </w:rPr>
        <w:t>3,</w:t>
      </w:r>
      <w:r w:rsidRPr="0006359B">
        <w:rPr>
          <w:noProof/>
          <w:sz w:val="28"/>
          <w:szCs w:val="28"/>
          <w:lang w:val="ro-MD"/>
        </w:rPr>
        <w:t xml:space="preserve"> lit.</w:t>
      </w:r>
      <w:r w:rsidR="00F102FB">
        <w:rPr>
          <w:noProof/>
          <w:sz w:val="28"/>
          <w:szCs w:val="28"/>
          <w:lang w:val="ro-MD"/>
        </w:rPr>
        <w:t>c</w:t>
      </w:r>
      <w:r w:rsidRPr="0006359B">
        <w:rPr>
          <w:noProof/>
          <w:sz w:val="28"/>
          <w:szCs w:val="28"/>
          <w:lang w:val="ro-MD"/>
        </w:rPr>
        <w:t xml:space="preserve">) din Legea </w:t>
      </w:r>
      <w:r w:rsidR="0006359B" w:rsidRPr="0006359B">
        <w:rPr>
          <w:noProof/>
          <w:sz w:val="28"/>
          <w:szCs w:val="28"/>
          <w:lang w:val="ro-MD"/>
        </w:rPr>
        <w:t>bugetului de stat pentru anul 2025 nr.310/202</w:t>
      </w:r>
      <w:r w:rsidR="00326C39">
        <w:rPr>
          <w:noProof/>
          <w:sz w:val="28"/>
          <w:szCs w:val="28"/>
          <w:lang w:val="ro-MD"/>
        </w:rPr>
        <w:t>4</w:t>
      </w:r>
      <w:r w:rsidRPr="0006359B">
        <w:rPr>
          <w:noProof/>
          <w:sz w:val="28"/>
          <w:szCs w:val="28"/>
          <w:lang w:val="ro-MD"/>
        </w:rPr>
        <w:t xml:space="preserve"> (Monitorul Of</w:t>
      </w:r>
      <w:r w:rsidR="0006359B">
        <w:rPr>
          <w:noProof/>
          <w:sz w:val="28"/>
          <w:szCs w:val="28"/>
          <w:lang w:val="ro-MD"/>
        </w:rPr>
        <w:t>icial al Republicii Moldova, 202</w:t>
      </w:r>
      <w:r w:rsidRPr="0006359B">
        <w:rPr>
          <w:noProof/>
          <w:sz w:val="28"/>
          <w:szCs w:val="28"/>
          <w:lang w:val="ro-MD"/>
        </w:rPr>
        <w:t xml:space="preserve">4, nr. </w:t>
      </w:r>
      <w:r w:rsidR="0006359B">
        <w:rPr>
          <w:noProof/>
          <w:sz w:val="28"/>
          <w:szCs w:val="28"/>
          <w:lang w:val="ro-MD"/>
        </w:rPr>
        <w:t>556</w:t>
      </w:r>
      <w:r w:rsidRPr="0006359B">
        <w:rPr>
          <w:noProof/>
          <w:sz w:val="28"/>
          <w:szCs w:val="28"/>
          <w:lang w:val="ro-MD"/>
        </w:rPr>
        <w:t>-</w:t>
      </w:r>
      <w:r w:rsidR="0006359B">
        <w:rPr>
          <w:noProof/>
          <w:sz w:val="28"/>
          <w:szCs w:val="28"/>
          <w:lang w:val="ro-MD"/>
        </w:rPr>
        <w:t>559, art.768</w:t>
      </w:r>
      <w:r w:rsidRPr="0006359B">
        <w:rPr>
          <w:noProof/>
          <w:sz w:val="28"/>
          <w:szCs w:val="28"/>
          <w:lang w:val="ro-MD"/>
        </w:rPr>
        <w:t>)</w:t>
      </w:r>
      <w:r w:rsidRPr="0065698B">
        <w:rPr>
          <w:noProof/>
          <w:sz w:val="28"/>
          <w:szCs w:val="28"/>
          <w:lang w:val="ro-MD"/>
        </w:rPr>
        <w:t>, cu modi</w:t>
      </w:r>
      <w:r>
        <w:rPr>
          <w:noProof/>
          <w:sz w:val="28"/>
          <w:szCs w:val="28"/>
          <w:lang w:val="ro-MD"/>
        </w:rPr>
        <w:t>ficările ulterioare, Guvernul</w:t>
      </w:r>
    </w:p>
    <w:p w14:paraId="1377E80E" w14:textId="77777777" w:rsidR="007B1F54" w:rsidRDefault="007B1F54" w:rsidP="001D29E1">
      <w:pPr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</w:p>
    <w:p w14:paraId="7A0E15E8" w14:textId="77777777" w:rsidR="007B1F54" w:rsidRDefault="007B1F54" w:rsidP="007B1F5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HOTĂRĂŞTE:</w:t>
      </w:r>
    </w:p>
    <w:p w14:paraId="096B67A9" w14:textId="77777777" w:rsidR="007B1F54" w:rsidRDefault="007B1F54" w:rsidP="007B1F54">
      <w:pPr>
        <w:spacing w:line="276" w:lineRule="auto"/>
        <w:ind w:firstLine="709"/>
        <w:jc w:val="center"/>
        <w:rPr>
          <w:b/>
          <w:noProof/>
          <w:sz w:val="28"/>
          <w:szCs w:val="28"/>
          <w:lang w:val="ro-MD"/>
        </w:rPr>
      </w:pPr>
    </w:p>
    <w:p w14:paraId="787473F7" w14:textId="7B7DAF3C" w:rsidR="00AA7971" w:rsidRPr="00B01DA1" w:rsidRDefault="00AA7971" w:rsidP="001A61F0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MD" w:eastAsia="en-GB"/>
        </w:rPr>
        <w:t xml:space="preserve">Din </w:t>
      </w:r>
      <w:r w:rsidRPr="00B01DA1">
        <w:rPr>
          <w:sz w:val="28"/>
          <w:szCs w:val="28"/>
          <w:lang w:val="ro-MD" w:eastAsia="en-GB"/>
        </w:rPr>
        <w:t xml:space="preserve">alocațiile aprobate în bugetul de stat pentru atenuarea riscurilor bugetare se repartizează mijloace financiare în scopul acoperirii insuficienței la cheltuielile pentru </w:t>
      </w:r>
      <w:r w:rsidR="00201228" w:rsidRPr="00B01DA1">
        <w:rPr>
          <w:sz w:val="28"/>
          <w:szCs w:val="28"/>
          <w:lang w:val="ro-MD" w:eastAsia="en-GB"/>
        </w:rPr>
        <w:t>servicii energetice</w:t>
      </w:r>
      <w:r w:rsidRPr="00B01DA1">
        <w:rPr>
          <w:sz w:val="28"/>
          <w:szCs w:val="28"/>
          <w:lang w:val="ro-MD" w:eastAsia="en-GB"/>
        </w:rPr>
        <w:t xml:space="preserve"> în sumă totală de </w:t>
      </w:r>
      <w:r w:rsidR="007C3659" w:rsidRPr="00B01DA1">
        <w:rPr>
          <w:sz w:val="28"/>
          <w:szCs w:val="28"/>
          <w:lang w:val="ro-MD" w:eastAsia="en-GB"/>
        </w:rPr>
        <w:t>1</w:t>
      </w:r>
      <w:r w:rsidR="00C3281D" w:rsidRPr="00B01DA1">
        <w:rPr>
          <w:sz w:val="28"/>
          <w:szCs w:val="28"/>
          <w:lang w:val="ro-MD" w:eastAsia="en-GB"/>
        </w:rPr>
        <w:t>1</w:t>
      </w:r>
      <w:r w:rsidR="005E4321" w:rsidRPr="00B01DA1">
        <w:rPr>
          <w:sz w:val="28"/>
          <w:szCs w:val="28"/>
          <w:lang w:val="ro-MD" w:eastAsia="en-GB"/>
        </w:rPr>
        <w:t>6005</w:t>
      </w:r>
      <w:r w:rsidR="00F132C8" w:rsidRPr="00B01DA1">
        <w:rPr>
          <w:sz w:val="28"/>
          <w:szCs w:val="28"/>
          <w:lang w:val="ro-MD" w:eastAsia="en-GB"/>
        </w:rPr>
        <w:t>,3</w:t>
      </w:r>
      <w:r w:rsidRPr="00B01DA1">
        <w:rPr>
          <w:sz w:val="28"/>
          <w:szCs w:val="28"/>
          <w:lang w:val="ro-MD" w:eastAsia="en-GB"/>
        </w:rPr>
        <w:t xml:space="preserve"> mii</w:t>
      </w:r>
      <w:r w:rsidR="00727567" w:rsidRPr="00B01DA1">
        <w:rPr>
          <w:sz w:val="28"/>
          <w:szCs w:val="28"/>
          <w:lang w:val="ro-MD" w:eastAsia="en-GB"/>
        </w:rPr>
        <w:t xml:space="preserve"> de</w:t>
      </w:r>
      <w:r w:rsidRPr="00B01DA1">
        <w:rPr>
          <w:sz w:val="28"/>
          <w:szCs w:val="28"/>
          <w:lang w:val="ro-MD" w:eastAsia="en-GB"/>
        </w:rPr>
        <w:t xml:space="preserve"> lei, inclusiv:</w:t>
      </w:r>
    </w:p>
    <w:p w14:paraId="2691C610" w14:textId="35B88BB8" w:rsidR="007B1F54" w:rsidRPr="00B01DA1" w:rsidRDefault="00AA7971" w:rsidP="00B01DA1">
      <w:pPr>
        <w:pStyle w:val="a9"/>
        <w:numPr>
          <w:ilvl w:val="1"/>
          <w:numId w:val="1"/>
        </w:numPr>
        <w:tabs>
          <w:tab w:val="left" w:pos="1134"/>
        </w:tabs>
        <w:spacing w:line="276" w:lineRule="auto"/>
        <w:ind w:left="426" w:hanging="426"/>
        <w:jc w:val="both"/>
        <w:rPr>
          <w:b/>
          <w:sz w:val="28"/>
          <w:szCs w:val="28"/>
          <w:lang w:val="ro-RO"/>
        </w:rPr>
      </w:pPr>
      <w:r w:rsidRPr="00B01DA1">
        <w:rPr>
          <w:sz w:val="28"/>
          <w:szCs w:val="28"/>
          <w:lang w:val="ro-MD" w:eastAsia="en-GB"/>
        </w:rPr>
        <w:t xml:space="preserve"> </w:t>
      </w:r>
      <w:r w:rsidR="00156310" w:rsidRPr="00B01DA1">
        <w:rPr>
          <w:sz w:val="28"/>
          <w:szCs w:val="28"/>
          <w:lang w:val="ro-MD" w:eastAsia="en-GB"/>
        </w:rPr>
        <w:t>către</w:t>
      </w:r>
      <w:r w:rsidR="00D1064E" w:rsidRPr="00B01DA1">
        <w:rPr>
          <w:sz w:val="28"/>
          <w:szCs w:val="28"/>
          <w:lang w:val="ro-MD" w:eastAsia="en-GB"/>
        </w:rPr>
        <w:t xml:space="preserve"> autoritățile publice centrale</w:t>
      </w:r>
      <w:r w:rsidR="00F102FB" w:rsidRPr="00B01DA1">
        <w:rPr>
          <w:sz w:val="28"/>
          <w:szCs w:val="28"/>
          <w:lang w:val="ro-MD" w:eastAsia="en-GB"/>
        </w:rPr>
        <w:t xml:space="preserve"> </w:t>
      </w:r>
      <w:r w:rsidR="007C3659" w:rsidRPr="00B01DA1">
        <w:rPr>
          <w:sz w:val="28"/>
          <w:szCs w:val="28"/>
          <w:lang w:val="ro-MD" w:eastAsia="en-GB"/>
        </w:rPr>
        <w:t>–</w:t>
      </w:r>
      <w:r w:rsidRPr="00B01DA1">
        <w:rPr>
          <w:sz w:val="28"/>
          <w:szCs w:val="28"/>
          <w:lang w:val="ro-MD" w:eastAsia="en-GB"/>
        </w:rPr>
        <w:t xml:space="preserve"> </w:t>
      </w:r>
      <w:r w:rsidR="005E4321" w:rsidRPr="00B01DA1">
        <w:rPr>
          <w:sz w:val="28"/>
          <w:szCs w:val="28"/>
          <w:lang w:val="ro-MD" w:eastAsia="en-GB"/>
        </w:rPr>
        <w:t>32435</w:t>
      </w:r>
      <w:r w:rsidR="007C3659" w:rsidRPr="00B01DA1">
        <w:rPr>
          <w:sz w:val="28"/>
          <w:szCs w:val="28"/>
          <w:lang w:val="ro-MD" w:eastAsia="en-GB"/>
        </w:rPr>
        <w:t>,3</w:t>
      </w:r>
      <w:r w:rsidR="00586A24" w:rsidRPr="00B01DA1">
        <w:rPr>
          <w:sz w:val="28"/>
          <w:szCs w:val="28"/>
          <w:lang w:val="ro-MD" w:eastAsia="en-GB"/>
        </w:rPr>
        <w:t xml:space="preserve"> mii de lei, </w:t>
      </w:r>
      <w:r w:rsidR="00156310" w:rsidRPr="00B01DA1">
        <w:rPr>
          <w:sz w:val="28"/>
          <w:szCs w:val="28"/>
          <w:lang w:val="ro-MD" w:eastAsia="en-GB"/>
        </w:rPr>
        <w:t xml:space="preserve"> </w:t>
      </w:r>
      <w:r w:rsidR="00D1064E" w:rsidRPr="00B01DA1">
        <w:rPr>
          <w:sz w:val="28"/>
          <w:szCs w:val="28"/>
          <w:lang w:val="ro-MD" w:eastAsia="en-GB"/>
        </w:rPr>
        <w:t>conform anexei</w:t>
      </w:r>
      <w:r w:rsidR="00C034F9" w:rsidRPr="00B01DA1">
        <w:rPr>
          <w:sz w:val="28"/>
          <w:szCs w:val="28"/>
          <w:lang w:val="ro-MD" w:eastAsia="en-GB"/>
        </w:rPr>
        <w:t xml:space="preserve"> </w:t>
      </w:r>
      <w:r w:rsidR="001F57E5" w:rsidRPr="00B01DA1">
        <w:rPr>
          <w:sz w:val="28"/>
          <w:szCs w:val="28"/>
          <w:lang w:val="ro-MD" w:eastAsia="en-GB"/>
        </w:rPr>
        <w:t xml:space="preserve">   </w:t>
      </w:r>
      <w:r w:rsidR="00C034F9" w:rsidRPr="00B01DA1">
        <w:rPr>
          <w:sz w:val="28"/>
          <w:szCs w:val="28"/>
          <w:lang w:val="ro-MD" w:eastAsia="en-GB"/>
        </w:rPr>
        <w:t xml:space="preserve">nr. </w:t>
      </w:r>
      <w:r w:rsidRPr="00B01DA1">
        <w:rPr>
          <w:sz w:val="28"/>
          <w:szCs w:val="28"/>
          <w:lang w:val="ro-MD" w:eastAsia="en-GB"/>
        </w:rPr>
        <w:t>1;</w:t>
      </w:r>
    </w:p>
    <w:p w14:paraId="41682D0D" w14:textId="75A0F1B8" w:rsidR="00C034F9" w:rsidRPr="00B01DA1" w:rsidRDefault="00727567" w:rsidP="00B01DA1">
      <w:pPr>
        <w:pStyle w:val="a9"/>
        <w:numPr>
          <w:ilvl w:val="1"/>
          <w:numId w:val="1"/>
        </w:numPr>
        <w:tabs>
          <w:tab w:val="left" w:pos="1276"/>
        </w:tabs>
        <w:spacing w:line="276" w:lineRule="auto"/>
        <w:ind w:left="426" w:hanging="426"/>
        <w:jc w:val="both"/>
        <w:rPr>
          <w:b/>
          <w:sz w:val="28"/>
          <w:szCs w:val="28"/>
          <w:lang w:val="ro-RO"/>
        </w:rPr>
      </w:pPr>
      <w:r w:rsidRPr="00B01DA1">
        <w:rPr>
          <w:noProof/>
          <w:sz w:val="28"/>
          <w:szCs w:val="28"/>
          <w:lang w:val="ro-RO" w:eastAsia="zh-CN"/>
        </w:rPr>
        <w:t xml:space="preserve"> </w:t>
      </w:r>
      <w:r w:rsidR="00C034F9" w:rsidRPr="00B01DA1">
        <w:rPr>
          <w:noProof/>
          <w:sz w:val="28"/>
          <w:szCs w:val="28"/>
          <w:lang w:val="ro-RO" w:eastAsia="zh-CN"/>
        </w:rPr>
        <w:t xml:space="preserve">către bugetele locale în sumă de </w:t>
      </w:r>
      <w:r w:rsidR="00F132C8" w:rsidRPr="00B01DA1">
        <w:rPr>
          <w:noProof/>
          <w:sz w:val="28"/>
          <w:szCs w:val="28"/>
          <w:lang w:val="ro-RO" w:eastAsia="zh-CN"/>
        </w:rPr>
        <w:t>8</w:t>
      </w:r>
      <w:r w:rsidR="00C3281D" w:rsidRPr="00B01DA1">
        <w:rPr>
          <w:noProof/>
          <w:sz w:val="28"/>
          <w:szCs w:val="28"/>
          <w:lang w:val="ro-RO" w:eastAsia="zh-CN"/>
        </w:rPr>
        <w:t>3</w:t>
      </w:r>
      <w:r w:rsidR="005C6FAC" w:rsidRPr="00B01DA1">
        <w:rPr>
          <w:noProof/>
          <w:sz w:val="28"/>
          <w:szCs w:val="28"/>
          <w:lang w:val="ro-RO" w:eastAsia="zh-CN"/>
        </w:rPr>
        <w:t>570</w:t>
      </w:r>
      <w:r w:rsidR="00201228" w:rsidRPr="00B01DA1">
        <w:rPr>
          <w:noProof/>
          <w:sz w:val="28"/>
          <w:szCs w:val="28"/>
          <w:lang w:val="ro-RO" w:eastAsia="zh-CN"/>
        </w:rPr>
        <w:t>,0</w:t>
      </w:r>
      <w:r w:rsidRPr="00B01DA1">
        <w:rPr>
          <w:b/>
          <w:bCs/>
          <w:noProof/>
          <w:sz w:val="28"/>
          <w:szCs w:val="28"/>
          <w:lang w:val="ro-RO" w:eastAsia="zh-CN"/>
        </w:rPr>
        <w:t xml:space="preserve"> </w:t>
      </w:r>
      <w:r w:rsidR="00C034F9" w:rsidRPr="00B01DA1">
        <w:rPr>
          <w:noProof/>
          <w:sz w:val="28"/>
          <w:szCs w:val="28"/>
          <w:lang w:val="ro-RO" w:eastAsia="zh-CN"/>
        </w:rPr>
        <w:t>mii</w:t>
      </w:r>
      <w:r w:rsidRPr="00B01DA1">
        <w:rPr>
          <w:noProof/>
          <w:sz w:val="28"/>
          <w:szCs w:val="28"/>
          <w:lang w:val="ro-RO" w:eastAsia="zh-CN"/>
        </w:rPr>
        <w:t xml:space="preserve"> de</w:t>
      </w:r>
      <w:r w:rsidR="00C034F9" w:rsidRPr="00B01DA1">
        <w:rPr>
          <w:noProof/>
          <w:sz w:val="28"/>
          <w:szCs w:val="28"/>
          <w:lang w:val="ro-RO" w:eastAsia="zh-CN"/>
        </w:rPr>
        <w:t xml:space="preserve"> lei, conform anexei nr. 2.</w:t>
      </w:r>
    </w:p>
    <w:p w14:paraId="54953260" w14:textId="77777777" w:rsidR="00677BCE" w:rsidRPr="00CB47A1" w:rsidRDefault="00CB47A1" w:rsidP="00677BCE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lang w:val="ro-RO"/>
        </w:rPr>
      </w:pPr>
      <w:r w:rsidRPr="00B01DA1">
        <w:rPr>
          <w:sz w:val="28"/>
          <w:szCs w:val="28"/>
          <w:lang w:val="ro-MD" w:eastAsia="en-GB"/>
        </w:rPr>
        <w:t xml:space="preserve">Prezenta hotărâre intră în vigoare la data publicării </w:t>
      </w:r>
      <w:r w:rsidRPr="00F2305C">
        <w:rPr>
          <w:sz w:val="28"/>
          <w:szCs w:val="28"/>
          <w:lang w:val="ro-MD" w:eastAsia="en-GB"/>
        </w:rPr>
        <w:t>în Monitorul Oficial al Republicii Moldova.</w:t>
      </w:r>
    </w:p>
    <w:p w14:paraId="7ABA60DE" w14:textId="6E1E4EC1" w:rsidR="00CB47A1" w:rsidRDefault="00CB47A1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1BC035BB" w14:textId="77777777" w:rsidR="00D72A28" w:rsidRDefault="00D72A28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5B23163D" w14:textId="77777777" w:rsidR="00CB47A1" w:rsidRDefault="00CB47A1" w:rsidP="00CB47A1">
      <w:pPr>
        <w:tabs>
          <w:tab w:val="left" w:pos="993"/>
        </w:tabs>
        <w:spacing w:line="276" w:lineRule="auto"/>
        <w:jc w:val="both"/>
        <w:rPr>
          <w:b/>
          <w:sz w:val="28"/>
          <w:szCs w:val="28"/>
          <w:lang w:val="ro-RO"/>
        </w:rPr>
      </w:pPr>
    </w:p>
    <w:p w14:paraId="6C190A15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PRIM-MINISTRU                                                        DORIN RECEAN</w:t>
      </w:r>
    </w:p>
    <w:p w14:paraId="17A4C55D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27342C78" w14:textId="77777777" w:rsidR="00727567" w:rsidRDefault="00727567" w:rsidP="00CB47A1">
      <w:pPr>
        <w:tabs>
          <w:tab w:val="left" w:pos="993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179ACD77" w14:textId="77777777" w:rsidR="00CB47A1" w:rsidRDefault="00CB47A1" w:rsidP="00CB47A1">
      <w:pPr>
        <w:tabs>
          <w:tab w:val="left" w:pos="993"/>
        </w:tabs>
        <w:spacing w:line="276" w:lineRule="auto"/>
        <w:ind w:firstLine="709"/>
        <w:jc w:val="both"/>
        <w:rPr>
          <w:noProof/>
          <w:sz w:val="28"/>
          <w:szCs w:val="28"/>
          <w:lang w:val="ro-MD"/>
        </w:rPr>
      </w:pPr>
      <w:r w:rsidRPr="0065698B">
        <w:rPr>
          <w:noProof/>
          <w:sz w:val="28"/>
          <w:szCs w:val="28"/>
          <w:lang w:val="ro-MD"/>
        </w:rPr>
        <w:t>Contrasemnează:</w:t>
      </w:r>
    </w:p>
    <w:p w14:paraId="433F03D2" w14:textId="2ADF9CED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5F93FF85" w14:textId="77777777" w:rsidR="00B01DA1" w:rsidRDefault="00B01D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7AFBC8DA" w14:textId="28553C19" w:rsidR="00406F7F" w:rsidRDefault="00406F7F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68EF49F2" w14:textId="400CAF78" w:rsidR="00406F7F" w:rsidRDefault="00406F7F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41B46CEE" w14:textId="3C2F9F65" w:rsidR="00406F7F" w:rsidRDefault="00406F7F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0A02C6CD" w14:textId="27916989" w:rsidR="00B01DA1" w:rsidRDefault="00B01D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108A760D" w14:textId="77777777" w:rsidR="00B01DA1" w:rsidRDefault="00B01D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0BE65078" w14:textId="1DA9C9F0" w:rsidR="00406F7F" w:rsidRDefault="00406F7F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15B4B476" w14:textId="507BD627" w:rsidR="00406F7F" w:rsidRDefault="00406F7F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RO"/>
        </w:rPr>
      </w:pPr>
    </w:p>
    <w:p w14:paraId="002386E7" w14:textId="77777777" w:rsidR="00406F7F" w:rsidRPr="004726D7" w:rsidRDefault="00406F7F" w:rsidP="00406F7F">
      <w:pPr>
        <w:jc w:val="right"/>
        <w:rPr>
          <w:b/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lastRenderedPageBreak/>
        <w:t>Anex</w:t>
      </w:r>
      <w:r>
        <w:rPr>
          <w:noProof/>
          <w:sz w:val="28"/>
          <w:szCs w:val="28"/>
          <w:lang w:val="ro-MD"/>
        </w:rPr>
        <w:t xml:space="preserve">a nr.1 </w:t>
      </w:r>
    </w:p>
    <w:p w14:paraId="6DFAF61A" w14:textId="77777777" w:rsidR="00406F7F" w:rsidRDefault="00406F7F" w:rsidP="00406F7F">
      <w:pPr>
        <w:jc w:val="right"/>
        <w:rPr>
          <w:noProof/>
          <w:sz w:val="26"/>
          <w:szCs w:val="26"/>
          <w:lang w:val="ro-MD"/>
        </w:rPr>
      </w:pPr>
      <w:r w:rsidRPr="004726D7">
        <w:rPr>
          <w:noProof/>
          <w:sz w:val="28"/>
          <w:szCs w:val="28"/>
          <w:lang w:val="ro-MD"/>
        </w:rPr>
        <w:t>la Hotărârea Guvernului nr.   /202</w:t>
      </w:r>
      <w:r>
        <w:rPr>
          <w:noProof/>
          <w:sz w:val="28"/>
          <w:szCs w:val="28"/>
          <w:lang w:val="ro-MD"/>
        </w:rPr>
        <w:t>5</w:t>
      </w:r>
    </w:p>
    <w:p w14:paraId="19B4681F" w14:textId="273B94C1" w:rsidR="00406F7F" w:rsidRDefault="00406F7F" w:rsidP="00321F7B">
      <w:pPr>
        <w:rPr>
          <w:noProof/>
          <w:sz w:val="26"/>
          <w:szCs w:val="26"/>
          <w:lang w:val="ro-MD"/>
        </w:rPr>
      </w:pPr>
    </w:p>
    <w:p w14:paraId="390B2E9A" w14:textId="77777777" w:rsidR="00406F7F" w:rsidRPr="00DE382D" w:rsidRDefault="00406F7F" w:rsidP="00406F7F">
      <w:pPr>
        <w:jc w:val="center"/>
        <w:rPr>
          <w:b/>
          <w:noProof/>
          <w:sz w:val="28"/>
          <w:szCs w:val="28"/>
          <w:lang w:val="ro-MD"/>
        </w:rPr>
      </w:pPr>
      <w:r w:rsidRPr="00DE382D">
        <w:rPr>
          <w:b/>
          <w:noProof/>
          <w:sz w:val="28"/>
          <w:szCs w:val="28"/>
          <w:lang w:val="ro-MD"/>
        </w:rPr>
        <w:t>VOLUMELE</w:t>
      </w:r>
    </w:p>
    <w:p w14:paraId="7D078C67" w14:textId="23AC2E88" w:rsidR="00406F7F" w:rsidRDefault="00406F7F" w:rsidP="00406F7F">
      <w:pPr>
        <w:pStyle w:val="cn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DE382D">
        <w:rPr>
          <w:b/>
          <w:bCs/>
          <w:sz w:val="28"/>
          <w:szCs w:val="28"/>
          <w:lang w:val="ro-MD"/>
        </w:rPr>
        <w:t>alocațiilor</w:t>
      </w:r>
      <w:r>
        <w:rPr>
          <w:b/>
          <w:bCs/>
          <w:sz w:val="28"/>
          <w:szCs w:val="28"/>
          <w:lang w:val="ro-MD"/>
        </w:rPr>
        <w:t xml:space="preserve"> repartizate</w:t>
      </w:r>
      <w:r w:rsidRPr="00DE382D">
        <w:rPr>
          <w:b/>
          <w:bCs/>
          <w:sz w:val="28"/>
          <w:szCs w:val="28"/>
          <w:lang w:val="ro-MD"/>
        </w:rPr>
        <w:t xml:space="preserve"> </w:t>
      </w:r>
      <w:r>
        <w:rPr>
          <w:b/>
          <w:bCs/>
          <w:sz w:val="28"/>
          <w:szCs w:val="28"/>
          <w:lang w:val="ro-MD"/>
        </w:rPr>
        <w:t>către</w:t>
      </w:r>
      <w:r w:rsidRPr="00DE382D">
        <w:rPr>
          <w:b/>
          <w:bCs/>
          <w:sz w:val="28"/>
          <w:szCs w:val="28"/>
          <w:lang w:val="ro-MD"/>
        </w:rPr>
        <w:t xml:space="preserve"> autorități publice centrale</w:t>
      </w:r>
    </w:p>
    <w:p w14:paraId="1F81E290" w14:textId="77777777" w:rsidR="00406F7F" w:rsidRPr="00DE382D" w:rsidRDefault="00406F7F" w:rsidP="00406F7F">
      <w:pPr>
        <w:pStyle w:val="cn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40"/>
        <w:gridCol w:w="1845"/>
      </w:tblGrid>
      <w:tr w:rsidR="00406F7F" w:rsidRPr="007A5817" w14:paraId="308B84BC" w14:textId="77777777" w:rsidTr="007A5817">
        <w:trPr>
          <w:trHeight w:val="276"/>
          <w:tblHeader/>
        </w:trPr>
        <w:tc>
          <w:tcPr>
            <w:tcW w:w="5524" w:type="dxa"/>
            <w:vMerge w:val="restart"/>
            <w:shd w:val="clear" w:color="auto" w:fill="auto"/>
            <w:vAlign w:val="center"/>
            <w:hideMark/>
          </w:tcPr>
          <w:p w14:paraId="17F2AF26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Denumirea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vAlign w:val="center"/>
            <w:hideMark/>
          </w:tcPr>
          <w:p w14:paraId="54361427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Codul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  <w:hideMark/>
          </w:tcPr>
          <w:p w14:paraId="39B003B8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Suma, mii lei</w:t>
            </w:r>
          </w:p>
        </w:tc>
      </w:tr>
      <w:tr w:rsidR="00406F7F" w:rsidRPr="007A5817" w14:paraId="7664E09A" w14:textId="77777777" w:rsidTr="007A5817">
        <w:trPr>
          <w:trHeight w:val="458"/>
        </w:trPr>
        <w:tc>
          <w:tcPr>
            <w:tcW w:w="5524" w:type="dxa"/>
            <w:vMerge/>
            <w:vAlign w:val="center"/>
            <w:hideMark/>
          </w:tcPr>
          <w:p w14:paraId="736FE06F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14:paraId="2601EEBF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3330E8EF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</w:p>
        </w:tc>
      </w:tr>
      <w:tr w:rsidR="00406F7F" w:rsidRPr="007A5817" w14:paraId="317C7B73" w14:textId="77777777" w:rsidTr="007A5817">
        <w:trPr>
          <w:trHeight w:val="458"/>
        </w:trPr>
        <w:tc>
          <w:tcPr>
            <w:tcW w:w="5524" w:type="dxa"/>
            <w:vMerge/>
            <w:vAlign w:val="center"/>
            <w:hideMark/>
          </w:tcPr>
          <w:p w14:paraId="1709749A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840" w:type="dxa"/>
            <w:vMerge/>
            <w:vAlign w:val="center"/>
            <w:hideMark/>
          </w:tcPr>
          <w:p w14:paraId="60CAE6C6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630427EC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</w:p>
        </w:tc>
      </w:tr>
      <w:tr w:rsidR="00406F7F" w:rsidRPr="007A5817" w14:paraId="0F013C38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F98C824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 xml:space="preserve">Secretariatul Parlamentului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342CCFD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0101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4BF03CA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</w:tr>
      <w:tr w:rsidR="00406F7F" w:rsidRPr="007A5817" w14:paraId="2B05CFC1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D6FF009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A584BE2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863E2EE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1800,0</w:t>
            </w:r>
          </w:p>
        </w:tc>
      </w:tr>
      <w:tr w:rsidR="00406F7F" w:rsidRPr="007A5817" w14:paraId="44B3164D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8FFEC5E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 Servicii de stat cu destinație generală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D1B900A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571AAD3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30796A57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56B63E9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3E4B69E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83E7E21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1800,0</w:t>
            </w:r>
          </w:p>
        </w:tc>
      </w:tr>
      <w:tr w:rsidR="00406F7F" w:rsidRPr="007A5817" w14:paraId="7CA54D50" w14:textId="77777777" w:rsidTr="007A5817">
        <w:trPr>
          <w:trHeight w:val="360"/>
        </w:trPr>
        <w:tc>
          <w:tcPr>
            <w:tcW w:w="5524" w:type="dxa"/>
            <w:shd w:val="clear" w:color="auto" w:fill="auto"/>
            <w:vAlign w:val="center"/>
            <w:hideMark/>
          </w:tcPr>
          <w:p w14:paraId="3CF167D8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Activitatea Parlamentului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42993F3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0101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A1D99E3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1800,0</w:t>
            </w:r>
          </w:p>
        </w:tc>
      </w:tr>
      <w:tr w:rsidR="00406F7F" w:rsidRPr="007A5817" w14:paraId="3143871A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F45403E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Cancelaria de Stat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EBE8047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D4BD553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5A2C2051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6A2C1E5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CF532AD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5A5F16F" w14:textId="642875C1" w:rsidR="00406F7F" w:rsidRPr="007A5817" w:rsidRDefault="005E4321" w:rsidP="005E4321">
            <w:pPr>
              <w:jc w:val="center"/>
              <w:rPr>
                <w:b/>
                <w:bCs/>
                <w:lang w:val="ro-MD" w:eastAsia="en-US"/>
              </w:rPr>
            </w:pPr>
            <w:r>
              <w:rPr>
                <w:b/>
                <w:bCs/>
                <w:lang w:val="ro-MD" w:eastAsia="en-US"/>
              </w:rPr>
              <w:t>1155</w:t>
            </w:r>
            <w:r w:rsidR="00406F7F" w:rsidRPr="007A5817">
              <w:rPr>
                <w:b/>
                <w:bCs/>
                <w:lang w:val="ro-MD" w:eastAsia="en-US"/>
              </w:rPr>
              <w:t>0,0</w:t>
            </w:r>
          </w:p>
        </w:tc>
      </w:tr>
      <w:tr w:rsidR="00406F7F" w:rsidRPr="007A5817" w14:paraId="205BA502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9E099F7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87F9110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0ED0814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186D4586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6D60AFA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C700894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105D947" w14:textId="7A52C9C2" w:rsidR="00406F7F" w:rsidRPr="007A5817" w:rsidRDefault="005E4321" w:rsidP="005E4321">
            <w:pPr>
              <w:jc w:val="center"/>
              <w:rPr>
                <w:lang w:val="ro-MD" w:eastAsia="en-US"/>
              </w:rPr>
            </w:pPr>
            <w:r>
              <w:rPr>
                <w:lang w:val="ro-MD" w:eastAsia="en-US"/>
              </w:rPr>
              <w:t>1155</w:t>
            </w:r>
            <w:r w:rsidR="00406F7F" w:rsidRPr="007A5817">
              <w:rPr>
                <w:lang w:val="ro-MD" w:eastAsia="en-US"/>
              </w:rPr>
              <w:t>0,0</w:t>
            </w:r>
          </w:p>
        </w:tc>
      </w:tr>
      <w:tr w:rsidR="00406F7F" w:rsidRPr="007A5817" w14:paraId="5B20B961" w14:textId="77777777" w:rsidTr="007A5817">
        <w:trPr>
          <w:trHeight w:val="435"/>
        </w:trPr>
        <w:tc>
          <w:tcPr>
            <w:tcW w:w="5524" w:type="dxa"/>
            <w:shd w:val="clear" w:color="auto" w:fill="auto"/>
            <w:vAlign w:val="center"/>
            <w:hideMark/>
          </w:tcPr>
          <w:p w14:paraId="3310D928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Servicii de suport pentru exercitarea guvernării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867A534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0302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B399548" w14:textId="43A03A7C" w:rsidR="00406F7F" w:rsidRPr="007A5817" w:rsidRDefault="005E4321" w:rsidP="00406F7F">
            <w:pPr>
              <w:jc w:val="center"/>
              <w:rPr>
                <w:i/>
                <w:iCs/>
                <w:lang w:val="ro-MD" w:eastAsia="en-US"/>
              </w:rPr>
            </w:pPr>
            <w:r>
              <w:rPr>
                <w:i/>
                <w:iCs/>
                <w:lang w:val="ro-MD" w:eastAsia="en-US"/>
              </w:rPr>
              <w:t>1155</w:t>
            </w:r>
            <w:r w:rsidR="00406F7F" w:rsidRPr="007A5817">
              <w:rPr>
                <w:i/>
                <w:iCs/>
                <w:lang w:val="ro-MD" w:eastAsia="en-US"/>
              </w:rPr>
              <w:t>0,0</w:t>
            </w:r>
          </w:p>
        </w:tc>
      </w:tr>
      <w:tr w:rsidR="00406F7F" w:rsidRPr="007A5817" w14:paraId="0145AE2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9C51695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Ministerul Justiției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9001D35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0204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46D543E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2328C140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9361F7F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C634079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6AD587E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300,0</w:t>
            </w:r>
          </w:p>
        </w:tc>
      </w:tr>
      <w:tr w:rsidR="00406F7F" w:rsidRPr="007A5817" w14:paraId="654F19F9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D8A882B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696C43E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0F36AA6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77D7ABA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6A46416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BA078C9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64673DD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260,0</w:t>
            </w:r>
          </w:p>
        </w:tc>
      </w:tr>
      <w:tr w:rsidR="00406F7F" w:rsidRPr="007A5817" w14:paraId="5A8F4FD0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7E0A1EC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Servicii de arhivă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FB0B193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1203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899423F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260,0</w:t>
            </w:r>
          </w:p>
        </w:tc>
      </w:tr>
      <w:tr w:rsidR="00406F7F" w:rsidRPr="007A5817" w14:paraId="6D2EC329" w14:textId="77777777" w:rsidTr="007A5817">
        <w:trPr>
          <w:trHeight w:val="375"/>
        </w:trPr>
        <w:tc>
          <w:tcPr>
            <w:tcW w:w="5524" w:type="dxa"/>
            <w:shd w:val="clear" w:color="auto" w:fill="auto"/>
            <w:vAlign w:val="center"/>
            <w:hideMark/>
          </w:tcPr>
          <w:p w14:paraId="46F5D21A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F8A0CBB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E17413E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210D9B4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601DB5B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048F56C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9FBEF07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40,0</w:t>
            </w:r>
          </w:p>
        </w:tc>
      </w:tr>
      <w:tr w:rsidR="00406F7F" w:rsidRPr="007A5817" w14:paraId="7D684D9F" w14:textId="77777777" w:rsidTr="007A5817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14:paraId="220A38A4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Politici și management în domeniul justiției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D2BB7F7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4001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13D72C3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20,0</w:t>
            </w:r>
          </w:p>
        </w:tc>
      </w:tr>
      <w:tr w:rsidR="00406F7F" w:rsidRPr="007A5817" w14:paraId="63889ACD" w14:textId="77777777" w:rsidTr="007A5817">
        <w:trPr>
          <w:trHeight w:val="405"/>
        </w:trPr>
        <w:tc>
          <w:tcPr>
            <w:tcW w:w="5524" w:type="dxa"/>
            <w:shd w:val="clear" w:color="auto" w:fill="auto"/>
            <w:vAlign w:val="center"/>
            <w:hideMark/>
          </w:tcPr>
          <w:p w14:paraId="2576C21A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Sistemul penitenciar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801244E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4302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EDA9B67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20,0</w:t>
            </w:r>
          </w:p>
        </w:tc>
      </w:tr>
      <w:tr w:rsidR="00406F7F" w:rsidRPr="007A5817" w14:paraId="70B2BB35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F1244ED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Ministerul Afacerilor Interne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AEB0BF1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0205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6360034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205D3EFF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3C4C4D0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EBF0A0B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1F147D4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7194,0</w:t>
            </w:r>
          </w:p>
        </w:tc>
      </w:tr>
      <w:tr w:rsidR="00406F7F" w:rsidRPr="007A5817" w14:paraId="421E9CDC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4469235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263D65F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B23A932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168F1A38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B747884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E403C91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1604DA1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38,0</w:t>
            </w:r>
          </w:p>
        </w:tc>
      </w:tr>
      <w:tr w:rsidR="00406F7F" w:rsidRPr="007A5817" w14:paraId="7A1D0330" w14:textId="77777777" w:rsidTr="007A5817">
        <w:trPr>
          <w:trHeight w:val="450"/>
        </w:trPr>
        <w:tc>
          <w:tcPr>
            <w:tcW w:w="5524" w:type="dxa"/>
            <w:shd w:val="clear" w:color="auto" w:fill="auto"/>
            <w:vAlign w:val="center"/>
            <w:hideMark/>
          </w:tcPr>
          <w:p w14:paraId="0AED8C39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Politici și management al rezervelor materiale ale statului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6290AD2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2701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F91094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38,0</w:t>
            </w:r>
          </w:p>
        </w:tc>
      </w:tr>
      <w:tr w:rsidR="00406F7F" w:rsidRPr="007A5817" w14:paraId="68305136" w14:textId="77777777" w:rsidTr="007A5817">
        <w:trPr>
          <w:trHeight w:val="375"/>
        </w:trPr>
        <w:tc>
          <w:tcPr>
            <w:tcW w:w="5524" w:type="dxa"/>
            <w:shd w:val="clear" w:color="auto" w:fill="auto"/>
            <w:vAlign w:val="center"/>
            <w:hideMark/>
          </w:tcPr>
          <w:p w14:paraId="46103CF3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7FF217F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1B50292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0079CDC0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0A86AF9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81C8A93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9FD2B7A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5772,2</w:t>
            </w:r>
          </w:p>
        </w:tc>
      </w:tr>
      <w:tr w:rsidR="00406F7F" w:rsidRPr="007A5817" w14:paraId="70A3F293" w14:textId="77777777" w:rsidTr="007A5817">
        <w:trPr>
          <w:trHeight w:val="375"/>
        </w:trPr>
        <w:tc>
          <w:tcPr>
            <w:tcW w:w="5524" w:type="dxa"/>
            <w:shd w:val="clear" w:color="auto" w:fill="auto"/>
            <w:vAlign w:val="center"/>
            <w:hideMark/>
          </w:tcPr>
          <w:p w14:paraId="5BD6FDEA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Politici și management în domeniul afacerilor interne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1D7D89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3501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09C20D2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1061,0</w:t>
            </w:r>
          </w:p>
        </w:tc>
      </w:tr>
      <w:tr w:rsidR="00406F7F" w:rsidRPr="007A5817" w14:paraId="20FD4EDB" w14:textId="77777777" w:rsidTr="007A5817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C9DECE2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Ordine și siguranță publică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195812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3502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4F879F76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2912,0</w:t>
            </w:r>
          </w:p>
        </w:tc>
      </w:tr>
      <w:tr w:rsidR="00406F7F" w:rsidRPr="007A5817" w14:paraId="581845F7" w14:textId="77777777" w:rsidTr="007A5817">
        <w:trPr>
          <w:trHeight w:val="345"/>
        </w:trPr>
        <w:tc>
          <w:tcPr>
            <w:tcW w:w="5524" w:type="dxa"/>
            <w:shd w:val="clear" w:color="auto" w:fill="auto"/>
            <w:vAlign w:val="center"/>
            <w:hideMark/>
          </w:tcPr>
          <w:p w14:paraId="30C6EAFF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Migrație și azil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A31FE65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3503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AF946A7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26,0</w:t>
            </w:r>
          </w:p>
        </w:tc>
      </w:tr>
      <w:tr w:rsidR="00406F7F" w:rsidRPr="007A5817" w14:paraId="2162CCEB" w14:textId="77777777" w:rsidTr="007A5817">
        <w:trPr>
          <w:trHeight w:val="345"/>
        </w:trPr>
        <w:tc>
          <w:tcPr>
            <w:tcW w:w="5524" w:type="dxa"/>
            <w:shd w:val="clear" w:color="auto" w:fill="auto"/>
            <w:vAlign w:val="center"/>
            <w:hideMark/>
          </w:tcPr>
          <w:p w14:paraId="3640F1A4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Trupe de carabinieri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4830368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3504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1269D06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520,0</w:t>
            </w:r>
          </w:p>
        </w:tc>
      </w:tr>
      <w:tr w:rsidR="00406F7F" w:rsidRPr="007A5817" w14:paraId="14A72DF8" w14:textId="77777777" w:rsidTr="007A5817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14:paraId="665C0FC3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Servicii de suport în domeniul afacerilor interne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4D5951C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3505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0C65B3E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1146,2</w:t>
            </w:r>
          </w:p>
        </w:tc>
      </w:tr>
      <w:tr w:rsidR="00406F7F" w:rsidRPr="007A5817" w14:paraId="3765F5ED" w14:textId="77777777" w:rsidTr="007A5817">
        <w:trPr>
          <w:trHeight w:val="330"/>
        </w:trPr>
        <w:tc>
          <w:tcPr>
            <w:tcW w:w="5524" w:type="dxa"/>
            <w:shd w:val="clear" w:color="auto" w:fill="auto"/>
            <w:vAlign w:val="center"/>
            <w:hideMark/>
          </w:tcPr>
          <w:p w14:paraId="6C9B51C4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Managementul frontierei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D9CC1C5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3506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21C255E5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107,0</w:t>
            </w:r>
          </w:p>
        </w:tc>
      </w:tr>
      <w:tr w:rsidR="00406F7F" w:rsidRPr="007A5817" w14:paraId="0B232B61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D9866BA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lastRenderedPageBreak/>
              <w:t xml:space="preserve">Ocrotirea sănătății           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AA9E169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07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2394BF1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731A4718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F43DF02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9CF4776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FF55DBF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1383,8</w:t>
            </w:r>
          </w:p>
        </w:tc>
      </w:tr>
      <w:tr w:rsidR="00406F7F" w:rsidRPr="007A5817" w14:paraId="1AC6CEED" w14:textId="77777777" w:rsidTr="007A5817">
        <w:trPr>
          <w:trHeight w:val="405"/>
        </w:trPr>
        <w:tc>
          <w:tcPr>
            <w:tcW w:w="5524" w:type="dxa"/>
            <w:shd w:val="clear" w:color="auto" w:fill="auto"/>
            <w:vAlign w:val="center"/>
            <w:hideMark/>
          </w:tcPr>
          <w:p w14:paraId="52265456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Asistență medicală primară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37E4162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8005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D9F13C9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1383,8</w:t>
            </w:r>
          </w:p>
        </w:tc>
      </w:tr>
      <w:tr w:rsidR="00406F7F" w:rsidRPr="007A5817" w14:paraId="07784F7A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D1FB2D2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 xml:space="preserve">Ministerul Afacerilor Externe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41C01D2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0206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17EC5D5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72B7833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D8DBFA8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1FE5CAF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6367873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100,0</w:t>
            </w:r>
          </w:p>
        </w:tc>
      </w:tr>
      <w:tr w:rsidR="00406F7F" w:rsidRPr="007A5817" w14:paraId="5A4773D6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5316146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26D65D0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9E7BCEC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2E964A3A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233CB3D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8088541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9ECDAE5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100,0</w:t>
            </w:r>
          </w:p>
        </w:tc>
      </w:tr>
      <w:tr w:rsidR="00406F7F" w:rsidRPr="007A5817" w14:paraId="0DD1509D" w14:textId="77777777" w:rsidTr="007A5817">
        <w:trPr>
          <w:trHeight w:val="405"/>
        </w:trPr>
        <w:tc>
          <w:tcPr>
            <w:tcW w:w="5524" w:type="dxa"/>
            <w:shd w:val="clear" w:color="auto" w:fill="auto"/>
            <w:vAlign w:val="center"/>
            <w:hideMark/>
          </w:tcPr>
          <w:p w14:paraId="56AA4E0A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Politici și management în domeniul relațiilor externe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E80AD99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0601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990A9DE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100,0</w:t>
            </w:r>
          </w:p>
        </w:tc>
      </w:tr>
      <w:tr w:rsidR="00406F7F" w:rsidRPr="007A5817" w14:paraId="277044AF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99FE621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Ministerul Apărării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64C3078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0207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3EC3313" w14:textId="77777777" w:rsidR="00406F7F" w:rsidRPr="007A5817" w:rsidRDefault="00406F7F" w:rsidP="00406F7F">
            <w:pPr>
              <w:rPr>
                <w:i/>
                <w:iCs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28A9B8B1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907ACD1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67D8D17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99A89EB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1370,0</w:t>
            </w:r>
          </w:p>
        </w:tc>
      </w:tr>
      <w:tr w:rsidR="00406F7F" w:rsidRPr="007A5817" w14:paraId="66607366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21F1A3F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E3EA25A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02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3E72AC4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5164600A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D37F3DD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69316AB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3D94622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870,0</w:t>
            </w:r>
          </w:p>
        </w:tc>
      </w:tr>
      <w:tr w:rsidR="00406F7F" w:rsidRPr="007A5817" w14:paraId="1F58DEF7" w14:textId="77777777" w:rsidTr="007A5817">
        <w:trPr>
          <w:trHeight w:val="405"/>
        </w:trPr>
        <w:tc>
          <w:tcPr>
            <w:tcW w:w="5524" w:type="dxa"/>
            <w:shd w:val="clear" w:color="auto" w:fill="auto"/>
            <w:vAlign w:val="center"/>
            <w:hideMark/>
          </w:tcPr>
          <w:p w14:paraId="12C549BC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Forțele Armatei Naționale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5AA6C9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3106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613C426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870,0</w:t>
            </w:r>
          </w:p>
        </w:tc>
      </w:tr>
      <w:tr w:rsidR="00406F7F" w:rsidRPr="007A5817" w14:paraId="7EA3CFA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F6E788E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C13BCB9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09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C3BD694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699D9A8E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D61CBA6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BCE8FEC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E742AE0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500,0</w:t>
            </w:r>
          </w:p>
        </w:tc>
      </w:tr>
      <w:tr w:rsidR="00406F7F" w:rsidRPr="007A5817" w14:paraId="42AE5EB8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3F28DA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Învățământ superior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80F2948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8810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8AF9330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500,0</w:t>
            </w:r>
          </w:p>
        </w:tc>
      </w:tr>
      <w:tr w:rsidR="00406F7F" w:rsidRPr="007A5817" w14:paraId="0B2541D9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7C7AE28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Ministerul Agriculturii și Industriei Alimentare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270F8DD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0224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308294D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53A23345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F5BD143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077D05A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F8104CE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800,0</w:t>
            </w:r>
          </w:p>
        </w:tc>
      </w:tr>
      <w:tr w:rsidR="00406F7F" w:rsidRPr="007A5817" w14:paraId="131E6B69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095AF24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96CC015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C11D4D3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37CED36F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10B5CEF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BF902BB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AEAABD5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800,0</w:t>
            </w:r>
          </w:p>
        </w:tc>
      </w:tr>
      <w:tr w:rsidR="00406F7F" w:rsidRPr="007A5817" w14:paraId="0452B5C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49226FD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Dezvoltarea durabilă a sectoarelor fitotehnie și horticultură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5EE6D56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5102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6E54346" w14:textId="71BD13C1" w:rsidR="00406F7F" w:rsidRPr="007A5817" w:rsidRDefault="005C6FAC" w:rsidP="005C6FAC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7</w:t>
            </w:r>
            <w:r w:rsidR="00406F7F" w:rsidRPr="007A5817">
              <w:rPr>
                <w:i/>
                <w:iCs/>
                <w:color w:val="000000"/>
                <w:lang w:val="ro-MD" w:eastAsia="en-US"/>
              </w:rPr>
              <w:t>00,0</w:t>
            </w:r>
          </w:p>
        </w:tc>
      </w:tr>
      <w:tr w:rsidR="00406F7F" w:rsidRPr="007A5817" w14:paraId="65E958CC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413D1CE" w14:textId="1DDB1FAA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 </w:t>
            </w:r>
            <w:r w:rsidR="005C6FAC" w:rsidRPr="005C6FAC">
              <w:rPr>
                <w:i/>
                <w:iCs/>
                <w:color w:val="000000"/>
                <w:lang w:val="ro-MD" w:eastAsia="en-US"/>
              </w:rPr>
              <w:t>Cercetări științifice aplicate în domeniul agriculturii, în direcția strategică „Biotehnologie”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764AF1E" w14:textId="5112A4FE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 </w:t>
            </w:r>
            <w:r w:rsidR="005C6FAC">
              <w:rPr>
                <w:i/>
                <w:iCs/>
                <w:color w:val="000000"/>
                <w:lang w:val="ro-MD" w:eastAsia="en-US"/>
              </w:rPr>
              <w:t>5107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C9EDF4D" w14:textId="53035952" w:rsidR="00406F7F" w:rsidRPr="007A5817" w:rsidRDefault="005C6FAC" w:rsidP="005C6FAC">
            <w:pPr>
              <w:jc w:val="center"/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1</w:t>
            </w:r>
            <w:r w:rsidRPr="007A5817">
              <w:rPr>
                <w:i/>
                <w:iCs/>
                <w:color w:val="000000"/>
                <w:lang w:val="ro-MD" w:eastAsia="en-US"/>
              </w:rPr>
              <w:t>00,0</w:t>
            </w:r>
          </w:p>
        </w:tc>
      </w:tr>
      <w:tr w:rsidR="00406F7F" w:rsidRPr="007A5817" w14:paraId="26C19C8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400836B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Ministerul Educației și Cercetării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2BE7CA1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0226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0C027BF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170DD0C9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C9E040F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50EB5AE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05C7C00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1200,0</w:t>
            </w:r>
          </w:p>
        </w:tc>
      </w:tr>
      <w:tr w:rsidR="00406F7F" w:rsidRPr="007A5817" w14:paraId="11FA0D8A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80F7F1F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58C8268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08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A73A7D3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5A7C7B7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0E63057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9D93ED7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E4C91A6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1060,0</w:t>
            </w:r>
          </w:p>
        </w:tc>
      </w:tr>
      <w:tr w:rsidR="00406F7F" w:rsidRPr="007A5817" w14:paraId="0766C40E" w14:textId="77777777" w:rsidTr="007A5817">
        <w:trPr>
          <w:trHeight w:val="375"/>
        </w:trPr>
        <w:tc>
          <w:tcPr>
            <w:tcW w:w="5524" w:type="dxa"/>
            <w:shd w:val="clear" w:color="auto" w:fill="auto"/>
            <w:vAlign w:val="center"/>
            <w:hideMark/>
          </w:tcPr>
          <w:p w14:paraId="7498C537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Sport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3D2B20A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8602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504E234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1060,0</w:t>
            </w:r>
          </w:p>
        </w:tc>
      </w:tr>
      <w:tr w:rsidR="00406F7F" w:rsidRPr="007A5817" w14:paraId="156EFD91" w14:textId="77777777" w:rsidTr="00321F7B">
        <w:trPr>
          <w:trHeight w:val="265"/>
        </w:trPr>
        <w:tc>
          <w:tcPr>
            <w:tcW w:w="5524" w:type="dxa"/>
            <w:shd w:val="clear" w:color="auto" w:fill="auto"/>
            <w:vAlign w:val="center"/>
            <w:hideMark/>
          </w:tcPr>
          <w:p w14:paraId="0C7BF46D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A5CBAF0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09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27C4BA7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7C5D3BAC" w14:textId="77777777" w:rsidTr="007A5817">
        <w:trPr>
          <w:trHeight w:val="40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026A7B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DBBE37A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C127D49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140,0</w:t>
            </w:r>
          </w:p>
        </w:tc>
      </w:tr>
      <w:tr w:rsidR="00406F7F" w:rsidRPr="007A5817" w14:paraId="2F990CA8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FC733BE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Învățământ liceal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818B60C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8806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70CC2C7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140,0</w:t>
            </w:r>
          </w:p>
        </w:tc>
      </w:tr>
      <w:tr w:rsidR="00406F7F" w:rsidRPr="007A5817" w14:paraId="19F93C8C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B705E4A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Ministerul Muncii și Protecției Sociale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0DE2D0D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0228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6732257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643E3E57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99491A4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3A3FEB2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56EBC64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3600,0</w:t>
            </w:r>
          </w:p>
        </w:tc>
      </w:tr>
      <w:tr w:rsidR="00406F7F" w:rsidRPr="007A5817" w14:paraId="15E9D38C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2EA6CAB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657A687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10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B9C4AAE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44570D7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6656FA3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C788885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71A3B04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3600,0</w:t>
            </w:r>
          </w:p>
        </w:tc>
      </w:tr>
      <w:tr w:rsidR="00406F7F" w:rsidRPr="007A5817" w14:paraId="44601FAC" w14:textId="77777777" w:rsidTr="007A5817">
        <w:trPr>
          <w:trHeight w:val="360"/>
        </w:trPr>
        <w:tc>
          <w:tcPr>
            <w:tcW w:w="5524" w:type="dxa"/>
            <w:shd w:val="clear" w:color="auto" w:fill="auto"/>
            <w:vAlign w:val="center"/>
            <w:hideMark/>
          </w:tcPr>
          <w:p w14:paraId="5AABDE80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Politici și management în domeniul protecției sociale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E83B9A8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9001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E761DBF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205,0</w:t>
            </w:r>
          </w:p>
        </w:tc>
      </w:tr>
      <w:tr w:rsidR="00406F7F" w:rsidRPr="007A5817" w14:paraId="14C61624" w14:textId="77777777" w:rsidTr="007A5817">
        <w:trPr>
          <w:trHeight w:val="375"/>
        </w:trPr>
        <w:tc>
          <w:tcPr>
            <w:tcW w:w="5524" w:type="dxa"/>
            <w:shd w:val="clear" w:color="auto" w:fill="auto"/>
            <w:vAlign w:val="center"/>
            <w:hideMark/>
          </w:tcPr>
          <w:p w14:paraId="36ABE9EB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Protecția persoanelor în etate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C39AD7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9004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BBFB66B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470,0</w:t>
            </w:r>
          </w:p>
        </w:tc>
      </w:tr>
      <w:tr w:rsidR="00406F7F" w:rsidRPr="007A5817" w14:paraId="29B4B8D1" w14:textId="77777777" w:rsidTr="007A5817">
        <w:trPr>
          <w:trHeight w:val="345"/>
        </w:trPr>
        <w:tc>
          <w:tcPr>
            <w:tcW w:w="5524" w:type="dxa"/>
            <w:shd w:val="clear" w:color="auto" w:fill="auto"/>
            <w:vAlign w:val="center"/>
            <w:hideMark/>
          </w:tcPr>
          <w:p w14:paraId="0E4C32CE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Protecția familiei și copilului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C45C68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9006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BDD0926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650,0</w:t>
            </w:r>
          </w:p>
        </w:tc>
      </w:tr>
      <w:tr w:rsidR="00406F7F" w:rsidRPr="007A5817" w14:paraId="10398138" w14:textId="77777777" w:rsidTr="007A5817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52304BE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lastRenderedPageBreak/>
              <w:t>Protecția socială a persoanelor cu dizabilități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B79A63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9010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4E99659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2237,0</w:t>
            </w:r>
          </w:p>
        </w:tc>
      </w:tr>
      <w:tr w:rsidR="00406F7F" w:rsidRPr="007A5817" w14:paraId="07066F3A" w14:textId="77777777" w:rsidTr="007A5817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14:paraId="091EED41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Protecție socială în cazuri excepționale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2809B07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9012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14:paraId="1AC808CD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38,0</w:t>
            </w:r>
          </w:p>
        </w:tc>
      </w:tr>
      <w:tr w:rsidR="00406F7F" w:rsidRPr="007A5817" w14:paraId="7AD1567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A518959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Ministerul Sănătății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50EDF38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0229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696308C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60DF362D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BEE9A0C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B98AC95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B218B06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1661,3</w:t>
            </w:r>
          </w:p>
        </w:tc>
      </w:tr>
      <w:tr w:rsidR="00406F7F" w:rsidRPr="007A5817" w14:paraId="55F15F2F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E2E43BF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FE9E9B3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07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BB766D9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4F8FCCB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7DD6B70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46F6799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0E65675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1661,3</w:t>
            </w:r>
          </w:p>
        </w:tc>
      </w:tr>
      <w:tr w:rsidR="00406F7F" w:rsidRPr="007A5817" w14:paraId="2C57F931" w14:textId="77777777" w:rsidTr="007A5817">
        <w:trPr>
          <w:trHeight w:val="405"/>
        </w:trPr>
        <w:tc>
          <w:tcPr>
            <w:tcW w:w="5524" w:type="dxa"/>
            <w:shd w:val="clear" w:color="auto" w:fill="auto"/>
            <w:vAlign w:val="center"/>
            <w:hideMark/>
          </w:tcPr>
          <w:p w14:paraId="5AACD527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Sănătate publică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37A291D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8004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087FF3F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1633,5</w:t>
            </w:r>
          </w:p>
        </w:tc>
      </w:tr>
      <w:tr w:rsidR="00406F7F" w:rsidRPr="007A5817" w14:paraId="2F23F115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5FF9675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Medicină legală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93BCF2E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8014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6881F43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27,8</w:t>
            </w:r>
          </w:p>
        </w:tc>
      </w:tr>
      <w:tr w:rsidR="00406F7F" w:rsidRPr="007A5817" w14:paraId="0FD41E5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D755024" w14:textId="77777777" w:rsidR="00406F7F" w:rsidRPr="007A5817" w:rsidRDefault="00406F7F" w:rsidP="00406F7F">
            <w:pPr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Ministerul Energiei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8904C39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0230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2C8E3B3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3735A7A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79C16E4" w14:textId="77777777" w:rsidR="00406F7F" w:rsidRPr="007A5817" w:rsidRDefault="00406F7F" w:rsidP="00406F7F">
            <w:pPr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A270046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5422FEE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100,0</w:t>
            </w:r>
          </w:p>
        </w:tc>
      </w:tr>
      <w:tr w:rsidR="00406F7F" w:rsidRPr="007A5817" w14:paraId="300C3601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06CDA74" w14:textId="77777777" w:rsidR="00406F7F" w:rsidRPr="007A5817" w:rsidRDefault="00406F7F" w:rsidP="00406F7F">
            <w:pPr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B055D80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04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7E0A44E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0A4893C8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F808CE4" w14:textId="77777777" w:rsidR="00406F7F" w:rsidRPr="007A5817" w:rsidRDefault="00406F7F" w:rsidP="00406F7F">
            <w:pPr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1AA006F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1DF9AF5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100,0</w:t>
            </w:r>
          </w:p>
        </w:tc>
      </w:tr>
      <w:tr w:rsidR="00406F7F" w:rsidRPr="007A5817" w14:paraId="132A2A70" w14:textId="77777777" w:rsidTr="007A5817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14:paraId="1D5A0CEA" w14:textId="77777777" w:rsidR="00406F7F" w:rsidRPr="007A5817" w:rsidRDefault="00406F7F" w:rsidP="00406F7F">
            <w:pPr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Politici și management în sectorul energetic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2AE3BC2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5801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13757A6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100,0</w:t>
            </w:r>
          </w:p>
        </w:tc>
      </w:tr>
      <w:tr w:rsidR="00406F7F" w:rsidRPr="007A5817" w14:paraId="0986DFEF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288FB96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Agenția Relații Interetnice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C2890D2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0243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B488E45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583D0759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64998C3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0762884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FFD01DA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300,0</w:t>
            </w:r>
          </w:p>
        </w:tc>
      </w:tr>
      <w:tr w:rsidR="00406F7F" w:rsidRPr="007A5817" w14:paraId="2EC9BD02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84FC49D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736885C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21A1CA5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26F4385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C64D21E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2DD7AF4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5C2A301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300,0</w:t>
            </w:r>
          </w:p>
        </w:tc>
      </w:tr>
      <w:tr w:rsidR="00406F7F" w:rsidRPr="007A5817" w14:paraId="73D801B0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221B5A0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Politici și management în domeniul minorităților naționale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2417D0F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2401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567A2AA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300,0</w:t>
            </w:r>
          </w:p>
        </w:tc>
      </w:tr>
      <w:tr w:rsidR="00406F7F" w:rsidRPr="007A5817" w14:paraId="594812BA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AE92037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Consiliul Superior al Magistraturii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C85C574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0301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2F4ED80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7B7D7AC5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D03517F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35A4C81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A35C2C2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1900,0</w:t>
            </w:r>
          </w:p>
        </w:tc>
      </w:tr>
      <w:tr w:rsidR="00406F7F" w:rsidRPr="007A5817" w14:paraId="704B8373" w14:textId="77777777" w:rsidTr="007A5817">
        <w:trPr>
          <w:trHeight w:val="420"/>
        </w:trPr>
        <w:tc>
          <w:tcPr>
            <w:tcW w:w="5524" w:type="dxa"/>
            <w:shd w:val="clear" w:color="auto" w:fill="auto"/>
            <w:vAlign w:val="center"/>
            <w:hideMark/>
          </w:tcPr>
          <w:p w14:paraId="17DBBFCB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4599BB2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CB6EA68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3D8B445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BFED3A8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A0A97B2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36A3BF7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1900,0</w:t>
            </w:r>
          </w:p>
        </w:tc>
      </w:tr>
      <w:tr w:rsidR="00406F7F" w:rsidRPr="007A5817" w14:paraId="1D00054E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2C91CF0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Înfăptuirea justiției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867F589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4018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7435425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1900,0</w:t>
            </w:r>
          </w:p>
        </w:tc>
      </w:tr>
      <w:tr w:rsidR="00406F7F" w:rsidRPr="007A5817" w14:paraId="039C1B8F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1ED8BAC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Procuratura Generală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1140A0B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0303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8D23732" w14:textId="77777777" w:rsidR="00406F7F" w:rsidRPr="007A5817" w:rsidRDefault="00406F7F" w:rsidP="00406F7F">
            <w:pPr>
              <w:rPr>
                <w:b/>
                <w:b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b/>
                <w:b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480AEC75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6D9FEBD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40E5E91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64ECC92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150,0</w:t>
            </w:r>
          </w:p>
        </w:tc>
      </w:tr>
      <w:tr w:rsidR="00406F7F" w:rsidRPr="007A5817" w14:paraId="2A80DDDD" w14:textId="77777777" w:rsidTr="007A5817">
        <w:trPr>
          <w:trHeight w:val="375"/>
        </w:trPr>
        <w:tc>
          <w:tcPr>
            <w:tcW w:w="5524" w:type="dxa"/>
            <w:shd w:val="clear" w:color="auto" w:fill="auto"/>
            <w:vAlign w:val="center"/>
            <w:hideMark/>
          </w:tcPr>
          <w:p w14:paraId="661E223D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D1460EB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1D6DA49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4765EF0F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CCC3BBC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21C5A9D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4CCFF2C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150,0</w:t>
            </w:r>
          </w:p>
        </w:tc>
      </w:tr>
      <w:tr w:rsidR="00406F7F" w:rsidRPr="007A5817" w14:paraId="3C4431FC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C90F582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Implementarea politicii penale a statului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02734A6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4006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B1B9588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150,0</w:t>
            </w:r>
          </w:p>
        </w:tc>
      </w:tr>
      <w:tr w:rsidR="00406F7F" w:rsidRPr="007A5817" w14:paraId="091AAA13" w14:textId="77777777" w:rsidTr="007A5817">
        <w:trPr>
          <w:trHeight w:val="630"/>
        </w:trPr>
        <w:tc>
          <w:tcPr>
            <w:tcW w:w="5524" w:type="dxa"/>
            <w:shd w:val="clear" w:color="auto" w:fill="auto"/>
            <w:vAlign w:val="center"/>
            <w:hideMark/>
          </w:tcPr>
          <w:p w14:paraId="0CEA381A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Centrul Național pentru Protecția Datelor cu Caracter Personal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076E34A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0403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BFA36F2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250BB32F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FB4B4E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984D636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81ABE85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50,0</w:t>
            </w:r>
          </w:p>
        </w:tc>
      </w:tr>
      <w:tr w:rsidR="00406F7F" w:rsidRPr="007A5817" w14:paraId="65BAD88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CE5D4C3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82009A5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01EB962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74FA5490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C1119CB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717526B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4C1AC42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50,0</w:t>
            </w:r>
          </w:p>
        </w:tc>
      </w:tr>
      <w:tr w:rsidR="00406F7F" w:rsidRPr="007A5817" w14:paraId="35135A1A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28B0A6E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Protecția datelor personale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B1BEA03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1503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8ED5CF1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50,0</w:t>
            </w:r>
          </w:p>
        </w:tc>
      </w:tr>
      <w:tr w:rsidR="00406F7F" w:rsidRPr="007A5817" w14:paraId="07DD5763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DBC0030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Serviciul de Protecție și Pază de Stat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05FE9DC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0408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A9B6E26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101A0D4B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16E318D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B6FDE18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DA7F976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30,0</w:t>
            </w:r>
          </w:p>
        </w:tc>
      </w:tr>
      <w:tr w:rsidR="00406F7F" w:rsidRPr="007A5817" w14:paraId="266F3F38" w14:textId="77777777" w:rsidTr="007A5817">
        <w:trPr>
          <w:trHeight w:val="420"/>
        </w:trPr>
        <w:tc>
          <w:tcPr>
            <w:tcW w:w="5524" w:type="dxa"/>
            <w:shd w:val="clear" w:color="auto" w:fill="auto"/>
            <w:vAlign w:val="center"/>
            <w:hideMark/>
          </w:tcPr>
          <w:p w14:paraId="527CBF86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6CC6A3F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B14C250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66DBC134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4D91E1D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864FF0C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5995843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30,0</w:t>
            </w:r>
          </w:p>
        </w:tc>
      </w:tr>
      <w:tr w:rsidR="00406F7F" w:rsidRPr="007A5817" w14:paraId="29FAB56B" w14:textId="77777777" w:rsidTr="007A5817">
        <w:trPr>
          <w:trHeight w:val="375"/>
        </w:trPr>
        <w:tc>
          <w:tcPr>
            <w:tcW w:w="5524" w:type="dxa"/>
            <w:shd w:val="clear" w:color="auto" w:fill="auto"/>
            <w:vAlign w:val="center"/>
            <w:hideMark/>
          </w:tcPr>
          <w:p w14:paraId="178FD0F1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lastRenderedPageBreak/>
              <w:t>Asigurarea securității de stat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34F7A5B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3602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B15AF8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30,0</w:t>
            </w:r>
          </w:p>
        </w:tc>
      </w:tr>
      <w:tr w:rsidR="00406F7F" w:rsidRPr="007A5817" w14:paraId="62520911" w14:textId="77777777" w:rsidTr="007A5817">
        <w:trPr>
          <w:trHeight w:val="525"/>
        </w:trPr>
        <w:tc>
          <w:tcPr>
            <w:tcW w:w="5524" w:type="dxa"/>
            <w:shd w:val="clear" w:color="auto" w:fill="auto"/>
            <w:vAlign w:val="center"/>
            <w:hideMark/>
          </w:tcPr>
          <w:p w14:paraId="4E78E245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Serviciul Prevenirea și Combaterea Spălării Banilor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E8D55D9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0411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5F232512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60D97DD6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032AFBD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38CA1FB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52ED621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80,0</w:t>
            </w:r>
          </w:p>
        </w:tc>
      </w:tr>
      <w:tr w:rsidR="00406F7F" w:rsidRPr="007A5817" w14:paraId="185B85BD" w14:textId="77777777" w:rsidTr="007A5817">
        <w:trPr>
          <w:trHeight w:val="435"/>
        </w:trPr>
        <w:tc>
          <w:tcPr>
            <w:tcW w:w="5524" w:type="dxa"/>
            <w:shd w:val="clear" w:color="auto" w:fill="auto"/>
            <w:vAlign w:val="center"/>
            <w:hideMark/>
          </w:tcPr>
          <w:p w14:paraId="12BD7062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88D19D3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8246C4D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3FC9B31A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A266D3E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F39A53B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184D419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80,0</w:t>
            </w:r>
          </w:p>
        </w:tc>
      </w:tr>
      <w:tr w:rsidR="00406F7F" w:rsidRPr="007A5817" w14:paraId="2F896498" w14:textId="77777777" w:rsidTr="007A5817">
        <w:trPr>
          <w:trHeight w:val="630"/>
        </w:trPr>
        <w:tc>
          <w:tcPr>
            <w:tcW w:w="5524" w:type="dxa"/>
            <w:shd w:val="clear" w:color="auto" w:fill="auto"/>
            <w:vAlign w:val="center"/>
            <w:hideMark/>
          </w:tcPr>
          <w:p w14:paraId="37E8B520" w14:textId="77777777" w:rsidR="00406F7F" w:rsidRPr="007A5817" w:rsidRDefault="00406F7F" w:rsidP="00406F7F">
            <w:pPr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Prevenirea și combaterea spălării banilor și finanțării terorismului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5796DCE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4803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E76683A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bookmarkStart w:id="0" w:name="_GoBack"/>
            <w:bookmarkEnd w:id="0"/>
            <w:r w:rsidRPr="007A5817">
              <w:rPr>
                <w:i/>
                <w:iCs/>
                <w:color w:val="000000"/>
                <w:lang w:val="ro-MD" w:eastAsia="en-US"/>
              </w:rPr>
              <w:t>80,0</w:t>
            </w:r>
          </w:p>
        </w:tc>
      </w:tr>
      <w:tr w:rsidR="00406F7F" w:rsidRPr="007A5817" w14:paraId="0D910CE7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A0480A1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Centrul Național Anticorupție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9C7959B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0412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18C30B31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0B3DB595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10A8B2F1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2E583CB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9FDDE16" w14:textId="77777777" w:rsidR="00406F7F" w:rsidRPr="007A5817" w:rsidRDefault="00406F7F" w:rsidP="00406F7F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250,0</w:t>
            </w:r>
          </w:p>
        </w:tc>
      </w:tr>
      <w:tr w:rsidR="00406F7F" w:rsidRPr="007A5817" w14:paraId="57508E00" w14:textId="77777777" w:rsidTr="007A5817">
        <w:trPr>
          <w:trHeight w:val="390"/>
        </w:trPr>
        <w:tc>
          <w:tcPr>
            <w:tcW w:w="5524" w:type="dxa"/>
            <w:shd w:val="clear" w:color="auto" w:fill="auto"/>
            <w:vAlign w:val="center"/>
            <w:hideMark/>
          </w:tcPr>
          <w:p w14:paraId="596BC276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60FFE97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EA69289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0EC2B3D6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8647622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114D1EA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6C5D680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250,0</w:t>
            </w:r>
          </w:p>
        </w:tc>
      </w:tr>
      <w:tr w:rsidR="00406F7F" w:rsidRPr="007A5817" w14:paraId="44557096" w14:textId="77777777" w:rsidTr="007A5817">
        <w:trPr>
          <w:trHeight w:val="645"/>
        </w:trPr>
        <w:tc>
          <w:tcPr>
            <w:tcW w:w="5524" w:type="dxa"/>
            <w:shd w:val="clear" w:color="auto" w:fill="auto"/>
            <w:vAlign w:val="center"/>
            <w:hideMark/>
          </w:tcPr>
          <w:p w14:paraId="5E79C938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 xml:space="preserve">Prevenire, cercetare și combatere a contravențiilor corupționale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129573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4802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2A02B138" w14:textId="77777777" w:rsidR="00406F7F" w:rsidRPr="007A5817" w:rsidRDefault="00406F7F" w:rsidP="00406F7F">
            <w:pPr>
              <w:jc w:val="center"/>
              <w:rPr>
                <w:i/>
                <w:iCs/>
                <w:lang w:val="ro-MD" w:eastAsia="en-US"/>
              </w:rPr>
            </w:pPr>
            <w:r w:rsidRPr="007A5817">
              <w:rPr>
                <w:i/>
                <w:iCs/>
                <w:lang w:val="ro-MD" w:eastAsia="en-US"/>
              </w:rPr>
              <w:t>250,0</w:t>
            </w:r>
          </w:p>
        </w:tc>
      </w:tr>
      <w:tr w:rsidR="00406F7F" w:rsidRPr="007A5817" w14:paraId="586F6BFD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101B6EB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Acțiuni generale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9D32CAA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0799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56540B0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2E1AFF45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458EB0C3" w14:textId="77777777" w:rsidR="00406F7F" w:rsidRPr="007A5817" w:rsidRDefault="00406F7F" w:rsidP="00406F7F">
            <w:pPr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E1FF93E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2+3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BA96F2D" w14:textId="032D3B2B" w:rsidR="00406F7F" w:rsidRPr="007A5817" w:rsidRDefault="00406F7F" w:rsidP="005E4321">
            <w:pPr>
              <w:jc w:val="center"/>
              <w:rPr>
                <w:b/>
                <w:bCs/>
                <w:lang w:val="ro-MD" w:eastAsia="en-US"/>
              </w:rPr>
            </w:pPr>
            <w:r w:rsidRPr="007A5817">
              <w:rPr>
                <w:b/>
                <w:bCs/>
                <w:lang w:val="ro-MD" w:eastAsia="en-US"/>
              </w:rPr>
              <w:t>-</w:t>
            </w:r>
            <w:r w:rsidR="005E4321">
              <w:rPr>
                <w:b/>
                <w:bCs/>
                <w:lang w:val="ro-MD" w:eastAsia="en-US"/>
              </w:rPr>
              <w:t>3243</w:t>
            </w:r>
            <w:r w:rsidRPr="007A5817">
              <w:rPr>
                <w:b/>
                <w:bCs/>
                <w:lang w:val="ro-MD" w:eastAsia="en-US"/>
              </w:rPr>
              <w:t>5,3</w:t>
            </w:r>
          </w:p>
        </w:tc>
      </w:tr>
      <w:tr w:rsidR="00406F7F" w:rsidRPr="007A5817" w14:paraId="0A9C67FC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5CBFBF86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3236021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01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F2BB3C5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lang w:val="ro-MD" w:eastAsia="en-US"/>
              </w:rPr>
              <w:t> </w:t>
            </w:r>
          </w:p>
        </w:tc>
      </w:tr>
      <w:tr w:rsidR="00406F7F" w:rsidRPr="007A5817" w14:paraId="03696C5B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2D4DD2BD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D9A6C3D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48370FE4" w14:textId="57ABBE9E" w:rsidR="00406F7F" w:rsidRPr="007A5817" w:rsidRDefault="00406F7F" w:rsidP="005E4321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-1</w:t>
            </w:r>
            <w:r w:rsidR="00C3281D">
              <w:rPr>
                <w:lang w:val="ro-MD" w:eastAsia="en-US"/>
              </w:rPr>
              <w:t>1</w:t>
            </w:r>
            <w:r w:rsidR="005E4321">
              <w:rPr>
                <w:lang w:val="ro-MD" w:eastAsia="en-US"/>
              </w:rPr>
              <w:t>600</w:t>
            </w:r>
            <w:r w:rsidR="005C6FAC">
              <w:rPr>
                <w:lang w:val="ro-MD" w:eastAsia="en-US"/>
              </w:rPr>
              <w:t>5</w:t>
            </w:r>
            <w:r w:rsidRPr="007A5817">
              <w:rPr>
                <w:lang w:val="ro-MD" w:eastAsia="en-US"/>
              </w:rPr>
              <w:t>,3</w:t>
            </w:r>
          </w:p>
        </w:tc>
      </w:tr>
      <w:tr w:rsidR="00406F7F" w:rsidRPr="007A5817" w14:paraId="429B8567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E6EA051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Acțiuni cu caracter general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5094BA4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0808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0A7DB7A" w14:textId="5773793A" w:rsidR="00406F7F" w:rsidRPr="007A5817" w:rsidRDefault="00406F7F" w:rsidP="005E4321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-1</w:t>
            </w:r>
            <w:r w:rsidR="00C3281D">
              <w:rPr>
                <w:i/>
                <w:iCs/>
                <w:color w:val="000000"/>
                <w:lang w:val="ro-MD" w:eastAsia="en-US"/>
              </w:rPr>
              <w:t>1</w:t>
            </w:r>
            <w:r w:rsidR="005E4321">
              <w:rPr>
                <w:i/>
                <w:iCs/>
                <w:color w:val="000000"/>
                <w:lang w:val="ro-MD" w:eastAsia="en-US"/>
              </w:rPr>
              <w:t>600</w:t>
            </w:r>
            <w:r w:rsidR="005C6FAC">
              <w:rPr>
                <w:i/>
                <w:iCs/>
                <w:color w:val="000000"/>
                <w:lang w:val="ro-MD" w:eastAsia="en-US"/>
              </w:rPr>
              <w:t>5</w:t>
            </w:r>
            <w:r w:rsidRPr="007A5817">
              <w:rPr>
                <w:i/>
                <w:iCs/>
                <w:color w:val="000000"/>
                <w:lang w:val="ro-MD" w:eastAsia="en-US"/>
              </w:rPr>
              <w:t>,3</w:t>
            </w:r>
          </w:p>
        </w:tc>
      </w:tr>
      <w:tr w:rsidR="00406F7F" w:rsidRPr="007A5817" w14:paraId="00816A07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63598F18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Cultură, sport, tineret, culte și odihnă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DD36661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08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320B8F33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4189C83C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7FCD417E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0566C66" w14:textId="77777777" w:rsidR="00406F7F" w:rsidRPr="007A5817" w:rsidRDefault="00406F7F" w:rsidP="00406F7F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7A5817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E893A2F" w14:textId="77777777" w:rsidR="00406F7F" w:rsidRPr="007A5817" w:rsidRDefault="00406F7F" w:rsidP="00406F7F">
            <w:pPr>
              <w:jc w:val="center"/>
              <w:rPr>
                <w:lang w:val="ro-MD" w:eastAsia="en-US"/>
              </w:rPr>
            </w:pPr>
            <w:r w:rsidRPr="007A5817">
              <w:rPr>
                <w:lang w:val="ro-MD" w:eastAsia="en-US"/>
              </w:rPr>
              <w:t>1907,0</w:t>
            </w:r>
          </w:p>
        </w:tc>
      </w:tr>
      <w:tr w:rsidR="00406F7F" w:rsidRPr="007A5817" w14:paraId="391D9835" w14:textId="77777777" w:rsidTr="007A5817">
        <w:trPr>
          <w:trHeight w:val="360"/>
        </w:trPr>
        <w:tc>
          <w:tcPr>
            <w:tcW w:w="5524" w:type="dxa"/>
            <w:shd w:val="clear" w:color="auto" w:fill="auto"/>
            <w:vAlign w:val="center"/>
            <w:hideMark/>
          </w:tcPr>
          <w:p w14:paraId="5DD37F9E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Asigurarea de către stat a școlilor sportive la nivel local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5D3A9F1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8604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42B3859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1907,0</w:t>
            </w:r>
          </w:p>
        </w:tc>
      </w:tr>
      <w:tr w:rsidR="00406F7F" w:rsidRPr="007A5817" w14:paraId="6C7A87C9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F64F60E" w14:textId="77777777" w:rsidR="00406F7F" w:rsidRPr="007A5817" w:rsidRDefault="00406F7F" w:rsidP="00406F7F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F4057E5" w14:textId="77777777" w:rsidR="00406F7F" w:rsidRPr="007A5817" w:rsidRDefault="00406F7F" w:rsidP="00406F7F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7A5817">
              <w:rPr>
                <w:b/>
                <w:bCs/>
                <w:i/>
                <w:iCs/>
                <w:color w:val="000000"/>
                <w:lang w:val="ro-MD" w:eastAsia="en-US"/>
              </w:rPr>
              <w:t>09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278B9BF" w14:textId="77777777" w:rsidR="00406F7F" w:rsidRPr="007A5817" w:rsidRDefault="00406F7F" w:rsidP="00406F7F">
            <w:pPr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</w:pPr>
            <w:r w:rsidRPr="007A5817">
              <w:rPr>
                <w:i/>
                <w:iCs/>
                <w:color w:val="000000"/>
                <w:sz w:val="18"/>
                <w:szCs w:val="18"/>
                <w:lang w:val="ro-MD" w:eastAsia="en-US"/>
              </w:rPr>
              <w:t> </w:t>
            </w:r>
          </w:p>
        </w:tc>
      </w:tr>
      <w:tr w:rsidR="00406F7F" w:rsidRPr="007A5817" w14:paraId="56F74A30" w14:textId="77777777" w:rsidTr="007A5817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3B81B17" w14:textId="77777777" w:rsidR="00406F7F" w:rsidRPr="007A5817" w:rsidRDefault="00406F7F" w:rsidP="00406F7F">
            <w:pPr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8F40F82" w14:textId="77777777" w:rsidR="00406F7F" w:rsidRPr="007A5817" w:rsidRDefault="00406F7F" w:rsidP="00406F7F">
            <w:pPr>
              <w:jc w:val="center"/>
              <w:rPr>
                <w:color w:val="000000"/>
                <w:lang w:val="ro-MD" w:eastAsia="en-US"/>
              </w:rPr>
            </w:pPr>
            <w:r w:rsidRPr="007A5817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0603B304" w14:textId="1D9C2F72" w:rsidR="00406F7F" w:rsidRPr="007A5817" w:rsidRDefault="00C3281D" w:rsidP="00C3281D">
            <w:pPr>
              <w:jc w:val="center"/>
              <w:rPr>
                <w:lang w:val="ro-MD" w:eastAsia="en-US"/>
              </w:rPr>
            </w:pPr>
            <w:r>
              <w:rPr>
                <w:lang w:val="ro-MD" w:eastAsia="en-US"/>
              </w:rPr>
              <w:t>81</w:t>
            </w:r>
            <w:r w:rsidR="005C6FAC">
              <w:rPr>
                <w:lang w:val="ro-MD" w:eastAsia="en-US"/>
              </w:rPr>
              <w:t>663</w:t>
            </w:r>
            <w:r w:rsidR="00406F7F" w:rsidRPr="007A5817">
              <w:rPr>
                <w:lang w:val="ro-MD" w:eastAsia="en-US"/>
              </w:rPr>
              <w:t>,0</w:t>
            </w:r>
          </w:p>
        </w:tc>
      </w:tr>
      <w:tr w:rsidR="00406F7F" w:rsidRPr="007A5817" w14:paraId="0A173830" w14:textId="77777777" w:rsidTr="007A5817">
        <w:trPr>
          <w:trHeight w:val="450"/>
        </w:trPr>
        <w:tc>
          <w:tcPr>
            <w:tcW w:w="5524" w:type="dxa"/>
            <w:shd w:val="clear" w:color="auto" w:fill="auto"/>
            <w:vAlign w:val="center"/>
            <w:hideMark/>
          </w:tcPr>
          <w:p w14:paraId="67E5F3F1" w14:textId="77777777" w:rsidR="00406F7F" w:rsidRPr="007A5817" w:rsidRDefault="00406F7F" w:rsidP="00406F7F">
            <w:pPr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Asigurarea de către stat a învățământului la nivel local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BCC62F4" w14:textId="77777777" w:rsidR="00406F7F" w:rsidRPr="007A5817" w:rsidRDefault="00406F7F" w:rsidP="00406F7F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7A5817">
              <w:rPr>
                <w:i/>
                <w:iCs/>
                <w:color w:val="000000"/>
                <w:lang w:val="ro-MD" w:eastAsia="en-US"/>
              </w:rPr>
              <w:t>8817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6AFD14E3" w14:textId="338DCD2E" w:rsidR="00406F7F" w:rsidRPr="007A5817" w:rsidRDefault="00C3281D" w:rsidP="00F82D0D">
            <w:pPr>
              <w:jc w:val="center"/>
              <w:rPr>
                <w:i/>
                <w:iCs/>
                <w:lang w:val="ro-MD" w:eastAsia="en-US"/>
              </w:rPr>
            </w:pPr>
            <w:r>
              <w:rPr>
                <w:i/>
                <w:iCs/>
                <w:lang w:val="ro-MD" w:eastAsia="en-US"/>
              </w:rPr>
              <w:t>81</w:t>
            </w:r>
            <w:r w:rsidR="005C6FAC">
              <w:rPr>
                <w:i/>
                <w:iCs/>
                <w:lang w:val="ro-MD" w:eastAsia="en-US"/>
              </w:rPr>
              <w:t>663</w:t>
            </w:r>
            <w:r w:rsidR="00406F7F" w:rsidRPr="007A5817">
              <w:rPr>
                <w:i/>
                <w:iCs/>
                <w:lang w:val="ro-MD" w:eastAsia="en-US"/>
              </w:rPr>
              <w:t>,0</w:t>
            </w:r>
          </w:p>
        </w:tc>
      </w:tr>
    </w:tbl>
    <w:p w14:paraId="39D3745B" w14:textId="77777777" w:rsidR="00406F7F" w:rsidRPr="00406F7F" w:rsidRDefault="00406F7F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63827005" w14:textId="7F512F7B" w:rsidR="00CB47A1" w:rsidRDefault="00CB47A1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689775F8" w14:textId="1595A7B4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294F5A7E" w14:textId="644F4CCB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5141EA5A" w14:textId="68C85A08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6932CEDA" w14:textId="5D367B41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0E234256" w14:textId="79B488EC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1DF5C1F8" w14:textId="781F00DC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5870F9D9" w14:textId="012DD27A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55F04139" w14:textId="7D031CAB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7B6FC62D" w14:textId="0A12A882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08D735F5" w14:textId="77777777" w:rsidR="00EE60DE" w:rsidRDefault="00EE60DE" w:rsidP="00CB47A1">
      <w:pPr>
        <w:tabs>
          <w:tab w:val="left" w:pos="993"/>
          <w:tab w:val="left" w:pos="7088"/>
        </w:tabs>
        <w:spacing w:line="276" w:lineRule="auto"/>
        <w:ind w:firstLine="709"/>
        <w:jc w:val="both"/>
        <w:rPr>
          <w:b/>
          <w:noProof/>
          <w:sz w:val="28"/>
          <w:szCs w:val="28"/>
          <w:lang w:val="ro-MD"/>
        </w:rPr>
      </w:pPr>
    </w:p>
    <w:p w14:paraId="6C69BBEC" w14:textId="77777777" w:rsidR="007A5817" w:rsidRPr="004726D7" w:rsidRDefault="007A5817" w:rsidP="007A5817">
      <w:pPr>
        <w:jc w:val="right"/>
        <w:rPr>
          <w:b/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lastRenderedPageBreak/>
        <w:t>Anex</w:t>
      </w:r>
      <w:r>
        <w:rPr>
          <w:noProof/>
          <w:sz w:val="28"/>
          <w:szCs w:val="28"/>
          <w:lang w:val="ro-MD"/>
        </w:rPr>
        <w:t xml:space="preserve">a nr.2 </w:t>
      </w:r>
    </w:p>
    <w:p w14:paraId="2F5B3257" w14:textId="77777777" w:rsidR="007A5817" w:rsidRDefault="007A5817" w:rsidP="007A5817">
      <w:pPr>
        <w:jc w:val="right"/>
        <w:rPr>
          <w:noProof/>
          <w:sz w:val="28"/>
          <w:szCs w:val="28"/>
          <w:lang w:val="ro-MD"/>
        </w:rPr>
      </w:pPr>
      <w:r w:rsidRPr="004726D7">
        <w:rPr>
          <w:noProof/>
          <w:sz w:val="28"/>
          <w:szCs w:val="28"/>
          <w:lang w:val="ro-MD"/>
        </w:rPr>
        <w:t>la Hotărârea Guvernului nr.   /202</w:t>
      </w:r>
      <w:r>
        <w:rPr>
          <w:noProof/>
          <w:sz w:val="28"/>
          <w:szCs w:val="28"/>
          <w:lang w:val="ro-MD"/>
        </w:rPr>
        <w:t>5</w:t>
      </w:r>
    </w:p>
    <w:p w14:paraId="2E0E044F" w14:textId="48925920" w:rsidR="007A5817" w:rsidRPr="0037412B" w:rsidRDefault="007A5817" w:rsidP="00321F7B">
      <w:pPr>
        <w:rPr>
          <w:b/>
          <w:noProof/>
          <w:sz w:val="28"/>
          <w:szCs w:val="28"/>
          <w:lang w:val="ro-MD"/>
        </w:rPr>
      </w:pPr>
    </w:p>
    <w:p w14:paraId="6AC806A4" w14:textId="77777777" w:rsidR="007A5817" w:rsidRPr="00DE382D" w:rsidRDefault="007A5817" w:rsidP="007A5817">
      <w:pPr>
        <w:jc w:val="center"/>
        <w:rPr>
          <w:b/>
          <w:noProof/>
          <w:sz w:val="28"/>
          <w:szCs w:val="28"/>
          <w:lang w:val="ro-MD"/>
        </w:rPr>
      </w:pPr>
      <w:r w:rsidRPr="00DE382D">
        <w:rPr>
          <w:b/>
          <w:noProof/>
          <w:sz w:val="28"/>
          <w:szCs w:val="28"/>
          <w:lang w:val="ro-MD"/>
        </w:rPr>
        <w:t>VOLUMELE</w:t>
      </w:r>
    </w:p>
    <w:p w14:paraId="16B3A769" w14:textId="77777777" w:rsidR="007A5817" w:rsidRDefault="007A5817" w:rsidP="007A5817">
      <w:pPr>
        <w:pStyle w:val="cn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 w:rsidRPr="00DE382D">
        <w:rPr>
          <w:b/>
          <w:bCs/>
          <w:sz w:val="28"/>
          <w:szCs w:val="28"/>
          <w:lang w:val="ro-MD"/>
        </w:rPr>
        <w:t xml:space="preserve">alocațiilor </w:t>
      </w:r>
      <w:r>
        <w:rPr>
          <w:b/>
          <w:bCs/>
          <w:sz w:val="28"/>
          <w:szCs w:val="28"/>
          <w:lang w:val="ro-MD"/>
        </w:rPr>
        <w:t>repartizate</w:t>
      </w:r>
      <w:r w:rsidRPr="00DE382D">
        <w:rPr>
          <w:b/>
          <w:bCs/>
          <w:sz w:val="28"/>
          <w:szCs w:val="28"/>
          <w:lang w:val="ro-MD"/>
        </w:rPr>
        <w:t xml:space="preserve"> </w:t>
      </w:r>
      <w:r>
        <w:rPr>
          <w:b/>
          <w:bCs/>
          <w:sz w:val="28"/>
          <w:szCs w:val="28"/>
          <w:lang w:val="ro-MD"/>
        </w:rPr>
        <w:t>către</w:t>
      </w:r>
      <w:r w:rsidRPr="00DE382D">
        <w:rPr>
          <w:b/>
          <w:bCs/>
          <w:sz w:val="28"/>
          <w:szCs w:val="28"/>
          <w:lang w:val="ro-MD"/>
        </w:rPr>
        <w:t xml:space="preserve"> autorități publice</w:t>
      </w:r>
      <w:r>
        <w:rPr>
          <w:b/>
          <w:bCs/>
          <w:sz w:val="28"/>
          <w:szCs w:val="28"/>
          <w:lang w:val="ro-MD"/>
        </w:rPr>
        <w:t xml:space="preserve"> locale</w:t>
      </w:r>
    </w:p>
    <w:p w14:paraId="052A14EE" w14:textId="77777777" w:rsidR="007A5817" w:rsidRDefault="007A5817" w:rsidP="007A5817">
      <w:pPr>
        <w:pStyle w:val="cn"/>
        <w:spacing w:before="0" w:beforeAutospacing="0" w:after="0" w:afterAutospacing="0"/>
        <w:jc w:val="center"/>
        <w:rPr>
          <w:noProof/>
          <w:sz w:val="28"/>
          <w:szCs w:val="28"/>
          <w:lang w:val="ro-MD"/>
        </w:rPr>
      </w:pPr>
    </w:p>
    <w:p w14:paraId="3A71A143" w14:textId="77777777" w:rsidR="007A5817" w:rsidRPr="00D15519" w:rsidRDefault="007A5817" w:rsidP="007A5817">
      <w:pPr>
        <w:jc w:val="center"/>
        <w:rPr>
          <w:i/>
          <w:noProof/>
          <w:lang w:val="ro-MD"/>
        </w:rPr>
      </w:pPr>
      <w:r>
        <w:rPr>
          <w:noProof/>
          <w:sz w:val="28"/>
          <w:szCs w:val="28"/>
          <w:lang w:val="ro-MD"/>
        </w:rPr>
        <w:t xml:space="preserve">                                                                                              </w:t>
      </w:r>
      <w:r>
        <w:rPr>
          <w:i/>
          <w:noProof/>
          <w:lang w:val="ro-MD"/>
        </w:rPr>
        <w:t>mii lei</w:t>
      </w:r>
    </w:p>
    <w:tbl>
      <w:tblPr>
        <w:tblW w:w="9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2127"/>
        <w:gridCol w:w="1701"/>
        <w:gridCol w:w="1559"/>
        <w:gridCol w:w="236"/>
      </w:tblGrid>
      <w:tr w:rsidR="00D97B26" w:rsidRPr="00D97B26" w14:paraId="7C423B05" w14:textId="77777777" w:rsidTr="00D97B26">
        <w:trPr>
          <w:gridAfter w:val="1"/>
          <w:wAfter w:w="236" w:type="dxa"/>
          <w:trHeight w:val="507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43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Unitatea administrativ-teritorială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D1E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Transferuri cu destinație specială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29D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inclusiv pentru:</w:t>
            </w:r>
          </w:p>
        </w:tc>
      </w:tr>
      <w:tr w:rsidR="00D97B26" w:rsidRPr="00D97B26" w14:paraId="1BF731D7" w14:textId="77777777" w:rsidTr="00D97B26">
        <w:trPr>
          <w:trHeight w:val="195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37F0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1B53F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2188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2AC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7B26" w:rsidRPr="00D97B26" w14:paraId="08E78B61" w14:textId="77777777" w:rsidTr="00D97B26">
        <w:trPr>
          <w:trHeight w:val="1170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C52B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813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F8A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învățământ general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A05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școli sportive</w:t>
            </w:r>
          </w:p>
        </w:tc>
        <w:tc>
          <w:tcPr>
            <w:tcW w:w="236" w:type="dxa"/>
            <w:vAlign w:val="center"/>
            <w:hideMark/>
          </w:tcPr>
          <w:p w14:paraId="07D81D4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DD2B4F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6C23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Total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48A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83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570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191D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81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663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401C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1 907,0</w:t>
            </w:r>
          </w:p>
        </w:tc>
        <w:tc>
          <w:tcPr>
            <w:tcW w:w="236" w:type="dxa"/>
            <w:vAlign w:val="center"/>
            <w:hideMark/>
          </w:tcPr>
          <w:p w14:paraId="3D04022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9DCDB4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F657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Mun.Bălţi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518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12 936,6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4886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11 735,9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2C79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1 200,7</w:t>
            </w:r>
          </w:p>
        </w:tc>
        <w:tc>
          <w:tcPr>
            <w:tcW w:w="236" w:type="dxa"/>
            <w:vAlign w:val="center"/>
            <w:hideMark/>
          </w:tcPr>
          <w:p w14:paraId="5D70C25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F9CCB7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F6F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municipal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593C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12 897,1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42345" w14:textId="77777777" w:rsidR="00D97B26" w:rsidRPr="00D97B26" w:rsidRDefault="00D97B26" w:rsidP="00EE60DE">
            <w:pPr>
              <w:jc w:val="center"/>
              <w:rPr>
                <w:sz w:val="20"/>
                <w:szCs w:val="20"/>
              </w:rPr>
            </w:pPr>
            <w:r w:rsidRPr="00D97B26">
              <w:rPr>
                <w:sz w:val="20"/>
                <w:szCs w:val="20"/>
              </w:rPr>
              <w:t>11 696,4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9FB50" w14:textId="77777777" w:rsidR="00D97B26" w:rsidRPr="00D97B26" w:rsidRDefault="00D97B26" w:rsidP="00EE60DE">
            <w:pPr>
              <w:jc w:val="center"/>
              <w:rPr>
                <w:sz w:val="20"/>
                <w:szCs w:val="20"/>
              </w:rPr>
            </w:pPr>
            <w:r w:rsidRPr="00D97B26">
              <w:rPr>
                <w:sz w:val="20"/>
                <w:szCs w:val="20"/>
              </w:rPr>
              <w:t>1 200,7</w:t>
            </w:r>
          </w:p>
        </w:tc>
        <w:tc>
          <w:tcPr>
            <w:tcW w:w="236" w:type="dxa"/>
            <w:vAlign w:val="center"/>
            <w:hideMark/>
          </w:tcPr>
          <w:p w14:paraId="5F2AFF9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EEB9ED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FB6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Elizaveta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801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D664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A1BC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091EB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A76D8C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BA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Sadovoe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F1A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0AA6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522F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1BC58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A8453F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8F0E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Mun.Chişinău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E57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10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932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B478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10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932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919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E3000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28759E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4BF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municipal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8B7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C1F4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8 287,3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9F3B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A6869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C35772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D79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Băcioi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EA74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211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73A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F9AB8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A80F45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5C8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Ciorescu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330B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1A03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D65B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039BE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FF66F1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838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Codru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52B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D28A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E216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4555B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717AD7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0AA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Cricova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2197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77C3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143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761BD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4D6C58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48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Colonița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10E6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1F9E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485,0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C07A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3BD6BA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0A3388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5F5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Durlești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700B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264B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E6ED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7FD88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2DC644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037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Ghidighici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B35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B88B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821D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56A3F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2463EC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470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Stăuceni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34C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9855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4CA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72417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680485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71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Tohatin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5A5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D541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EBF1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D5573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611323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49E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Vadul lui Vodă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7142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C47C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B491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FF7AA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C7122F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F77D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Anenii Noi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66740" w14:textId="14AD2DFA" w:rsidR="00D97B26" w:rsidRPr="001800FD" w:rsidRDefault="0025723D" w:rsidP="001800FD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 1 662,7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F137" w14:textId="17AAAD30" w:rsidR="00D97B26" w:rsidRPr="0025723D" w:rsidRDefault="0025723D" w:rsidP="001800FD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 1 637,5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9CBA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236" w:type="dxa"/>
            <w:vAlign w:val="center"/>
            <w:hideMark/>
          </w:tcPr>
          <w:p w14:paraId="47C5DB0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77FE51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36A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757D" w14:textId="133DFAAB" w:rsidR="00D97B26" w:rsidRPr="001800FD" w:rsidRDefault="0025723D" w:rsidP="001800FD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 1 615,4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BFC7A" w14:textId="4BC63029" w:rsidR="00D97B26" w:rsidRPr="00D97B26" w:rsidRDefault="0025723D" w:rsidP="001800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 xml:space="preserve"> 1 590,2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936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236" w:type="dxa"/>
            <w:vAlign w:val="center"/>
            <w:hideMark/>
          </w:tcPr>
          <w:p w14:paraId="4460FAB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2206E6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D20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Bulboaca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9A67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FF5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631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55F83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40871E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911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Maximovca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7454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987A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65A8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1CAC3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905E1B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B1A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Zolotievca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AAA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C7B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0CD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A8AD1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E76CEB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FB75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Basarabeasca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B600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043B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76E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75ACE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1CA892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2B0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Sadaclia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DD43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2CA3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4C5F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ABB9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057601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36DD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Briceni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E7E3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1 076,7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D248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18E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236" w:type="dxa"/>
            <w:vAlign w:val="center"/>
            <w:hideMark/>
          </w:tcPr>
          <w:p w14:paraId="1EA7398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AB4516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117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E401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739,9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DE39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726,7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FEC0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236" w:type="dxa"/>
            <w:vAlign w:val="center"/>
            <w:hideMark/>
          </w:tcPr>
          <w:p w14:paraId="5FEF4EF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4F0AFA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000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Beleavinți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E7A7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DC99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B072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ED916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E2AB2D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93B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Bulboaca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4F63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5B08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23F7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79FEA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A1CD65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E2A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Caracuşenii Vechi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5FBA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33CF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6B4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CF633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33166D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BB3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Colicăuţi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45DB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B283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39D4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56777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8EE0CE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8A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Drepcăuţi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4588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52AC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6F82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8B8EB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FB1D0E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6D6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Grimăncăuți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D21E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A680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55E2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9921C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04CBE9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AA5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Hlina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C168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74E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ACA6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4348C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481DA3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395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Mărcăuți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D798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C1A9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F7F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A866F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C6C24C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E97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Mihăileni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35B8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AC18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E309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2A78E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C2B9E0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ECB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Larga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4FD1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D9E9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D4C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236" w:type="dxa"/>
            <w:vAlign w:val="center"/>
            <w:hideMark/>
          </w:tcPr>
          <w:p w14:paraId="3754D2E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5A68A8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DED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Lipcani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69A5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23A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1411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7A233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A351DA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BC0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Tabani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521D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21A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4117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1F560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1DC72B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0702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Cahul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9AD8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2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6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4103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2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6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73A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1403A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BAD50D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6D1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lastRenderedPageBreak/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E5D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2 024,1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C399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2 024,1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9BFC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CE12A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E3D8A5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950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Alexandru Ioan Cuza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94BF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335F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92CC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D79A0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00078A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E62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Baurci-Moldoveni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2E2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C171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E721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EAF68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C764C9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6FD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Burlacu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B73E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A29C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18E5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0F3BD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A143B9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09C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Burlăceni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158E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B7DD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678B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B2E55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7B13C2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615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Cahul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6B4C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4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3070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4</w:t>
            </w:r>
            <w:r w:rsidRPr="00D97B26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1300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5CFF0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B01035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D1B3" w14:textId="7C09F6AC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Colibaș</w:t>
            </w:r>
            <w:r w:rsidR="00351A98">
              <w:rPr>
                <w:color w:val="000000"/>
                <w:sz w:val="20"/>
                <w:szCs w:val="20"/>
                <w:lang w:val="ro-MD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2B3F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DFE5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342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66B37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7E0CDC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62F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Doina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A4D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71F9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0E7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6BDBE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0AB2E5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BAB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Huluboaia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292A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171D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8A55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2BAD7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14088B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6D3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Larga Nouă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4886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125E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7733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CB171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D2D6DA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C941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Cantemir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7692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8D86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2B0D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C74EF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DCF693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F57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D65C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1A9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725D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E477A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0FEB83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F5C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Cantemir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9109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D376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7B7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E4EA5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66B92F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E63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Chioselia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076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8C5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25BE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0C3C2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6D6D2E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9A1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Porumbești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1636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759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ADFD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9B173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D9FF88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CE2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Tartaul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6059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12DA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1115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13473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8C8F3D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FE75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Călăraşi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A20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2 251,3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48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2 241,3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2F32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55870B4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11173D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76C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C1A1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1 909,0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2AD5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1 909,0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B91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26FEF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25619B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256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Călărași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489A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2755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D172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4A0DE6A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1D5C41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554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Hîrjauca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0EB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64E9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27F2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B3E14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D53CD9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B71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Meleşeni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DD10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4FF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713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E9BF1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F5AB30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C83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Pîrjolteni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905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6650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F587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A1EF0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DD04FF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1B0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Rădeni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E519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D94A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BBEE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886D2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D7F85A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14D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Vălcineţ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5383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F00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DFA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001DA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DD459E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8792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Căuşeni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BBF4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625C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A12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E74F2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EEF1D5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628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31DC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A265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EE48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00E21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EEC43A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A1C4" w14:textId="77777777" w:rsidR="00D97B26" w:rsidRPr="00D97B26" w:rsidRDefault="00D97B26" w:rsidP="00EE60DE">
            <w:pPr>
              <w:rPr>
                <w:sz w:val="20"/>
                <w:szCs w:val="20"/>
                <w:lang w:val="ro-MD"/>
              </w:rPr>
            </w:pPr>
            <w:r w:rsidRPr="00D97B26">
              <w:rPr>
                <w:sz w:val="20"/>
                <w:szCs w:val="20"/>
                <w:lang w:val="ro-MD"/>
              </w:rPr>
              <w:t>Baimaclia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EA11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5B9E2" w14:textId="77777777" w:rsidR="00D97B26" w:rsidRPr="00D97B26" w:rsidRDefault="00D97B26" w:rsidP="00EE60DE">
            <w:pPr>
              <w:jc w:val="center"/>
              <w:rPr>
                <w:sz w:val="20"/>
                <w:szCs w:val="20"/>
              </w:rPr>
            </w:pPr>
            <w:r w:rsidRPr="00D97B26">
              <w:rPr>
                <w:sz w:val="20"/>
                <w:szCs w:val="20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8C920" w14:textId="77777777" w:rsidR="00D97B26" w:rsidRPr="00D97B26" w:rsidRDefault="00D97B26" w:rsidP="00EE60DE">
            <w:pPr>
              <w:jc w:val="center"/>
              <w:rPr>
                <w:sz w:val="20"/>
                <w:szCs w:val="20"/>
              </w:rPr>
            </w:pPr>
            <w:r w:rsidRPr="00D97B2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F8C00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A59D5E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5FD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Cîrnăţenii Noi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4C25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FA51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E6E4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CA6A3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4A9A9A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373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Fîrlădeni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4191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28F5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1171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5F2F6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0783A7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55F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Pervomaisc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9B5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FB57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28EE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60C52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6CFA1D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C42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Plop-Ştiubei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C7BE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A638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8E94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B9AA8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E2F534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495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Sălcuţa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A43B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52E7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409F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5EE97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D6A045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D99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Taraclia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9812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CA5D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C9F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17782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7240C7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EC4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Cimişlia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FD88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65E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CCF1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01CD0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EEEDD9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198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4A4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45CE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CFA1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82F49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76D741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9AE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Cenac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AE1E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9939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E46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C7DCC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0CF794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803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Cimişlia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3242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F12B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87F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830E7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46E1A7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3E2F" w14:textId="4AD640E1" w:rsidR="00D97B26" w:rsidRPr="00D97B26" w:rsidRDefault="00726184" w:rsidP="00EE60DE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Gra</w:t>
            </w:r>
            <w:r w:rsidR="00D97B26" w:rsidRPr="00D97B26">
              <w:rPr>
                <w:color w:val="000000"/>
                <w:sz w:val="20"/>
                <w:szCs w:val="20"/>
                <w:lang w:val="ro-MD"/>
              </w:rPr>
              <w:t>diște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A5D0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09C9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4BAD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702CA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149F0C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6DF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Gura Galbenei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8BC8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531D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560F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B6B4F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45C652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E15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Ivanovca Nouă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E6E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00D9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617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C66D5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6511FFC" w14:textId="77777777" w:rsidTr="00D97B26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92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Javgur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27A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313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50F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94035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A0E2AC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D84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Lipoveni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A959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A256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A1FA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DC78A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66D1C7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513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Mihailovca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82ED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9788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169A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FFBFC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1DF9DE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060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Porumbrei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5291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6DB5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172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A674E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1CCBEF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8F6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Sagaidac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C110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5EC4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EBC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334AE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39CA76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984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Suric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A71C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BB4C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669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F3E4C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7ED369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A641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Criuleni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004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230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0769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230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24DC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DC93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BA63C7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497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lastRenderedPageBreak/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3824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613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F8ED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C863B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A97638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A5E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Boşcana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7AF7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0BF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1B9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A211F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502337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229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Coșernița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CDA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674B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9391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A1388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2DA540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0ED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Criuleni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C0C1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F0B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B48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3087E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19FECC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6ED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Cruglic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A556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DAD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26D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46651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5D180B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8F1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Drăsliceni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F48A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41C6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218B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2B365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606048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2B7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Izbiște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49AD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635A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51D0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4E6D1A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B66AB5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A6F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Paşcani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D7DB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BC3F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9E4A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3683A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95ACE7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F4A1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Donduşeni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392C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221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02DA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64B40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DC714B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F92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A26A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A103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CDA4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AE037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FC1526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845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Arioneşti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B47C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E9A0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6EEF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7AEC1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86E5DD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1DE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Baraboi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ECA4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3222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2A8A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8E0BF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150073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1F9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Corbu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0AE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3086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5173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E8E96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70B5CB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86C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Elizavetovca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85A8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6B52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829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DECA8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4C97EA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34D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Frasin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6FE1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E426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039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73BA9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CA9C0C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CF8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Horodişte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ADE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8AA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9366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58E72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C15AAA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6FC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Moşana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EFFA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3D23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425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A23D4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1DE766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9F8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Pivniceni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2522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6F7B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9F4E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744DE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9E7C68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508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Plop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BB96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4037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52F9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F075E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A7F0E6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12D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Pocrovca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5D45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F296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51A0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A574D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5368BB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54A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Sudarca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311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B99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AFF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B0D70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6C467F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2F8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Tîrnova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E8EF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028D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AE0E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61AA0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70B952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787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Teleşeuca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61D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9A72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DB35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270C3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9582CB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1151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Drochia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633B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3 232,7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A741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3 232,7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40E7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7CA87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9DFB30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F42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F07C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898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2 702,4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71CF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FFEAC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B41939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1DB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Cotova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4A6D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2146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4612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B0949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40BD70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D1C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Dominteni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8D6C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7AF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108D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ECA89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5A6810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40A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Drochia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CF13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DF86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FA78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0B396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38AD53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F9F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Drochia, oraşul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5B3F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6549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7E58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FCEFD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7429D1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6AD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Gribova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803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27E9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F96B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B5A9D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5D1244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37D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Miciurin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589A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9A6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8AAF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12DDB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CEFD94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8D5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Mîndîc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ED0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2AB1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B7BD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6B783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E02E92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757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Nicoreni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C604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6FAD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1923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0279A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1DAD18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F21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Ochiul Alb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FEDC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170F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6C4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1DEB5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2920F5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2A2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Popeștii de Jos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BCD6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4650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396C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4B373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950AB4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99E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Sofia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56C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B405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1775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CB538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742A6F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7E77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Dubăsari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87EB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2D48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01DE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37FF1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3893BB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511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BB72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C23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14FA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0AEF4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6FA4C2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068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Cocieri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AAA5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5312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BA0C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34A71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460956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9217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Edineţ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C38B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3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5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E0A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3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3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C952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171,4</w:t>
            </w:r>
          </w:p>
        </w:tc>
        <w:tc>
          <w:tcPr>
            <w:tcW w:w="236" w:type="dxa"/>
            <w:vAlign w:val="center"/>
            <w:hideMark/>
          </w:tcPr>
          <w:p w14:paraId="0F43BAC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439ADE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134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FEDC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79B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2 277,8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4035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D14B1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3E18F6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6CB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Alexeevca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24A1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0BCA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329C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7613C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64ECF0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977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Bleșteni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E7E0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6013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8EAE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A77C0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B46449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CE6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Brătuşeni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05DD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C2CA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A347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8BE11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A6BFED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E83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Burlăneşti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5650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1DDD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62B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32943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91F984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F65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Constantinovca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35F3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7B0B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44FF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4CF35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489600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056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Edineț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909B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5E43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17AD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236" w:type="dxa"/>
            <w:vAlign w:val="center"/>
            <w:hideMark/>
          </w:tcPr>
          <w:p w14:paraId="7773121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FDD05C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F9E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lastRenderedPageBreak/>
              <w:t>Goleni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164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3EB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9F6C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1C545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8E5C8D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20D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Gordineşti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EF25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44D4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5437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E9AED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0D0B88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022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Hancăuți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D27D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D901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D6BF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02CF2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9641A1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95F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Hincăuţi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27E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5F78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685A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62690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DA7C2F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E6E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Ruseni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FE96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6C4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EC0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3DB07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8E424E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294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Tîrnova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DDA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9781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0643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F180B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C1C290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A64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Trinca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1CF4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98B1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9E95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236" w:type="dxa"/>
            <w:vAlign w:val="center"/>
            <w:hideMark/>
          </w:tcPr>
          <w:p w14:paraId="53B89AE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2C91DE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9EF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Viișoara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2D32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A91E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CEB0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36" w:type="dxa"/>
            <w:vAlign w:val="center"/>
            <w:hideMark/>
          </w:tcPr>
          <w:p w14:paraId="3F60E1F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296EDB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7BE8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Făleşti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697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2 184,2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C160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2 132,7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6D02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236" w:type="dxa"/>
            <w:vAlign w:val="center"/>
            <w:hideMark/>
          </w:tcPr>
          <w:p w14:paraId="467D5E4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A41F84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2FA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EB6F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1 689,1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CD64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1 637,6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32E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236" w:type="dxa"/>
            <w:vAlign w:val="center"/>
            <w:hideMark/>
          </w:tcPr>
          <w:p w14:paraId="039B5CC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43A322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D2E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Albineţul Vechi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069A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1993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078C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9625E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F9D0A2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73A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Călinești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DE8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92C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AD3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DAD15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7EBA4C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8D4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Egorovca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4E5A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656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A2F5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5765D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62D036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49C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Făleşti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F95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E5D7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4766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4FDF0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8BFB83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BF7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Făleştii Noi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7114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E95B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DE9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92B89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721FD2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130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Hiliuți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7FA1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1E6F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6B52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7052B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1A95B9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0CA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Horești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6E31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3D32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9916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FB383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91D3FA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A62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Natalievca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DD86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3C9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3DC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7FDBB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E82C00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64F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Obreja Veche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0872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EE5E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5870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D9404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88D623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974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Pînzăreni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4E32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C016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8DE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86CDA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E9C441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38F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Pruteni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D2DA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678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9097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1E1F1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80298F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4AA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Risipeni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8693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8610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0314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CF267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AFBA2E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F6E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Scumpia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2EED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113C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1A91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01B14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9C4162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454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Taxobeni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3008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7E9F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F4F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C0212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4E8845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B93A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Floreşti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9E7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190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CC49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6E48B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2971BA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2B7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511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8ED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0B42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BB256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A0EDB3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1F8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Caşunca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F3E8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CD7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109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479AE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08631C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754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Ciripcău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43A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4C76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3096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DB4F8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F11181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5DC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Coşerniţa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D45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62D0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A13D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F84F9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9D049F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D67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Ghindeşti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252C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50C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A8EA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4F648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C216C5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4D5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Gura Camencii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0AB3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5480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A0A3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36C49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1967E8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0D0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Izvoare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09E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EA64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DD6F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EBE3F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BF6F39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146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Mărculești, orașul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4C4B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CC8B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D4C4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E42F4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D492B7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9DA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Napadova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1FB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F5A7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514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EE629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A72DB8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9B0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Prajila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8F58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0B08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145D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8153A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D1DC94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83D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Roşietici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9E2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40A1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E83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3DF64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93EA25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675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Sănătăuca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D01A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607D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98B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5DA2E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27E3A6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1FE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Sevirova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A62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F9B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9A94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BF49C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EC887B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26F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Ștefănești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8850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9A6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6B3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E8D1E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F07378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75A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Tîrgul Vertiujeni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DA9B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58D3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D48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41B69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8401BF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A43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Vertiujeni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BA2B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DDED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A6C7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10F2D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252B53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6724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Glodeni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7ACB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1 351,5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8C94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1 351,5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C35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0BBCB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3DE8AD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831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55E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4A0F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0DF7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AA35C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574D5B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1D2C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Balatina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08A6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AE81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7D3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ED9B8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1E853A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025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Camenca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1233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1A30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7B1B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D9644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3CB5D8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FEE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Cajba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6CD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B3EE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6EA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77AA4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3018CE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C1D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Ciuciulea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C30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D85D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3705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B9125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574E98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9C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lastRenderedPageBreak/>
              <w:t>Duşmani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45F7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F041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BD9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962E2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902CBB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0B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Hîjdieni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0790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EFD5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AEF7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818CC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874FEE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1D5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Glodeni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9A2F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D0B2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1F74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18B21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CA8C50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1ED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Limbenii Vechi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2BF7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7721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1025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C2EA7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D5ED5B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289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Sturzovca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EA6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6E23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1B8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26A39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5EA0CE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D2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Ustia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710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759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6A78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A4E4C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6B48DC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970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Viișoara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47A2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DF94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05EC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51A1A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406FD3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68B5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Hînceşti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DB7E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7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047,2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5E69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6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972,5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B695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236" w:type="dxa"/>
            <w:vAlign w:val="center"/>
            <w:hideMark/>
          </w:tcPr>
          <w:p w14:paraId="28A4596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90B206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17C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9C2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5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844,9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8D3C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5</w:t>
            </w:r>
            <w:r w:rsidRPr="00D97B26">
              <w:rPr>
                <w:color w:val="000000"/>
                <w:sz w:val="20"/>
                <w:szCs w:val="20"/>
              </w:rPr>
              <w:t xml:space="preserve"> 844,9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F91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AE129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64F06F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5C6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Bălceana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34DC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C93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45CB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C4ADD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857236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4D4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Bobeica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EC66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D930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DCC2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DCF95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88C0DF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E0B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Boghiceni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B23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BB4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52C1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6A640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399C60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001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Caracui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1346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FB0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3254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0AACF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5B8FD4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268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Cărpineni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4F78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FFF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14FB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FD2D2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1543F9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EEF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Cățeleni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4AC0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9A0F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1757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83CCC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6FEF29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8F5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Cioara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EB8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16C3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28DD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1872F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922C68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D05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Dancu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F787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6B9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565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C6792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D10F87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F2F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Drăguşenii Noi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04B6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F40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2A3A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9E117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A59A08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DF3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Hîncești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7659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054C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2103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74,7</w:t>
            </w:r>
          </w:p>
        </w:tc>
        <w:tc>
          <w:tcPr>
            <w:tcW w:w="236" w:type="dxa"/>
            <w:vAlign w:val="center"/>
            <w:hideMark/>
          </w:tcPr>
          <w:p w14:paraId="2D35F73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D99971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CAB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Lăpuşna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912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231A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698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08FB3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21556E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073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Mirești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D383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2E21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837B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7F2E0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C68D5E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852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Negrea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53F4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84D6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EF38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D1BDB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0B60C6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C08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Oneşti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3BFD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2F81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511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35CAE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5155BB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ED2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Sofia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2A7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91EE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2885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361D7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C664B6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1EA6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Ialoveni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C0F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2 547,1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0847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2 529,9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6C70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236" w:type="dxa"/>
            <w:vAlign w:val="center"/>
            <w:hideMark/>
          </w:tcPr>
          <w:p w14:paraId="338E7D3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CBC363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462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CFC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1 655,7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F4F1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6BD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59D13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509AC8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08E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Cigîrleni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9B57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2AD4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847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BF616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B23E92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7E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Costeşti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C91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8AE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D30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236" w:type="dxa"/>
            <w:vAlign w:val="center"/>
            <w:hideMark/>
          </w:tcPr>
          <w:p w14:paraId="71A2BC6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56EDB9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8C1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Gangura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979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F37A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7D94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F7C5D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8E6D66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33E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 xml:space="preserve">Horeşti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409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D87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631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F2279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9038AC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015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Ialoveni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A50F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B0B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8B4B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39FF4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9AA72E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E14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Nimoreni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E52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95E1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B3AD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5C796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4EF40A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00B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Răzeni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F1E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D214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86E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AA1B8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B7E2B2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C6B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Ruseștii Noi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847D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83E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A1B3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A34AE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7C7585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6FB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Sociteni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85C9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5332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1F6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1D796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15CF27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EA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Suruceni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1AA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097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74F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68038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AB4EA9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B81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Văratic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AFD9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E05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1780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17236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7B2F24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D4E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Ulmu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08BE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3BD7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7451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8216D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5E4F9D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3BC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Zîmbreni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3EF2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B8B0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8B2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23F11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DF6219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6C74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Leova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7577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321F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8B6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DFB38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9B1A05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AEC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2A06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F5BA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6BF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A6A91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E83EAC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D9F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Cazangic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85C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B23D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366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653A8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1F086D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82B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Filipeni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048D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70B3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68B3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97CF1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AE6A3E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A5A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Iargara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85F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CBC4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F142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2516C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2A528F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F0A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Leova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2823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989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62F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C6B1F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25E114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715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Romanovca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5AF6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7075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777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5FCD9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19F21DC" w14:textId="77777777" w:rsidTr="00D97B26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C29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Nisporeni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44C0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3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068,2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6495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3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83E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0C798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40920F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CB6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lastRenderedPageBreak/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865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2 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659,6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B3DF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 xml:space="preserve">2 </w:t>
            </w:r>
            <w:r w:rsidRPr="00D97B26">
              <w:rPr>
                <w:color w:val="000000"/>
                <w:sz w:val="20"/>
                <w:szCs w:val="20"/>
              </w:rPr>
              <w:t>659,6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5642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901F2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F33FF7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B9B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Bărboieni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E2DC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EB04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ECD6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0B727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4C935F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AB8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Boldurești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D73C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0287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CF80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A50BF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A34AAC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E46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Bursuc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2FD1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35C5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C71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152B8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02A2D7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2CA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Călimănești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5912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D7AF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48AF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72EE3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7BE90B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0F8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Cristești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0258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849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FCE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3718C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44BE2D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11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Cioreşti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4629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08C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8B6E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3D720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AFF200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0E5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Nisporeni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547A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551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673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A43E8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F1BCB0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75D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Seliște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5A5A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0057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EFA0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3BB1A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362BE7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D60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Vărzăreşti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BB81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3395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257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F5EBC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248E08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4D5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Vînători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D3E6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083D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70F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B0DE3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EC8FF5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90DD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Ocniţa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129A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6D9E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37FF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E246F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0526C2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953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Bîrlădeni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01B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1273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B28A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32577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546814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4B5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Bîrnova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4334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F4A3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ECE4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ECAA1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FADF86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9F3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Gîrbova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9F43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9CA0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83A4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31419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6AC381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4F6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Grinăuți-Moldova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8AB5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1CD5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E9CC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F15DE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EA5E94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B32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Lipnic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8A3E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3B7D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1A44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E80F7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1A406E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003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Ocnița, oraș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0DE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A7C4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ABB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A09C9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FB37E5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832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Vălcineţ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F6F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372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7AF7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A2195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9DE16C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B7FC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Orhei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8F31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2 478,9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1E00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2 454,5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CCC0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236" w:type="dxa"/>
            <w:vAlign w:val="center"/>
            <w:hideMark/>
          </w:tcPr>
          <w:p w14:paraId="391D088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CC5F32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154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80CF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56D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A9B8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236" w:type="dxa"/>
            <w:vAlign w:val="center"/>
            <w:hideMark/>
          </w:tcPr>
          <w:p w14:paraId="1B0D000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E3CB27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731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Berezlogi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20B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595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D02F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A6DB6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E42876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B50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Biești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C947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8132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F0B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87BBF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298D3F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A61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Bolohan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2C6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E1F4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38E4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F7558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F3CA55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B5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Chiperceni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14D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EAD2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5E00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312A9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921B53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18C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Crihana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752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1C0A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92AC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89DE4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2AB8F2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F43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Cucuruzeni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3D2A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437B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B31E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76B93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E49CBB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8D4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Donici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8FE7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7DA8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6394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00AF1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2494BF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F47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Ivancea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7298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232D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5E89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C85A9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AFCA99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4A8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Jora de Mijloc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EF6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0547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E6E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87D4D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470415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319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Orhei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253F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CB42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717D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AAD31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A16C4B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89D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Peresecina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37C3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0866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0B0A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96AA7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BFEAF9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80E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Piatra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13BF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235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29C1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79F02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1A2184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AF9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Podgoreni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6D9C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D30F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C116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14738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F83DC9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3CA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Sămănanca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1D39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F2AC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84BB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5C786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A496E5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3AA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Selişte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E7E7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6C56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7A9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3E2CC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B2F0C8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FBF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Step-Soci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3BA6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1BCB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333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52AFC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7189A1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A8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Susleni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9FEE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3C33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43D9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1C91F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976503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D9F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Teleşeu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4C2E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4DA6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534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C38FF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FE43DE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403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Vatici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D8AC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2B31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E34C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7C917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901AEB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3E1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Vîșcăuți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8B9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E19F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6B58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CDE61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40BAD2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931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 xml:space="preserve">Zorile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1DA0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0D9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271F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3BDFF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D03BC9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2B6D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Rezina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E88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202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1C36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202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324A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C1346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AAE7B9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D12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B42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C7D0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4647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CFA9B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7801D2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2CD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Lalova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D1DE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1130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5B9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9AC4E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5C4520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94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Mincenii de Jos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A7C4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DF48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A9EF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D50F49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5EAD16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6BB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Țareuca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167B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57FF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B43C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141EB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11A40A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5456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lastRenderedPageBreak/>
              <w:t>Rîşcani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D25E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233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010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236" w:type="dxa"/>
            <w:vAlign w:val="center"/>
            <w:hideMark/>
          </w:tcPr>
          <w:p w14:paraId="71D12F8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3F3C10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65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5B6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05A0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A847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236" w:type="dxa"/>
            <w:vAlign w:val="center"/>
            <w:hideMark/>
          </w:tcPr>
          <w:p w14:paraId="7EA8272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49AD94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7E0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Branişte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EFE7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497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F339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B02E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465355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E9E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Pîrjota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576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A4D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4B70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3F8F3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7C03EB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7C6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Recea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A34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CF00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0CFE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7398F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60E78B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CB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Vasileuţi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5C7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5B6E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7463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1D749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330F97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85E7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Sîngerei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DA1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1 8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47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48E6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1 8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47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8B3A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71EA2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B040BA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2A8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ECD1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EBB9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FF16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4C592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81A113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BB4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Bălăşeşti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3C84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6D65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525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5612C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48D3FA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218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Bilicenii Noi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840F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131A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A992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F1491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29CB09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037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Bilicenii Vechi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E3BA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4411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15F0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A7636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14B06AC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8D9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Biruința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CA4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783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943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39E67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BB1F1C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CB2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Chișcăreni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E5D4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C73A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CF2B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B7CFF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DD79E6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17D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Coşcodeni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1588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DBAF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B392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BB69D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DAD0E6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AF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Ciuciuieni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7115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1EB6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FD3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B144E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14DB1C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B5D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Copăceni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FD0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9D6E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64D6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157C4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13BAEC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984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Cotiujenii Mici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0CC5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BD25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17F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10453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5ECE93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44A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Cubolta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1D3D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9BD6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3AC0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0C38D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B8F778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8C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Drăgănești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C5B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20F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D75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2BC0C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EAC4F0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25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Dumbrăviţa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26CF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A871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D248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5FC24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046B5A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368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Grigorăuca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E71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B99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AA3A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F56C3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7F933C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CE5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Heciul Nou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3765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B60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817B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B3BA2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2DF6AE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0E7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Prepeliţa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EAA2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323A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134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BEAC2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8F0640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CB4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Sîngerei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36F8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B667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7A35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E17FC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CE591C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D30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Tăura Veche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A59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52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8569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52</w:t>
            </w:r>
            <w:r w:rsidRPr="00D97B2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EE7E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3344D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452200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46E5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Soroca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985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2 031,7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ABAB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1 998,5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AE32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236" w:type="dxa"/>
            <w:vAlign w:val="center"/>
            <w:hideMark/>
          </w:tcPr>
          <w:p w14:paraId="6028B26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F5E944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A56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B5FD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0CF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5A45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1D695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68E0BF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578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Băxani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35D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9DB8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13D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DD658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5F797F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0DF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Bădiceni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9E97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F1B7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D271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81005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23A128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068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Cosăuţi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0BDF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5754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184A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BBD72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91ABF4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1F6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Hristici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D82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488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A05B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19212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E2350B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9B6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Nimereuca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C961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7B77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384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A633F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9CA11F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22E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Ocolina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64C1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1B7F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A6B2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9C648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3B2DA4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33E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Rudi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053A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4D18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70EE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54364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CC2F20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584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Schineni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3F7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D7D1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5D88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101A0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4E6F6D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E9E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Soroca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A452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C908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1B2A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236" w:type="dxa"/>
            <w:vAlign w:val="center"/>
            <w:hideMark/>
          </w:tcPr>
          <w:p w14:paraId="660FBD8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4A7A8B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F67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Șolcani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7DA3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B9B1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AA2A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9E582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89EF69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F38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Tătărăuca Veche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D8E3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541E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DD4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6B4E1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BF9A01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921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Vasilcău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766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702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F9CB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1C2D1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D4A59B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A38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Vărăncău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4A62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7B2F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869A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99AB3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0099EA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6BB3" w14:textId="0DB983D5" w:rsidR="00D97B26" w:rsidRPr="00D97B26" w:rsidRDefault="00726184" w:rsidP="00EE60DE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Zastî</w:t>
            </w:r>
            <w:r w:rsidR="00D97B26" w:rsidRPr="00D97B26">
              <w:rPr>
                <w:color w:val="000000"/>
                <w:sz w:val="20"/>
                <w:szCs w:val="20"/>
                <w:lang w:val="ro-MD"/>
              </w:rPr>
              <w:t>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D62C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45C3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1983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3A779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C210760" w14:textId="77777777" w:rsidTr="00D97B26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0F2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Străşeni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33EC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8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D24F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8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050E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B9B4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9011D2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CF2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Bucovăţ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B1C5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B69B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41E3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4945A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612E81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886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Căpriana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E7C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AA47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941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CF559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F9F6E4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34E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Codreanca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FB85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AD3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AEA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3D4C2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8BCC90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5CA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Cojuşna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A8D5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4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C590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4</w:t>
            </w:r>
            <w:r w:rsidRPr="00D97B26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645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A7498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7ABD08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536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Dolna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5668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BDC8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9094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D6C76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2B48F6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4B7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lastRenderedPageBreak/>
              <w:t>Găleşti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7444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5F4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A76C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7B067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D92FEE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196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Micleușeni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1DDC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63F9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2A7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7145E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F90A11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A1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Negrești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7105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C026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3EC1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846E8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ACADE3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8863" w14:textId="7B90CCEC" w:rsidR="00D97B26" w:rsidRPr="00D97B26" w:rsidRDefault="00726184" w:rsidP="00EE60DE">
            <w:pPr>
              <w:rPr>
                <w:color w:val="000000"/>
                <w:sz w:val="20"/>
                <w:szCs w:val="20"/>
                <w:lang w:val="ro-MD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Oneș</w:t>
            </w:r>
            <w:r w:rsidR="00D97B26" w:rsidRPr="00D97B26">
              <w:rPr>
                <w:color w:val="000000"/>
                <w:sz w:val="20"/>
                <w:szCs w:val="20"/>
                <w:lang w:val="ro-MD"/>
              </w:rPr>
              <w:t>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CE4B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EA3B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B3A2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33F85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B1C4DE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088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Recea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FD20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905B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E5B0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A647C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07B759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2C2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Roşcani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B0B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CFB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18A8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9B78E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195230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ED91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Şoldăneşti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58BE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3CCB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849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3C1F9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126EE7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787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723C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59DA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F021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80ED9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33C85F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A2A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Climăuţii de Jos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9C7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32C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A18C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E5CED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872B31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29B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Chipeșca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4AE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F211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1AE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838AD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276811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A11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Cobîlea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AF05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2F76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BE7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99484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8E4D9E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48A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Cotiujenii Mari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9586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224E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09C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49238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E1CBA6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F69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Cușmirca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BD4E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5CE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4023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35983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155CFB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3ED5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Dobruşa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78C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9267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5513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9A590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489C5E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4A1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Mihuleni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E21F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8CC9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E16A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789F7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D1BE91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576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Parcani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DE4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D93F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677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9430A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4C60F9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D59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Răspopeni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6E65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F3B0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911F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B37CC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2010E0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050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Sămăşcani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7B53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A00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AE3F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894AA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B4E72D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1E7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Șipca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3CC5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2DFA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C0E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E4E5B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2ACED2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0451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Ştefan Vodă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7594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1 4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81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938C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1 4</w:t>
            </w: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63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3524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236" w:type="dxa"/>
            <w:vAlign w:val="center"/>
            <w:hideMark/>
          </w:tcPr>
          <w:p w14:paraId="3BB7510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329380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1EE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8267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8639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1992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17,9</w:t>
            </w:r>
          </w:p>
        </w:tc>
        <w:tc>
          <w:tcPr>
            <w:tcW w:w="236" w:type="dxa"/>
            <w:vAlign w:val="center"/>
            <w:hideMark/>
          </w:tcPr>
          <w:p w14:paraId="04DE672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7C6EEB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9EE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Alava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C1A7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0AA7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541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EC495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95972D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C75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Antoneşti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BF49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380E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DAF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AD170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C1370E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48E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Căplani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3CA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4D85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C5D3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41F2F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5D98E1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597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Crocmaz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D96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F3BB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248D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5097B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C6D440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6CB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Feşteliţa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4BB8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AB8E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3683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4266C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DB0E24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47D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Marianca de Jos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8E7E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27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4AEB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27</w:t>
            </w:r>
            <w:r w:rsidRPr="00D97B26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F14E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3259E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468FD9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213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Popeasca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862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B843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B5FE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DC31A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438758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D58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Răscăieţi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1A1A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40B5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E9D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8F944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AFB3C2E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BBE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Talmaza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F554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8304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14A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92CE2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FE7544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894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Tudora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F371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1667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3C4E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35D98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7F274E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1D3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Volintiri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2460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486B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884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A8B9F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CF5338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4CD0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Taraclia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BA18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7DD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258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CD7B04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53BF51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8B2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FB9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292,8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28DB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2F9C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55E4EC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CF3EDC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7EE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Albota de Sus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E133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5106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257F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24984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F3FB8BD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FEC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Balabanu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AF79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849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2711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F84A1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F6108B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F6B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Budăi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B8BF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5797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2ACC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5BAF4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DE45ED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5C5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Cairaclia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AC22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64DF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AF99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85FA6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C48994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670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Novosiolovca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73F5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6E73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22A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9BACF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B4A3A9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7FE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Taraclia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FA5F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DCA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3F06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EA4AF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BC00B5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DB4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Tvardiţa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8C9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2F18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92AE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70A03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8B649C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F7E1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Teleneşti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27B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4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618,0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5B1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4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618,0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6F06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02F67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AA12F0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948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7055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3</w:t>
            </w:r>
            <w:r w:rsidRPr="00D97B26">
              <w:rPr>
                <w:b/>
                <w:bCs/>
                <w:color w:val="000000"/>
                <w:sz w:val="20"/>
                <w:szCs w:val="20"/>
              </w:rPr>
              <w:t xml:space="preserve"> 914,7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3BB1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3</w:t>
            </w:r>
            <w:r w:rsidRPr="00D97B26">
              <w:rPr>
                <w:color w:val="000000"/>
                <w:sz w:val="20"/>
                <w:szCs w:val="20"/>
              </w:rPr>
              <w:t xml:space="preserve"> 914,7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CF97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EBD04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AAA9293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1B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Bogzeşti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0F1E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457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E86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43E4B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37219B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1DE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Brînzenii Noi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A3D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849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A56A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9ABDD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3166D4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E3F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Budăi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43E9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142D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D860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BC5BB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BFE5EF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ACF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Căzănești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B0CD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9B23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77ED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3AC0A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4440A8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43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lastRenderedPageBreak/>
              <w:t>Cîşla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E2E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7BB7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F831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7518C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122B5C7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58B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Chiștelnița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B907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2CD9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542C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7016A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0EE7F1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5F5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Crăsnășeni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A9AD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3AD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807B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AC1D58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1A125D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E2E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Hirişeni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2DB2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6C5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E30A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AD264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317C4CF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729C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Inești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ABD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FBA9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5F804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487E0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889302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131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Mîndreşti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182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44B9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5BAF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B3B73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3B07F1D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C460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Pistruieni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F804D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9D34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A30D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CF9159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D868C5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0EF7" w14:textId="7D1265C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Ra</w:t>
            </w:r>
            <w:r w:rsidR="00726184">
              <w:rPr>
                <w:color w:val="000000"/>
                <w:sz w:val="20"/>
                <w:szCs w:val="20"/>
                <w:lang w:val="ro-MD"/>
              </w:rPr>
              <w:t>t</w:t>
            </w:r>
            <w:r w:rsidRPr="00D97B26">
              <w:rPr>
                <w:color w:val="000000"/>
                <w:sz w:val="20"/>
                <w:szCs w:val="20"/>
                <w:lang w:val="ro-MD"/>
              </w:rPr>
              <w:t>uș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DA3E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9656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4C57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3828E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6D272B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148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Suhuluceni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A913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468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83E1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13207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A55BA2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BFE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Tîrșiței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BCA77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2C1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628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20908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73C9B216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309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Zgărdești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C53E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B4AC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FFB1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B1BDC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BD82B22" w14:textId="77777777" w:rsidTr="00D97B26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E470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Ungheni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6CA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2 020,8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57BC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1 988,2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AAE7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236" w:type="dxa"/>
            <w:vAlign w:val="center"/>
            <w:hideMark/>
          </w:tcPr>
          <w:p w14:paraId="46B3693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922F6D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B47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Consiliul raional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B9B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C4B97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CBCF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4B2DA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9C97F6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B51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Alexeevca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66B2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8809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921A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ABE6F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64B8BF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5A9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Bumbăta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2640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49FD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4A43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8DADA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733680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D087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Buşila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0B06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CEFD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A8F7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2F433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C7CFC7A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D1D3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Cetireni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5A1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781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5636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C4083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67B3B3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B8E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Corneşti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3A3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762B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F4B2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53EB6B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AC10595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A00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Florițoaia Veche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A864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E728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BFD2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ACB5A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8D72C4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F70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Mănoileşti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48F7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FD2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DC0F3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501235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AB9BFD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B1E1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Teşcureni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9A64F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E69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063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416483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BCB8A0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9B8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Todirești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896FB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50E9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CECC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63694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7386708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632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Ungheni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B267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1 173,6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E6AE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1 141,0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8266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236" w:type="dxa"/>
            <w:vAlign w:val="center"/>
            <w:hideMark/>
          </w:tcPr>
          <w:p w14:paraId="25068C1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41386F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653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Unţeşti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9AC01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69D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6840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F91E7D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7296C9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83D2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Zagarancea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9F8F0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FED5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23BB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59AC0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1F239BBB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09C3" w14:textId="77777777" w:rsidR="00D97B26" w:rsidRPr="00D97B26" w:rsidRDefault="00D97B26" w:rsidP="00EE60DE">
            <w:pPr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  <w:lang w:val="ro-MD"/>
              </w:rPr>
              <w:t>UTA Găgăuzia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46D2" w14:textId="0D327E06" w:rsidR="00D97B26" w:rsidRPr="001800FD" w:rsidRDefault="00180BCA" w:rsidP="001800FD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 2 008,9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BCFB" w14:textId="65195996" w:rsidR="00D97B26" w:rsidRPr="001800FD" w:rsidRDefault="00180BCA" w:rsidP="001800FD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 1 959,7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C91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236" w:type="dxa"/>
            <w:vAlign w:val="center"/>
            <w:hideMark/>
          </w:tcPr>
          <w:p w14:paraId="607C6460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BE3F090" w14:textId="77777777" w:rsidTr="00D97B26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1B24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Comitetul executiv al UTA Găgăuzia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0157C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14F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C05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A9BDD2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02649489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A4E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Primăria Cazaclia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2C434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DBEA9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8139C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651F0A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9D8A7D4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ED56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Primăria Congaz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7E478" w14:textId="188EAC2E" w:rsidR="00D97B26" w:rsidRPr="001800FD" w:rsidRDefault="00180BCA" w:rsidP="001800FD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MD"/>
              </w:rPr>
              <w:t xml:space="preserve"> 157,2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4B379" w14:textId="5E1688A1" w:rsidR="00D97B26" w:rsidRPr="00D97B26" w:rsidRDefault="00180BCA" w:rsidP="00EE60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MD"/>
              </w:rPr>
              <w:t>119,0</w:t>
            </w:r>
            <w:r w:rsidR="00D97B26"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07BD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236" w:type="dxa"/>
            <w:vAlign w:val="center"/>
            <w:hideMark/>
          </w:tcPr>
          <w:p w14:paraId="4EC3D53F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CEDE561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56F8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 xml:space="preserve">Primăria municipiului Comrat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4319A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796,8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F9BB1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796,8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985E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B5F111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45C1ED9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A0A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Primăria Ceadîr-Lunga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17F35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123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96222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236" w:type="dxa"/>
            <w:vAlign w:val="center"/>
            <w:hideMark/>
          </w:tcPr>
          <w:p w14:paraId="4F0674F6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67416643" w14:textId="77777777" w:rsidTr="00D97B2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923E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 xml:space="preserve">Primăria Chiriet Lunga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E21B3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AD4F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B55F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B2D927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2088D3F2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01EA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Primăria Cișmichioi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F4539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8608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B115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F733B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D97B26" w14:paraId="5A9D92A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AF2D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Primăria Dezghingea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81708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64E6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3A0FA" w14:textId="77777777" w:rsidR="00D97B26" w:rsidRPr="00D97B26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B34CFE" w14:textId="77777777" w:rsidR="00D97B26" w:rsidRPr="00D97B26" w:rsidRDefault="00D97B26" w:rsidP="00EE60DE">
            <w:pPr>
              <w:rPr>
                <w:sz w:val="20"/>
                <w:szCs w:val="20"/>
              </w:rPr>
            </w:pPr>
          </w:p>
        </w:tc>
      </w:tr>
      <w:tr w:rsidR="00D97B26" w:rsidRPr="00575112" w14:paraId="15C70AE0" w14:textId="77777777" w:rsidTr="00D97B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E29B" w14:textId="77777777" w:rsidR="00D97B26" w:rsidRPr="00D97B26" w:rsidRDefault="00D97B26" w:rsidP="00EE60DE">
            <w:pPr>
              <w:rPr>
                <w:color w:val="000000"/>
                <w:sz w:val="20"/>
                <w:szCs w:val="20"/>
                <w:lang w:val="ro-MD"/>
              </w:rPr>
            </w:pPr>
            <w:r w:rsidRPr="00D97B26">
              <w:rPr>
                <w:color w:val="000000"/>
                <w:sz w:val="20"/>
                <w:szCs w:val="20"/>
                <w:lang w:val="ro-MD"/>
              </w:rPr>
              <w:t>Primăria or.Vulcănești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85662" w14:textId="77777777" w:rsidR="00D97B26" w:rsidRPr="00D97B26" w:rsidRDefault="00D97B26" w:rsidP="00EE60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B26">
              <w:rPr>
                <w:b/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6D408" w14:textId="77777777" w:rsidR="00D97B26" w:rsidRPr="00575112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D97B26">
              <w:rPr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0F5FF" w14:textId="77777777" w:rsidR="00D97B26" w:rsidRPr="00575112" w:rsidRDefault="00D97B26" w:rsidP="00EE60DE">
            <w:pPr>
              <w:jc w:val="center"/>
              <w:rPr>
                <w:color w:val="000000"/>
                <w:sz w:val="20"/>
                <w:szCs w:val="20"/>
              </w:rPr>
            </w:pPr>
            <w:r w:rsidRPr="005751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1A0F3B" w14:textId="77777777" w:rsidR="00D97B26" w:rsidRPr="00575112" w:rsidRDefault="00D97B26" w:rsidP="00EE60DE">
            <w:pPr>
              <w:rPr>
                <w:sz w:val="20"/>
                <w:szCs w:val="20"/>
              </w:rPr>
            </w:pPr>
          </w:p>
        </w:tc>
      </w:tr>
    </w:tbl>
    <w:p w14:paraId="7E942AAD" w14:textId="3FDC13D3" w:rsidR="006B7E7A" w:rsidRDefault="006B7E7A" w:rsidP="007A5817">
      <w:pPr>
        <w:tabs>
          <w:tab w:val="left" w:pos="993"/>
          <w:tab w:val="left" w:pos="7088"/>
        </w:tabs>
        <w:spacing w:line="276" w:lineRule="auto"/>
        <w:jc w:val="both"/>
        <w:rPr>
          <w:b/>
          <w:noProof/>
          <w:sz w:val="28"/>
          <w:szCs w:val="28"/>
          <w:lang w:val="ro-MD"/>
        </w:rPr>
      </w:pPr>
    </w:p>
    <w:sectPr w:rsidR="006B7E7A" w:rsidSect="00127598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4ED0A" w14:textId="77777777" w:rsidR="00DB707E" w:rsidRDefault="00DB707E" w:rsidP="0034393D">
      <w:r>
        <w:separator/>
      </w:r>
    </w:p>
  </w:endnote>
  <w:endnote w:type="continuationSeparator" w:id="0">
    <w:p w14:paraId="7B0DC227" w14:textId="77777777" w:rsidR="00DB707E" w:rsidRDefault="00DB707E" w:rsidP="0034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AAD8D" w14:textId="77777777" w:rsidR="00DB707E" w:rsidRDefault="00DB707E" w:rsidP="0034393D">
      <w:r>
        <w:separator/>
      </w:r>
    </w:p>
  </w:footnote>
  <w:footnote w:type="continuationSeparator" w:id="0">
    <w:p w14:paraId="73588A56" w14:textId="77777777" w:rsidR="00DB707E" w:rsidRDefault="00DB707E" w:rsidP="0034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B5A22"/>
    <w:multiLevelType w:val="multilevel"/>
    <w:tmpl w:val="878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" w15:restartNumberingAfterBreak="0">
    <w:nsid w:val="7EDF0ECC"/>
    <w:multiLevelType w:val="multilevel"/>
    <w:tmpl w:val="C3EAA0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D"/>
    <w:rsid w:val="00012B6B"/>
    <w:rsid w:val="000163A2"/>
    <w:rsid w:val="00025C85"/>
    <w:rsid w:val="00060A9D"/>
    <w:rsid w:val="0006359B"/>
    <w:rsid w:val="0009609E"/>
    <w:rsid w:val="000B343C"/>
    <w:rsid w:val="000C7A85"/>
    <w:rsid w:val="000E43B8"/>
    <w:rsid w:val="00102007"/>
    <w:rsid w:val="001238FB"/>
    <w:rsid w:val="00125A94"/>
    <w:rsid w:val="00127598"/>
    <w:rsid w:val="00134DB1"/>
    <w:rsid w:val="00156310"/>
    <w:rsid w:val="00176F1B"/>
    <w:rsid w:val="001800FD"/>
    <w:rsid w:val="00180BCA"/>
    <w:rsid w:val="001A61F0"/>
    <w:rsid w:val="001C07CE"/>
    <w:rsid w:val="001D12F3"/>
    <w:rsid w:val="001D29E1"/>
    <w:rsid w:val="001D379D"/>
    <w:rsid w:val="001F57E5"/>
    <w:rsid w:val="00201228"/>
    <w:rsid w:val="00237DF2"/>
    <w:rsid w:val="0025501A"/>
    <w:rsid w:val="0025723D"/>
    <w:rsid w:val="002850A8"/>
    <w:rsid w:val="002A11B8"/>
    <w:rsid w:val="002A6A1D"/>
    <w:rsid w:val="002F006E"/>
    <w:rsid w:val="00300D44"/>
    <w:rsid w:val="00302A7B"/>
    <w:rsid w:val="003070AF"/>
    <w:rsid w:val="00314C32"/>
    <w:rsid w:val="00321F7B"/>
    <w:rsid w:val="00324C0E"/>
    <w:rsid w:val="0032628B"/>
    <w:rsid w:val="00326C39"/>
    <w:rsid w:val="0034393D"/>
    <w:rsid w:val="00351A98"/>
    <w:rsid w:val="003544C2"/>
    <w:rsid w:val="0036017A"/>
    <w:rsid w:val="0037412B"/>
    <w:rsid w:val="00380656"/>
    <w:rsid w:val="003A38F2"/>
    <w:rsid w:val="003B2F46"/>
    <w:rsid w:val="003B3B7E"/>
    <w:rsid w:val="003D2FBC"/>
    <w:rsid w:val="003D3988"/>
    <w:rsid w:val="004043DF"/>
    <w:rsid w:val="00406F7F"/>
    <w:rsid w:val="00411599"/>
    <w:rsid w:val="00421E8F"/>
    <w:rsid w:val="004726D7"/>
    <w:rsid w:val="004A3D78"/>
    <w:rsid w:val="004A4028"/>
    <w:rsid w:val="004C67DB"/>
    <w:rsid w:val="004E5EC6"/>
    <w:rsid w:val="00536D73"/>
    <w:rsid w:val="00542FEB"/>
    <w:rsid w:val="00586A24"/>
    <w:rsid w:val="005C6FAC"/>
    <w:rsid w:val="005E4321"/>
    <w:rsid w:val="00621513"/>
    <w:rsid w:val="00677BCE"/>
    <w:rsid w:val="0068207F"/>
    <w:rsid w:val="00687EBA"/>
    <w:rsid w:val="00691F75"/>
    <w:rsid w:val="006936C8"/>
    <w:rsid w:val="006B7E7A"/>
    <w:rsid w:val="006E251C"/>
    <w:rsid w:val="006F6920"/>
    <w:rsid w:val="0070762C"/>
    <w:rsid w:val="00720E50"/>
    <w:rsid w:val="00726184"/>
    <w:rsid w:val="00727567"/>
    <w:rsid w:val="00744D9E"/>
    <w:rsid w:val="00756F7C"/>
    <w:rsid w:val="00783D00"/>
    <w:rsid w:val="007930D7"/>
    <w:rsid w:val="007A28EB"/>
    <w:rsid w:val="007A5817"/>
    <w:rsid w:val="007B1F54"/>
    <w:rsid w:val="007B4AF0"/>
    <w:rsid w:val="007C3659"/>
    <w:rsid w:val="008377BC"/>
    <w:rsid w:val="0087251D"/>
    <w:rsid w:val="00884243"/>
    <w:rsid w:val="00891EEB"/>
    <w:rsid w:val="008B1A90"/>
    <w:rsid w:val="008B70CA"/>
    <w:rsid w:val="008D38A1"/>
    <w:rsid w:val="00944E7B"/>
    <w:rsid w:val="00951776"/>
    <w:rsid w:val="00987542"/>
    <w:rsid w:val="009909F9"/>
    <w:rsid w:val="00994A71"/>
    <w:rsid w:val="009A7C64"/>
    <w:rsid w:val="009B3686"/>
    <w:rsid w:val="009D5A8F"/>
    <w:rsid w:val="009E0E0F"/>
    <w:rsid w:val="00A17304"/>
    <w:rsid w:val="00A23018"/>
    <w:rsid w:val="00A549A7"/>
    <w:rsid w:val="00A6242B"/>
    <w:rsid w:val="00A74260"/>
    <w:rsid w:val="00A8009C"/>
    <w:rsid w:val="00A80FCC"/>
    <w:rsid w:val="00AA6D07"/>
    <w:rsid w:val="00AA7915"/>
    <w:rsid w:val="00AA7971"/>
    <w:rsid w:val="00B01DA1"/>
    <w:rsid w:val="00B16226"/>
    <w:rsid w:val="00B20F7B"/>
    <w:rsid w:val="00B355FF"/>
    <w:rsid w:val="00B41D72"/>
    <w:rsid w:val="00B83B68"/>
    <w:rsid w:val="00BB05DC"/>
    <w:rsid w:val="00BB0A68"/>
    <w:rsid w:val="00BC6832"/>
    <w:rsid w:val="00BC7593"/>
    <w:rsid w:val="00BD14C0"/>
    <w:rsid w:val="00BD2A03"/>
    <w:rsid w:val="00C034F9"/>
    <w:rsid w:val="00C3281D"/>
    <w:rsid w:val="00C60B5D"/>
    <w:rsid w:val="00C629EB"/>
    <w:rsid w:val="00CB47A1"/>
    <w:rsid w:val="00CC1F7D"/>
    <w:rsid w:val="00CD44C6"/>
    <w:rsid w:val="00D1064E"/>
    <w:rsid w:val="00D15519"/>
    <w:rsid w:val="00D2770E"/>
    <w:rsid w:val="00D279A3"/>
    <w:rsid w:val="00D40315"/>
    <w:rsid w:val="00D46A5B"/>
    <w:rsid w:val="00D555C7"/>
    <w:rsid w:val="00D562BD"/>
    <w:rsid w:val="00D72A28"/>
    <w:rsid w:val="00D9316B"/>
    <w:rsid w:val="00D97B26"/>
    <w:rsid w:val="00DB51EA"/>
    <w:rsid w:val="00DB707E"/>
    <w:rsid w:val="00DC2ABA"/>
    <w:rsid w:val="00DE382D"/>
    <w:rsid w:val="00DF0CCA"/>
    <w:rsid w:val="00E17499"/>
    <w:rsid w:val="00E26C37"/>
    <w:rsid w:val="00E315E5"/>
    <w:rsid w:val="00E34946"/>
    <w:rsid w:val="00E851D5"/>
    <w:rsid w:val="00EA3400"/>
    <w:rsid w:val="00EB11DD"/>
    <w:rsid w:val="00EC4FAC"/>
    <w:rsid w:val="00EE6012"/>
    <w:rsid w:val="00EE60DE"/>
    <w:rsid w:val="00F102FB"/>
    <w:rsid w:val="00F132C8"/>
    <w:rsid w:val="00F2641F"/>
    <w:rsid w:val="00F32B76"/>
    <w:rsid w:val="00F338CB"/>
    <w:rsid w:val="00F40432"/>
    <w:rsid w:val="00F5151B"/>
    <w:rsid w:val="00F564C6"/>
    <w:rsid w:val="00F60B5A"/>
    <w:rsid w:val="00F60D05"/>
    <w:rsid w:val="00F7489D"/>
    <w:rsid w:val="00F8171A"/>
    <w:rsid w:val="00F81BDD"/>
    <w:rsid w:val="00F81C74"/>
    <w:rsid w:val="00F82D0D"/>
    <w:rsid w:val="00F90B49"/>
    <w:rsid w:val="00F96D48"/>
    <w:rsid w:val="00FC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B3A3"/>
  <w15:chartTrackingRefBased/>
  <w15:docId w15:val="{3EEDFA31-70AE-4469-A995-89C6335B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2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34393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77BCE"/>
    <w:pPr>
      <w:ind w:left="720"/>
      <w:contextualSpacing/>
    </w:pPr>
  </w:style>
  <w:style w:type="paragraph" w:customStyle="1" w:styleId="cn">
    <w:name w:val="cn"/>
    <w:basedOn w:val="a"/>
    <w:rsid w:val="004726D7"/>
    <w:pPr>
      <w:spacing w:before="100" w:beforeAutospacing="1" w:after="100" w:afterAutospacing="1"/>
    </w:pPr>
    <w:rPr>
      <w:lang w:val="en-GB" w:eastAsia="en-GB"/>
    </w:rPr>
  </w:style>
  <w:style w:type="paragraph" w:styleId="aa">
    <w:name w:val="Balloon Text"/>
    <w:basedOn w:val="a"/>
    <w:link w:val="ab"/>
    <w:uiPriority w:val="99"/>
    <w:semiHidden/>
    <w:unhideWhenUsed/>
    <w:rsid w:val="0072756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756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EC4F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C4FA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C4F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4F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C4FA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783D00"/>
    <w:rPr>
      <w:color w:val="954F72"/>
      <w:u w:val="single"/>
    </w:rPr>
  </w:style>
  <w:style w:type="paragraph" w:customStyle="1" w:styleId="msonormal0">
    <w:name w:val="msonormal"/>
    <w:basedOn w:val="a"/>
    <w:rsid w:val="00783D00"/>
    <w:pPr>
      <w:spacing w:before="100" w:beforeAutospacing="1" w:after="100" w:afterAutospacing="1"/>
    </w:pPr>
    <w:rPr>
      <w:lang w:val="ro-RO" w:eastAsia="ro-RO"/>
    </w:rPr>
  </w:style>
  <w:style w:type="paragraph" w:customStyle="1" w:styleId="xl65">
    <w:name w:val="xl65"/>
    <w:basedOn w:val="a"/>
    <w:rsid w:val="00783D00"/>
    <w:pP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66">
    <w:name w:val="xl66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67">
    <w:name w:val="xl67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val="ro-RO" w:eastAsia="ro-RO"/>
    </w:rPr>
  </w:style>
  <w:style w:type="paragraph" w:customStyle="1" w:styleId="xl68">
    <w:name w:val="xl68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val="ro-RO" w:eastAsia="ro-RO"/>
    </w:rPr>
  </w:style>
  <w:style w:type="paragraph" w:customStyle="1" w:styleId="xl69">
    <w:name w:val="xl69"/>
    <w:basedOn w:val="a"/>
    <w:rsid w:val="00783D00"/>
    <w:pPr>
      <w:spacing w:before="100" w:beforeAutospacing="1" w:after="100" w:afterAutospacing="1"/>
    </w:pPr>
    <w:rPr>
      <w:b/>
      <w:bCs/>
      <w:sz w:val="16"/>
      <w:szCs w:val="16"/>
      <w:lang w:val="ro-RO" w:eastAsia="ro-RO"/>
    </w:rPr>
  </w:style>
  <w:style w:type="paragraph" w:customStyle="1" w:styleId="xl70">
    <w:name w:val="xl70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71">
    <w:name w:val="xl71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72">
    <w:name w:val="xl72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val="ro-RO" w:eastAsia="ro-RO"/>
    </w:rPr>
  </w:style>
  <w:style w:type="paragraph" w:customStyle="1" w:styleId="xl73">
    <w:name w:val="xl73"/>
    <w:basedOn w:val="a"/>
    <w:rsid w:val="00783D00"/>
    <w:pPr>
      <w:spacing w:before="100" w:beforeAutospacing="1" w:after="100" w:afterAutospacing="1"/>
    </w:pPr>
    <w:rPr>
      <w:b/>
      <w:bCs/>
      <w:sz w:val="20"/>
      <w:szCs w:val="20"/>
      <w:lang w:val="ro-RO" w:eastAsia="ro-RO"/>
    </w:rPr>
  </w:style>
  <w:style w:type="paragraph" w:customStyle="1" w:styleId="xl74">
    <w:name w:val="xl74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ro-RO" w:eastAsia="ro-RO"/>
    </w:rPr>
  </w:style>
  <w:style w:type="paragraph" w:customStyle="1" w:styleId="xl75">
    <w:name w:val="xl75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6">
    <w:name w:val="xl76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77">
    <w:name w:val="xl77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78">
    <w:name w:val="xl78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ro-RO" w:eastAsia="ro-RO"/>
    </w:rPr>
  </w:style>
  <w:style w:type="paragraph" w:customStyle="1" w:styleId="xl79">
    <w:name w:val="xl79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0">
    <w:name w:val="xl80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  <w:lang w:val="ro-RO" w:eastAsia="ro-RO"/>
    </w:rPr>
  </w:style>
  <w:style w:type="paragraph" w:customStyle="1" w:styleId="xl81">
    <w:name w:val="xl81"/>
    <w:basedOn w:val="a"/>
    <w:rsid w:val="00783D00"/>
    <w:pPr>
      <w:spacing w:before="100" w:beforeAutospacing="1" w:after="100" w:afterAutospacing="1"/>
    </w:pPr>
    <w:rPr>
      <w:sz w:val="20"/>
      <w:szCs w:val="20"/>
      <w:lang w:val="ro-RO" w:eastAsia="ro-RO"/>
    </w:rPr>
  </w:style>
  <w:style w:type="paragraph" w:customStyle="1" w:styleId="xl82">
    <w:name w:val="xl82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ro-RO" w:eastAsia="ro-RO"/>
    </w:rPr>
  </w:style>
  <w:style w:type="paragraph" w:customStyle="1" w:styleId="xl83">
    <w:name w:val="xl83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  <w:lang w:val="ro-RO" w:eastAsia="ro-RO"/>
    </w:rPr>
  </w:style>
  <w:style w:type="paragraph" w:customStyle="1" w:styleId="xl84">
    <w:name w:val="xl84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ro-RO" w:eastAsia="ro-RO"/>
    </w:rPr>
  </w:style>
  <w:style w:type="paragraph" w:customStyle="1" w:styleId="xl85">
    <w:name w:val="xl85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86">
    <w:name w:val="xl86"/>
    <w:basedOn w:val="a"/>
    <w:rsid w:val="00783D00"/>
    <w:pPr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87">
    <w:name w:val="xl87"/>
    <w:basedOn w:val="a"/>
    <w:rsid w:val="00783D00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val="ro-RO" w:eastAsia="ro-RO"/>
    </w:rPr>
  </w:style>
  <w:style w:type="paragraph" w:customStyle="1" w:styleId="xl88">
    <w:name w:val="xl88"/>
    <w:basedOn w:val="a"/>
    <w:rsid w:val="00783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89">
    <w:name w:val="xl89"/>
    <w:basedOn w:val="a"/>
    <w:rsid w:val="00783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0">
    <w:name w:val="xl90"/>
    <w:basedOn w:val="a"/>
    <w:rsid w:val="00783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1">
    <w:name w:val="xl91"/>
    <w:basedOn w:val="a"/>
    <w:rsid w:val="00783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2">
    <w:name w:val="xl92"/>
    <w:basedOn w:val="a"/>
    <w:rsid w:val="00783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3">
    <w:name w:val="xl93"/>
    <w:basedOn w:val="a"/>
    <w:rsid w:val="00783D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4">
    <w:name w:val="xl94"/>
    <w:basedOn w:val="a"/>
    <w:rsid w:val="00783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5">
    <w:name w:val="xl95"/>
    <w:basedOn w:val="a"/>
    <w:rsid w:val="00783D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o-RO" w:eastAsia="ro-RO"/>
    </w:rPr>
  </w:style>
  <w:style w:type="paragraph" w:customStyle="1" w:styleId="xl96">
    <w:name w:val="xl96"/>
    <w:basedOn w:val="a"/>
    <w:rsid w:val="00D15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  <w:lang w:val="ro-RO" w:eastAsia="ro-RO"/>
    </w:rPr>
  </w:style>
  <w:style w:type="character" w:customStyle="1" w:styleId="10">
    <w:name w:val="Заголовок 1 Знак"/>
    <w:basedOn w:val="a0"/>
    <w:link w:val="1"/>
    <w:uiPriority w:val="9"/>
    <w:rsid w:val="00321F7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321F7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321F7B"/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321F7B"/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321F7B"/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321F7B"/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321F7B"/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321F7B"/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321F7B"/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paragraph" w:styleId="af2">
    <w:name w:val="Title"/>
    <w:basedOn w:val="a"/>
    <w:next w:val="a"/>
    <w:link w:val="af3"/>
    <w:uiPriority w:val="10"/>
    <w:qFormat/>
    <w:rsid w:val="00321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3">
    <w:name w:val="Заголовок Знак"/>
    <w:basedOn w:val="a0"/>
    <w:link w:val="af2"/>
    <w:uiPriority w:val="10"/>
    <w:rsid w:val="00321F7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paragraph" w:styleId="af4">
    <w:name w:val="Subtitle"/>
    <w:basedOn w:val="a"/>
    <w:next w:val="a"/>
    <w:link w:val="af5"/>
    <w:uiPriority w:val="11"/>
    <w:qFormat/>
    <w:rsid w:val="00321F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5">
    <w:name w:val="Подзаголовок Знак"/>
    <w:basedOn w:val="a0"/>
    <w:link w:val="af4"/>
    <w:uiPriority w:val="11"/>
    <w:rsid w:val="00321F7B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21F7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21F7B"/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styleId="af6">
    <w:name w:val="Intense Emphasis"/>
    <w:basedOn w:val="a0"/>
    <w:uiPriority w:val="21"/>
    <w:qFormat/>
    <w:rsid w:val="00321F7B"/>
    <w:rPr>
      <w:i/>
      <w:iCs/>
      <w:color w:val="2E74B5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321F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f8">
    <w:name w:val="Выделенная цитата Знак"/>
    <w:basedOn w:val="a0"/>
    <w:link w:val="af7"/>
    <w:uiPriority w:val="30"/>
    <w:rsid w:val="00321F7B"/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styleId="af9">
    <w:name w:val="Intense Reference"/>
    <w:basedOn w:val="a0"/>
    <w:uiPriority w:val="32"/>
    <w:qFormat/>
    <w:rsid w:val="00321F7B"/>
    <w:rPr>
      <w:b/>
      <w:bCs/>
      <w:smallCaps/>
      <w:color w:val="2E74B5" w:themeColor="accent1" w:themeShade="BF"/>
      <w:spacing w:val="5"/>
    </w:rPr>
  </w:style>
  <w:style w:type="paragraph" w:customStyle="1" w:styleId="xl97">
    <w:name w:val="xl97"/>
    <w:basedOn w:val="a"/>
    <w:rsid w:val="00321F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321F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7B67-5957-4FE8-9B6D-F40A2F45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2981</Words>
  <Characters>16992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pislaru ion</dc:creator>
  <cp:keywords/>
  <dc:description/>
  <cp:lastModifiedBy>Secara Ina</cp:lastModifiedBy>
  <cp:revision>3</cp:revision>
  <cp:lastPrinted>2024-10-07T05:55:00Z</cp:lastPrinted>
  <dcterms:created xsi:type="dcterms:W3CDTF">2025-09-19T05:57:00Z</dcterms:created>
  <dcterms:modified xsi:type="dcterms:W3CDTF">2025-09-22T10:26:00Z</dcterms:modified>
</cp:coreProperties>
</file>