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CBD3" w14:textId="77777777" w:rsidR="00A014A3" w:rsidRDefault="00A014A3" w:rsidP="00A014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Tabelul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comparativ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3D1BC5" w14:textId="0E67A673" w:rsidR="00A014A3" w:rsidRDefault="00A014A3" w:rsidP="00A014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hotărârii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modificarea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>unor</w:t>
      </w:r>
      <w:proofErr w:type="spellEnd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>hotărâri</w:t>
      </w:r>
      <w:proofErr w:type="spellEnd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>Guvern</w:t>
      </w:r>
      <w:proofErr w:type="spellEnd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>domeniul</w:t>
      </w:r>
      <w:proofErr w:type="spellEnd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>securității</w:t>
      </w:r>
      <w:proofErr w:type="spellEnd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>sănătății</w:t>
      </w:r>
      <w:proofErr w:type="spellEnd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5C13" w:rsidRPr="00F05C13">
        <w:rPr>
          <w:rFonts w:ascii="Times New Roman" w:eastAsia="Times New Roman" w:hAnsi="Times New Roman" w:cs="Times New Roman"/>
          <w:b/>
          <w:sz w:val="24"/>
          <w:szCs w:val="24"/>
        </w:rPr>
        <w:t>muncă</w:t>
      </w:r>
      <w:proofErr w:type="spellEnd"/>
    </w:p>
    <w:p w14:paraId="14152729" w14:textId="77777777" w:rsidR="00F05C13" w:rsidRDefault="00F05C13" w:rsidP="00A014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280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950"/>
        <w:gridCol w:w="5010"/>
      </w:tblGrid>
      <w:tr w:rsidR="00A014A3" w14:paraId="4EEB0809" w14:textId="77777777" w:rsidTr="00AE2DBA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1E4C" w14:textId="77777777" w:rsidR="00A014A3" w:rsidRDefault="00A014A3" w:rsidP="00AE2D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Conținutul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normei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4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1943" w14:textId="77777777" w:rsidR="00A014A3" w:rsidRDefault="00A014A3" w:rsidP="00AE2D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propusă</w:t>
            </w:r>
            <w:proofErr w:type="spellEnd"/>
          </w:p>
        </w:tc>
        <w:tc>
          <w:tcPr>
            <w:tcW w:w="5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D60A" w14:textId="77777777" w:rsidR="00A014A3" w:rsidRDefault="00A014A3" w:rsidP="00AE2D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Conținutul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normei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modificare</w:t>
            </w:r>
            <w:proofErr w:type="spellEnd"/>
          </w:p>
        </w:tc>
      </w:tr>
      <w:tr w:rsidR="00A014A3" w14:paraId="005C1A68" w14:textId="77777777" w:rsidTr="00AE2DBA">
        <w:tc>
          <w:tcPr>
            <w:tcW w:w="1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2946" w14:textId="6A0357F0" w:rsidR="00A014A3" w:rsidRPr="00F05C13" w:rsidRDefault="00232540" w:rsidP="00F05C1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Hotărârea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Guvernului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nr. 353/2010 cu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privire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aprobarea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cerințelor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minime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securitate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și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sănătate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locul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Monitorul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Oficial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al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Republicii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Moldova, 2010, nr. 91-93, art. 525), se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modifică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după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cum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urmează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014A3" w14:paraId="66D7E96E" w14:textId="77777777" w:rsidTr="006F6B2A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E504" w14:textId="77777777" w:rsidR="0007797E" w:rsidRPr="0007797E" w:rsidRDefault="0007797E" w:rsidP="000779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din 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HYPERLINK "https://weblex.md/item/view/id/69aa16730222b036f4e9d3c018ba9014" \t "_blank"</w:instrText>
            </w:r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securităţii</w:t>
            </w:r>
            <w:proofErr w:type="spellEnd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sănătăţii</w:t>
            </w:r>
            <w:proofErr w:type="spellEnd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nr.186-XVI din 10 </w:t>
            </w:r>
            <w:proofErr w:type="spellStart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07797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2008</w:t>
            </w:r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 (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2008, nr.143-144, art.587)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scopul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transpunerii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Directivei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Comunităţilor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89/654/CEE din 30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1989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cerinţele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minime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(Jurnalul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Comunităţilor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seria L, nr.393/1989), </w:t>
            </w:r>
            <w:proofErr w:type="spellStart"/>
            <w:r w:rsidRPr="0007797E"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</w:p>
          <w:p w14:paraId="46B8A079" w14:textId="77777777" w:rsidR="0007797E" w:rsidRDefault="0007797E" w:rsidP="000779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79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HOTĂRĂŞTE:</w:t>
            </w:r>
          </w:p>
          <w:p w14:paraId="552075B0" w14:textId="416BAE36" w:rsidR="00F05C13" w:rsidRPr="0007797E" w:rsidRDefault="00F05C13" w:rsidP="000779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[…]</w:t>
            </w:r>
          </w:p>
          <w:p w14:paraId="7D31C3AE" w14:textId="0FCC2137" w:rsidR="00A014A3" w:rsidRDefault="00A014A3" w:rsidP="00AE2D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98F9" w14:textId="77777777" w:rsidR="00485F53" w:rsidRPr="00485F53" w:rsidRDefault="00485F53" w:rsidP="00485F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Clauza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aprobare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Hotărârii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FD46F68" w14:textId="77777777" w:rsidR="00485F53" w:rsidRPr="00485F53" w:rsidRDefault="00485F53" w:rsidP="00485F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din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186-XVI din 10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2008 (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2008, nr. 143-144, art. 587)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85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HOTĂRĂȘTE:</w:t>
            </w:r>
          </w:p>
          <w:p w14:paraId="43C2D8A6" w14:textId="77777777" w:rsidR="00485F53" w:rsidRPr="00485F53" w:rsidRDefault="00485F53" w:rsidP="00485F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transpune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89/654/CEE din 30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1989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cerințele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minime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[prima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directivă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specială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 din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89/391/CEE],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publicată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Jurnalul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Uniunii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393 din 30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decembrie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1989, p. 1, CELEX: 01989L0654. ,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a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modificată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DIRECTIVA 2007/30/CE A PARLAMENTULUI EUROPEAN ȘI A CONSILIULUI Text cu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relevanță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SEE din 20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2007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(UE) 2019/1243 al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20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2019.”.</w:t>
            </w:r>
          </w:p>
          <w:p w14:paraId="4B29B641" w14:textId="77777777" w:rsidR="00A014A3" w:rsidRDefault="00A014A3" w:rsidP="00AE2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B675" w14:textId="77777777" w:rsidR="00356B13" w:rsidRPr="00485F53" w:rsidRDefault="00356B13" w:rsidP="00356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din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186-XVI din 10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2008 (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2008, nr. 143-144, art. 587)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85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HOTĂRĂȘTE:</w:t>
            </w:r>
          </w:p>
          <w:p w14:paraId="6F1C678A" w14:textId="77777777" w:rsidR="00356B13" w:rsidRPr="00485F53" w:rsidRDefault="00356B13" w:rsidP="00356B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transpune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89/654/CEE din 30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1989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cerințele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minime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[prima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directivă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specială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 din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89/391/CEE],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publicată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Jurnalul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Uniunii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393 din 30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decembrie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1989, p. 1, CELEX: 01989L0654. ,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a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modificată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DIRECTIVA 2007/30/CE A PARLAMENTULUI EUROPEAN ȘI A CONSILIULUI Text cu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relevanță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SEE din 20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2007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(UE) 2019/1243 al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20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2019.”.</w:t>
            </w:r>
          </w:p>
          <w:p w14:paraId="1A41BC0C" w14:textId="42BE6EF5" w:rsidR="00A014A3" w:rsidRDefault="00A014A3" w:rsidP="00AE2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B2A" w14:paraId="3E9F7BF5" w14:textId="77777777" w:rsidTr="008E3D4D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25D2" w14:textId="5B1928A1" w:rsidR="006F6B2A" w:rsidRDefault="00F05C13" w:rsidP="00AE2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A4BA" w14:textId="77777777" w:rsidR="00485F53" w:rsidRPr="00485F53" w:rsidRDefault="00485F53" w:rsidP="00485F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1.2.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Hotărârea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cu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F0559B2" w14:textId="77777777" w:rsidR="00485F53" w:rsidRPr="00485F53" w:rsidRDefault="00485F53" w:rsidP="00485F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„10.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prezentei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comunică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Comisiei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Guvern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  <w:p w14:paraId="5EC8A9A7" w14:textId="77777777" w:rsidR="006F6B2A" w:rsidRDefault="006F6B2A" w:rsidP="00AE2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7E12" w14:textId="77777777" w:rsidR="00FC0D44" w:rsidRPr="00485F53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„10.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prezentei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comunică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Comisiei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Guvern</w:t>
            </w:r>
            <w:proofErr w:type="spellEnd"/>
            <w:r w:rsidRPr="00485F53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  <w:p w14:paraId="532146A1" w14:textId="77777777" w:rsidR="006F6B2A" w:rsidRDefault="006F6B2A" w:rsidP="00AE2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D44" w14:paraId="31CD23F4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AAD8" w14:textId="77777777" w:rsidR="00FC0D44" w:rsidRPr="00661442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1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Secţiunea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7-a</w:t>
            </w:r>
          </w:p>
          <w:p w14:paraId="716A283C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61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Temperatura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încăperi</w:t>
            </w:r>
            <w:proofErr w:type="spellEnd"/>
          </w:p>
          <w:p w14:paraId="2D8821A7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0616A36C" w14:textId="77777777" w:rsidR="00BB29C9" w:rsidRPr="00661442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968B19" w14:textId="77777777" w:rsidR="00FC0D44" w:rsidRPr="00661442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</w:t>
            </w:r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timpul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programului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temperatura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încăperile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locuri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adecvată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uman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ţinînd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seama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metodele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cerinţele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fizice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impuse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lucrătorilor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tabelelor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nr.1–3 din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nr.2.</w:t>
            </w:r>
          </w:p>
          <w:p w14:paraId="769DF32E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2503313F" w14:textId="77777777" w:rsidR="00FC0D44" w:rsidRPr="00BB29C9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3121A0" w14:textId="77777777" w:rsidR="00FC0D44" w:rsidRPr="009D0081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Secţiunea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8-a</w:t>
            </w:r>
          </w:p>
          <w:p w14:paraId="1DE3EABE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Iluminatul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natural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artificial</w:t>
            </w:r>
          </w:p>
          <w:p w14:paraId="69B3CF52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214EDE53" w14:textId="77777777" w:rsidR="00BB29C9" w:rsidRPr="009D0081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2F1627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</w:t>
            </w:r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Instalaţiile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iluminat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încăperile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locuri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căile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comunicaţie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amplasate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încît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existe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riscul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accidentare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lucrătorilor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rezultat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tipului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iluminare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9E33A9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6D5AD4AF" w14:textId="77777777" w:rsidR="00BB29C9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94AA7" w14:textId="77777777" w:rsidR="00FC0D44" w:rsidRPr="009D0081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Secţiunea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9-a</w:t>
            </w:r>
          </w:p>
          <w:p w14:paraId="0A11CA14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Pardoseli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pereţi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plafoane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acoperişuri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ale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încăperilor</w:t>
            </w:r>
            <w:proofErr w:type="spellEnd"/>
          </w:p>
          <w:p w14:paraId="61EE3C59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0B4E9D1E" w14:textId="77777777" w:rsidR="00BB29C9" w:rsidRPr="009D0081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3AF128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</w:t>
            </w:r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Pereţii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transparenţi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translucizi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special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pereţii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despărţitori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sticlă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încăperilor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locuri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vecinătatea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acestora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căilor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circulaţie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semnalizaţi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clar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construiţi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securizate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separaţi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aceste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locuri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căi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circulaţie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încît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poată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intra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contact cu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pereţii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fie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răniţi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spargerea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lor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bucăţi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EA6BD3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566AFA53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09FF0C" w14:textId="77777777" w:rsidR="00FC0D44" w:rsidRPr="00A30B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Secţiunea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15-a</w:t>
            </w:r>
          </w:p>
          <w:p w14:paraId="128A5796" w14:textId="77777777" w:rsidR="00FC0D44" w:rsidRPr="00A30B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Dimensiunile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încăperilor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volumul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aer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</w:p>
          <w:p w14:paraId="604EE25E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încăperi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libertatea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mişcare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</w:t>
            </w:r>
            <w:proofErr w:type="spellEnd"/>
          </w:p>
          <w:p w14:paraId="4553EDD3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319BE95A" w14:textId="77777777" w:rsidR="00BB29C9" w:rsidRPr="00A30B44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B1D82C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62.</w:t>
            </w:r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Dimensiunile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zonei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neocupate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postului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calculate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încît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asigure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lucrătorilor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suficientă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libertate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mişcare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a-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îndeplini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sarcinile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Dacă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aceasta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posibil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motive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specifice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locului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lucrătorul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aibă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suficientă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libertate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mişcare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apropierea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postului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BED405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09756A41" w14:textId="49798384" w:rsidR="00BB29C9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B34C" w14:textId="77777777" w:rsidR="00FC0D44" w:rsidRPr="00421D47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1.3.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B00352B" w14:textId="77777777" w:rsidR="00FC0D44" w:rsidRPr="00421D47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1.3.1. la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23, 27, 32, </w:t>
            </w:r>
            <w:proofErr w:type="gram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62 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proofErr w:type="gram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„loc de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la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orice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formă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gramaticală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„post de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la forma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gramaticală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corespunzătoare</w:t>
            </w:r>
            <w:proofErr w:type="spellEnd"/>
            <w:r w:rsidRPr="00421D4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879E8E5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E242" w14:textId="77777777" w:rsidR="00FC0D44" w:rsidRPr="00661442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Secţiunea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7-a</w:t>
            </w:r>
          </w:p>
          <w:p w14:paraId="551FCCE0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Temperatura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</w:t>
            </w:r>
            <w:proofErr w:type="spellEnd"/>
          </w:p>
          <w:p w14:paraId="66C09436" w14:textId="25371AD0" w:rsidR="00805931" w:rsidRPr="00661442" w:rsidRDefault="00805931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4003917B" w14:textId="2382F155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</w:t>
            </w:r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timpul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programului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temperatura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încăperile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F4307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</w:t>
            </w:r>
            <w:r w:rsid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uri</w:t>
            </w:r>
            <w:proofErr w:type="spellEnd"/>
            <w:r w:rsidR="00F4307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F4307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adecvată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uman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ţinînd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seama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metodele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cerinţele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fizice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impuse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lucrătorilor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tabelelor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nr.1–3 din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nr.2.</w:t>
            </w:r>
          </w:p>
          <w:p w14:paraId="78D7FD9F" w14:textId="16BB5035" w:rsidR="00BB29C9" w:rsidRPr="00661442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[…]</w:t>
            </w:r>
          </w:p>
          <w:p w14:paraId="63F0E8EF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4FD14" w14:textId="77777777" w:rsidR="00FC0D44" w:rsidRPr="009D0081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Secţiunea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8-a</w:t>
            </w:r>
          </w:p>
          <w:p w14:paraId="220DC375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Iluminatul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natural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artificial</w:t>
            </w:r>
          </w:p>
          <w:p w14:paraId="569BA22F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1290C328" w14:textId="77777777" w:rsidR="00BB29C9" w:rsidRPr="009D0081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101528" w14:textId="2635451C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</w:t>
            </w:r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Instalaţiile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iluminat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încăperile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F4307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</w:t>
            </w:r>
            <w:r w:rsid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uri</w:t>
            </w:r>
            <w:proofErr w:type="spellEnd"/>
            <w:r w:rsidR="00F4307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F4307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</w:t>
            </w:r>
            <w:proofErr w:type="spellEnd"/>
            <w:r w:rsidR="00F43071"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căile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comunicaţie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amplasate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încît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existe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riscul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accidentare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lucrătorilor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rez</w:t>
            </w:r>
            <w:r w:rsidR="00F43071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ltat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tipului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iluminare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0294B5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2DFEA3EE" w14:textId="77777777" w:rsidR="00805931" w:rsidRDefault="00805931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08551B" w14:textId="3ECF33AF" w:rsidR="00FC0D44" w:rsidRPr="009D0081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Secţiunea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9-a</w:t>
            </w:r>
          </w:p>
          <w:p w14:paraId="3BB5C1C7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Pardoseli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pereţi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plafoane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acoperişuri</w:t>
            </w:r>
            <w:proofErr w:type="spellEnd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9D0081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încăperilor</w:t>
            </w:r>
            <w:proofErr w:type="spellEnd"/>
          </w:p>
          <w:p w14:paraId="519B3D7D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6B8B146B" w14:textId="77777777" w:rsidR="00BB29C9" w:rsidRPr="009D0081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7C862" w14:textId="5EE87EA6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</w:t>
            </w:r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Pereţii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transparenţi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translucizi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special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pereţii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despărţitori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sticlă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încăperilor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80593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</w:t>
            </w:r>
            <w:r w:rsidR="00805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uri</w:t>
            </w:r>
            <w:proofErr w:type="spellEnd"/>
            <w:r w:rsidR="0080593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80593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</w:t>
            </w:r>
            <w:proofErr w:type="spellEnd"/>
            <w:r w:rsidR="00805931"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vecinătatea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acestora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căilor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circulaţie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semnalizaţi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clar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construiţi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securizate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separaţi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aceste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307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</w:t>
            </w:r>
            <w:r w:rsid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uri</w:t>
            </w:r>
            <w:proofErr w:type="spellEnd"/>
            <w:r w:rsidR="00F4307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F4307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</w:t>
            </w:r>
            <w:proofErr w:type="spellEnd"/>
            <w:r w:rsidR="00F43071" w:rsidRPr="00661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căi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circulaţie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încît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poată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intra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contact cu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pereţii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fie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răniţi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spargerea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lor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bucăţi</w:t>
            </w:r>
            <w:proofErr w:type="spellEnd"/>
            <w:r w:rsidRPr="00FB7B4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E157DE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5F2F3051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5D6FAA" w14:textId="77777777" w:rsidR="00FC0D44" w:rsidRPr="00A30B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Secţiunea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15-a</w:t>
            </w:r>
          </w:p>
          <w:p w14:paraId="0B91973D" w14:textId="77777777" w:rsidR="00FC0D44" w:rsidRPr="00A30B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Dimensiunile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încăperilor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volumul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aer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</w:p>
          <w:p w14:paraId="6B63C7C3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libertatea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mişcare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postul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</w:p>
          <w:p w14:paraId="080EC72D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46997448" w14:textId="77777777" w:rsidR="00BB29C9" w:rsidRPr="00A30B44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BE79B8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62.</w:t>
            </w:r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Dimensiunile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zonei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neocupate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postului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calculate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încît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asigure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lucrătorilor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suficientă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libertate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mişcare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a-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îndeplini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sarcinile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Dacă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aceasta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posibil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motive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specifice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593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</w:t>
            </w:r>
            <w:r w:rsidR="00805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805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lui</w:t>
            </w:r>
            <w:proofErr w:type="spellEnd"/>
            <w:r w:rsidR="0080593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805931" w:rsidRPr="00F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lucrătorul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aibă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suficientă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libertate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mişcare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apropierea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postului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504896" w14:textId="77777777" w:rsidR="00BB29C9" w:rsidRPr="00661442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77E89C9D" w14:textId="6A119006" w:rsidR="00BB29C9" w:rsidRDefault="00BB29C9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D44" w14:paraId="41BECDED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BB0F" w14:textId="77777777" w:rsidR="00FC0D44" w:rsidRPr="00A30B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Secţiunea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9-a</w:t>
            </w:r>
          </w:p>
          <w:p w14:paraId="4E53E4FF" w14:textId="77777777" w:rsidR="00FC0D44" w:rsidRPr="00A30B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Pardoseli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pereţi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plafoane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acoperişuri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ale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încăperilor</w:t>
            </w:r>
            <w:proofErr w:type="spellEnd"/>
          </w:p>
          <w:p w14:paraId="0384ED79" w14:textId="77777777" w:rsidR="00FC0D44" w:rsidRPr="00A30B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</w:t>
            </w:r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Pardoselile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locurilor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lipsite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proeminenţe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găuri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planuri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înclinate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fixe, stabile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nealunecoase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96DE7A" w14:textId="77777777" w:rsidR="00FC0D44" w:rsidRPr="00A30B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</w:t>
            </w:r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Locurile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conţin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posturi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izolate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corespunzător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ţinînd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seama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tipul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lucrătorilor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B7C92E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A856" w14:textId="77777777" w:rsidR="00FC0D44" w:rsidRPr="003B7152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1.3.2. la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„loc de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la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orice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formă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gramaticală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cuvântul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la forma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gramaticală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corespunzătoare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7AADD53B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385F" w14:textId="77777777" w:rsidR="00BB29C9" w:rsidRPr="00A30B44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Secţiunea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9-a</w:t>
            </w:r>
          </w:p>
          <w:p w14:paraId="7F87983B" w14:textId="77777777" w:rsidR="00BB29C9" w:rsidRPr="00A30B44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Pardoseli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pereţi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plafoane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acoperişuri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încăperilor</w:t>
            </w:r>
            <w:proofErr w:type="spellEnd"/>
          </w:p>
          <w:p w14:paraId="0FE81C3A" w14:textId="0CC4211D" w:rsidR="00BB29C9" w:rsidRPr="00A30B44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</w:t>
            </w:r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Pardoselile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3522"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încăper</w:t>
            </w:r>
            <w:r w:rsidR="00483522"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lipsite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proeminenţe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găuri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planuri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înclinate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fixe, stabile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nealunecoase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8F9C3C" w14:textId="7DC37070" w:rsidR="00BB29C9" w:rsidRPr="00A30B44" w:rsidRDefault="00BB29C9" w:rsidP="00BB29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</w:t>
            </w:r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483522"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</w:t>
            </w:r>
            <w:r w:rsidR="00483522"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ncăper</w:t>
            </w:r>
            <w:r w:rsidR="00483522"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conţin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posturi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izolate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corespunzător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ţinînd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seama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tipul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lucrătorilor</w:t>
            </w:r>
            <w:proofErr w:type="spellEnd"/>
            <w:r w:rsidRPr="00A30B4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DA2B5F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D44" w14:paraId="56B622B8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C631" w14:textId="77777777" w:rsidR="00FC0D44" w:rsidRPr="00A77BDE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Secţiunea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16-a</w:t>
            </w:r>
          </w:p>
          <w:p w14:paraId="084530CD" w14:textId="77777777" w:rsidR="00FC0D44" w:rsidRPr="00A77BDE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Încăperi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odihnă</w:t>
            </w:r>
            <w:proofErr w:type="spellEnd"/>
          </w:p>
          <w:p w14:paraId="519DD468" w14:textId="20BE532C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</w:t>
            </w:r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Atunci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cînd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programul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întrerupt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frecvent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regulat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există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odihnă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poată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acestor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întreruperi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604C" w14:textId="77777777" w:rsidR="00FC0D44" w:rsidRPr="003B7152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1.3.3.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66 se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text:</w:t>
            </w:r>
          </w:p>
          <w:p w14:paraId="20CE32A8" w14:textId="77777777" w:rsidR="00FC0D44" w:rsidRPr="003B7152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aceste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adoptate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măsuri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corespunzătoare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protecția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nefumătorilor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împotriva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disconfortului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cauzat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fumul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tutun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  <w:p w14:paraId="2EEA8202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9336" w14:textId="77777777" w:rsidR="00483522" w:rsidRPr="00A77BDE" w:rsidRDefault="00483522" w:rsidP="004835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Secţiunea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16-a</w:t>
            </w:r>
          </w:p>
          <w:p w14:paraId="4AE45815" w14:textId="77777777" w:rsidR="00483522" w:rsidRPr="00A77BDE" w:rsidRDefault="00483522" w:rsidP="004835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odihnă</w:t>
            </w:r>
            <w:proofErr w:type="spellEnd"/>
          </w:p>
          <w:p w14:paraId="758A539A" w14:textId="38BFA489" w:rsidR="00FC0D44" w:rsidRPr="00483522" w:rsidRDefault="00483522" w:rsidP="004835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</w:t>
            </w:r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Atunci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cînd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programul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întrerupt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frecvent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regulat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există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odihnă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poată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acestor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întreruperi</w:t>
            </w:r>
            <w:proofErr w:type="spellEnd"/>
            <w:r w:rsidRPr="00A77B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aceste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încăperi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trebuie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adoptate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măsuri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corespunzătoare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protecția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nefumătorilor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împotriva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disconfortului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cauzat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fumul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tutun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0D44" w14:paraId="41424CBF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02F6" w14:textId="77777777" w:rsidR="00FC0D44" w:rsidRPr="00D317C1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Secţiunea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20-a</w:t>
            </w:r>
          </w:p>
          <w:p w14:paraId="1A04673E" w14:textId="77777777" w:rsidR="00FC0D44" w:rsidRPr="00D317C1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Lucrători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capacităţi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funcţionale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limitate</w:t>
            </w:r>
            <w:proofErr w:type="spellEnd"/>
          </w:p>
          <w:p w14:paraId="35F98121" w14:textId="77777777" w:rsidR="00FC0D44" w:rsidRPr="00D317C1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87.</w:t>
            </w:r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La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locurilor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ţină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seama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lucrătorii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capacităţi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funcţionale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limitate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dacă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aceasta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necesar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Cerinţa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aplică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special,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uşilor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căilor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comunicaţie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scărilor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duşurilor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chiuvetelor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, WC-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urilor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posturilor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ocupate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direct de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persoanele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capacităţi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funcţionale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limitate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20F0A1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EB54" w14:textId="77777777" w:rsidR="00FC0D44" w:rsidRPr="003B7152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1.3.4.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secțiunii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20-a are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486DF29" w14:textId="77777777" w:rsidR="00FC0D44" w:rsidRPr="003B7152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Lucrător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dizabilități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14:paraId="752C2C97" w14:textId="77777777" w:rsidR="00FC0D44" w:rsidRPr="003B7152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1.3.5.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cuprinsul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punctului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capacități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funcționale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limitate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cuvântul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dizabilități</w:t>
            </w:r>
            <w:proofErr w:type="spellEnd"/>
            <w:r w:rsidRPr="003B7152">
              <w:rPr>
                <w:rFonts w:ascii="Times New Roman" w:eastAsia="Times New Roman" w:hAnsi="Times New Roman" w:cs="Times New Roman"/>
                <w:sz w:val="20"/>
                <w:szCs w:val="20"/>
              </w:rPr>
              <w:t>”.</w:t>
            </w:r>
          </w:p>
          <w:p w14:paraId="25BC430E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A849" w14:textId="77777777" w:rsidR="006E1015" w:rsidRPr="00D317C1" w:rsidRDefault="006E1015" w:rsidP="006E10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Secţiunea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20-a</w:t>
            </w:r>
          </w:p>
          <w:p w14:paraId="3908D5E2" w14:textId="2D6DB036" w:rsidR="006E1015" w:rsidRPr="00D317C1" w:rsidRDefault="006E1015" w:rsidP="006E10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Lucrători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dizabilități</w:t>
            </w:r>
            <w:proofErr w:type="spellEnd"/>
          </w:p>
          <w:p w14:paraId="2301FF04" w14:textId="17037205" w:rsidR="006E1015" w:rsidRPr="00D317C1" w:rsidRDefault="006E1015" w:rsidP="006E10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87.</w:t>
            </w:r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La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locurilor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ţină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seama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lucrătorii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dizabilități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dacă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aceasta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necesar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Cerinţa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aplică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special,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uşilor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căilor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comunicaţie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scărilor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duşurilor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chiuvetelor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, WC-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urilor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posturilor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ocupate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direct de </w:t>
            </w:r>
            <w:proofErr w:type="spellStart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>persoanele</w:t>
            </w:r>
            <w:proofErr w:type="spellEnd"/>
            <w:r w:rsidRPr="00D31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3B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dizabilități</w:t>
            </w:r>
            <w:proofErr w:type="spellEnd"/>
            <w:r w:rsidR="001C2949" w:rsidRPr="001C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2653F83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D44" w14:paraId="52127493" w14:textId="77777777" w:rsidTr="00D3637F">
        <w:tc>
          <w:tcPr>
            <w:tcW w:w="142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7C89" w14:textId="06090781" w:rsidR="00FC0D44" w:rsidRPr="00F05C13" w:rsidRDefault="00FC0D44" w:rsidP="00F05C1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Hotărârea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Guvernului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918/2013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cerințele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minime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semnalizarea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securitate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sănătate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locul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Monitorul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Oficial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2013, nr. 262-267, art. 1023) se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modifică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după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cum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urmează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C0D44" w14:paraId="53F8210D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5AE9" w14:textId="77777777" w:rsidR="00FC0D44" w:rsidRPr="00A25BBE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din 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HYPERLINK "https://weblex.md/item/view/id/69aa16730222b036f4e9d3c018ba9014" \t "_blank"</w:instrText>
            </w:r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securităţii</w:t>
            </w:r>
            <w:proofErr w:type="spellEnd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sănătăţii</w:t>
            </w:r>
            <w:proofErr w:type="spellEnd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nr.186-XVI din 10 </w:t>
            </w:r>
            <w:proofErr w:type="spellStart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A25BB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2008</w:t>
            </w:r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 (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2008, nr.143-144, art.587), cu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modificările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completările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ulterioare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scopul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transpunerii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Directivei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92/58/CEE din 24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1992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cerinţele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minime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semnalizarea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noua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directivă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specială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 din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89/391/CEE),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publicată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Jurnalul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Comunităţilor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245/23 din 26 august 1992, </w:t>
            </w:r>
            <w:proofErr w:type="spellStart"/>
            <w:r w:rsidRPr="00A25BBE"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</w:p>
          <w:p w14:paraId="23CD83C0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5B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HOTĂRĂŞTE:</w:t>
            </w:r>
          </w:p>
          <w:p w14:paraId="69EBF425" w14:textId="611B8B75" w:rsidR="00F05C13" w:rsidRPr="00A25BBE" w:rsidRDefault="00F05C13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[…]</w:t>
            </w:r>
          </w:p>
          <w:p w14:paraId="1567CC60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A85D" w14:textId="77777777" w:rsidR="00FC0D44" w:rsidRPr="00DC30A9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Clauza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aprobare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Hotărârii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are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DECF6A3" w14:textId="77777777" w:rsidR="00FC0D44" w:rsidRPr="00DC30A9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din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186-XVI din 10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2008 (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2008, nr. 143-144, art. 587)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30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HOTĂRĂȘTE:</w:t>
            </w:r>
          </w:p>
          <w:p w14:paraId="06BEB8FD" w14:textId="77777777" w:rsidR="00FC0D44" w:rsidRPr="00DC30A9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transpune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92/58/CEE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24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1992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cerințele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minime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semnalizarea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noua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directivă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specială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 din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89/391/CEE],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publicată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Jurnalul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Uniunii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245 din 26 august 1992, p. 23, CELEX: 31992L0058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modificată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2007/30/CE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20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2007,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2014/27/UE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26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februarie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2014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(UE) 2019/1243 al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20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2019.”.</w:t>
            </w:r>
          </w:p>
          <w:p w14:paraId="4A184CBA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32DA" w14:textId="77777777" w:rsidR="001C2949" w:rsidRPr="00DC30A9" w:rsidRDefault="001C2949" w:rsidP="001C2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din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186-XVI din 10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2008 (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2008, nr. 143-144, art. 587)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30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HOTĂRĂȘTE:</w:t>
            </w:r>
          </w:p>
          <w:p w14:paraId="4534B75A" w14:textId="2721FE43" w:rsidR="001C2949" w:rsidRPr="00DC30A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transpune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92/58/CEE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24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1992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cerințele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minime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semnalizarea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noua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directivă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specială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 din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89/391/CEE],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publicată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Jurnalul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Uniunii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245 din 26 august 1992, p. 23, CELEX: 31992L0058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modificată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2007/30/CE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20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2007,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2014/27/UE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26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februarie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2014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(UE) 2019/1243 al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20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2019.</w:t>
            </w:r>
          </w:p>
          <w:p w14:paraId="21444AD9" w14:textId="77777777" w:rsidR="00FC0D44" w:rsidRDefault="00FC0D44" w:rsidP="00FC0D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949" w14:paraId="060C5957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8CED" w14:textId="7777777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se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referă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dispoziţiile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introducerea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piaţă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substanţelor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preparatelor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produselor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echipamentelor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excepţia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cazului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aceste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dispoziţii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fac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referire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expres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E01553" w14:textId="3EE660BD" w:rsidR="001C2949" w:rsidRDefault="00F05C13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634C282D" w14:textId="77777777" w:rsidR="001C2949" w:rsidRPr="002E0168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</w:t>
            </w:r>
          </w:p>
          <w:p w14:paraId="7BAE3CF5" w14:textId="77777777" w:rsidR="001C2949" w:rsidRPr="002E0168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66657172" w14:textId="77777777" w:rsidR="001C2949" w:rsidRPr="002E0168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nr.918 din 18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</w:t>
            </w:r>
          </w:p>
          <w:p w14:paraId="143FC75D" w14:textId="5124D33E" w:rsidR="001C2949" w:rsidRPr="002E0168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 MINIME GENERALE</w:t>
            </w:r>
          </w:p>
          <w:p w14:paraId="6DCFFDEB" w14:textId="77777777" w:rsidR="001C2949" w:rsidRPr="002E0168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semnalizarea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</w:p>
          <w:p w14:paraId="43FCA7C2" w14:textId="7777777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AD51CA" w14:textId="7777777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</w:t>
            </w: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Zonele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sălile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incintele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substanţelor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ori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preparatelor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cantităţi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mari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semnalizate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printr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-un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panou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corespunzător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ales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dintre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enumerate 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marcate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1-3 din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nr.3,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exceptînd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pe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ambalaj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container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sînt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suficiente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scop.</w:t>
            </w:r>
          </w:p>
          <w:p w14:paraId="34AEE13F" w14:textId="0C3F5559" w:rsidR="001C2949" w:rsidRDefault="00F05C13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5DAB2B20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nr.3</w:t>
            </w:r>
          </w:p>
          <w:p w14:paraId="0AA25939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11459715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nr.918 din 18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</w:t>
            </w:r>
          </w:p>
          <w:p w14:paraId="35C1BD06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47D5217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 MINIME</w:t>
            </w:r>
          </w:p>
          <w:p w14:paraId="36C31E10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semnalizarea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containere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conducte</w:t>
            </w:r>
            <w:proofErr w:type="spellEnd"/>
          </w:p>
          <w:p w14:paraId="76652041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acestora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precum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conductele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sînt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vedere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conţin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transportă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etichete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include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pictograme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fond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colorat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enumerate la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denumirile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caracteristicile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intrinseci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substanţelor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preparatelor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7184A0" w14:textId="3CC0C839" w:rsidR="001C2949" w:rsidRDefault="00F05C13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6398F816" w14:textId="77777777" w:rsidR="001C2949" w:rsidRPr="00A95F3B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pot fi:</w:t>
            </w:r>
          </w:p>
          <w:p w14:paraId="17FAAD14" w14:textId="392F7983" w:rsidR="00F05C13" w:rsidRDefault="00F05C13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0421B35C" w14:textId="52EAE25B" w:rsidR="001C2949" w:rsidRPr="00A95F3B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completate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informaţii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suplimentare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exemplu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formula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preparatului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periculos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detalii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riscul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1BEA7F68" w14:textId="77777777" w:rsidR="001C2949" w:rsidRPr="00A95F3B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completate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înlocuite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panouri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preparatelor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transportului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E3501C" w14:textId="1C151CB1" w:rsidR="001C2949" w:rsidRDefault="00F05C13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24C3836D" w14:textId="77777777" w:rsidR="001C2949" w:rsidRPr="00A95F3B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Zonele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sălile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incintele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preparatelor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cantităţi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mari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semnalate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printr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-un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panou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potrivit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ales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dintre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panourile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enumerate la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marcate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1-3 din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anexă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excepţia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cazurilor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etichetarea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ambalajelor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suficientă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scop,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ţinîndu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-se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cont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dispoziţiile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punctului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din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95A3E4" w14:textId="77777777" w:rsidR="001C2949" w:rsidRPr="00A95F3B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Locurile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multe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sînt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indicate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panoul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Pericol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general".</w:t>
            </w:r>
          </w:p>
          <w:p w14:paraId="2E662947" w14:textId="11971EDB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439D" w14:textId="4A82FC3D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2.2.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tot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cuprinsul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Hotărîrii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inclusiv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Anexe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preparate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”, la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orice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formă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gramaticală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amestecuri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la forma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gramaticală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corespunzătoare</w:t>
            </w:r>
            <w:proofErr w:type="spellEnd"/>
            <w:r w:rsidRPr="00DC30A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3FC8" w14:textId="16850918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se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referă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dispoziţiile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introducerea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piaţă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substanţelor</w:t>
            </w:r>
            <w:proofErr w:type="spellEnd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amestecurilor</w:t>
            </w:r>
            <w:proofErr w:type="spellEnd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periculoase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produselor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echipamentelor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excepţia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cazului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aceste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dispoziţii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fac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referire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expres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6B3D9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B1C84D" w14:textId="7777777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E1A58" w14:textId="77777777" w:rsidR="001C2949" w:rsidRPr="002E0168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</w:t>
            </w:r>
          </w:p>
          <w:p w14:paraId="7B25A324" w14:textId="77777777" w:rsidR="001C2949" w:rsidRPr="002E0168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6DF0A1F9" w14:textId="77777777" w:rsidR="001C2949" w:rsidRPr="002E0168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nr.918 din 18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</w:t>
            </w:r>
          </w:p>
          <w:p w14:paraId="4382BE13" w14:textId="77777777" w:rsidR="001C2949" w:rsidRPr="002E0168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 MINIME GENERALE</w:t>
            </w:r>
          </w:p>
          <w:p w14:paraId="09C2B90B" w14:textId="77777777" w:rsidR="001C2949" w:rsidRPr="002E0168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semnalizarea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</w:p>
          <w:p w14:paraId="0E41A22E" w14:textId="7777777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F7879F" w14:textId="7D25126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</w:t>
            </w: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Zonele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sălile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incintele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substanţelor</w:t>
            </w:r>
            <w:proofErr w:type="spellEnd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</w:t>
            </w:r>
            <w:proofErr w:type="spellEnd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amestecurilor</w:t>
            </w:r>
            <w:proofErr w:type="spellEnd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periculoase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cantităţi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mari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semnalizate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printr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-un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panou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corespunzător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ales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dintre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enumerate 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marcate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1-3 din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nr.3,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exceptînd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pe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ambalaj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container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sînt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suficiente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scop.</w:t>
            </w:r>
          </w:p>
          <w:p w14:paraId="611A881F" w14:textId="7777777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E4F14A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nr.3</w:t>
            </w:r>
          </w:p>
          <w:p w14:paraId="57099087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24FA736C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nr.918 din 18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</w:t>
            </w:r>
          </w:p>
          <w:p w14:paraId="372AAAAF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AE2DB1B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 MINIME</w:t>
            </w:r>
          </w:p>
          <w:p w14:paraId="6BFC8B59" w14:textId="77777777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semnalizarea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containere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conducte</w:t>
            </w:r>
            <w:proofErr w:type="spellEnd"/>
          </w:p>
          <w:p w14:paraId="527ACEF1" w14:textId="055F4029" w:rsidR="001C2949" w:rsidRPr="002950C5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substanţe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A4787"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periculoase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acestora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precum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conductele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sînt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vedere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conţin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transportă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substanţe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A4787"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periculoase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etichete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include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pictograme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fond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colorat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enumerate la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denumirile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caracteristicile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intrinseci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substanţelor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amestecurilor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5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periculoase</w:t>
            </w:r>
            <w:proofErr w:type="spellEnd"/>
            <w:r w:rsidRPr="002950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61C5E6" w14:textId="5A974E90" w:rsidR="001C2949" w:rsidRDefault="00F05C13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5DF1D3EE" w14:textId="7777777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pot fi:</w:t>
            </w:r>
          </w:p>
          <w:p w14:paraId="1B7E7001" w14:textId="6B0C5377" w:rsidR="00F05C13" w:rsidRPr="00A95F3B" w:rsidRDefault="00F05C13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215C4753" w14:textId="43141888" w:rsidR="001C2949" w:rsidRPr="00A95F3B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completate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informaţii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suplimentare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exemplu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formula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substanţei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ale </w:t>
            </w:r>
            <w:proofErr w:type="spellStart"/>
            <w:r w:rsid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amestecului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periculos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detalii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riscul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6C290A46" w14:textId="09BDAD1D" w:rsidR="001C2949" w:rsidRPr="00A95F3B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completate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înlocuite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panouri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substanţelor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periculoase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transportului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7C186F" w14:textId="3782705B" w:rsidR="001C2949" w:rsidRDefault="00F05C13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1CC26804" w14:textId="38BDE07F" w:rsidR="001C2949" w:rsidRPr="00A95F3B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Zonele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sălile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incintele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substanţelor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periculoase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cantităţi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mari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semnalate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printr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-un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panou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potrivit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ales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dintre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panourile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enumerate la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marcate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1-3 din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anexă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excepţia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cazurilor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etichetarea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ambalajelor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containerelor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suficientă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scop,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ţinîndu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-se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cont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dispoziţiile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punctului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din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1D2782" w14:textId="75E3AEFF" w:rsidR="001C2949" w:rsidRPr="00A95F3B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8.</w:t>
            </w:r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Locurile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multe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substanţe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A4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periculoase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sînt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indicate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panoul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>Pericol</w:t>
            </w:r>
            <w:proofErr w:type="spellEnd"/>
            <w:r w:rsidRPr="00A9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general".</w:t>
            </w:r>
          </w:p>
          <w:p w14:paraId="5C10A810" w14:textId="7777777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949" w14:paraId="56486AD9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8A20" w14:textId="32905E9C" w:rsidR="001C2949" w:rsidRDefault="00F05C13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[…]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FE0A" w14:textId="77777777" w:rsidR="001C2949" w:rsidRPr="001B287F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cu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768870B" w14:textId="77777777" w:rsidR="001C2949" w:rsidRPr="001B287F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„8.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prezentei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comunică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Comisiei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Guvern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  <w:p w14:paraId="54209C9B" w14:textId="7777777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BBE1" w14:textId="0CACAC65" w:rsidR="001C2949" w:rsidRDefault="002A4787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prezentei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comunică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Comisiei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Guvern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</w:tc>
      </w:tr>
      <w:tr w:rsidR="001C2949" w14:paraId="54E1BA8E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CCD0" w14:textId="77777777" w:rsidR="002A4787" w:rsidRPr="002E0168" w:rsidRDefault="002A4787" w:rsidP="002A47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</w:t>
            </w:r>
          </w:p>
          <w:p w14:paraId="5D3A01C8" w14:textId="77777777" w:rsidR="002A4787" w:rsidRPr="002E0168" w:rsidRDefault="002A4787" w:rsidP="002A47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156334AC" w14:textId="77777777" w:rsidR="002A4787" w:rsidRPr="002E0168" w:rsidRDefault="002A4787" w:rsidP="002A47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nr.918 din 18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</w:t>
            </w:r>
          </w:p>
          <w:p w14:paraId="19E85AE4" w14:textId="77777777" w:rsidR="002A4787" w:rsidRPr="002E0168" w:rsidRDefault="002A4787" w:rsidP="002A47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 MINIME GENERALE</w:t>
            </w:r>
          </w:p>
          <w:p w14:paraId="01F39D58" w14:textId="77777777" w:rsidR="002A4787" w:rsidRPr="002E0168" w:rsidRDefault="002A4787" w:rsidP="002A47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semnalizarea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</w:p>
          <w:p w14:paraId="35FDD6F4" w14:textId="7326D202" w:rsidR="001C2949" w:rsidRDefault="00996EC2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4A07" w14:textId="77777777" w:rsidR="001C2949" w:rsidRPr="001B287F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2.4.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 la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80FA6BE" w14:textId="77777777" w:rsidR="001C2949" w:rsidRPr="001B287F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2.4.1. se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B7C8357" w14:textId="77777777" w:rsidR="001C2949" w:rsidRPr="001B287F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„10</w:t>
            </w:r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Consultarea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participarea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lucrătorilor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reprezentanţilor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lucrătorilor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răspunderi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specifice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securităţii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sănătăţii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aplicarea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prezentelor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Cerinţe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minime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desfăşura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art.15 din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securităţii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sănătăţii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nr.186/2008.”</w:t>
            </w:r>
          </w:p>
          <w:p w14:paraId="662C2867" w14:textId="77777777" w:rsidR="001C2949" w:rsidRDefault="001C2949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7EF4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</w:t>
            </w:r>
          </w:p>
          <w:p w14:paraId="253A2398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4274469A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nr.918 din 18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</w:t>
            </w:r>
          </w:p>
          <w:p w14:paraId="01C54742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 MINIME GENERALE</w:t>
            </w:r>
          </w:p>
          <w:p w14:paraId="084B6321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semnalizarea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</w:p>
          <w:p w14:paraId="27F45172" w14:textId="77777777" w:rsidR="001C2949" w:rsidRDefault="00996EC2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4716E87C" w14:textId="52BD170A" w:rsidR="00996EC2" w:rsidRPr="00996EC2" w:rsidRDefault="00996EC2" w:rsidP="001C29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Consultarea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participarea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lucrătorilor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reprezentanţilor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lucrătorilor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răspunderi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specifice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domeniul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securităţii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sănătăţii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aplicarea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prezentelor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minime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vor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desfăşura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conformitate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art.15 din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Legea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securităţii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sănătăţii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1B2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nr.186/2008.</w:t>
            </w:r>
          </w:p>
        </w:tc>
      </w:tr>
      <w:tr w:rsidR="00996EC2" w14:paraId="2FA60300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D058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</w:t>
            </w:r>
          </w:p>
          <w:p w14:paraId="0B7D7253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66979006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nr.918 din 18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</w:t>
            </w:r>
          </w:p>
          <w:p w14:paraId="5F7D2705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 MINIME GENERALE</w:t>
            </w:r>
          </w:p>
          <w:p w14:paraId="5F4ED9C9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semnalizarea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</w:p>
          <w:p w14:paraId="6F05CE3B" w14:textId="542F7B25" w:rsidR="00996EC2" w:rsidRDefault="006F0628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4CC5A1F2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</w:t>
            </w: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Zonele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sălile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incintele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substanţelor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ori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preparatelor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cantităţi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mari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semnalizate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printr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-un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panou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corespunzător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ales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dintre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enumerate 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marcate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1-3 din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nr.3,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exceptînd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pe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ambalaj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container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sînt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suficiente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scop.</w:t>
            </w:r>
          </w:p>
          <w:p w14:paraId="17DEEBD9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2018" w14:textId="20D0B47B" w:rsidR="00996EC2" w:rsidRPr="00D9132E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2.4.2.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 se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un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alineat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nou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C223301" w14:textId="6CE69E90" w:rsidR="00996EC2" w:rsidRPr="00D9132E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nu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există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niciun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panou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echivalent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care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avertizeze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persoanele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substanțe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amestecuri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chimice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utilizată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pictograma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pericol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relevantă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se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prevede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normele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speciale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etichetarea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ambalarea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substanțelor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amestecurilor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chimice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  <w:p w14:paraId="5E0A9B5A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29A5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</w:t>
            </w:r>
          </w:p>
          <w:p w14:paraId="393B8FB6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3D04FAD4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nr.918 din 18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</w:t>
            </w:r>
          </w:p>
          <w:p w14:paraId="03177C53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 MINIME GENERALE</w:t>
            </w:r>
          </w:p>
          <w:p w14:paraId="37091F72" w14:textId="77777777" w:rsidR="00996EC2" w:rsidRPr="002E016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semnalizarea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</w:p>
          <w:p w14:paraId="74082118" w14:textId="10704D52" w:rsidR="00996EC2" w:rsidRDefault="006F0628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76EA8DE7" w14:textId="7419F489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1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</w:t>
            </w:r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Zonele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sălile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incintele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substanţelor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ori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preparatelor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cantităţi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mari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semnalizate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printr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-un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panou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corespunzător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ales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dintre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enumerate la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marcate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1-3 din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nr.3,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exceptînd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pe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ambalaj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container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sînt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suficiente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Pr="002E0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scop.</w:t>
            </w:r>
            <w:r w:rsidR="006F0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cazul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care nu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există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niciun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panou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avertizare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echivalent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punctul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 din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anexa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 care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avertizeze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persoanele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privire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substanțe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chimice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periculoase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trebuie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utilizată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pictograma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pericol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relevantă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astfel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cum se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prevede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normele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speciale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clasificarea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etichetarea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ambalarea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substanțelor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amestecurilor</w:t>
            </w:r>
            <w:proofErr w:type="spellEnd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F0628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chimice</w:t>
            </w:r>
            <w:proofErr w:type="spellEnd"/>
            <w:r w:rsidR="006F0628" w:rsidRPr="006F0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7F6BC63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EC2" w14:paraId="0628FFBE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D13E" w14:textId="77777777" w:rsidR="00DE59AA" w:rsidRPr="00B76F30" w:rsidRDefault="00DE59AA" w:rsidP="00DE59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Anexa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nr.3</w:t>
            </w:r>
          </w:p>
          <w:p w14:paraId="070C1DCE" w14:textId="77777777" w:rsidR="00DE59AA" w:rsidRPr="00B76F30" w:rsidRDefault="00DE59AA" w:rsidP="00DE59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76E01910" w14:textId="77777777" w:rsidR="00DE59AA" w:rsidRPr="00B76F30" w:rsidRDefault="00DE59AA" w:rsidP="00DE59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nr.918 din 18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</w:t>
            </w:r>
          </w:p>
          <w:p w14:paraId="0E2E619E" w14:textId="77777777" w:rsidR="00DE59AA" w:rsidRPr="00B76F30" w:rsidRDefault="00DE59AA" w:rsidP="00DE59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463A5F8" w14:textId="77777777" w:rsidR="00DE59AA" w:rsidRPr="00B76F30" w:rsidRDefault="00DE59AA" w:rsidP="00DE59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 MINIME</w:t>
            </w:r>
          </w:p>
          <w:p w14:paraId="1DE2DE15" w14:textId="77777777" w:rsidR="00DE59AA" w:rsidRDefault="00DE59AA" w:rsidP="00DE59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6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semnalizarea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containere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conducte</w:t>
            </w:r>
            <w:proofErr w:type="spellEnd"/>
          </w:p>
          <w:p w14:paraId="236E8DF1" w14:textId="77777777" w:rsidR="00DE59AA" w:rsidRPr="00B76F30" w:rsidRDefault="00DE59AA" w:rsidP="00DE59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1. 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acestora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precum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conductele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sînt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vedere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conţin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transportă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etichete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include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pictograme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fond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colorat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enumerate la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denumirile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caracteristicile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intrinseci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substanţelor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preparatelor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37874C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3BE1" w14:textId="77777777" w:rsidR="00996EC2" w:rsidRPr="00D9132E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2.5.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3 la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Hotarîre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F93F231" w14:textId="77777777" w:rsidR="00996EC2" w:rsidRPr="00D9132E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2.5.1. la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propoziția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doua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”din</w:t>
            </w:r>
            <w:proofErr w:type="gram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2,” se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proofErr w:type="gram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”precum</w:t>
            </w:r>
            <w:proofErr w:type="gram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suplimentare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normele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speciale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etichetarea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ambalarea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substanțelor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amestecurilor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chimice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,”.</w:t>
            </w:r>
          </w:p>
          <w:p w14:paraId="794E71BB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57A2" w14:textId="77777777" w:rsidR="008D1C96" w:rsidRPr="00B76F30" w:rsidRDefault="008D1C96" w:rsidP="008D1C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nr.3</w:t>
            </w:r>
          </w:p>
          <w:p w14:paraId="5370D1DE" w14:textId="77777777" w:rsidR="008D1C96" w:rsidRPr="00B76F30" w:rsidRDefault="008D1C96" w:rsidP="008D1C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2A3020B2" w14:textId="77777777" w:rsidR="008D1C96" w:rsidRPr="00B76F30" w:rsidRDefault="008D1C96" w:rsidP="008D1C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nr.918 din 18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</w:t>
            </w:r>
          </w:p>
          <w:p w14:paraId="1363077C" w14:textId="77777777" w:rsidR="008D1C96" w:rsidRPr="00B76F30" w:rsidRDefault="008D1C96" w:rsidP="008D1C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922EA13" w14:textId="77777777" w:rsidR="008D1C96" w:rsidRPr="00B76F30" w:rsidRDefault="008D1C96" w:rsidP="008D1C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CERINŢE MINIME</w:t>
            </w:r>
          </w:p>
          <w:p w14:paraId="2B7AC66D" w14:textId="77777777" w:rsidR="008D1C96" w:rsidRPr="0025758B" w:rsidRDefault="008D1C96" w:rsidP="008D1C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semnalizarea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conducte</w:t>
            </w:r>
            <w:proofErr w:type="spellEnd"/>
          </w:p>
          <w:p w14:paraId="201B102D" w14:textId="5A1A07DF" w:rsidR="008D1C96" w:rsidRPr="00B76F30" w:rsidRDefault="008D1C96" w:rsidP="008D1C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1. 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containerele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acestora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precum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conductele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sînt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vedere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conţin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transportă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etichete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include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pictograme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fond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colorat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enumerate la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</w:t>
            </w:r>
            <w:r w:rsidR="002575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precum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suplimentare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prevăzute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normele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speciale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clasificarea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etichetarea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ambalarea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substanțelor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amestecurilor</w:t>
            </w:r>
            <w:proofErr w:type="spellEnd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758B"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chimice</w:t>
            </w:r>
            <w:proofErr w:type="spellEnd"/>
            <w:r w:rsidR="0025758B" w:rsidRPr="00257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denumirile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caracteristicile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intrinseci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substanţelor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preparatelor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B76F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6E0E57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EC2" w14:paraId="149F20C3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4599" w14:textId="77777777" w:rsidR="00996EC2" w:rsidRPr="00AC069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pot fi:</w:t>
            </w:r>
          </w:p>
          <w:p w14:paraId="0D86E503" w14:textId="77777777" w:rsidR="00996EC2" w:rsidRPr="00AC069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înlocuite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panourile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preluîndu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-se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aceeaşi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pictogramă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acelaşi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simbol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682E5DB5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1EC6" w14:textId="77777777" w:rsidR="00996EC2" w:rsidRPr="00D9132E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2.5.2.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1) se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un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alineat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nou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1D965ED" w14:textId="77777777" w:rsidR="00996EC2" w:rsidRPr="00D9132E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nu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există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niciun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panou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echivalent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care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avertizeze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persoanele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substanțe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amestecuri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chimice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periculoase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utilizată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pictograma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pericol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relevantă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se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prevede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normele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speciale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etichetarea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ambalarea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substanțelor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amestecurilor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chimice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  <w:p w14:paraId="55CDD985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AFF5" w14:textId="77777777" w:rsidR="0025758B" w:rsidRPr="00AC0692" w:rsidRDefault="0025758B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Etichetele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pot fi:</w:t>
            </w:r>
          </w:p>
          <w:p w14:paraId="00D514B6" w14:textId="71032BDD" w:rsidR="0025758B" w:rsidRPr="00AC0692" w:rsidRDefault="0025758B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înlocuite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panourile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avertizare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din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nr.2,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preluîndu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-se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aceeaşi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pictogramă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>acelaşi</w:t>
            </w:r>
            <w:proofErr w:type="spellEnd"/>
            <w:r w:rsidRPr="00AC0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simbol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1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cazul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care nu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există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niciun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panou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avertizare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echivalent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punctul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 din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anexa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 care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avertizeze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persoanele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privire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substanțe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chimice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periculoase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trebuie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utilizată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pictograma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pericol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relevantă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astfel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cum se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prevede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normele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clasificarea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etichetarea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ambalarea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substanțelor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amestecurilor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chimice</w:t>
            </w:r>
            <w:proofErr w:type="spellEnd"/>
            <w:r w:rsidRPr="00D91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51EAB51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EC2" w14:paraId="4263025F" w14:textId="77777777" w:rsidTr="008507C2">
        <w:tc>
          <w:tcPr>
            <w:tcW w:w="142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1428" w14:textId="2880E5FA" w:rsidR="00996EC2" w:rsidRPr="00F05C13" w:rsidRDefault="00996EC2" w:rsidP="00F05C1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Hotărârea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Guvernului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819/2016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cerințele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minime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securitate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sănătate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monitor (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Monitorul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Oficial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2016, nr. 193-203, art. 883) se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modifică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după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cum </w:t>
            </w:r>
            <w:proofErr w:type="spellStart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urmează</w:t>
            </w:r>
            <w:proofErr w:type="spellEnd"/>
            <w:r w:rsidRPr="00F0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996EC2" w14:paraId="73E1F066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42D7" w14:textId="77777777" w:rsidR="00996EC2" w:rsidRPr="00472F8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din 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HYPERLINK "https://weblex.md/item/view/id/69aa16730222b036f4e9d3c018ba9014" \t "_blank"</w:instrText>
            </w: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securităţii</w:t>
            </w:r>
            <w:proofErr w:type="spellEnd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sănătăţii</w:t>
            </w:r>
            <w:proofErr w:type="spellEnd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nr.186-XVI din 10 </w:t>
            </w:r>
            <w:proofErr w:type="spellStart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472F87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2008</w:t>
            </w: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 (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2008, nr.143-144, art.587), cu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modificările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completările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ulterioare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scopul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transpunerii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Directivei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Comunităţilor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90/270/CEE din 29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1990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condiţiile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minime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lucrul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monitor (a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cincea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directivă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individuală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 din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87/391/CEE)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publicată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Jurnalul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Comunităţilor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seria L, nr.156 din 21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1990,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</w:p>
          <w:p w14:paraId="5CD6293D" w14:textId="77777777" w:rsidR="00996EC2" w:rsidRPr="00472F8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HOTĂRĂŞTE:</w:t>
            </w:r>
          </w:p>
          <w:p w14:paraId="5B0A83F4" w14:textId="19B55887" w:rsidR="00996EC2" w:rsidRDefault="00F05C13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DFED" w14:textId="77777777" w:rsidR="00996EC2" w:rsidRPr="00C13AF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3.1. 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Clauza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aprobare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Hotărârii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are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5038009" w14:textId="77777777" w:rsidR="00996EC2" w:rsidRPr="00C13AF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din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186-XVI din 10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2008 (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2008, nr. 143-144, art. 587)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3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HOTĂRĂȘTE:</w:t>
            </w:r>
          </w:p>
          <w:p w14:paraId="42539330" w14:textId="77777777" w:rsidR="00996EC2" w:rsidRPr="00C13AF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transpune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90/270 din 29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1990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condițiile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minime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lucrul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monitor [a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cincea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directivă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 din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89/391/CEE] ,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publicată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Jurnalul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Uniunii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L 156 21.6.1990, p. 14, CELEX 01990L0270,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a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modificată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DIRECTIVA 2007/30/CE A PARLAMENTULUI EUROPEAN ȘI A CONSILIULUI Text cu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relevanță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SEE din 20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2007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(UE) 2019/1243 al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20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2019.”. </w:t>
            </w:r>
          </w:p>
          <w:p w14:paraId="3D75205A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10CB" w14:textId="77777777" w:rsidR="0025758B" w:rsidRPr="00C13AF7" w:rsidRDefault="0025758B" w:rsidP="000C24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din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186-XVI din 10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2008 (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2008, nr. 143-144, art. 587)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3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HOTĂRĂȘTE:</w:t>
            </w:r>
          </w:p>
          <w:p w14:paraId="5740FA63" w14:textId="77777777" w:rsidR="0025758B" w:rsidRPr="00C13AF7" w:rsidRDefault="0025758B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transpune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90/270 din 29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1990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condițiile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minime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lucrul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monitor [a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cincea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directivă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articolului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 din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Directiva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89/391/CEE] ,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publicată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Jurnalul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Uniunii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L 156 21.6.1990, p. 14, CELEX 01990L0270,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a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modificată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DIRECTIVA 2007/30/CE A PARLAMENTULUI EUROPEAN ȘI A CONSILIULUI Text cu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relevanță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SEE din 20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2007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(UE) 2019/1243 al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20 </w:t>
            </w:r>
            <w:proofErr w:type="spellStart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 w:rsidRPr="00C1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2019.”. </w:t>
            </w:r>
          </w:p>
          <w:p w14:paraId="5166E813" w14:textId="66EAAC87" w:rsidR="00996EC2" w:rsidRDefault="00F05C13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</w:tc>
      </w:tr>
      <w:tr w:rsidR="00996EC2" w14:paraId="117CFE81" w14:textId="77777777" w:rsidTr="00B84F90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0DB3" w14:textId="77777777" w:rsidR="00996EC2" w:rsidRPr="00472F8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se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aplică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70C6EDC" w14:textId="77777777" w:rsidR="00996EC2" w:rsidRPr="00472F8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cabinelor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şoferilor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vehicule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cabinelor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control la </w:t>
            </w:r>
            <w:proofErr w:type="spellStart"/>
            <w:proofErr w:type="gram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utilaje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7305B7CC" w14:textId="77777777" w:rsidR="00996EC2" w:rsidRPr="00472F8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sistemelor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prelucrarea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informaţiei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numerice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bordul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mijloacelor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gram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transport;</w:t>
            </w:r>
            <w:proofErr w:type="gramEnd"/>
          </w:p>
          <w:p w14:paraId="3D69110F" w14:textId="77777777" w:rsidR="00996EC2" w:rsidRPr="00472F8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sistemelor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prelucrarea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informaţiei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numerice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special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uz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public;</w:t>
            </w:r>
            <w:proofErr w:type="gramEnd"/>
          </w:p>
          <w:p w14:paraId="02C04159" w14:textId="77777777" w:rsidR="00996EC2" w:rsidRPr="00472F8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sistemelor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portabile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nu se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utilizează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timp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îndelungat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un post de </w:t>
            </w:r>
            <w:proofErr w:type="spellStart"/>
            <w:proofErr w:type="gram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24979F18" w14:textId="77777777" w:rsidR="00996EC2" w:rsidRPr="00472F87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maşinilor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calculat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caselor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marcat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oricăror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un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afişor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mic de date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măsuri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necesare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utilizării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echipamentului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C05CE6" w14:textId="5EB00C31" w:rsidR="00996EC2" w:rsidRDefault="00F05C13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F6FE" w14:textId="77777777" w:rsidR="00996EC2" w:rsidRPr="00D34646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3.2.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din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6) cu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D53372E" w14:textId="65CDE591" w:rsidR="00996EC2" w:rsidRPr="00D34646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„6)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mașini</w:t>
            </w:r>
            <w:r w:rsidR="00B24B07">
              <w:rPr>
                <w:rFonts w:ascii="Times New Roman" w:eastAsia="Times New Roman" w:hAnsi="Times New Roman" w:cs="Times New Roman"/>
                <w:sz w:val="20"/>
                <w:szCs w:val="20"/>
              </w:rPr>
              <w:t>lor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scris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concepție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tradițională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cunoscute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mașini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scris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fereastră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D34646"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3DB89C47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750A" w14:textId="77777777" w:rsidR="0025758B" w:rsidRPr="00472F87" w:rsidRDefault="0025758B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se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aplică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C2BCAD1" w14:textId="77777777" w:rsidR="0025758B" w:rsidRPr="00472F87" w:rsidRDefault="0025758B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cabinelor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şoferilor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vehicule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cabinelor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control la </w:t>
            </w:r>
            <w:proofErr w:type="spellStart"/>
            <w:proofErr w:type="gram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utilaje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071060A9" w14:textId="77777777" w:rsidR="0025758B" w:rsidRPr="00472F87" w:rsidRDefault="0025758B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sistemelor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prelucrarea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informaţiei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numerice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bordul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mijloacelor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gram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transport;</w:t>
            </w:r>
            <w:proofErr w:type="gramEnd"/>
          </w:p>
          <w:p w14:paraId="1A58F7BB" w14:textId="77777777" w:rsidR="0025758B" w:rsidRPr="00472F87" w:rsidRDefault="0025758B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sistemelor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prelucrarea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informaţiei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numerice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special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uz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public;</w:t>
            </w:r>
            <w:proofErr w:type="gramEnd"/>
          </w:p>
          <w:p w14:paraId="62248D95" w14:textId="77777777" w:rsidR="0025758B" w:rsidRPr="00472F87" w:rsidRDefault="0025758B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sistemelor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portabile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nu se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utilizează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timp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îndelungat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un post de </w:t>
            </w:r>
            <w:proofErr w:type="spellStart"/>
            <w:proofErr w:type="gram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2F58865D" w14:textId="77777777" w:rsidR="0025758B" w:rsidRDefault="0025758B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maşinilor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calculat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caselor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marcat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oricăror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un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afişor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mic de date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măsuri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necesare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utilizării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echipamentului</w:t>
            </w:r>
            <w:proofErr w:type="spellEnd"/>
            <w:r w:rsidRPr="00472F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5B84473" w14:textId="38D61BB9" w:rsidR="0025758B" w:rsidRDefault="0025758B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6)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mașini</w:t>
            </w:r>
            <w:r w:rsidR="0029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lor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scris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concepție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tradițională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cunoscute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mașini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scris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fereastră</w:t>
            </w:r>
            <w:proofErr w:type="spellEnd"/>
            <w:r w:rsidRPr="00D34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1ABC5F1" w14:textId="5293A37C" w:rsidR="00F05C13" w:rsidRPr="00472F87" w:rsidRDefault="00F05C13" w:rsidP="002575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[…]</w:t>
            </w:r>
          </w:p>
          <w:p w14:paraId="6E501686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EC2" w14:paraId="223E1528" w14:textId="77777777" w:rsidTr="001B493B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3A0C" w14:textId="05344DF6" w:rsidR="00996EC2" w:rsidRDefault="000C2453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[…]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E402" w14:textId="77777777" w:rsidR="00996EC2" w:rsidRPr="001B493B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3.3.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Hotarârea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cu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E1010BF" w14:textId="77777777" w:rsidR="00996EC2" w:rsidRPr="001B493B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„5.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prezentei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Hotărâri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comunică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Comisiei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Guvern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  <w:p w14:paraId="3D0CA16C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7584" w14:textId="1A07F292" w:rsidR="00996EC2" w:rsidRPr="000C2453" w:rsidRDefault="000C2453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Textul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prezentei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Hotărâri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se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comunică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Comisiei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Europene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modul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stabilit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Guvern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996EC2" w14:paraId="017FE330" w14:textId="77777777" w:rsidTr="001B493B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2B30" w14:textId="77777777" w:rsidR="00996EC2" w:rsidRPr="00D3173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Aprobate</w:t>
            </w:r>
            <w:proofErr w:type="spellEnd"/>
          </w:p>
          <w:p w14:paraId="5C63DAFA" w14:textId="77777777" w:rsidR="00996EC2" w:rsidRPr="00D3173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7DD4A379" w14:textId="77777777" w:rsidR="00996EC2" w:rsidRPr="00D3173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nr.819 din 1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2016</w:t>
            </w:r>
          </w:p>
          <w:p w14:paraId="6190666B" w14:textId="77777777" w:rsidR="00996EC2" w:rsidRPr="00D3173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7BB614AC" w14:textId="77777777" w:rsidR="00996EC2" w:rsidRPr="00D3173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 MINIME</w:t>
            </w:r>
          </w:p>
          <w:p w14:paraId="134409B7" w14:textId="77777777" w:rsidR="00996EC2" w:rsidRPr="00D31738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securitate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sănătate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lucrul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monitor</w:t>
            </w:r>
          </w:p>
          <w:p w14:paraId="3B0484D0" w14:textId="77777777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Reflexiile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strălucirile</w:t>
            </w:r>
            <w:proofErr w:type="spellEnd"/>
          </w:p>
          <w:p w14:paraId="29858DDD" w14:textId="16793755" w:rsidR="00996EC2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B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</w:t>
            </w:r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Ecranul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monitorului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găsi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zona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unghiului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protecţie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corpurilor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iluminat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aşa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fel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aceasta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se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reflecte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suprafaţa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ecranului</w:t>
            </w:r>
            <w:proofErr w:type="spellEnd"/>
            <w:r w:rsidRPr="00EE1B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EA33" w14:textId="77777777" w:rsidR="00996EC2" w:rsidRPr="001B493B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Anexă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D768F0E" w14:textId="77777777" w:rsidR="00996EC2" w:rsidRPr="001B493B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3.4.1.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avea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85ACE7A" w14:textId="77777777" w:rsidR="00996EC2" w:rsidRPr="001B493B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„37.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Ecranul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monitorului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plasat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încât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sursele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lumină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cum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ferestrele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deschideri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pereții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transparenți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translucizi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precum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corpurile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iluminat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pereții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strălucitoare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provoace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strălucire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directă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proofErr w:type="gram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reflexii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deranjante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ecran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  <w:p w14:paraId="1C265DE2" w14:textId="77777777" w:rsidR="00996EC2" w:rsidRPr="00216E7C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3.4.2. se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6EC7362" w14:textId="77777777" w:rsidR="00996EC2" w:rsidRPr="00216E7C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„37</w:t>
            </w:r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Ferestrele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un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adecvat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acoperire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reglabilă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atenua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lumina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zilei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cade pe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postul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sz w:val="20"/>
                <w:szCs w:val="20"/>
              </w:rPr>
              <w:t>.”.</w:t>
            </w:r>
          </w:p>
          <w:p w14:paraId="03A00EBC" w14:textId="77777777" w:rsidR="00996EC2" w:rsidRPr="001B493B" w:rsidRDefault="00996EC2" w:rsidP="00996E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5E3D" w14:textId="77777777" w:rsidR="000C2453" w:rsidRPr="00D31738" w:rsidRDefault="000C2453" w:rsidP="000C24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Aprobate</w:t>
            </w:r>
            <w:proofErr w:type="spellEnd"/>
          </w:p>
          <w:p w14:paraId="439D3DD9" w14:textId="77777777" w:rsidR="000C2453" w:rsidRPr="00D31738" w:rsidRDefault="000C2453" w:rsidP="000C24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Hotărîrea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</w:p>
          <w:p w14:paraId="025A990F" w14:textId="77777777" w:rsidR="000C2453" w:rsidRPr="00D31738" w:rsidRDefault="000C2453" w:rsidP="000C24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nr.819 din 1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iulie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2016</w:t>
            </w:r>
          </w:p>
          <w:p w14:paraId="68AE8527" w14:textId="77777777" w:rsidR="000C2453" w:rsidRPr="00D31738" w:rsidRDefault="000C2453" w:rsidP="000C24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0A37058F" w14:textId="77777777" w:rsidR="000C2453" w:rsidRPr="00D31738" w:rsidRDefault="000C2453" w:rsidP="00F05C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CERINŢE MINIME</w:t>
            </w:r>
          </w:p>
          <w:p w14:paraId="7BDD0800" w14:textId="77777777" w:rsidR="000C2453" w:rsidRPr="00D31738" w:rsidRDefault="000C2453" w:rsidP="00F05C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>lucrul</w:t>
            </w:r>
            <w:proofErr w:type="spellEnd"/>
            <w:r w:rsidRPr="00D317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monitor</w:t>
            </w:r>
          </w:p>
          <w:p w14:paraId="6988EC05" w14:textId="77777777" w:rsidR="000C2453" w:rsidRPr="000C2453" w:rsidRDefault="000C2453" w:rsidP="00F05C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4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C2453">
              <w:rPr>
                <w:rFonts w:ascii="Times New Roman" w:eastAsia="Times New Roman" w:hAnsi="Times New Roman" w:cs="Times New Roman"/>
                <w:sz w:val="20"/>
                <w:szCs w:val="20"/>
              </w:rPr>
              <w:t>Reflexiile</w:t>
            </w:r>
            <w:proofErr w:type="spellEnd"/>
            <w:r w:rsidRPr="000C24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45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0C24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453">
              <w:rPr>
                <w:rFonts w:ascii="Times New Roman" w:eastAsia="Times New Roman" w:hAnsi="Times New Roman" w:cs="Times New Roman"/>
                <w:sz w:val="20"/>
                <w:szCs w:val="20"/>
              </w:rPr>
              <w:t>strălucirile</w:t>
            </w:r>
            <w:proofErr w:type="spellEnd"/>
          </w:p>
          <w:p w14:paraId="60BEEFB3" w14:textId="3FE92C37" w:rsidR="00996EC2" w:rsidRPr="000C2453" w:rsidRDefault="000C2453" w:rsidP="000C24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2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37. 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Ecranul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monitorului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trebuie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plasat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astfel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încât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sursele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lumină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cum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fi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ferestrele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deschideri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pereții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transparenți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translucizi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precum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corpurile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iluminat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pereții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strălucitoare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nu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provoace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strălucire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directă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reflexii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deranjante</w:t>
            </w:r>
            <w:proofErr w:type="spellEnd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 </w:t>
            </w:r>
            <w:proofErr w:type="spellStart"/>
            <w:r w:rsidRPr="001B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ecran</w:t>
            </w:r>
            <w:proofErr w:type="spellEnd"/>
            <w:r w:rsidRPr="000C2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E6205A9" w14:textId="376DCB4D" w:rsidR="000C2453" w:rsidRPr="000C2453" w:rsidRDefault="000C2453" w:rsidP="000C24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Ferestrele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trebuie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prevăzute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un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sistem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adecvat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acoperire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reglabilă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atenua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lumina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zilei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care cade pe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postul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</w:t>
            </w:r>
            <w:proofErr w:type="spellEnd"/>
            <w:r w:rsidRPr="0021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14:paraId="785DBEDB" w14:textId="77777777" w:rsidR="0016005F" w:rsidRDefault="0016005F"/>
    <w:sectPr w:rsidR="0016005F" w:rsidSect="00A014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2AD"/>
    <w:multiLevelType w:val="hybridMultilevel"/>
    <w:tmpl w:val="C2304E7A"/>
    <w:lvl w:ilvl="0" w:tplc="54DAA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A3"/>
    <w:rsid w:val="0007797E"/>
    <w:rsid w:val="000C2453"/>
    <w:rsid w:val="0016005F"/>
    <w:rsid w:val="001B287F"/>
    <w:rsid w:val="001B493B"/>
    <w:rsid w:val="001C2949"/>
    <w:rsid w:val="00216E7C"/>
    <w:rsid w:val="00232540"/>
    <w:rsid w:val="0025758B"/>
    <w:rsid w:val="002926F7"/>
    <w:rsid w:val="002950C5"/>
    <w:rsid w:val="002A4787"/>
    <w:rsid w:val="002E0168"/>
    <w:rsid w:val="003538CF"/>
    <w:rsid w:val="00356B13"/>
    <w:rsid w:val="003B7152"/>
    <w:rsid w:val="00421D47"/>
    <w:rsid w:val="00472F87"/>
    <w:rsid w:val="00483522"/>
    <w:rsid w:val="00485F53"/>
    <w:rsid w:val="004913A4"/>
    <w:rsid w:val="005C440A"/>
    <w:rsid w:val="00661442"/>
    <w:rsid w:val="006B3D95"/>
    <w:rsid w:val="006E1015"/>
    <w:rsid w:val="006F0628"/>
    <w:rsid w:val="006F6B2A"/>
    <w:rsid w:val="00805931"/>
    <w:rsid w:val="008B4313"/>
    <w:rsid w:val="008D1C96"/>
    <w:rsid w:val="008E3D4D"/>
    <w:rsid w:val="00996EC2"/>
    <w:rsid w:val="009D0081"/>
    <w:rsid w:val="00A014A3"/>
    <w:rsid w:val="00A25BBE"/>
    <w:rsid w:val="00A30B44"/>
    <w:rsid w:val="00A77BDE"/>
    <w:rsid w:val="00A95F3B"/>
    <w:rsid w:val="00AC0692"/>
    <w:rsid w:val="00AF520F"/>
    <w:rsid w:val="00B24B07"/>
    <w:rsid w:val="00B76F30"/>
    <w:rsid w:val="00B84F90"/>
    <w:rsid w:val="00BB29C9"/>
    <w:rsid w:val="00C13AF7"/>
    <w:rsid w:val="00D31738"/>
    <w:rsid w:val="00D317C1"/>
    <w:rsid w:val="00D34646"/>
    <w:rsid w:val="00D82C66"/>
    <w:rsid w:val="00D9132E"/>
    <w:rsid w:val="00DC30A9"/>
    <w:rsid w:val="00DE59AA"/>
    <w:rsid w:val="00E714D4"/>
    <w:rsid w:val="00EE1B4A"/>
    <w:rsid w:val="00F05C13"/>
    <w:rsid w:val="00F43071"/>
    <w:rsid w:val="00FB7B4D"/>
    <w:rsid w:val="00F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C45"/>
  <w15:chartTrackingRefBased/>
  <w15:docId w15:val="{AAEA0E58-C9E2-4B4B-9CE8-4781274D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A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4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4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4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4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4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4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4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4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4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4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1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4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1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4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1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4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9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4229</Words>
  <Characters>24106</Characters>
  <Application>Microsoft Office Word</Application>
  <DocSecurity>0</DocSecurity>
  <Lines>200</Lines>
  <Paragraphs>56</Paragraphs>
  <ScaleCrop>false</ScaleCrop>
  <Company/>
  <LinksUpToDate>false</LinksUpToDate>
  <CharactersWithSpaces>28279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Croitoru</dc:creator>
  <cp:keywords/>
  <dc:description/>
  <cp:lastModifiedBy>Olesea Croitoru</cp:lastModifiedBy>
  <cp:revision>56</cp:revision>
  <dcterms:created xsi:type="dcterms:W3CDTF">2025-09-19T07:49:00Z</dcterms:created>
  <dcterms:modified xsi:type="dcterms:W3CDTF">2025-09-19T09:54:00Z</dcterms:modified>
</cp:coreProperties>
</file>