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5A4" w14:textId="77777777" w:rsidR="00A35143" w:rsidRPr="00A35143" w:rsidRDefault="00A35143" w:rsidP="00A35143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5143">
        <w:rPr>
          <w:rFonts w:ascii="Times New Roman" w:hAnsi="Times New Roman" w:cs="Times New Roman"/>
          <w:b/>
          <w:lang w:val="ro-RO"/>
        </w:rPr>
        <w:t>SINTEZA</w:t>
      </w:r>
    </w:p>
    <w:p w14:paraId="3A10C145" w14:textId="77777777" w:rsidR="00A35143" w:rsidRPr="00A35143" w:rsidRDefault="00A35143" w:rsidP="00A35143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5143">
        <w:rPr>
          <w:rFonts w:ascii="Times New Roman" w:hAnsi="Times New Roman" w:cs="Times New Roman"/>
          <w:b/>
          <w:lang w:val="ro-RO"/>
        </w:rPr>
        <w:t>la proiectul hotărârii Guvernului cu privire la alocarea mijloacelor financiare</w:t>
      </w:r>
    </w:p>
    <w:p w14:paraId="2FD352DA" w14:textId="77777777" w:rsidR="00A35143" w:rsidRPr="00A35143" w:rsidRDefault="00A35143" w:rsidP="00A3514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5143">
        <w:rPr>
          <w:rFonts w:ascii="Times New Roman" w:hAnsi="Times New Roman" w:cs="Times New Roman"/>
          <w:lang w:val="ro-RO"/>
        </w:rPr>
        <w:t>(</w:t>
      </w:r>
      <w:r w:rsidRPr="00A35143">
        <w:rPr>
          <w:rFonts w:ascii="Times New Roman" w:hAnsi="Times New Roman" w:cs="Times New Roman"/>
          <w:i/>
          <w:lang w:val="ro-RO"/>
        </w:rPr>
        <w:t>pentru lichidarea consecințelor situațiilor excepționale din lunile iunie 2024 și mai 2025</w:t>
      </w:r>
      <w:r w:rsidRPr="00A35143">
        <w:rPr>
          <w:rFonts w:ascii="Times New Roman" w:hAnsi="Times New Roman" w:cs="Times New Roman"/>
          <w:lang w:val="ro-RO"/>
        </w:rPr>
        <w:t>)</w:t>
      </w:r>
    </w:p>
    <w:p w14:paraId="591E466B" w14:textId="77777777" w:rsidR="00A35143" w:rsidRDefault="00A35143" w:rsidP="00A3514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5143">
        <w:rPr>
          <w:rFonts w:ascii="Times New Roman" w:hAnsi="Times New Roman" w:cs="Times New Roman"/>
          <w:lang w:val="ro-RO"/>
        </w:rPr>
        <w:t>(</w:t>
      </w:r>
      <w:r w:rsidRPr="00A35143">
        <w:rPr>
          <w:rFonts w:ascii="Times New Roman" w:hAnsi="Times New Roman" w:cs="Times New Roman"/>
          <w:b/>
          <w:lang w:val="ro-RO"/>
        </w:rPr>
        <w:t>număr unic 671/MAI/2025</w:t>
      </w:r>
      <w:r w:rsidRPr="00A35143">
        <w:rPr>
          <w:rFonts w:ascii="Times New Roman" w:hAnsi="Times New Roman" w:cs="Times New Roman"/>
          <w:lang w:val="ro-RO"/>
        </w:rPr>
        <w:t>)</w:t>
      </w:r>
    </w:p>
    <w:p w14:paraId="4001C4DC" w14:textId="77777777" w:rsidR="00A35143" w:rsidRPr="00A35143" w:rsidRDefault="00A35143" w:rsidP="00A3514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5953"/>
        <w:gridCol w:w="4217"/>
      </w:tblGrid>
      <w:tr w:rsidR="00A35143" w14:paraId="053C5BCA" w14:textId="77777777" w:rsidTr="00C959B2">
        <w:tc>
          <w:tcPr>
            <w:tcW w:w="3681" w:type="dxa"/>
            <w:shd w:val="clear" w:color="auto" w:fill="EDEDED" w:themeFill="accent3" w:themeFillTint="33"/>
          </w:tcPr>
          <w:p w14:paraId="720877C8" w14:textId="2D1B69AA" w:rsidR="00A35143" w:rsidRPr="00A35143" w:rsidRDefault="00A35143" w:rsidP="00A351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>Participantul la avizare (expertizare)/consultare publică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9E82CBD" w14:textId="60703880" w:rsidR="00A35143" w:rsidRPr="00A35143" w:rsidRDefault="00A35143" w:rsidP="00A351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A35143">
              <w:rPr>
                <w:rFonts w:ascii="Times New Roman" w:hAnsi="Times New Roman" w:cs="Times New Roman"/>
                <w:b/>
                <w:bCs/>
              </w:rPr>
              <w:t>rt.</w:t>
            </w:r>
          </w:p>
        </w:tc>
        <w:tc>
          <w:tcPr>
            <w:tcW w:w="5953" w:type="dxa"/>
            <w:shd w:val="clear" w:color="auto" w:fill="EDEDED" w:themeFill="accent3" w:themeFillTint="33"/>
          </w:tcPr>
          <w:p w14:paraId="6B093CE1" w14:textId="22BDF522" w:rsidR="00A35143" w:rsidRPr="00A35143" w:rsidRDefault="00A35143" w:rsidP="00A351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>Conținutul obiecției, propunerii, recomandări, concluziei</w:t>
            </w:r>
          </w:p>
        </w:tc>
        <w:tc>
          <w:tcPr>
            <w:tcW w:w="4217" w:type="dxa"/>
            <w:shd w:val="clear" w:color="auto" w:fill="EDEDED" w:themeFill="accent3" w:themeFillTint="33"/>
          </w:tcPr>
          <w:p w14:paraId="5C7164FE" w14:textId="7A46BFB6" w:rsidR="00A35143" w:rsidRPr="00A35143" w:rsidRDefault="00A35143" w:rsidP="00A351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>Argumentarea autorului proiectului</w:t>
            </w:r>
          </w:p>
        </w:tc>
      </w:tr>
      <w:tr w:rsidR="00A35143" w14:paraId="74EAAAB1" w14:textId="77777777" w:rsidTr="00A35143">
        <w:tc>
          <w:tcPr>
            <w:tcW w:w="14560" w:type="dxa"/>
            <w:gridSpan w:val="4"/>
            <w:shd w:val="clear" w:color="auto" w:fill="C5E0B3" w:themeFill="accent6" w:themeFillTint="66"/>
          </w:tcPr>
          <w:p w14:paraId="6E70B55D" w14:textId="00BFD755" w:rsidR="00A35143" w:rsidRPr="00A35143" w:rsidRDefault="00A35143" w:rsidP="00A351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>Avizare și consultare publică</w:t>
            </w:r>
          </w:p>
        </w:tc>
      </w:tr>
      <w:tr w:rsidR="00A35143" w14:paraId="45F0CEA8" w14:textId="77777777" w:rsidTr="00C959B2">
        <w:tc>
          <w:tcPr>
            <w:tcW w:w="3681" w:type="dxa"/>
          </w:tcPr>
          <w:p w14:paraId="6FA43A0F" w14:textId="77777777" w:rsidR="00A35143" w:rsidRPr="00A35143" w:rsidRDefault="00A35143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5143">
              <w:rPr>
                <w:rFonts w:ascii="Times New Roman" w:hAnsi="Times New Roman" w:cs="Times New Roman"/>
                <w:b/>
                <w:bCs/>
              </w:rPr>
              <w:t xml:space="preserve">Ministerul Infrastructurii și Dezvoltării Regionale </w:t>
            </w:r>
          </w:p>
          <w:p w14:paraId="69A33685" w14:textId="5ABA1E0E" w:rsidR="00A35143" w:rsidRDefault="00A35143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 10-4472 din 18.08.2025)</w:t>
            </w:r>
          </w:p>
        </w:tc>
        <w:tc>
          <w:tcPr>
            <w:tcW w:w="709" w:type="dxa"/>
          </w:tcPr>
          <w:p w14:paraId="356F6DA6" w14:textId="77777777" w:rsidR="00A35143" w:rsidRDefault="00A35143" w:rsidP="00A351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ECE5146" w14:textId="5D01BC26" w:rsidR="00A35143" w:rsidRPr="00CD0E91" w:rsidRDefault="00A35143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0E91">
              <w:rPr>
                <w:rFonts w:ascii="Times New Roman" w:hAnsi="Times New Roman" w:cs="Times New Roman"/>
                <w:b/>
                <w:bCs/>
              </w:rPr>
              <w:t xml:space="preserve">Lipsă de obiecții și propuneri. </w:t>
            </w:r>
          </w:p>
        </w:tc>
        <w:tc>
          <w:tcPr>
            <w:tcW w:w="4217" w:type="dxa"/>
          </w:tcPr>
          <w:p w14:paraId="1C10A759" w14:textId="454E21EA" w:rsidR="00A35143" w:rsidRPr="00A35143" w:rsidRDefault="00C959B2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5143" w:rsidRPr="00A35143">
              <w:rPr>
                <w:rFonts w:ascii="Times New Roman" w:hAnsi="Times New Roman" w:cs="Times New Roman"/>
                <w:b/>
                <w:bCs/>
              </w:rPr>
              <w:t>S-a luat act.</w:t>
            </w:r>
          </w:p>
        </w:tc>
      </w:tr>
      <w:tr w:rsidR="00A35143" w14:paraId="677D875C" w14:textId="77777777" w:rsidTr="00C959B2">
        <w:tc>
          <w:tcPr>
            <w:tcW w:w="3681" w:type="dxa"/>
          </w:tcPr>
          <w:p w14:paraId="75FF0593" w14:textId="77777777" w:rsidR="00A35143" w:rsidRPr="0026692D" w:rsidRDefault="0026692D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t xml:space="preserve">Ministerul Finanțelor </w:t>
            </w:r>
          </w:p>
          <w:p w14:paraId="4234EE41" w14:textId="6C767C9E" w:rsidR="0026692D" w:rsidRDefault="0026692D" w:rsidP="00C95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 06/1-03/44/1235 din 19.08.2025)</w:t>
            </w:r>
          </w:p>
        </w:tc>
        <w:tc>
          <w:tcPr>
            <w:tcW w:w="709" w:type="dxa"/>
          </w:tcPr>
          <w:p w14:paraId="03A50AAF" w14:textId="77777777" w:rsidR="00A35143" w:rsidRDefault="00A35143" w:rsidP="00A351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D979198" w14:textId="6BFB0292" w:rsidR="00A35143" w:rsidRPr="00CD0E91" w:rsidRDefault="00A35143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0E91">
              <w:rPr>
                <w:rFonts w:ascii="Times New Roman" w:hAnsi="Times New Roman" w:cs="Times New Roman"/>
                <w:b/>
                <w:bCs/>
              </w:rPr>
              <w:t xml:space="preserve">Lipsă de obiecții și propuneri. </w:t>
            </w:r>
          </w:p>
        </w:tc>
        <w:tc>
          <w:tcPr>
            <w:tcW w:w="4217" w:type="dxa"/>
          </w:tcPr>
          <w:p w14:paraId="6AB972FF" w14:textId="6177DFAE" w:rsidR="00A35143" w:rsidRPr="00A35143" w:rsidRDefault="00C959B2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5143" w:rsidRPr="00A35143">
              <w:rPr>
                <w:rFonts w:ascii="Times New Roman" w:hAnsi="Times New Roman" w:cs="Times New Roman"/>
                <w:b/>
                <w:bCs/>
              </w:rPr>
              <w:t>S-a luat act.</w:t>
            </w:r>
          </w:p>
        </w:tc>
      </w:tr>
      <w:tr w:rsidR="0026692D" w14:paraId="1274D01D" w14:textId="77777777" w:rsidTr="0026692D">
        <w:tc>
          <w:tcPr>
            <w:tcW w:w="14560" w:type="dxa"/>
            <w:gridSpan w:val="4"/>
            <w:shd w:val="clear" w:color="auto" w:fill="C5E0B3" w:themeFill="accent6" w:themeFillTint="66"/>
          </w:tcPr>
          <w:p w14:paraId="261BC582" w14:textId="3AF88ED4" w:rsidR="0026692D" w:rsidRP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t xml:space="preserve">Expertizare </w:t>
            </w:r>
          </w:p>
        </w:tc>
      </w:tr>
      <w:tr w:rsidR="00A35143" w14:paraId="47B6BBAE" w14:textId="77777777" w:rsidTr="00C959B2">
        <w:tc>
          <w:tcPr>
            <w:tcW w:w="3681" w:type="dxa"/>
          </w:tcPr>
          <w:p w14:paraId="4BE48878" w14:textId="77777777" w:rsidR="00A35143" w:rsidRDefault="0026692D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t>Centrul Național Anticorupție</w:t>
            </w:r>
          </w:p>
          <w:p w14:paraId="200CDB28" w14:textId="1A928617" w:rsidR="0026692D" w:rsidRP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 EHG25/10823 din 21.08.2025)</w:t>
            </w:r>
          </w:p>
        </w:tc>
        <w:tc>
          <w:tcPr>
            <w:tcW w:w="709" w:type="dxa"/>
          </w:tcPr>
          <w:p w14:paraId="5C5A1049" w14:textId="77777777" w:rsidR="00A35143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6F5ABDE3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55798E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ABA4CE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1576A1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863D4D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118354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282807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D25708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1F7F8C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8344DC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00563B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DBF45B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135702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0EB3D1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77DB55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FC967B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CB0509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00620F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AB7047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F660F7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7DC9CB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A009E5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6B373A" w14:textId="77777777" w:rsid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AEE02D" w14:textId="77777777" w:rsidR="0026692D" w:rsidRDefault="0026692D" w:rsidP="00CD0E9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0AC8E7" w14:textId="77777777" w:rsidR="00CD0E91" w:rsidRDefault="00CD0E91" w:rsidP="00CD0E9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4062A7" w14:textId="70EE2773" w:rsidR="0026692D" w:rsidRPr="0026692D" w:rsidRDefault="0026692D" w:rsidP="002669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357E28B9" w14:textId="4F2BFB77" w:rsidR="0026692D" w:rsidRP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26692D">
              <w:rPr>
                <w:rFonts w:ascii="Times New Roman" w:hAnsi="Times New Roman" w:cs="Times New Roman"/>
              </w:rPr>
              <w:t>Proiectul a fost elaborat de către Ministerul Afacerilor Interne urmare examinării în cadrul ședinței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Comisiei pentru Situații Excepționale a Republicii Moldova a demersurilor autorităților administrației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publice locale din raioanele Orhei, Strășeni, Hîncești și Rîșcani privind lichidarea consecințelor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situațiilor excepționale care au avut loc pe teritoriul acestora.</w:t>
            </w:r>
          </w:p>
          <w:p w14:paraId="75FAD823" w14:textId="655AEB1B" w:rsid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Proiectul propune alocarea din fondul de intervenție al Guvernului a mijloacelor financiare în sumă de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26692D">
              <w:rPr>
                <w:rFonts w:ascii="Times New Roman" w:hAnsi="Times New Roman" w:cs="Times New Roman"/>
              </w:rPr>
              <w:t>2 927,1 mii de lei, pentru lichidarea consecințelor situațiilor excepționale cu caracter natural din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 xml:space="preserve">lunile iunie 2024 și mai 2025, care s-au produs în raioanele Orhei, Strășeni, Hîncești și Rîșcani. </w:t>
            </w:r>
          </w:p>
          <w:p w14:paraId="78FD661F" w14:textId="6D99312F" w:rsidR="00A35143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La fel,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proiectul stabilește că Ministerul Finanțelor va efectua plata mijloacelor financiare menționate, în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conformitate cu prevederile punctului 16 din Regulamentul privind gestionarea fondurilor de urgență</w:t>
            </w:r>
            <w:r w:rsidR="00CD0E91"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ale Guvernului, aprobat prin Hotărârea Guvernului nr. 862/2015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1FCC37" w14:textId="7D6A2BFB" w:rsidR="0026692D" w:rsidRP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Proiectul promovează interesele autorităților administrației publice locale din raioanele Orhei,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 xml:space="preserve">Strășeni, Hîncești și Rîșcani privind reparația/restabilirea drumurilor publice </w:t>
            </w:r>
            <w:r w:rsidRPr="0026692D">
              <w:rPr>
                <w:rFonts w:ascii="Times New Roman" w:hAnsi="Times New Roman" w:cs="Times New Roman"/>
              </w:rPr>
              <w:lastRenderedPageBreak/>
              <w:t>deteriorate, ca urmare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producerii în lunile iunie 2024 și mai 2025 a situației excepționale cu caracter natural, ceea ce este</w:t>
            </w:r>
          </w:p>
          <w:p w14:paraId="3AEA000B" w14:textId="77777777" w:rsidR="0026692D" w:rsidRP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 w:rsidRPr="0026692D">
              <w:rPr>
                <w:rFonts w:ascii="Times New Roman" w:hAnsi="Times New Roman" w:cs="Times New Roman"/>
              </w:rPr>
              <w:t>conform interesului public.</w:t>
            </w:r>
          </w:p>
          <w:p w14:paraId="237CC72B" w14:textId="12BD1DB0" w:rsidR="0026692D" w:rsidRP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Totodată, deși în redacția parvenită la efectuarea expertizei anticorupție proiectul nu conține</w:t>
            </w:r>
            <w:r w:rsidR="00CD0E91"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prevederi coruptibile, atenționăm autorul asupra necesității completării notei de fundamentare cu</w:t>
            </w:r>
            <w:r w:rsidR="00CD0E91"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date privind existența mijloacelor financiare suficiente în Fondul de intervenție al Guvernului pentru a</w:t>
            </w:r>
            <w:r w:rsidR="00CD0E91"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putea fi alocate în acest sens, cu informarea organului emitent (Guvernul) despre acest fapt.</w:t>
            </w:r>
          </w:p>
          <w:p w14:paraId="49156155" w14:textId="6C96EC2F" w:rsidR="0026692D" w:rsidRDefault="0026692D" w:rsidP="00266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Necunoașterea disponibilității mijloacelor financiare ale Fondului de intervenții riscă să determine un</w:t>
            </w:r>
            <w:r w:rsidR="00CD0E91">
              <w:rPr>
                <w:rFonts w:ascii="Times New Roman" w:hAnsi="Times New Roman" w:cs="Times New Roman"/>
              </w:rPr>
              <w:t xml:space="preserve"> </w:t>
            </w:r>
            <w:r w:rsidRPr="0026692D">
              <w:rPr>
                <w:rFonts w:ascii="Times New Roman" w:hAnsi="Times New Roman" w:cs="Times New Roman"/>
              </w:rPr>
              <w:t>caracter declarativ al proiectului, iar scopul acestuia să nu fie atins.</w:t>
            </w:r>
          </w:p>
        </w:tc>
        <w:tc>
          <w:tcPr>
            <w:tcW w:w="4217" w:type="dxa"/>
          </w:tcPr>
          <w:p w14:paraId="1CC9ECD7" w14:textId="77777777" w:rsidR="00A35143" w:rsidRDefault="00A35143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666A98D1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103B7CF1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69ED51BF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71240665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05AF1B08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646C031B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46DED761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1A54D530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1DD8F6C9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7F12E44D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6AB140F5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3A165357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4B4E13E4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6A48CCB5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533CD683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370DA136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2E3832A4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08FA9DF2" w14:textId="77777777" w:rsidR="00C959B2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77AADD93" w14:textId="77777777" w:rsidR="00C959B2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2375274F" w14:textId="77777777" w:rsidR="00C959B2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051DD293" w14:textId="77777777" w:rsidR="00C959B2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56742B0B" w14:textId="77777777" w:rsidR="00C959B2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</w:p>
          <w:p w14:paraId="5100CEC1" w14:textId="4ECCEF9A" w:rsidR="0026692D" w:rsidRDefault="00C959B2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692D" w:rsidRPr="0026692D">
              <w:rPr>
                <w:rFonts w:ascii="Times New Roman" w:hAnsi="Times New Roman" w:cs="Times New Roman"/>
                <w:b/>
                <w:bCs/>
              </w:rPr>
              <w:t>S-a luat act.</w:t>
            </w:r>
          </w:p>
          <w:p w14:paraId="11E8FF15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DA8445" w14:textId="2710B52C" w:rsidR="0026692D" w:rsidRDefault="00C959B2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692D">
              <w:rPr>
                <w:rFonts w:ascii="Times New Roman" w:hAnsi="Times New Roman" w:cs="Times New Roman"/>
                <w:b/>
                <w:bCs/>
              </w:rPr>
              <w:t xml:space="preserve">Nu se acceptă. </w:t>
            </w:r>
          </w:p>
          <w:p w14:paraId="547898C9" w14:textId="76FEA9CD" w:rsidR="0026692D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6692D" w:rsidRPr="0026692D">
              <w:rPr>
                <w:rFonts w:ascii="Times New Roman" w:hAnsi="Times New Roman" w:cs="Times New Roman"/>
              </w:rPr>
              <w:t xml:space="preserve">Alocarea mijloacelor financiare pentru lichidarea consecințelor </w:t>
            </w:r>
            <w:r w:rsidR="0026692D">
              <w:rPr>
                <w:rFonts w:ascii="Times New Roman" w:hAnsi="Times New Roman" w:cs="Times New Roman"/>
              </w:rPr>
              <w:t>situațiilor excepționale d</w:t>
            </w:r>
            <w:r>
              <w:rPr>
                <w:rFonts w:ascii="Times New Roman" w:hAnsi="Times New Roman" w:cs="Times New Roman"/>
              </w:rPr>
              <w:t xml:space="preserve">in lunile iunie 2024 și mai 2025 se vor realiza de către Ministerul Finanțelor din fondul de intervenție al Guvernului în corespundere cu prevederile pct. 16 din </w:t>
            </w:r>
            <w:r w:rsidRPr="00C959B2">
              <w:rPr>
                <w:rFonts w:ascii="Times New Roman" w:hAnsi="Times New Roman" w:cs="Times New Roman"/>
              </w:rPr>
              <w:t>Regulamentul privind gestionarea fondurilor de urgență ale Guvernului, aprobat prin Hotărârea Guvernului nr. 862/2015</w:t>
            </w:r>
            <w:r>
              <w:rPr>
                <w:rFonts w:ascii="Times New Roman" w:hAnsi="Times New Roman" w:cs="Times New Roman"/>
              </w:rPr>
              <w:t xml:space="preserve">, fapt statuat în pct. 2 din proiect. </w:t>
            </w:r>
          </w:p>
          <w:p w14:paraId="5AB8FA4B" w14:textId="0B53BE89" w:rsidR="00682C01" w:rsidRDefault="00682C01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Adițional, în corespundere cu pct. 18 din Regulamentul menționat, </w:t>
            </w:r>
            <w:r w:rsidRPr="00682C01">
              <w:rPr>
                <w:rFonts w:ascii="Times New Roman" w:hAnsi="Times New Roman" w:cs="Times New Roman"/>
              </w:rPr>
              <w:t xml:space="preserve">Ministerul </w:t>
            </w:r>
            <w:r w:rsidRPr="00682C01">
              <w:rPr>
                <w:rFonts w:ascii="Times New Roman" w:hAnsi="Times New Roman" w:cs="Times New Roman"/>
              </w:rPr>
              <w:t>Finanțelor</w:t>
            </w:r>
            <w:r w:rsidRPr="00682C01">
              <w:rPr>
                <w:rFonts w:ascii="Times New Roman" w:hAnsi="Times New Roman" w:cs="Times New Roman"/>
              </w:rPr>
              <w:t xml:space="preserve"> monitorizează repartizarea şi alocarea mijloacelor din fondurile de </w:t>
            </w:r>
            <w:r w:rsidRPr="00682C01">
              <w:rPr>
                <w:rFonts w:ascii="Times New Roman" w:hAnsi="Times New Roman" w:cs="Times New Roman"/>
              </w:rPr>
              <w:t>urgență</w:t>
            </w:r>
            <w:r w:rsidRPr="00682C01">
              <w:rPr>
                <w:rFonts w:ascii="Times New Roman" w:hAnsi="Times New Roman" w:cs="Times New Roman"/>
              </w:rPr>
              <w:t xml:space="preserve"> </w:t>
            </w:r>
            <w:r w:rsidRPr="00682C01">
              <w:rPr>
                <w:rFonts w:ascii="Times New Roman" w:hAnsi="Times New Roman" w:cs="Times New Roman"/>
              </w:rPr>
              <w:t>și</w:t>
            </w:r>
            <w:r w:rsidRPr="00682C01">
              <w:rPr>
                <w:rFonts w:ascii="Times New Roman" w:hAnsi="Times New Roman" w:cs="Times New Roman"/>
              </w:rPr>
              <w:t xml:space="preserve"> informează Guvernul, trimestrial </w:t>
            </w:r>
            <w:r w:rsidRPr="00682C01">
              <w:rPr>
                <w:rFonts w:ascii="Times New Roman" w:hAnsi="Times New Roman" w:cs="Times New Roman"/>
              </w:rPr>
              <w:t>și</w:t>
            </w:r>
            <w:r w:rsidRPr="00682C01">
              <w:rPr>
                <w:rFonts w:ascii="Times New Roman" w:hAnsi="Times New Roman" w:cs="Times New Roman"/>
              </w:rPr>
              <w:t xml:space="preserve"> la solicitare, despre disponibilitatea mijloacelor în aceste fonduri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43CA5A" w14:textId="4D65612F" w:rsidR="00C959B2" w:rsidRPr="0026692D" w:rsidRDefault="00C959B2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Totodată, proiectul a fost avizat cu Ministerul Finanțelor, care a prezentat lipsă de obiecții și propuneri pe marginea acestuia. </w:t>
            </w:r>
          </w:p>
        </w:tc>
      </w:tr>
      <w:tr w:rsidR="0026692D" w14:paraId="7E33A5B2" w14:textId="77777777" w:rsidTr="00C959B2">
        <w:tc>
          <w:tcPr>
            <w:tcW w:w="3681" w:type="dxa"/>
          </w:tcPr>
          <w:p w14:paraId="08B7B54D" w14:textId="77777777" w:rsidR="0026692D" w:rsidRPr="0026692D" w:rsidRDefault="0026692D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lastRenderedPageBreak/>
              <w:t>Ministerul Justiției</w:t>
            </w:r>
          </w:p>
          <w:p w14:paraId="3EEA9CC2" w14:textId="30905533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 04/1-8635 din 28.08.2025)</w:t>
            </w:r>
          </w:p>
        </w:tc>
        <w:tc>
          <w:tcPr>
            <w:tcW w:w="709" w:type="dxa"/>
          </w:tcPr>
          <w:p w14:paraId="498C9B76" w14:textId="77777777" w:rsidR="0026692D" w:rsidRDefault="0026692D" w:rsidP="00A351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234E7AB" w14:textId="77DE6BC5" w:rsidR="0026692D" w:rsidRPr="00CD0E91" w:rsidRDefault="0026692D" w:rsidP="002669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0E91">
              <w:rPr>
                <w:rFonts w:ascii="Times New Roman" w:hAnsi="Times New Roman" w:cs="Times New Roman"/>
                <w:b/>
                <w:bCs/>
              </w:rPr>
              <w:t>Lipsa propunerilor și obiecțiilor de ordin juridic.</w:t>
            </w:r>
          </w:p>
        </w:tc>
        <w:tc>
          <w:tcPr>
            <w:tcW w:w="4217" w:type="dxa"/>
          </w:tcPr>
          <w:p w14:paraId="32A850E1" w14:textId="2EB7E8C0" w:rsidR="0026692D" w:rsidRPr="0026692D" w:rsidRDefault="0026692D" w:rsidP="00A35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92D">
              <w:rPr>
                <w:rFonts w:ascii="Times New Roman" w:hAnsi="Times New Roman" w:cs="Times New Roman"/>
                <w:b/>
                <w:bCs/>
              </w:rPr>
              <w:t xml:space="preserve">S-a luat act. </w:t>
            </w:r>
          </w:p>
        </w:tc>
      </w:tr>
    </w:tbl>
    <w:p w14:paraId="7095CC87" w14:textId="77777777" w:rsidR="00554F72" w:rsidRPr="00A35143" w:rsidRDefault="00554F72" w:rsidP="00A351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54F72" w:rsidRPr="00A35143" w:rsidSect="00A3514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8B"/>
    <w:rsid w:val="000E0B56"/>
    <w:rsid w:val="00125071"/>
    <w:rsid w:val="00241140"/>
    <w:rsid w:val="0026692D"/>
    <w:rsid w:val="00294295"/>
    <w:rsid w:val="00554F72"/>
    <w:rsid w:val="00570569"/>
    <w:rsid w:val="00682C01"/>
    <w:rsid w:val="00964898"/>
    <w:rsid w:val="00A35143"/>
    <w:rsid w:val="00C959B2"/>
    <w:rsid w:val="00CD0E91"/>
    <w:rsid w:val="00D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F405"/>
  <w15:chartTrackingRefBased/>
  <w15:docId w15:val="{0F14B2E8-434F-4E71-BC57-98D74E17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M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3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3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1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3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31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3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3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3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3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3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1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31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312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312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312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12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312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3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3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3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3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3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3128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312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312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3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312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3128B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A3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Situații Excepționale</dc:creator>
  <cp:keywords/>
  <dc:description/>
  <cp:lastModifiedBy>Situații Excepționale</cp:lastModifiedBy>
  <cp:revision>8</cp:revision>
  <dcterms:created xsi:type="dcterms:W3CDTF">2025-08-29T11:15:00Z</dcterms:created>
  <dcterms:modified xsi:type="dcterms:W3CDTF">2025-09-01T09:00:00Z</dcterms:modified>
</cp:coreProperties>
</file>