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9B9A9" w14:textId="77777777" w:rsidR="00C264FF" w:rsidRPr="00534AD3" w:rsidRDefault="00BB3AA2">
      <w:pPr>
        <w:spacing w:before="240" w:after="240" w:line="240" w:lineRule="auto"/>
        <w:jc w:val="center"/>
        <w:rPr>
          <w:rFonts w:ascii="Times New Roman" w:eastAsia="Times New Roman" w:hAnsi="Times New Roman" w:cs="Times New Roman"/>
          <w:b/>
          <w:sz w:val="24"/>
          <w:szCs w:val="24"/>
        </w:rPr>
      </w:pPr>
      <w:r w:rsidRPr="00534AD3">
        <w:rPr>
          <w:rFonts w:ascii="Times New Roman" w:eastAsia="Times New Roman" w:hAnsi="Times New Roman" w:cs="Times New Roman"/>
          <w:b/>
          <w:sz w:val="24"/>
          <w:szCs w:val="24"/>
        </w:rPr>
        <w:t>NOTA DE FUNDAMENTARE</w:t>
      </w:r>
    </w:p>
    <w:p w14:paraId="24BEC38A" w14:textId="2B315E29" w:rsidR="00C264FF" w:rsidRPr="00534AD3" w:rsidRDefault="00807D98" w:rsidP="00206AA0">
      <w:pPr>
        <w:pBdr>
          <w:top w:val="nil"/>
          <w:left w:val="nil"/>
          <w:bottom w:val="nil"/>
          <w:right w:val="nil"/>
          <w:between w:val="nil"/>
        </w:pBdr>
        <w:spacing w:after="0" w:line="240" w:lineRule="auto"/>
        <w:ind w:right="141"/>
        <w:jc w:val="center"/>
        <w:rPr>
          <w:rFonts w:ascii="Times New Roman" w:eastAsia="Times New Roman" w:hAnsi="Times New Roman" w:cs="Times New Roman"/>
          <w:b/>
          <w:color w:val="000000"/>
          <w:sz w:val="24"/>
          <w:szCs w:val="24"/>
        </w:rPr>
      </w:pPr>
      <w:r w:rsidRPr="00534AD3">
        <w:rPr>
          <w:rFonts w:ascii="Times New Roman" w:eastAsia="Times New Roman" w:hAnsi="Times New Roman" w:cs="Times New Roman"/>
          <w:b/>
          <w:color w:val="000000"/>
          <w:sz w:val="24"/>
          <w:szCs w:val="24"/>
        </w:rPr>
        <w:t>la proiectul</w:t>
      </w:r>
      <w:r w:rsidR="003A2C90" w:rsidRPr="00534AD3">
        <w:rPr>
          <w:rFonts w:ascii="Times New Roman" w:eastAsia="Times New Roman" w:hAnsi="Times New Roman" w:cs="Times New Roman"/>
          <w:b/>
          <w:color w:val="000000"/>
          <w:sz w:val="24"/>
          <w:szCs w:val="24"/>
        </w:rPr>
        <w:t xml:space="preserve"> de Ordin privind modificarea</w:t>
      </w:r>
      <w:r w:rsidRPr="00534AD3">
        <w:rPr>
          <w:rFonts w:ascii="Times New Roman" w:eastAsia="Times New Roman" w:hAnsi="Times New Roman" w:cs="Times New Roman"/>
          <w:b/>
          <w:color w:val="000000"/>
          <w:sz w:val="24"/>
          <w:szCs w:val="24"/>
        </w:rPr>
        <w:t xml:space="preserve"> </w:t>
      </w:r>
      <w:r w:rsidR="00206AA0" w:rsidRPr="00534AD3">
        <w:rPr>
          <w:rFonts w:ascii="Times New Roman" w:eastAsia="Times New Roman" w:hAnsi="Times New Roman" w:cs="Times New Roman"/>
          <w:b/>
          <w:color w:val="000000"/>
          <w:sz w:val="24"/>
          <w:szCs w:val="24"/>
        </w:rPr>
        <w:t>Regulamentului de atestare a cadrelor de conducere din învățământul general și profesional tehnic, aprobat prin Ordinul ministrului educației și cercetării nr. 1100/2023</w:t>
      </w:r>
    </w:p>
    <w:p w14:paraId="66B70F22" w14:textId="77777777" w:rsidR="00EE4130" w:rsidRPr="00534AD3" w:rsidRDefault="00EE4130" w:rsidP="00206AA0">
      <w:pPr>
        <w:pBdr>
          <w:top w:val="nil"/>
          <w:left w:val="nil"/>
          <w:bottom w:val="nil"/>
          <w:right w:val="nil"/>
          <w:between w:val="nil"/>
        </w:pBdr>
        <w:spacing w:after="0" w:line="240" w:lineRule="auto"/>
        <w:ind w:right="141"/>
        <w:jc w:val="center"/>
        <w:rPr>
          <w:rFonts w:ascii="Times New Roman" w:eastAsia="Times New Roman" w:hAnsi="Times New Roman" w:cs="Times New Roman"/>
          <w:b/>
          <w:color w:val="000000"/>
          <w:sz w:val="24"/>
          <w:szCs w:val="24"/>
          <w:highlight w:val="yellow"/>
        </w:rPr>
      </w:pPr>
    </w:p>
    <w:tbl>
      <w:tblPr>
        <w:tblStyle w:val="a"/>
        <w:tblW w:w="101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C264FF" w:rsidRPr="00534AD3" w14:paraId="18B03B9A" w14:textId="77777777" w:rsidTr="00EE4130">
        <w:trPr>
          <w:trHeight w:val="194"/>
        </w:trPr>
        <w:tc>
          <w:tcPr>
            <w:tcW w:w="10170" w:type="dxa"/>
            <w:shd w:val="clear" w:color="auto" w:fill="A8D08D" w:themeFill="accent6" w:themeFillTint="99"/>
            <w:vAlign w:val="center"/>
          </w:tcPr>
          <w:p w14:paraId="45604126" w14:textId="77777777" w:rsidR="00C264FF" w:rsidRPr="00534AD3" w:rsidRDefault="00BB3AA2" w:rsidP="0025532F">
            <w:pPr>
              <w:spacing w:after="0" w:line="240" w:lineRule="auto"/>
              <w:ind w:right="141"/>
              <w:rPr>
                <w:rFonts w:ascii="Times New Roman" w:eastAsia="Times New Roman" w:hAnsi="Times New Roman" w:cs="Times New Roman"/>
                <w:sz w:val="24"/>
                <w:szCs w:val="24"/>
                <w:highlight w:val="yellow"/>
              </w:rPr>
            </w:pPr>
            <w:r w:rsidRPr="00534AD3">
              <w:rPr>
                <w:rFonts w:ascii="Times New Roman" w:eastAsia="Times New Roman" w:hAnsi="Times New Roman" w:cs="Times New Roman"/>
                <w:b/>
                <w:sz w:val="24"/>
                <w:szCs w:val="24"/>
              </w:rPr>
              <w:t>1. Denumirea sau numele autorului și, după caz, a/al participanților la elaborarea proiectului actului normativ</w:t>
            </w:r>
          </w:p>
        </w:tc>
      </w:tr>
      <w:tr w:rsidR="00C264FF" w:rsidRPr="00534AD3" w14:paraId="4DD7EDC3" w14:textId="77777777" w:rsidTr="00EE4130">
        <w:trPr>
          <w:trHeight w:val="1"/>
        </w:trPr>
        <w:tc>
          <w:tcPr>
            <w:tcW w:w="10170" w:type="dxa"/>
            <w:shd w:val="clear" w:color="auto" w:fill="FFFFFF"/>
          </w:tcPr>
          <w:p w14:paraId="3BEB52E5" w14:textId="388D0093" w:rsidR="00C264FF" w:rsidRPr="00534AD3" w:rsidRDefault="00807D98" w:rsidP="00FF1333">
            <w:pPr>
              <w:pBdr>
                <w:top w:val="nil"/>
                <w:left w:val="nil"/>
                <w:bottom w:val="nil"/>
                <w:right w:val="nil"/>
                <w:between w:val="nil"/>
              </w:pBdr>
              <w:spacing w:after="0" w:line="240" w:lineRule="auto"/>
              <w:ind w:firstLine="554"/>
              <w:jc w:val="both"/>
              <w:rPr>
                <w:rFonts w:ascii="Times New Roman" w:eastAsia="Times New Roman" w:hAnsi="Times New Roman" w:cs="Times New Roman"/>
                <w:color w:val="000000"/>
                <w:sz w:val="24"/>
                <w:szCs w:val="24"/>
                <w:highlight w:val="yellow"/>
              </w:rPr>
            </w:pPr>
            <w:r w:rsidRPr="00534AD3">
              <w:rPr>
                <w:rFonts w:ascii="Times New Roman" w:eastAsia="Times New Roman" w:hAnsi="Times New Roman" w:cs="Times New Roman"/>
                <w:color w:val="000000"/>
                <w:sz w:val="24"/>
                <w:szCs w:val="24"/>
              </w:rPr>
              <w:t>Prezentul proiect a</w:t>
            </w:r>
            <w:r w:rsidR="00EB2FC7" w:rsidRPr="00534AD3">
              <w:rPr>
                <w:rFonts w:ascii="Times New Roman" w:eastAsia="Times New Roman" w:hAnsi="Times New Roman" w:cs="Times New Roman"/>
                <w:color w:val="000000"/>
                <w:sz w:val="24"/>
                <w:szCs w:val="24"/>
              </w:rPr>
              <w:t>l</w:t>
            </w:r>
            <w:r w:rsidRPr="00534AD3">
              <w:rPr>
                <w:rFonts w:ascii="Times New Roman" w:eastAsia="Times New Roman" w:hAnsi="Times New Roman" w:cs="Times New Roman"/>
                <w:color w:val="000000"/>
                <w:sz w:val="24"/>
                <w:szCs w:val="24"/>
              </w:rPr>
              <w:t xml:space="preserve"> </w:t>
            </w:r>
            <w:r w:rsidR="003A2C90" w:rsidRPr="00CF006B">
              <w:rPr>
                <w:rFonts w:ascii="Times New Roman" w:eastAsia="Times New Roman" w:hAnsi="Times New Roman" w:cs="Times New Roman"/>
                <w:i/>
                <w:color w:val="000000"/>
                <w:sz w:val="24"/>
                <w:szCs w:val="24"/>
              </w:rPr>
              <w:t xml:space="preserve">Ordinului privind modificarea </w:t>
            </w:r>
            <w:r w:rsidRPr="00CF006B">
              <w:rPr>
                <w:rFonts w:ascii="Times New Roman" w:eastAsia="Times New Roman" w:hAnsi="Times New Roman" w:cs="Times New Roman"/>
                <w:i/>
                <w:color w:val="000000"/>
                <w:sz w:val="24"/>
                <w:szCs w:val="24"/>
              </w:rPr>
              <w:t xml:space="preserve">Regulamentului de atestare a cadrelor </w:t>
            </w:r>
            <w:r w:rsidR="00763405" w:rsidRPr="00CF006B">
              <w:rPr>
                <w:rFonts w:ascii="Times New Roman" w:eastAsia="Times New Roman" w:hAnsi="Times New Roman" w:cs="Times New Roman"/>
                <w:i/>
                <w:color w:val="000000"/>
                <w:sz w:val="24"/>
                <w:szCs w:val="24"/>
              </w:rPr>
              <w:t>de conducere din învățământul general și profesional tehnic</w:t>
            </w:r>
            <w:r w:rsidR="003A2C90" w:rsidRPr="00534AD3">
              <w:rPr>
                <w:rFonts w:ascii="Times New Roman" w:eastAsia="Times New Roman" w:hAnsi="Times New Roman" w:cs="Times New Roman"/>
                <w:color w:val="000000"/>
                <w:sz w:val="24"/>
                <w:szCs w:val="24"/>
              </w:rPr>
              <w:t>, aprobat pri</w:t>
            </w:r>
            <w:r w:rsidR="00206AA0" w:rsidRPr="00534AD3">
              <w:rPr>
                <w:rFonts w:ascii="Times New Roman" w:eastAsia="Times New Roman" w:hAnsi="Times New Roman" w:cs="Times New Roman"/>
                <w:color w:val="000000"/>
                <w:sz w:val="24"/>
                <w:szCs w:val="24"/>
              </w:rPr>
              <w:t xml:space="preserve">n Ordinul ministrului educației </w:t>
            </w:r>
            <w:r w:rsidR="00763405" w:rsidRPr="00534AD3">
              <w:rPr>
                <w:rFonts w:ascii="Times New Roman" w:eastAsia="Times New Roman" w:hAnsi="Times New Roman" w:cs="Times New Roman"/>
                <w:color w:val="000000"/>
                <w:sz w:val="24"/>
                <w:szCs w:val="24"/>
              </w:rPr>
              <w:t>și cercetării nr. 1100/2023</w:t>
            </w:r>
            <w:r w:rsidRPr="00534AD3">
              <w:rPr>
                <w:rFonts w:ascii="Times New Roman" w:eastAsia="Times New Roman" w:hAnsi="Times New Roman" w:cs="Times New Roman"/>
                <w:color w:val="000000"/>
                <w:sz w:val="24"/>
                <w:szCs w:val="24"/>
              </w:rPr>
              <w:t xml:space="preserve"> </w:t>
            </w:r>
            <w:r w:rsidR="00BB3AA2" w:rsidRPr="00534AD3">
              <w:rPr>
                <w:rFonts w:ascii="Times New Roman" w:eastAsia="Times New Roman" w:hAnsi="Times New Roman" w:cs="Times New Roman"/>
                <w:color w:val="000000"/>
                <w:sz w:val="24"/>
                <w:szCs w:val="24"/>
              </w:rPr>
              <w:t>este elaborat de către Ministerul Educației</w:t>
            </w:r>
            <w:r w:rsidRPr="00534AD3">
              <w:rPr>
                <w:rFonts w:ascii="Times New Roman" w:eastAsia="Times New Roman" w:hAnsi="Times New Roman" w:cs="Times New Roman"/>
                <w:color w:val="000000"/>
                <w:sz w:val="24"/>
                <w:szCs w:val="24"/>
              </w:rPr>
              <w:t xml:space="preserve"> și Cercetării.</w:t>
            </w:r>
          </w:p>
        </w:tc>
      </w:tr>
      <w:tr w:rsidR="00C264FF" w:rsidRPr="00534AD3" w14:paraId="1494B8C4" w14:textId="77777777" w:rsidTr="00EE4130">
        <w:trPr>
          <w:trHeight w:val="132"/>
        </w:trPr>
        <w:tc>
          <w:tcPr>
            <w:tcW w:w="10170" w:type="dxa"/>
            <w:shd w:val="clear" w:color="auto" w:fill="A8D08D" w:themeFill="accent6" w:themeFillTint="99"/>
            <w:vAlign w:val="center"/>
          </w:tcPr>
          <w:p w14:paraId="6FC9321F" w14:textId="77777777" w:rsidR="00C264FF" w:rsidRPr="00534AD3" w:rsidRDefault="00BB3AA2" w:rsidP="0025532F">
            <w:pPr>
              <w:tabs>
                <w:tab w:val="left" w:pos="884"/>
                <w:tab w:val="left" w:pos="1196"/>
              </w:tabs>
              <w:spacing w:after="0" w:line="240" w:lineRule="auto"/>
              <w:ind w:right="141"/>
              <w:jc w:val="both"/>
              <w:rPr>
                <w:rFonts w:ascii="Times New Roman" w:eastAsia="Times New Roman" w:hAnsi="Times New Roman" w:cs="Times New Roman"/>
                <w:b/>
                <w:sz w:val="24"/>
                <w:szCs w:val="24"/>
              </w:rPr>
            </w:pPr>
            <w:r w:rsidRPr="00534AD3">
              <w:rPr>
                <w:rFonts w:ascii="Times New Roman" w:eastAsia="Times New Roman" w:hAnsi="Times New Roman" w:cs="Times New Roman"/>
                <w:b/>
                <w:sz w:val="24"/>
                <w:szCs w:val="24"/>
              </w:rPr>
              <w:t>2. Condițiile ce au impus elaborarea proiectului actului normativ</w:t>
            </w:r>
          </w:p>
        </w:tc>
      </w:tr>
      <w:tr w:rsidR="00C264FF" w:rsidRPr="00534AD3" w14:paraId="7347F76F" w14:textId="77777777" w:rsidTr="00EE4130">
        <w:trPr>
          <w:trHeight w:val="132"/>
        </w:trPr>
        <w:tc>
          <w:tcPr>
            <w:tcW w:w="10170" w:type="dxa"/>
            <w:shd w:val="clear" w:color="auto" w:fill="FFF2CC" w:themeFill="accent4" w:themeFillTint="33"/>
            <w:vAlign w:val="center"/>
          </w:tcPr>
          <w:p w14:paraId="2880E117" w14:textId="77777777" w:rsidR="00C264FF" w:rsidRPr="00534AD3" w:rsidRDefault="00BB3AA2" w:rsidP="0025532F">
            <w:pPr>
              <w:tabs>
                <w:tab w:val="left" w:pos="884"/>
                <w:tab w:val="left" w:pos="1196"/>
              </w:tabs>
              <w:spacing w:after="0" w:line="240" w:lineRule="auto"/>
              <w:ind w:right="141"/>
              <w:jc w:val="both"/>
              <w:rPr>
                <w:rFonts w:ascii="Times New Roman" w:eastAsia="Times New Roman" w:hAnsi="Times New Roman" w:cs="Times New Roman"/>
                <w:b/>
                <w:sz w:val="24"/>
                <w:szCs w:val="24"/>
              </w:rPr>
            </w:pPr>
            <w:r w:rsidRPr="00534AD3">
              <w:rPr>
                <w:rFonts w:ascii="Times New Roman" w:eastAsia="Times New Roman" w:hAnsi="Times New Roman" w:cs="Times New Roman"/>
                <w:b/>
                <w:sz w:val="24"/>
                <w:szCs w:val="24"/>
              </w:rPr>
              <w:t>2.1. Temeiul legal sau, după caz, sursa proiectului actului normativ</w:t>
            </w:r>
          </w:p>
        </w:tc>
      </w:tr>
      <w:tr w:rsidR="00C264FF" w:rsidRPr="00534AD3" w14:paraId="7475F5F4" w14:textId="77777777" w:rsidTr="00EE4130">
        <w:trPr>
          <w:trHeight w:val="132"/>
        </w:trPr>
        <w:tc>
          <w:tcPr>
            <w:tcW w:w="10170" w:type="dxa"/>
            <w:vAlign w:val="center"/>
          </w:tcPr>
          <w:p w14:paraId="4D40D7F3" w14:textId="38C81190" w:rsidR="00F94041" w:rsidRPr="00534AD3" w:rsidRDefault="00187E64" w:rsidP="00FF1333">
            <w:pPr>
              <w:pStyle w:val="Titlu4"/>
              <w:shd w:val="clear" w:color="auto" w:fill="FFFFFF"/>
              <w:spacing w:before="0" w:beforeAutospacing="0" w:after="0" w:afterAutospacing="0"/>
              <w:ind w:firstLine="554"/>
              <w:jc w:val="both"/>
              <w:rPr>
                <w:b w:val="0"/>
                <w:bCs w:val="0"/>
                <w:color w:val="000000"/>
                <w:lang w:val="ro-RO"/>
              </w:rPr>
            </w:pPr>
            <w:r w:rsidRPr="00534AD3">
              <w:rPr>
                <w:b w:val="0"/>
                <w:bCs w:val="0"/>
                <w:color w:val="000000"/>
                <w:lang w:val="ro-RO"/>
              </w:rPr>
              <w:t xml:space="preserve">Modificarea </w:t>
            </w:r>
            <w:r w:rsidRPr="00CF006B">
              <w:rPr>
                <w:b w:val="0"/>
                <w:bCs w:val="0"/>
                <w:i/>
                <w:color w:val="000000"/>
                <w:lang w:val="ro-RO"/>
              </w:rPr>
              <w:t xml:space="preserve">Regulamentului de atestare a cadrelor </w:t>
            </w:r>
            <w:r w:rsidR="00763405" w:rsidRPr="00CF006B">
              <w:rPr>
                <w:b w:val="0"/>
                <w:i/>
                <w:color w:val="000000"/>
                <w:lang w:val="ro-RO"/>
              </w:rPr>
              <w:t>de conducere din învățământul general și profesional tehnic</w:t>
            </w:r>
            <w:r w:rsidR="00CF006B" w:rsidRPr="00CF006B">
              <w:rPr>
                <w:b w:val="0"/>
                <w:lang w:eastAsia="ru-RU"/>
              </w:rPr>
              <w:t xml:space="preserve"> </w:t>
            </w:r>
            <w:r w:rsidR="00CF006B" w:rsidRPr="00CF006B">
              <w:rPr>
                <w:b w:val="0"/>
                <w:i/>
                <w:lang w:val="ro-RO" w:eastAsia="ru-RU"/>
              </w:rPr>
              <w:t>(în continuare Regulament)</w:t>
            </w:r>
            <w:r w:rsidR="00CF006B" w:rsidRPr="00CF006B">
              <w:rPr>
                <w:b w:val="0"/>
                <w:lang w:eastAsia="ru-RU"/>
              </w:rPr>
              <w:t xml:space="preserve">, </w:t>
            </w:r>
            <w:r w:rsidR="00763405" w:rsidRPr="00534AD3">
              <w:rPr>
                <w:b w:val="0"/>
                <w:bCs w:val="0"/>
                <w:color w:val="000000"/>
                <w:lang w:val="ro-RO"/>
              </w:rPr>
              <w:t xml:space="preserve"> </w:t>
            </w:r>
            <w:r w:rsidRPr="00534AD3">
              <w:rPr>
                <w:b w:val="0"/>
                <w:bCs w:val="0"/>
                <w:color w:val="000000"/>
                <w:lang w:val="ro-RO"/>
              </w:rPr>
              <w:t xml:space="preserve">este impusă de punerea în aplicare a </w:t>
            </w:r>
            <w:r w:rsidR="00332931" w:rsidRPr="00534AD3">
              <w:rPr>
                <w:b w:val="0"/>
                <w:bCs w:val="0"/>
                <w:color w:val="000000"/>
                <w:lang w:val="ro-RO"/>
              </w:rPr>
              <w:t xml:space="preserve">noilor modificări din </w:t>
            </w:r>
            <w:r w:rsidR="00332931" w:rsidRPr="00534AD3">
              <w:rPr>
                <w:b w:val="0"/>
                <w:lang w:val="ro-RO"/>
              </w:rPr>
              <w:t xml:space="preserve">Legea  nr. 270/2018 privind sistemul unitar de salarizare și a </w:t>
            </w:r>
            <w:r w:rsidR="00B43A6E" w:rsidRPr="00534AD3">
              <w:rPr>
                <w:b w:val="0"/>
                <w:bCs w:val="0"/>
                <w:color w:val="000000"/>
                <w:lang w:val="ro-RO"/>
              </w:rPr>
              <w:t>Ordinului ministrului educației și cercetării nr. 1153/2024 cu privire la abrogarea Ordinelor:</w:t>
            </w:r>
          </w:p>
          <w:p w14:paraId="5ACB8803" w14:textId="4A461059" w:rsidR="00B43A6E" w:rsidRPr="00534AD3" w:rsidRDefault="00F94041" w:rsidP="00B43A6E">
            <w:pPr>
              <w:pStyle w:val="Titlu4"/>
              <w:shd w:val="clear" w:color="auto" w:fill="FFFFFF"/>
              <w:spacing w:before="0" w:beforeAutospacing="0" w:after="0" w:afterAutospacing="0"/>
              <w:ind w:firstLine="412"/>
              <w:jc w:val="both"/>
              <w:rPr>
                <w:b w:val="0"/>
                <w:bCs w:val="0"/>
                <w:color w:val="000000"/>
                <w:lang w:val="ro-RO"/>
              </w:rPr>
            </w:pPr>
            <w:r w:rsidRPr="00534AD3">
              <w:rPr>
                <w:b w:val="0"/>
                <w:bCs w:val="0"/>
                <w:color w:val="000000"/>
                <w:lang w:val="ro-RO"/>
              </w:rPr>
              <w:t xml:space="preserve">- </w:t>
            </w:r>
            <w:r w:rsidR="00B43A6E" w:rsidRPr="00534AD3">
              <w:rPr>
                <w:b w:val="0"/>
                <w:bCs w:val="0"/>
                <w:color w:val="000000"/>
                <w:lang w:val="ro-RO"/>
              </w:rPr>
              <w:t>nr. 1099/2023 cu privire la aprobarea Metodologiei de evaluare a cadrelor de conducere din învățământul general;</w:t>
            </w:r>
          </w:p>
          <w:p w14:paraId="7CEE093C" w14:textId="46EC2843" w:rsidR="00B43A6E" w:rsidRPr="00534AD3" w:rsidRDefault="00B43A6E" w:rsidP="00B43A6E">
            <w:pPr>
              <w:pStyle w:val="Titlu4"/>
              <w:shd w:val="clear" w:color="auto" w:fill="FFFFFF"/>
              <w:spacing w:before="0" w:beforeAutospacing="0" w:after="0" w:afterAutospacing="0"/>
              <w:ind w:firstLine="412"/>
              <w:jc w:val="both"/>
              <w:rPr>
                <w:rFonts w:ascii="PT Serif" w:hAnsi="PT Serif"/>
                <w:b w:val="0"/>
                <w:bCs w:val="0"/>
                <w:color w:val="333333"/>
                <w:lang w:val="ro-RO"/>
              </w:rPr>
            </w:pPr>
            <w:r w:rsidRPr="00534AD3">
              <w:rPr>
                <w:b w:val="0"/>
                <w:bCs w:val="0"/>
                <w:color w:val="000000"/>
                <w:lang w:val="ro-RO"/>
              </w:rPr>
              <w:t>- nr. 581/2020 cu privire la aprobarea Metodologiei de evaluare în învățământul general.</w:t>
            </w:r>
          </w:p>
          <w:p w14:paraId="3C571964" w14:textId="56163C93" w:rsidR="00261806" w:rsidRPr="00534AD3" w:rsidRDefault="00261806" w:rsidP="00FF1333">
            <w:pPr>
              <w:pStyle w:val="Titlu4"/>
              <w:shd w:val="clear" w:color="auto" w:fill="FFFFFF"/>
              <w:spacing w:before="0" w:beforeAutospacing="0" w:after="0" w:afterAutospacing="0"/>
              <w:ind w:firstLine="412"/>
              <w:jc w:val="both"/>
              <w:rPr>
                <w:rFonts w:ascii="PT Serif" w:hAnsi="PT Serif"/>
                <w:b w:val="0"/>
                <w:bCs w:val="0"/>
                <w:color w:val="333333"/>
                <w:lang w:val="ro-RO"/>
              </w:rPr>
            </w:pPr>
          </w:p>
        </w:tc>
      </w:tr>
      <w:tr w:rsidR="00C264FF" w:rsidRPr="00534AD3" w14:paraId="28B9810B" w14:textId="77777777" w:rsidTr="00EE4130">
        <w:trPr>
          <w:trHeight w:val="132"/>
        </w:trPr>
        <w:tc>
          <w:tcPr>
            <w:tcW w:w="10170" w:type="dxa"/>
            <w:shd w:val="clear" w:color="auto" w:fill="FFF2CC" w:themeFill="accent4" w:themeFillTint="33"/>
            <w:vAlign w:val="center"/>
          </w:tcPr>
          <w:p w14:paraId="6C698FAB" w14:textId="77777777" w:rsidR="00C264FF" w:rsidRPr="00534AD3" w:rsidRDefault="00BB3AA2" w:rsidP="0025532F">
            <w:pPr>
              <w:tabs>
                <w:tab w:val="left" w:pos="884"/>
                <w:tab w:val="left" w:pos="1196"/>
              </w:tabs>
              <w:spacing w:after="0" w:line="240" w:lineRule="auto"/>
              <w:ind w:right="141"/>
              <w:jc w:val="both"/>
              <w:rPr>
                <w:rFonts w:ascii="Times New Roman" w:eastAsia="Times New Roman" w:hAnsi="Times New Roman" w:cs="Times New Roman"/>
                <w:b/>
                <w:sz w:val="24"/>
                <w:szCs w:val="24"/>
              </w:rPr>
            </w:pPr>
            <w:r w:rsidRPr="00534AD3">
              <w:rPr>
                <w:rFonts w:ascii="Times New Roman" w:eastAsia="Times New Roman" w:hAnsi="Times New Roman" w:cs="Times New Roman"/>
                <w:b/>
                <w:sz w:val="24"/>
                <w:szCs w:val="24"/>
              </w:rPr>
              <w:t>2.2. Descrierea situației actuale și a problemelor care impun intervenția, inclusiv a cadrului normativ aplicabil și a deficiențelor/lacunelor normative</w:t>
            </w:r>
          </w:p>
        </w:tc>
      </w:tr>
      <w:tr w:rsidR="00C264FF" w:rsidRPr="00534AD3" w14:paraId="6F0D0E4F" w14:textId="77777777" w:rsidTr="00EE4130">
        <w:trPr>
          <w:trHeight w:val="1"/>
        </w:trPr>
        <w:tc>
          <w:tcPr>
            <w:tcW w:w="10170" w:type="dxa"/>
            <w:shd w:val="clear" w:color="auto" w:fill="FFFFFF"/>
          </w:tcPr>
          <w:p w14:paraId="1722C16D" w14:textId="266E8445" w:rsidR="00207C65" w:rsidRPr="00D819ED" w:rsidRDefault="00207C65" w:rsidP="0020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07C65">
              <w:rPr>
                <w:rFonts w:ascii="Times New Roman" w:eastAsia="Times New Roman" w:hAnsi="Times New Roman" w:cs="Times New Roman"/>
                <w:sz w:val="24"/>
                <w:szCs w:val="24"/>
                <w:lang w:eastAsia="ru-RU"/>
              </w:rPr>
              <w:t xml:space="preserve">În prezent, Regulamentul reglementează cadrul general privind procedurile și criteriile pentru </w:t>
            </w:r>
            <w:r w:rsidRPr="00534AD3">
              <w:rPr>
                <w:rFonts w:ascii="Times New Roman" w:eastAsia="Times New Roman" w:hAnsi="Times New Roman" w:cs="Times New Roman"/>
                <w:bCs/>
                <w:sz w:val="24"/>
                <w:szCs w:val="24"/>
                <w:lang w:eastAsia="ru-RU"/>
              </w:rPr>
              <w:t>acordarea gradelor manageriale</w:t>
            </w:r>
            <w:r w:rsidRPr="00207C65">
              <w:rPr>
                <w:rFonts w:ascii="Times New Roman" w:eastAsia="Times New Roman" w:hAnsi="Times New Roman" w:cs="Times New Roman"/>
                <w:sz w:val="24"/>
                <w:szCs w:val="24"/>
                <w:lang w:eastAsia="ru-RU"/>
              </w:rPr>
              <w:t xml:space="preserve"> cadrelor de conducere din sistemul de învăț</w:t>
            </w:r>
            <w:r w:rsidRPr="00D819ED">
              <w:rPr>
                <w:rFonts w:ascii="Times New Roman" w:eastAsia="Times New Roman" w:hAnsi="Times New Roman" w:cs="Times New Roman"/>
                <w:sz w:val="24"/>
                <w:szCs w:val="24"/>
                <w:lang w:eastAsia="ru-RU"/>
              </w:rPr>
              <w:t xml:space="preserve">ământ. </w:t>
            </w:r>
            <w:r w:rsidR="00CF006B" w:rsidRPr="00D819ED">
              <w:rPr>
                <w:rFonts w:ascii="Times New Roman" w:eastAsia="Times New Roman" w:hAnsi="Times New Roman" w:cs="Times New Roman"/>
                <w:sz w:val="24"/>
                <w:szCs w:val="24"/>
                <w:lang w:eastAsia="ru-RU"/>
              </w:rPr>
              <w:t xml:space="preserve">Totodată au fost elaborate Standarde noi de competențe profesionale pentru cadrele de conducere din învățământul general. </w:t>
            </w:r>
            <w:r w:rsidRPr="00D819ED">
              <w:rPr>
                <w:rFonts w:ascii="Times New Roman" w:eastAsia="Times New Roman" w:hAnsi="Times New Roman" w:cs="Times New Roman"/>
                <w:sz w:val="24"/>
                <w:szCs w:val="24"/>
                <w:lang w:eastAsia="ru-RU"/>
              </w:rPr>
              <w:t>Totuși, aplicarea acestui Regulament a evidențiat o serie de deficiențe și necorelări legislative, impunându-se actualizarea sa în raport cu modificările recente survenite în legislația națională.</w:t>
            </w:r>
            <w:r w:rsidR="00CF006B" w:rsidRPr="00D819ED">
              <w:rPr>
                <w:rFonts w:ascii="Times New Roman" w:eastAsia="Times New Roman" w:hAnsi="Times New Roman" w:cs="Times New Roman"/>
                <w:sz w:val="24"/>
                <w:szCs w:val="24"/>
                <w:lang w:eastAsia="ru-RU"/>
              </w:rPr>
              <w:t xml:space="preserve"> </w:t>
            </w:r>
          </w:p>
          <w:p w14:paraId="2B632806" w14:textId="5A07560C" w:rsidR="00207C65" w:rsidRPr="00207C65" w:rsidRDefault="00207C65" w:rsidP="0020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19ED">
              <w:rPr>
                <w:rFonts w:ascii="Times New Roman" w:eastAsia="Times New Roman" w:hAnsi="Times New Roman" w:cs="Times New Roman"/>
                <w:sz w:val="24"/>
                <w:szCs w:val="24"/>
                <w:lang w:eastAsia="ru-RU"/>
              </w:rPr>
              <w:t>În anul 2024, prin Ordinul ministrului educației și cercetării nr. 1153/2024, au fost abrogate două ordine esențiale pentru cadrul de evaluare managerială: Ordinul nr. 1099/2023 privind aprobarea Metodologiei de evaluare a cadrelor de conducere din învățământul general și Ordinul nr. 581/2020 privind Metodologia de evaluare în învățământul general. Aceste abrogări</w:t>
            </w:r>
            <w:r w:rsidR="00CF006B" w:rsidRPr="00D819ED">
              <w:rPr>
                <w:rFonts w:ascii="Times New Roman" w:eastAsia="Times New Roman" w:hAnsi="Times New Roman" w:cs="Times New Roman"/>
                <w:sz w:val="24"/>
                <w:szCs w:val="24"/>
                <w:lang w:eastAsia="ru-RU"/>
              </w:rPr>
              <w:t>, cât și Standardele noi de competențe profesionale pentru cadrele de conducere din învățământul general</w:t>
            </w:r>
            <w:r w:rsidRPr="00D819ED">
              <w:rPr>
                <w:rFonts w:ascii="Times New Roman" w:eastAsia="Times New Roman" w:hAnsi="Times New Roman" w:cs="Times New Roman"/>
                <w:sz w:val="24"/>
                <w:szCs w:val="24"/>
                <w:lang w:eastAsia="ru-RU"/>
              </w:rPr>
              <w:t xml:space="preserve"> au determinat necesitatea revizuirii</w:t>
            </w:r>
            <w:r w:rsidR="00DF251E" w:rsidRPr="00D819ED">
              <w:rPr>
                <w:rFonts w:ascii="Times New Roman" w:eastAsia="Times New Roman" w:hAnsi="Times New Roman" w:cs="Times New Roman"/>
                <w:sz w:val="24"/>
                <w:szCs w:val="24"/>
                <w:lang w:eastAsia="ru-RU"/>
              </w:rPr>
              <w:t xml:space="preserve"> și armonizării Regulamentului</w:t>
            </w:r>
            <w:r w:rsidRPr="00D819ED">
              <w:rPr>
                <w:rFonts w:ascii="Times New Roman" w:eastAsia="Times New Roman" w:hAnsi="Times New Roman" w:cs="Times New Roman"/>
                <w:sz w:val="24"/>
                <w:szCs w:val="24"/>
                <w:lang w:eastAsia="ru-RU"/>
              </w:rPr>
              <w:t>, astfel încât procesul de acordare a gradelor manageriale să rămână clar reglementat, coerent și aplicabil.</w:t>
            </w:r>
          </w:p>
          <w:p w14:paraId="16033537" w14:textId="4C86F850" w:rsidR="00207C65" w:rsidRPr="00207C65" w:rsidRDefault="00207C65" w:rsidP="0020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07C65">
              <w:rPr>
                <w:rFonts w:ascii="Times New Roman" w:eastAsia="Times New Roman" w:hAnsi="Times New Roman" w:cs="Times New Roman"/>
                <w:sz w:val="24"/>
                <w:szCs w:val="24"/>
                <w:lang w:eastAsia="ru-RU"/>
              </w:rPr>
              <w:t>Totodată, analiza aplicării prevederilor actuale a relevat existența unor lacune în ceea ce privește procedurile de evaluare bazate pe calificativele acordate în urma evaluărilor externe realizate de ANACEC. În contextul anulării acestor evaluări în anul 2024, l</w:t>
            </w:r>
            <w:r w:rsidRPr="00534AD3">
              <w:rPr>
                <w:rFonts w:ascii="Times New Roman" w:eastAsia="Times New Roman" w:hAnsi="Times New Roman" w:cs="Times New Roman"/>
                <w:sz w:val="24"/>
                <w:szCs w:val="24"/>
                <w:lang w:eastAsia="ru-RU"/>
              </w:rPr>
              <w:t>ipsa unei alternative clare în R</w:t>
            </w:r>
            <w:r w:rsidRPr="00207C65">
              <w:rPr>
                <w:rFonts w:ascii="Times New Roman" w:eastAsia="Times New Roman" w:hAnsi="Times New Roman" w:cs="Times New Roman"/>
                <w:sz w:val="24"/>
                <w:szCs w:val="24"/>
                <w:lang w:eastAsia="ru-RU"/>
              </w:rPr>
              <w:t>egulament a generat incertitudini și practici neuniforme, afectând transparența și echitatea procesului de atestare a cadrelor de conducere.</w:t>
            </w:r>
          </w:p>
          <w:p w14:paraId="141D39F4" w14:textId="51562DE6" w:rsidR="00207C65" w:rsidRPr="00207C65" w:rsidRDefault="00207C65" w:rsidP="0020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07C65">
              <w:rPr>
                <w:rFonts w:ascii="Times New Roman" w:eastAsia="Times New Roman" w:hAnsi="Times New Roman" w:cs="Times New Roman"/>
                <w:sz w:val="24"/>
                <w:szCs w:val="24"/>
                <w:lang w:eastAsia="ru-RU"/>
              </w:rPr>
              <w:t xml:space="preserve">Un alt </w:t>
            </w:r>
            <w:r w:rsidR="00DF251E">
              <w:rPr>
                <w:rFonts w:ascii="Times New Roman" w:eastAsia="Times New Roman" w:hAnsi="Times New Roman" w:cs="Times New Roman"/>
                <w:sz w:val="24"/>
                <w:szCs w:val="24"/>
                <w:lang w:eastAsia="ru-RU"/>
              </w:rPr>
              <w:t>aspect care impune modificarea R</w:t>
            </w:r>
            <w:r w:rsidRPr="00207C65">
              <w:rPr>
                <w:rFonts w:ascii="Times New Roman" w:eastAsia="Times New Roman" w:hAnsi="Times New Roman" w:cs="Times New Roman"/>
                <w:sz w:val="24"/>
                <w:szCs w:val="24"/>
                <w:lang w:eastAsia="ru-RU"/>
              </w:rPr>
              <w:t xml:space="preserve">egulamentului îl constituie intrarea în vigoare a noilor prevederi din Legea nr. 270/2018 privind sistemul unitar de salarizare, care înlocuiesc sistemul claselor de salarizare cu acordarea unui </w:t>
            </w:r>
            <w:r w:rsidRPr="00534AD3">
              <w:rPr>
                <w:rFonts w:ascii="Times New Roman" w:eastAsia="Times New Roman" w:hAnsi="Times New Roman" w:cs="Times New Roman"/>
                <w:bCs/>
                <w:sz w:val="24"/>
                <w:szCs w:val="24"/>
                <w:lang w:eastAsia="ru-RU"/>
              </w:rPr>
              <w:t>spor lunar</w:t>
            </w:r>
            <w:r w:rsidRPr="00207C65">
              <w:rPr>
                <w:rFonts w:ascii="Times New Roman" w:eastAsia="Times New Roman" w:hAnsi="Times New Roman" w:cs="Times New Roman"/>
                <w:sz w:val="24"/>
                <w:szCs w:val="24"/>
                <w:lang w:eastAsia="ru-RU"/>
              </w:rPr>
              <w:t xml:space="preserve"> pentru cadrele de conducere care dețin grad managerial. Această schimbare necesită ajustarea core</w:t>
            </w:r>
            <w:r w:rsidRPr="00534AD3">
              <w:rPr>
                <w:rFonts w:ascii="Times New Roman" w:eastAsia="Times New Roman" w:hAnsi="Times New Roman" w:cs="Times New Roman"/>
                <w:sz w:val="24"/>
                <w:szCs w:val="24"/>
                <w:lang w:eastAsia="ru-RU"/>
              </w:rPr>
              <w:t>spunzătoare a prevederilor din R</w:t>
            </w:r>
            <w:r w:rsidRPr="00207C65">
              <w:rPr>
                <w:rFonts w:ascii="Times New Roman" w:eastAsia="Times New Roman" w:hAnsi="Times New Roman" w:cs="Times New Roman"/>
                <w:sz w:val="24"/>
                <w:szCs w:val="24"/>
                <w:lang w:eastAsia="ru-RU"/>
              </w:rPr>
              <w:t>egulament, astfel încât să reflecte corect noul mod de remunerare și să asigure aplicabilitatea în practică.</w:t>
            </w:r>
          </w:p>
          <w:p w14:paraId="4044F73E" w14:textId="77777777" w:rsidR="00207C65" w:rsidRPr="00207C65" w:rsidRDefault="00207C65" w:rsidP="00207C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07C65">
              <w:rPr>
                <w:rFonts w:ascii="Times New Roman" w:eastAsia="Times New Roman" w:hAnsi="Times New Roman" w:cs="Times New Roman"/>
                <w:sz w:val="24"/>
                <w:szCs w:val="24"/>
                <w:lang w:eastAsia="ru-RU"/>
              </w:rPr>
              <w:t>De asemenea, a fost identificată o lacună importantă referitoare la posibilitatea cadrelor didactice aflate în concedii legale (concediu medical, de maternitate, pentru îngrijirea copilului etc.) de a depune cererea de atestare. Absența unei prevederi explicite în acest sens a generat situații de inechitate și a împiedicat accesul la atestare al unor cadre aflate în imposibilitate obiectivă de a participa în termenele stabilite.</w:t>
            </w:r>
          </w:p>
          <w:p w14:paraId="073A9FB1" w14:textId="41A8F4D8" w:rsidR="00207C65" w:rsidRPr="00534AD3" w:rsidRDefault="00207C65" w:rsidP="00EE4130">
            <w:pPr>
              <w:spacing w:before="100" w:beforeAutospacing="1" w:line="240" w:lineRule="auto"/>
              <w:jc w:val="both"/>
              <w:rPr>
                <w:rFonts w:ascii="Times New Roman" w:eastAsia="Times New Roman" w:hAnsi="Times New Roman" w:cs="Times New Roman"/>
                <w:sz w:val="24"/>
                <w:szCs w:val="24"/>
                <w:lang w:eastAsia="ru-RU"/>
              </w:rPr>
            </w:pPr>
            <w:r w:rsidRPr="00207C65">
              <w:rPr>
                <w:rFonts w:ascii="Times New Roman" w:eastAsia="Times New Roman" w:hAnsi="Times New Roman" w:cs="Times New Roman"/>
                <w:sz w:val="24"/>
                <w:szCs w:val="24"/>
                <w:lang w:eastAsia="ru-RU"/>
              </w:rPr>
              <w:lastRenderedPageBreak/>
              <w:t>În concluzie, modificările propuse vizează corectarea acestor deficiențe, actualizarea cadrului normativ în concordanță cu legislația în vigoare și asigurarea unui proces de atestare clar, echitabil și eficient, care să sprijine dezvoltarea profesională și consolidarea managementului instituțional în învățământul general și profesional tehnic.</w:t>
            </w:r>
          </w:p>
        </w:tc>
      </w:tr>
      <w:tr w:rsidR="00C264FF" w:rsidRPr="00534AD3" w14:paraId="657BBA88" w14:textId="77777777" w:rsidTr="00534AD3">
        <w:trPr>
          <w:trHeight w:val="451"/>
        </w:trPr>
        <w:tc>
          <w:tcPr>
            <w:tcW w:w="10170" w:type="dxa"/>
            <w:shd w:val="clear" w:color="auto" w:fill="A8D08D" w:themeFill="accent6" w:themeFillTint="99"/>
          </w:tcPr>
          <w:p w14:paraId="62EAD1B3" w14:textId="77777777" w:rsidR="00C264FF" w:rsidRPr="00534AD3" w:rsidRDefault="00BB3AA2" w:rsidP="002553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rPr>
                <w:rFonts w:ascii="Times New Roman" w:eastAsia="Times New Roman" w:hAnsi="Times New Roman" w:cs="Times New Roman"/>
                <w:b/>
                <w:color w:val="000000"/>
                <w:sz w:val="24"/>
                <w:szCs w:val="24"/>
              </w:rPr>
            </w:pPr>
            <w:r w:rsidRPr="00534AD3">
              <w:rPr>
                <w:rFonts w:ascii="Times New Roman" w:eastAsia="Times New Roman" w:hAnsi="Times New Roman" w:cs="Times New Roman"/>
                <w:b/>
                <w:color w:val="000000"/>
                <w:sz w:val="24"/>
                <w:szCs w:val="24"/>
              </w:rPr>
              <w:lastRenderedPageBreak/>
              <w:t xml:space="preserve">3. </w:t>
            </w:r>
            <w:r w:rsidRPr="00534AD3">
              <w:rPr>
                <w:rFonts w:ascii="Times New Roman" w:eastAsia="Times New Roman" w:hAnsi="Times New Roman" w:cs="Times New Roman"/>
                <w:b/>
                <w:sz w:val="24"/>
                <w:szCs w:val="24"/>
              </w:rPr>
              <w:t>Obiectivele urmărite și soluțiile propuse</w:t>
            </w:r>
          </w:p>
        </w:tc>
      </w:tr>
      <w:tr w:rsidR="00C264FF" w:rsidRPr="00534AD3" w14:paraId="37079A82" w14:textId="77777777" w:rsidTr="00534AD3">
        <w:trPr>
          <w:trHeight w:val="429"/>
        </w:trPr>
        <w:tc>
          <w:tcPr>
            <w:tcW w:w="10170" w:type="dxa"/>
            <w:shd w:val="clear" w:color="auto" w:fill="FFF2CC" w:themeFill="accent4" w:themeFillTint="33"/>
          </w:tcPr>
          <w:p w14:paraId="56AFF2EF" w14:textId="77777777" w:rsidR="00C264FF" w:rsidRPr="00534AD3" w:rsidRDefault="00BB3AA2" w:rsidP="00AA6018">
            <w:pPr>
              <w:pBdr>
                <w:top w:val="nil"/>
                <w:left w:val="nil"/>
                <w:bottom w:val="nil"/>
                <w:right w:val="nil"/>
                <w:between w:val="nil"/>
              </w:pBdr>
              <w:spacing w:after="0" w:line="240" w:lineRule="auto"/>
              <w:ind w:firstLine="318"/>
              <w:jc w:val="both"/>
              <w:rPr>
                <w:rFonts w:ascii="Times New Roman" w:eastAsia="Times New Roman" w:hAnsi="Times New Roman" w:cs="Times New Roman"/>
                <w:sz w:val="24"/>
                <w:szCs w:val="24"/>
              </w:rPr>
            </w:pPr>
            <w:r w:rsidRPr="00534AD3">
              <w:rPr>
                <w:rFonts w:ascii="Times New Roman" w:eastAsia="Times New Roman" w:hAnsi="Times New Roman" w:cs="Times New Roman"/>
                <w:sz w:val="24"/>
                <w:szCs w:val="24"/>
              </w:rPr>
              <w:t>3.1. Principalele prevederi ale proiectului și evidențierea elementelor noi</w:t>
            </w:r>
          </w:p>
        </w:tc>
      </w:tr>
      <w:tr w:rsidR="00C264FF" w:rsidRPr="00534AD3" w14:paraId="60DCF016" w14:textId="77777777" w:rsidTr="00EE4130">
        <w:trPr>
          <w:trHeight w:val="1"/>
        </w:trPr>
        <w:tc>
          <w:tcPr>
            <w:tcW w:w="10170" w:type="dxa"/>
          </w:tcPr>
          <w:p w14:paraId="6063AFD3" w14:textId="76E83DC8" w:rsidR="00673F3B" w:rsidRPr="00673F3B" w:rsidRDefault="00673F3B" w:rsidP="00673F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AD3">
              <w:rPr>
                <w:rFonts w:ascii="Times New Roman" w:eastAsia="Times New Roman" w:hAnsi="Times New Roman" w:cs="Times New Roman"/>
                <w:bCs/>
                <w:sz w:val="24"/>
                <w:szCs w:val="24"/>
                <w:lang w:eastAsia="ru-RU"/>
              </w:rPr>
              <w:t>Obiectivul principal</w:t>
            </w:r>
            <w:r w:rsidRPr="00673F3B">
              <w:rPr>
                <w:rFonts w:ascii="Times New Roman" w:eastAsia="Times New Roman" w:hAnsi="Times New Roman" w:cs="Times New Roman"/>
                <w:sz w:val="24"/>
                <w:szCs w:val="24"/>
                <w:lang w:eastAsia="ru-RU"/>
              </w:rPr>
              <w:t xml:space="preserve"> al proiectului de </w:t>
            </w:r>
            <w:r w:rsidRPr="00CF006B">
              <w:rPr>
                <w:rFonts w:ascii="Times New Roman" w:eastAsia="Times New Roman" w:hAnsi="Times New Roman" w:cs="Times New Roman"/>
                <w:i/>
                <w:sz w:val="24"/>
                <w:szCs w:val="24"/>
                <w:lang w:eastAsia="ru-RU"/>
              </w:rPr>
              <w:t>Ordin privind modificarea Regulamentului de atestare a cadrelor de conducere din învățământul general și profesional tehnic</w:t>
            </w:r>
            <w:r w:rsidRPr="00673F3B">
              <w:rPr>
                <w:rFonts w:ascii="Times New Roman" w:eastAsia="Times New Roman" w:hAnsi="Times New Roman" w:cs="Times New Roman"/>
                <w:sz w:val="24"/>
                <w:szCs w:val="24"/>
                <w:lang w:eastAsia="ru-RU"/>
              </w:rPr>
              <w:t xml:space="preserve"> este </w:t>
            </w:r>
            <w:r w:rsidRPr="00534AD3">
              <w:rPr>
                <w:rFonts w:ascii="Times New Roman" w:eastAsia="Times New Roman" w:hAnsi="Times New Roman" w:cs="Times New Roman"/>
                <w:bCs/>
                <w:sz w:val="24"/>
                <w:szCs w:val="24"/>
                <w:lang w:eastAsia="ru-RU"/>
              </w:rPr>
              <w:t>asigurarea coerenței, actualizării și aplicabilității cadrului normativ</w:t>
            </w:r>
            <w:r w:rsidRPr="00673F3B">
              <w:rPr>
                <w:rFonts w:ascii="Times New Roman" w:eastAsia="Times New Roman" w:hAnsi="Times New Roman" w:cs="Times New Roman"/>
                <w:sz w:val="24"/>
                <w:szCs w:val="24"/>
                <w:lang w:eastAsia="ru-RU"/>
              </w:rPr>
              <w:t xml:space="preserve"> în ceea ce privește acordarea gradelor manageriale, în concordanță cu modificările legislative recente din sistemul educațional.</w:t>
            </w:r>
          </w:p>
          <w:p w14:paraId="6B5D1D9F" w14:textId="77777777" w:rsidR="00673F3B" w:rsidRPr="00673F3B" w:rsidRDefault="00673F3B" w:rsidP="00673F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AD3">
              <w:rPr>
                <w:rFonts w:ascii="Times New Roman" w:eastAsia="Times New Roman" w:hAnsi="Times New Roman" w:cs="Times New Roman"/>
                <w:bCs/>
                <w:sz w:val="24"/>
                <w:szCs w:val="24"/>
                <w:lang w:eastAsia="ru-RU"/>
              </w:rPr>
              <w:t>Prin intervențiile propuse se urmărește:</w:t>
            </w:r>
          </w:p>
          <w:p w14:paraId="6E465325" w14:textId="5333D73B" w:rsidR="00673F3B" w:rsidRPr="00673F3B" w:rsidRDefault="00BD25F1" w:rsidP="00673F3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armonizarea prevederilor R</w:t>
            </w:r>
            <w:r w:rsidR="00673F3B" w:rsidRPr="00673F3B">
              <w:rPr>
                <w:rFonts w:ascii="Times New Roman" w:eastAsia="Times New Roman" w:hAnsi="Times New Roman" w:cs="Times New Roman"/>
                <w:sz w:val="24"/>
                <w:szCs w:val="24"/>
                <w:lang w:eastAsia="ru-RU"/>
              </w:rPr>
              <w:t>egulamentului cu dispozițiile nou introduse prin Legea nr. 270/2018 privind sistemul unitar de salarizare, în special în ceea ce privește modul de remunerare a cadrelor manageriale atestate;</w:t>
            </w:r>
          </w:p>
          <w:p w14:paraId="1AF0B259" w14:textId="333AAA9B" w:rsidR="00673F3B" w:rsidRPr="00673F3B" w:rsidRDefault="00BD25F1" w:rsidP="00673F3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corelarea R</w:t>
            </w:r>
            <w:r w:rsidR="00673F3B" w:rsidRPr="00673F3B">
              <w:rPr>
                <w:rFonts w:ascii="Times New Roman" w:eastAsia="Times New Roman" w:hAnsi="Times New Roman" w:cs="Times New Roman"/>
                <w:sz w:val="24"/>
                <w:szCs w:val="24"/>
                <w:lang w:eastAsia="ru-RU"/>
              </w:rPr>
              <w:t>egulamentului cu efectele abrogării Ordinelor nr. 1099/2023 și nr. 581/2020, asigurând continuitatea procedurilor de atestare în absența metodologiilor anulate;</w:t>
            </w:r>
          </w:p>
          <w:p w14:paraId="1EF6B635" w14:textId="65F2FD11" w:rsidR="00673F3B" w:rsidRPr="00D819ED" w:rsidRDefault="00673F3B" w:rsidP="00673F3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73F3B">
              <w:rPr>
                <w:rFonts w:ascii="Times New Roman" w:eastAsia="Times New Roman" w:hAnsi="Times New Roman" w:cs="Times New Roman"/>
                <w:sz w:val="24"/>
                <w:szCs w:val="24"/>
                <w:lang w:eastAsia="ru-RU"/>
              </w:rPr>
              <w:t xml:space="preserve">eliminarea confuziilor privind utilizarea </w:t>
            </w:r>
            <w:r w:rsidRPr="00D819ED">
              <w:rPr>
                <w:rFonts w:ascii="Times New Roman" w:eastAsia="Times New Roman" w:hAnsi="Times New Roman" w:cs="Times New Roman"/>
                <w:sz w:val="24"/>
                <w:szCs w:val="24"/>
                <w:lang w:eastAsia="ru-RU"/>
              </w:rPr>
              <w:t>calificativelor obținute prin evaluarea externă realizată de ANACEC, având în vedere că aceste evaluări au fost</w:t>
            </w:r>
            <w:r w:rsidR="00DF251E" w:rsidRPr="00D819ED">
              <w:rPr>
                <w:rFonts w:ascii="Times New Roman" w:eastAsia="Times New Roman" w:hAnsi="Times New Roman" w:cs="Times New Roman"/>
                <w:sz w:val="24"/>
                <w:szCs w:val="24"/>
                <w:lang w:eastAsia="ru-RU"/>
              </w:rPr>
              <w:t xml:space="preserve"> suspendate</w:t>
            </w:r>
            <w:r w:rsidRPr="00D819ED">
              <w:rPr>
                <w:rFonts w:ascii="Times New Roman" w:eastAsia="Times New Roman" w:hAnsi="Times New Roman" w:cs="Times New Roman"/>
                <w:sz w:val="24"/>
                <w:szCs w:val="24"/>
                <w:lang w:eastAsia="ru-RU"/>
              </w:rPr>
              <w:t xml:space="preserve"> în anul 2024;</w:t>
            </w:r>
          </w:p>
          <w:p w14:paraId="2FD7D3FD" w14:textId="77777777" w:rsidR="00673F3B" w:rsidRPr="00D819ED" w:rsidRDefault="00673F3B" w:rsidP="00673F3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819ED">
              <w:rPr>
                <w:rFonts w:ascii="Times New Roman" w:eastAsia="Times New Roman" w:hAnsi="Times New Roman" w:cs="Times New Roman"/>
                <w:sz w:val="24"/>
                <w:szCs w:val="24"/>
                <w:lang w:eastAsia="ru-RU"/>
              </w:rPr>
              <w:t>introducerea unor prevederi explicite care să permită cadrelor de conducere aflate în concedii legale să depună cererea de atestare în condiții echitabile;</w:t>
            </w:r>
          </w:p>
          <w:p w14:paraId="2501BB6E" w14:textId="05EC516D" w:rsidR="00673F3B" w:rsidRPr="00D819ED" w:rsidRDefault="00673F3B" w:rsidP="00673F3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819ED">
              <w:rPr>
                <w:rFonts w:ascii="Times New Roman" w:eastAsia="Times New Roman" w:hAnsi="Times New Roman" w:cs="Times New Roman"/>
                <w:sz w:val="24"/>
                <w:szCs w:val="24"/>
                <w:lang w:eastAsia="ru-RU"/>
              </w:rPr>
              <w:t>crearea unui cadru normativ clar, aplicabil unitar, care să sprijine creșterea nivelului de competență, responsabilitate și performanță în activitatea managerială desfășurată în instituțiile de învățământ general și profesional tehnic.</w:t>
            </w:r>
          </w:p>
          <w:p w14:paraId="7E9F7D34" w14:textId="4E803477" w:rsidR="00673F3B" w:rsidRPr="00D819ED" w:rsidRDefault="00673F3B" w:rsidP="00673F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19ED">
              <w:rPr>
                <w:rFonts w:ascii="Times New Roman" w:eastAsia="Times New Roman" w:hAnsi="Times New Roman" w:cs="Times New Roman"/>
                <w:bCs/>
                <w:sz w:val="24"/>
                <w:szCs w:val="24"/>
                <w:lang w:eastAsia="ru-RU"/>
              </w:rPr>
              <w:t>Principalele elemente de noutate sunt:</w:t>
            </w:r>
          </w:p>
          <w:p w14:paraId="47932F5F" w14:textId="6CE414FA" w:rsidR="00673F3B" w:rsidRPr="00D819ED" w:rsidRDefault="00673F3B" w:rsidP="00673F3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819ED">
              <w:rPr>
                <w:rFonts w:ascii="Times New Roman" w:eastAsia="Times New Roman" w:hAnsi="Times New Roman" w:cs="Times New Roman"/>
                <w:sz w:val="24"/>
                <w:szCs w:val="24"/>
                <w:lang w:eastAsia="ru-RU"/>
              </w:rPr>
              <w:t xml:space="preserve">eliminarea </w:t>
            </w:r>
            <w:r w:rsidR="00AB179B" w:rsidRPr="00D819ED">
              <w:rPr>
                <w:rFonts w:ascii="Times New Roman" w:eastAsia="Times New Roman" w:hAnsi="Times New Roman" w:cs="Times New Roman"/>
                <w:sz w:val="24"/>
                <w:szCs w:val="24"/>
                <w:lang w:eastAsia="ru-RU"/>
              </w:rPr>
              <w:t>referințelor la evaluările externe realizate de ANACEC, care nu mai sunt aplicabile începând cu anul 2024, cu menținerea valabilității calificativelor obținute în cadrul acestor evaluări pentru cadrele didactice evaluate până la data suspendării acestui proces;</w:t>
            </w:r>
          </w:p>
          <w:p w14:paraId="748D3689" w14:textId="77777777" w:rsidR="00673F3B" w:rsidRPr="00673F3B" w:rsidRDefault="00673F3B" w:rsidP="00673F3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73F3B">
              <w:rPr>
                <w:rFonts w:ascii="Times New Roman" w:eastAsia="Times New Roman" w:hAnsi="Times New Roman" w:cs="Times New Roman"/>
                <w:sz w:val="24"/>
                <w:szCs w:val="24"/>
                <w:lang w:eastAsia="ru-RU"/>
              </w:rPr>
              <w:t xml:space="preserve">revizuirea procedurilor interne de evaluare, prin clarificarea etapelor și responsabilităților instituționale, precum și introducerea evaluării activității manageriale a cadrelor de conducere din instituțiile de învățământ subordonate OLSDÎ, în baza </w:t>
            </w:r>
            <w:r w:rsidRPr="00BD25F1">
              <w:rPr>
                <w:rFonts w:ascii="Times New Roman" w:eastAsia="Times New Roman" w:hAnsi="Times New Roman" w:cs="Times New Roman"/>
                <w:i/>
                <w:sz w:val="24"/>
                <w:szCs w:val="24"/>
                <w:lang w:eastAsia="ru-RU"/>
              </w:rPr>
              <w:t>Raportului de activitate al cadrului de conducere privind gradul de realizare a Planului de dezvoltare strategică al instituției</w:t>
            </w:r>
            <w:r w:rsidRPr="00673F3B">
              <w:rPr>
                <w:rFonts w:ascii="Times New Roman" w:eastAsia="Times New Roman" w:hAnsi="Times New Roman" w:cs="Times New Roman"/>
                <w:sz w:val="24"/>
                <w:szCs w:val="24"/>
                <w:lang w:eastAsia="ru-RU"/>
              </w:rPr>
              <w:t>, aprobat de Consiliul de administrație și Consiliul pedagogic/profesoral;</w:t>
            </w:r>
          </w:p>
          <w:p w14:paraId="68721C9B" w14:textId="77777777" w:rsidR="00673F3B" w:rsidRPr="00673F3B" w:rsidRDefault="00673F3B" w:rsidP="00673F3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73F3B">
              <w:rPr>
                <w:rFonts w:ascii="Times New Roman" w:eastAsia="Times New Roman" w:hAnsi="Times New Roman" w:cs="Times New Roman"/>
                <w:sz w:val="24"/>
                <w:szCs w:val="24"/>
                <w:lang w:eastAsia="ru-RU"/>
              </w:rPr>
              <w:t>actualizarea prevederilor privind drepturile salariale aferente gradelor manageriale, în acord cu noile prevederi ale Legii nr. 270/2018 (înlocuirea claselor de salarizare cu acordarea unui spor lunar);</w:t>
            </w:r>
          </w:p>
          <w:p w14:paraId="4E424EFC" w14:textId="04F4E2AF" w:rsidR="00C264FF" w:rsidRPr="00534AD3" w:rsidRDefault="00673F3B" w:rsidP="00EE413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73F3B">
              <w:rPr>
                <w:rFonts w:ascii="Times New Roman" w:eastAsia="Times New Roman" w:hAnsi="Times New Roman" w:cs="Times New Roman"/>
                <w:sz w:val="24"/>
                <w:szCs w:val="24"/>
                <w:lang w:eastAsia="ru-RU"/>
              </w:rPr>
              <w:t>prelungirea termenului de depunere a cererii de atestare pentru cadrele didactice aflate în concedii justificate.</w:t>
            </w:r>
          </w:p>
        </w:tc>
      </w:tr>
      <w:tr w:rsidR="00C264FF" w:rsidRPr="00534AD3" w14:paraId="14C2896B" w14:textId="77777777" w:rsidTr="00534AD3">
        <w:trPr>
          <w:trHeight w:val="644"/>
        </w:trPr>
        <w:tc>
          <w:tcPr>
            <w:tcW w:w="10170" w:type="dxa"/>
            <w:shd w:val="clear" w:color="auto" w:fill="FFF2CC" w:themeFill="accent4" w:themeFillTint="33"/>
          </w:tcPr>
          <w:p w14:paraId="16F37454" w14:textId="77777777" w:rsidR="00C264FF" w:rsidRPr="00534AD3" w:rsidRDefault="00BB3AA2" w:rsidP="002553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rPr>
                <w:rFonts w:ascii="Times New Roman" w:eastAsia="Times New Roman" w:hAnsi="Times New Roman" w:cs="Times New Roman"/>
                <w:b/>
                <w:sz w:val="24"/>
                <w:szCs w:val="24"/>
              </w:rPr>
            </w:pPr>
            <w:r w:rsidRPr="00534AD3">
              <w:rPr>
                <w:rFonts w:ascii="Times New Roman" w:eastAsia="Times New Roman" w:hAnsi="Times New Roman" w:cs="Times New Roman"/>
                <w:b/>
                <w:sz w:val="24"/>
                <w:szCs w:val="24"/>
              </w:rPr>
              <w:t>3.2. Opțiunile alternative analizate și motivele pentru care acestea nu au fost luate în considerare</w:t>
            </w:r>
          </w:p>
        </w:tc>
      </w:tr>
      <w:tr w:rsidR="00C264FF" w:rsidRPr="00534AD3" w14:paraId="5CDED349" w14:textId="77777777" w:rsidTr="00EE4130">
        <w:trPr>
          <w:trHeight w:val="351"/>
        </w:trPr>
        <w:tc>
          <w:tcPr>
            <w:tcW w:w="10170" w:type="dxa"/>
            <w:shd w:val="clear" w:color="auto" w:fill="FFFFFF"/>
          </w:tcPr>
          <w:p w14:paraId="061E8B9E" w14:textId="77777777" w:rsidR="00667D52" w:rsidRPr="00534AD3" w:rsidRDefault="00A178A7" w:rsidP="00A178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176"/>
              <w:jc w:val="both"/>
              <w:rPr>
                <w:rFonts w:ascii="Times New Roman" w:eastAsia="Times New Roman" w:hAnsi="Times New Roman" w:cs="Times New Roman"/>
                <w:color w:val="000000"/>
                <w:sz w:val="24"/>
                <w:szCs w:val="24"/>
              </w:rPr>
            </w:pPr>
            <w:r w:rsidRPr="00534AD3">
              <w:rPr>
                <w:rFonts w:ascii="Times New Roman" w:eastAsia="Times New Roman" w:hAnsi="Times New Roman" w:cs="Times New Roman"/>
                <w:sz w:val="24"/>
                <w:szCs w:val="24"/>
              </w:rPr>
              <w:t>Nu au fost analizate</w:t>
            </w:r>
          </w:p>
        </w:tc>
      </w:tr>
      <w:tr w:rsidR="00C264FF" w:rsidRPr="00534AD3" w14:paraId="5605361E" w14:textId="77777777" w:rsidTr="00534AD3">
        <w:trPr>
          <w:trHeight w:val="475"/>
        </w:trPr>
        <w:tc>
          <w:tcPr>
            <w:tcW w:w="10170" w:type="dxa"/>
            <w:shd w:val="clear" w:color="auto" w:fill="A8D08D" w:themeFill="accent6" w:themeFillTint="99"/>
            <w:vAlign w:val="center"/>
          </w:tcPr>
          <w:p w14:paraId="6B5C7BC5" w14:textId="77777777" w:rsidR="00C264FF" w:rsidRPr="00534AD3" w:rsidRDefault="00BB3AA2" w:rsidP="0025532F">
            <w:pPr>
              <w:spacing w:after="0" w:line="240" w:lineRule="auto"/>
              <w:ind w:right="141"/>
              <w:rPr>
                <w:rFonts w:ascii="Times New Roman" w:eastAsia="Times New Roman" w:hAnsi="Times New Roman" w:cs="Times New Roman"/>
                <w:b/>
                <w:sz w:val="24"/>
                <w:szCs w:val="24"/>
              </w:rPr>
            </w:pPr>
            <w:r w:rsidRPr="00534AD3">
              <w:rPr>
                <w:rFonts w:ascii="Times New Roman" w:eastAsia="Times New Roman" w:hAnsi="Times New Roman" w:cs="Times New Roman"/>
                <w:b/>
                <w:sz w:val="24"/>
                <w:szCs w:val="24"/>
              </w:rPr>
              <w:t xml:space="preserve">4. Analiza impactului de reglementare </w:t>
            </w:r>
          </w:p>
        </w:tc>
      </w:tr>
      <w:tr w:rsidR="00C264FF" w:rsidRPr="00534AD3" w14:paraId="30D1BE74" w14:textId="77777777" w:rsidTr="00EE4130">
        <w:trPr>
          <w:trHeight w:val="378"/>
        </w:trPr>
        <w:tc>
          <w:tcPr>
            <w:tcW w:w="10170" w:type="dxa"/>
            <w:shd w:val="clear" w:color="auto" w:fill="FFF2CC" w:themeFill="accent4" w:themeFillTint="33"/>
            <w:tcMar>
              <w:top w:w="0" w:type="dxa"/>
              <w:left w:w="100" w:type="dxa"/>
              <w:bottom w:w="0" w:type="dxa"/>
              <w:right w:w="100" w:type="dxa"/>
            </w:tcMar>
          </w:tcPr>
          <w:p w14:paraId="20F9F8FD" w14:textId="77777777" w:rsidR="00C264FF" w:rsidRPr="00534AD3" w:rsidRDefault="00BB3AA2" w:rsidP="0025532F">
            <w:pPr>
              <w:spacing w:after="0" w:line="240" w:lineRule="auto"/>
              <w:rPr>
                <w:rFonts w:ascii="Times New Roman" w:eastAsia="Times New Roman" w:hAnsi="Times New Roman" w:cs="Times New Roman"/>
                <w:b/>
                <w:sz w:val="24"/>
                <w:szCs w:val="24"/>
              </w:rPr>
            </w:pPr>
            <w:r w:rsidRPr="00534AD3">
              <w:rPr>
                <w:rFonts w:ascii="Times New Roman" w:eastAsia="Times New Roman" w:hAnsi="Times New Roman" w:cs="Times New Roman"/>
                <w:b/>
                <w:sz w:val="24"/>
                <w:szCs w:val="24"/>
              </w:rPr>
              <w:t>4.1. Impactul asupra sectorului public</w:t>
            </w:r>
          </w:p>
        </w:tc>
      </w:tr>
      <w:tr w:rsidR="00C264FF" w:rsidRPr="00534AD3" w14:paraId="608B1B5F" w14:textId="77777777" w:rsidTr="00EE4130">
        <w:trPr>
          <w:trHeight w:val="378"/>
        </w:trPr>
        <w:tc>
          <w:tcPr>
            <w:tcW w:w="10170" w:type="dxa"/>
            <w:tcMar>
              <w:top w:w="0" w:type="dxa"/>
              <w:left w:w="100" w:type="dxa"/>
              <w:bottom w:w="0" w:type="dxa"/>
              <w:right w:w="100" w:type="dxa"/>
            </w:tcMar>
          </w:tcPr>
          <w:p w14:paraId="798438FC" w14:textId="3D963704" w:rsidR="00C264FF" w:rsidRPr="00534AD3" w:rsidRDefault="00534AD3" w:rsidP="00534AD3">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Revizuirea R</w:t>
            </w:r>
            <w:r w:rsidRPr="00534AD3">
              <w:rPr>
                <w:rFonts w:ascii="Times New Roman" w:eastAsia="Times New Roman" w:hAnsi="Times New Roman" w:cs="Times New Roman"/>
                <w:sz w:val="24"/>
                <w:szCs w:val="24"/>
                <w:lang w:eastAsia="ru-RU"/>
              </w:rPr>
              <w:t>egulamentului contribuie la consolidarea unui cadru clar, predictibil și coerent pentru stimularea competențelor manageriale ale cadrelor de conducere.</w:t>
            </w:r>
            <w:r w:rsidR="00F23FCE">
              <w:rPr>
                <w:rFonts w:ascii="Times New Roman" w:eastAsia="Times New Roman" w:hAnsi="Times New Roman" w:cs="Times New Roman"/>
                <w:sz w:val="24"/>
                <w:szCs w:val="24"/>
                <w:lang w:eastAsia="ru-RU"/>
              </w:rPr>
              <w:t xml:space="preserve"> </w:t>
            </w:r>
            <w:r w:rsidRPr="00534AD3">
              <w:rPr>
                <w:rFonts w:ascii="Times New Roman" w:eastAsia="Times New Roman" w:hAnsi="Times New Roman" w:cs="Times New Roman"/>
                <w:sz w:val="24"/>
                <w:szCs w:val="24"/>
                <w:lang w:eastAsia="ru-RU"/>
              </w:rPr>
              <w:t>Prin actualizarea procedurilor de evaluare și eliminarea ambiguităților generate de modificările legislative recente, se asigură continuitatea administrativă și evitarea blocaje</w:t>
            </w:r>
            <w:r>
              <w:rPr>
                <w:rFonts w:ascii="Times New Roman" w:eastAsia="Times New Roman" w:hAnsi="Times New Roman" w:cs="Times New Roman"/>
                <w:sz w:val="24"/>
                <w:szCs w:val="24"/>
                <w:lang w:eastAsia="ru-RU"/>
              </w:rPr>
              <w:t xml:space="preserve">lor în procesul de atestare. </w:t>
            </w:r>
          </w:p>
        </w:tc>
      </w:tr>
      <w:tr w:rsidR="00C264FF" w:rsidRPr="00534AD3" w14:paraId="236FC4EA" w14:textId="77777777" w:rsidTr="00EE4130">
        <w:trPr>
          <w:trHeight w:val="378"/>
        </w:trPr>
        <w:tc>
          <w:tcPr>
            <w:tcW w:w="10170" w:type="dxa"/>
            <w:shd w:val="clear" w:color="auto" w:fill="FFF2CC" w:themeFill="accent4" w:themeFillTint="33"/>
            <w:tcMar>
              <w:top w:w="0" w:type="dxa"/>
              <w:left w:w="100" w:type="dxa"/>
              <w:bottom w:w="0" w:type="dxa"/>
              <w:right w:w="100" w:type="dxa"/>
            </w:tcMar>
          </w:tcPr>
          <w:p w14:paraId="53A60738" w14:textId="77777777" w:rsidR="00C264FF" w:rsidRPr="00534AD3" w:rsidRDefault="00BB3AA2" w:rsidP="0025532F">
            <w:pPr>
              <w:spacing w:after="0" w:line="240" w:lineRule="auto"/>
              <w:rPr>
                <w:rFonts w:ascii="Times New Roman" w:eastAsia="Times New Roman" w:hAnsi="Times New Roman" w:cs="Times New Roman"/>
                <w:b/>
                <w:sz w:val="24"/>
                <w:szCs w:val="24"/>
              </w:rPr>
            </w:pPr>
            <w:r w:rsidRPr="00534AD3">
              <w:rPr>
                <w:rFonts w:ascii="Times New Roman" w:eastAsia="Times New Roman" w:hAnsi="Times New Roman" w:cs="Times New Roman"/>
                <w:b/>
                <w:sz w:val="24"/>
                <w:szCs w:val="24"/>
              </w:rPr>
              <w:lastRenderedPageBreak/>
              <w:t>4.2. Impactul financiar și argumentarea costurilor estimative</w:t>
            </w:r>
          </w:p>
        </w:tc>
      </w:tr>
      <w:tr w:rsidR="00C264FF" w:rsidRPr="00534AD3" w14:paraId="2784A203" w14:textId="77777777" w:rsidTr="00EE4130">
        <w:trPr>
          <w:trHeight w:val="378"/>
        </w:trPr>
        <w:tc>
          <w:tcPr>
            <w:tcW w:w="10170" w:type="dxa"/>
            <w:tcMar>
              <w:top w:w="0" w:type="dxa"/>
              <w:left w:w="100" w:type="dxa"/>
              <w:bottom w:w="0" w:type="dxa"/>
              <w:right w:w="100" w:type="dxa"/>
            </w:tcMar>
          </w:tcPr>
          <w:p w14:paraId="11E2091F" w14:textId="77777777" w:rsidR="00C264FF" w:rsidRPr="00534AD3" w:rsidRDefault="00BB3AA2" w:rsidP="00055101">
            <w:pPr>
              <w:spacing w:after="0" w:line="240" w:lineRule="auto"/>
              <w:ind w:right="34" w:firstLine="176"/>
              <w:jc w:val="both"/>
              <w:rPr>
                <w:rFonts w:ascii="Times New Roman" w:eastAsia="Times New Roman" w:hAnsi="Times New Roman" w:cs="Times New Roman"/>
                <w:sz w:val="24"/>
                <w:szCs w:val="24"/>
              </w:rPr>
            </w:pPr>
            <w:r w:rsidRPr="00534AD3">
              <w:rPr>
                <w:rFonts w:ascii="Times New Roman" w:eastAsia="Times New Roman" w:hAnsi="Times New Roman" w:cs="Times New Roman"/>
                <w:sz w:val="24"/>
                <w:szCs w:val="24"/>
              </w:rPr>
              <w:t>Pentru punerea în aplicare a prevederilor proiectului Hotărârii de Guvern nu se necesită cheltuieli suplimentare din contul bugetului de stat.  </w:t>
            </w:r>
          </w:p>
        </w:tc>
      </w:tr>
      <w:tr w:rsidR="00C264FF" w:rsidRPr="00534AD3" w14:paraId="3419830A" w14:textId="77777777" w:rsidTr="00EE4130">
        <w:trPr>
          <w:trHeight w:val="378"/>
        </w:trPr>
        <w:tc>
          <w:tcPr>
            <w:tcW w:w="10170" w:type="dxa"/>
            <w:shd w:val="clear" w:color="auto" w:fill="FFF2CC" w:themeFill="accent4" w:themeFillTint="33"/>
            <w:tcMar>
              <w:top w:w="0" w:type="dxa"/>
              <w:left w:w="100" w:type="dxa"/>
              <w:bottom w:w="0" w:type="dxa"/>
              <w:right w:w="100" w:type="dxa"/>
            </w:tcMar>
          </w:tcPr>
          <w:p w14:paraId="264805F6" w14:textId="77777777" w:rsidR="00C264FF" w:rsidRPr="00534AD3" w:rsidRDefault="00BB3AA2" w:rsidP="0025532F">
            <w:pPr>
              <w:spacing w:after="0" w:line="240" w:lineRule="auto"/>
              <w:rPr>
                <w:rFonts w:ascii="Times New Roman" w:eastAsia="Times New Roman" w:hAnsi="Times New Roman" w:cs="Times New Roman"/>
                <w:b/>
                <w:sz w:val="24"/>
                <w:szCs w:val="24"/>
              </w:rPr>
            </w:pPr>
            <w:r w:rsidRPr="00534AD3">
              <w:rPr>
                <w:rFonts w:ascii="Times New Roman" w:eastAsia="Times New Roman" w:hAnsi="Times New Roman" w:cs="Times New Roman"/>
                <w:b/>
                <w:sz w:val="24"/>
                <w:szCs w:val="24"/>
              </w:rPr>
              <w:t>4.3. Impactul asupra sectorului privat</w:t>
            </w:r>
          </w:p>
        </w:tc>
      </w:tr>
      <w:tr w:rsidR="00C264FF" w:rsidRPr="00534AD3" w14:paraId="07001509" w14:textId="77777777" w:rsidTr="00B87488">
        <w:trPr>
          <w:trHeight w:val="212"/>
        </w:trPr>
        <w:tc>
          <w:tcPr>
            <w:tcW w:w="10170" w:type="dxa"/>
            <w:tcMar>
              <w:top w:w="0" w:type="dxa"/>
              <w:left w:w="100" w:type="dxa"/>
              <w:bottom w:w="0" w:type="dxa"/>
              <w:right w:w="100" w:type="dxa"/>
            </w:tcMar>
          </w:tcPr>
          <w:p w14:paraId="51C4D3D9" w14:textId="77777777" w:rsidR="00C264FF" w:rsidRPr="00534AD3" w:rsidRDefault="006B6A3B" w:rsidP="00055101">
            <w:pPr>
              <w:spacing w:after="0" w:line="240" w:lineRule="auto"/>
              <w:ind w:right="34"/>
              <w:jc w:val="both"/>
              <w:rPr>
                <w:rFonts w:ascii="Times New Roman" w:eastAsia="Times New Roman" w:hAnsi="Times New Roman" w:cs="Times New Roman"/>
                <w:sz w:val="24"/>
                <w:szCs w:val="24"/>
              </w:rPr>
            </w:pPr>
            <w:r w:rsidRPr="00534AD3">
              <w:rPr>
                <w:rFonts w:ascii="Times New Roman" w:eastAsia="Times New Roman" w:hAnsi="Times New Roman" w:cs="Times New Roman"/>
                <w:sz w:val="24"/>
                <w:szCs w:val="24"/>
              </w:rPr>
              <w:t>Nu este aplicabil</w:t>
            </w:r>
          </w:p>
        </w:tc>
      </w:tr>
      <w:tr w:rsidR="00C264FF" w:rsidRPr="00534AD3" w14:paraId="3EBFC882" w14:textId="77777777" w:rsidTr="00EE4130">
        <w:trPr>
          <w:trHeight w:val="378"/>
        </w:trPr>
        <w:tc>
          <w:tcPr>
            <w:tcW w:w="10170" w:type="dxa"/>
            <w:shd w:val="clear" w:color="auto" w:fill="FFF2CC" w:themeFill="accent4" w:themeFillTint="33"/>
            <w:tcMar>
              <w:top w:w="0" w:type="dxa"/>
              <w:left w:w="100" w:type="dxa"/>
              <w:bottom w:w="0" w:type="dxa"/>
              <w:right w:w="100" w:type="dxa"/>
            </w:tcMar>
          </w:tcPr>
          <w:p w14:paraId="2933AEA5" w14:textId="77777777" w:rsidR="00C264FF" w:rsidRPr="00534AD3" w:rsidRDefault="00BB3AA2" w:rsidP="0025532F">
            <w:pPr>
              <w:spacing w:after="0" w:line="240" w:lineRule="auto"/>
              <w:rPr>
                <w:rFonts w:ascii="Times New Roman" w:eastAsia="Times New Roman" w:hAnsi="Times New Roman" w:cs="Times New Roman"/>
                <w:b/>
                <w:sz w:val="24"/>
                <w:szCs w:val="24"/>
              </w:rPr>
            </w:pPr>
            <w:r w:rsidRPr="00534AD3">
              <w:rPr>
                <w:rFonts w:ascii="Times New Roman" w:eastAsia="Times New Roman" w:hAnsi="Times New Roman" w:cs="Times New Roman"/>
                <w:b/>
                <w:sz w:val="24"/>
                <w:szCs w:val="24"/>
              </w:rPr>
              <w:t>4.4. Impactul social</w:t>
            </w:r>
          </w:p>
        </w:tc>
      </w:tr>
      <w:tr w:rsidR="00C264FF" w:rsidRPr="00534AD3" w14:paraId="53ED9AC3" w14:textId="77777777" w:rsidTr="00EE4130">
        <w:trPr>
          <w:trHeight w:val="378"/>
        </w:trPr>
        <w:tc>
          <w:tcPr>
            <w:tcW w:w="10170" w:type="dxa"/>
            <w:tcMar>
              <w:top w:w="0" w:type="dxa"/>
              <w:left w:w="100" w:type="dxa"/>
              <w:bottom w:w="0" w:type="dxa"/>
              <w:right w:w="100" w:type="dxa"/>
            </w:tcMar>
          </w:tcPr>
          <w:p w14:paraId="5E7BF186" w14:textId="11B0728A" w:rsidR="00C264FF" w:rsidRPr="00534AD3" w:rsidRDefault="005734C2" w:rsidP="005734C2">
            <w:pPr>
              <w:spacing w:after="0" w:line="240" w:lineRule="auto"/>
              <w:ind w:right="34" w:firstLine="176"/>
              <w:jc w:val="both"/>
              <w:rPr>
                <w:rFonts w:ascii="Times New Roman" w:eastAsia="Times New Roman" w:hAnsi="Times New Roman" w:cs="Times New Roman"/>
                <w:sz w:val="24"/>
                <w:szCs w:val="24"/>
              </w:rPr>
            </w:pPr>
            <w:r w:rsidRPr="005734C2">
              <w:rPr>
                <w:rFonts w:ascii="Times New Roman" w:eastAsia="Times New Roman" w:hAnsi="Times New Roman" w:cs="Times New Roman"/>
                <w:sz w:val="24"/>
                <w:szCs w:val="24"/>
              </w:rPr>
              <w:t>Prin asigurarea unui proces transparent, echitabil și unitar de acordare a gradelor manageriale, se stimulează motivarea cadrelor de conducere din învățământul general și profesional tehnic, contribuind la dezvoltarea unei conduite manageriale responsabile și orientate spre performanță.</w:t>
            </w:r>
          </w:p>
        </w:tc>
      </w:tr>
      <w:tr w:rsidR="00C264FF" w:rsidRPr="00534AD3" w14:paraId="716935B4" w14:textId="77777777" w:rsidTr="00EE4130">
        <w:trPr>
          <w:trHeight w:val="378"/>
        </w:trPr>
        <w:tc>
          <w:tcPr>
            <w:tcW w:w="10170" w:type="dxa"/>
            <w:shd w:val="clear" w:color="auto" w:fill="FFF2CC" w:themeFill="accent4" w:themeFillTint="33"/>
            <w:tcMar>
              <w:top w:w="0" w:type="dxa"/>
              <w:left w:w="100" w:type="dxa"/>
              <w:bottom w:w="0" w:type="dxa"/>
              <w:right w:w="100" w:type="dxa"/>
            </w:tcMar>
          </w:tcPr>
          <w:p w14:paraId="5D57190F" w14:textId="77777777" w:rsidR="00C264FF" w:rsidRPr="00534AD3" w:rsidRDefault="00BB3AA2" w:rsidP="0025532F">
            <w:pPr>
              <w:spacing w:after="0" w:line="240" w:lineRule="auto"/>
              <w:rPr>
                <w:rFonts w:ascii="Times New Roman" w:eastAsia="Times New Roman" w:hAnsi="Times New Roman" w:cs="Times New Roman"/>
                <w:b/>
                <w:sz w:val="24"/>
                <w:szCs w:val="24"/>
              </w:rPr>
            </w:pPr>
            <w:r w:rsidRPr="00534AD3">
              <w:rPr>
                <w:rFonts w:ascii="Times New Roman" w:eastAsia="Times New Roman" w:hAnsi="Times New Roman" w:cs="Times New Roman"/>
                <w:b/>
                <w:sz w:val="24"/>
                <w:szCs w:val="24"/>
              </w:rPr>
              <w:t>4.4.1. Impactul asupra datelor cu caracter personal</w:t>
            </w:r>
          </w:p>
        </w:tc>
      </w:tr>
      <w:tr w:rsidR="00C264FF" w:rsidRPr="00534AD3" w14:paraId="29077A3A" w14:textId="77777777" w:rsidTr="00B87488">
        <w:trPr>
          <w:trHeight w:val="295"/>
        </w:trPr>
        <w:tc>
          <w:tcPr>
            <w:tcW w:w="10170" w:type="dxa"/>
            <w:tcMar>
              <w:top w:w="0" w:type="dxa"/>
              <w:left w:w="100" w:type="dxa"/>
              <w:bottom w:w="0" w:type="dxa"/>
              <w:right w:w="100" w:type="dxa"/>
            </w:tcMar>
          </w:tcPr>
          <w:p w14:paraId="6C3E31C0" w14:textId="77777777" w:rsidR="00C264FF" w:rsidRPr="00534AD3" w:rsidRDefault="006B6A3B" w:rsidP="00055101">
            <w:pPr>
              <w:spacing w:after="0" w:line="240" w:lineRule="auto"/>
              <w:jc w:val="both"/>
              <w:rPr>
                <w:rFonts w:ascii="Times New Roman" w:eastAsia="Times New Roman" w:hAnsi="Times New Roman" w:cs="Times New Roman"/>
                <w:sz w:val="25"/>
                <w:szCs w:val="25"/>
              </w:rPr>
            </w:pPr>
            <w:r w:rsidRPr="00534AD3">
              <w:rPr>
                <w:rFonts w:ascii="Times New Roman" w:eastAsia="Times New Roman" w:hAnsi="Times New Roman" w:cs="Times New Roman"/>
                <w:sz w:val="24"/>
                <w:szCs w:val="24"/>
              </w:rPr>
              <w:t>Nu este aplicabil</w:t>
            </w:r>
          </w:p>
        </w:tc>
      </w:tr>
      <w:tr w:rsidR="00C264FF" w:rsidRPr="00534AD3" w14:paraId="658F7267" w14:textId="77777777" w:rsidTr="00EE4130">
        <w:trPr>
          <w:trHeight w:val="378"/>
        </w:trPr>
        <w:tc>
          <w:tcPr>
            <w:tcW w:w="10170" w:type="dxa"/>
            <w:shd w:val="clear" w:color="auto" w:fill="FFF2CC" w:themeFill="accent4" w:themeFillTint="33"/>
            <w:tcMar>
              <w:top w:w="0" w:type="dxa"/>
              <w:left w:w="100" w:type="dxa"/>
              <w:bottom w:w="0" w:type="dxa"/>
              <w:right w:w="100" w:type="dxa"/>
            </w:tcMar>
          </w:tcPr>
          <w:p w14:paraId="1EE8D711" w14:textId="77777777" w:rsidR="00C264FF" w:rsidRPr="00534AD3" w:rsidRDefault="00BB3AA2" w:rsidP="0025532F">
            <w:pPr>
              <w:spacing w:after="0" w:line="240" w:lineRule="auto"/>
              <w:rPr>
                <w:rFonts w:ascii="Times New Roman" w:eastAsia="Times New Roman" w:hAnsi="Times New Roman" w:cs="Times New Roman"/>
                <w:b/>
                <w:sz w:val="24"/>
                <w:szCs w:val="24"/>
              </w:rPr>
            </w:pPr>
            <w:r w:rsidRPr="00534AD3">
              <w:rPr>
                <w:rFonts w:ascii="Times New Roman" w:eastAsia="Times New Roman" w:hAnsi="Times New Roman" w:cs="Times New Roman"/>
                <w:b/>
                <w:sz w:val="24"/>
                <w:szCs w:val="24"/>
              </w:rPr>
              <w:t>4.4.2. Impactul asupra echității și egalității de gen</w:t>
            </w:r>
          </w:p>
        </w:tc>
      </w:tr>
      <w:tr w:rsidR="00C264FF" w:rsidRPr="00534AD3" w14:paraId="5C1A2455" w14:textId="77777777" w:rsidTr="00B87488">
        <w:trPr>
          <w:trHeight w:val="305"/>
        </w:trPr>
        <w:tc>
          <w:tcPr>
            <w:tcW w:w="10170" w:type="dxa"/>
            <w:tcMar>
              <w:top w:w="0" w:type="dxa"/>
              <w:left w:w="100" w:type="dxa"/>
              <w:bottom w:w="0" w:type="dxa"/>
              <w:right w:w="100" w:type="dxa"/>
            </w:tcMar>
          </w:tcPr>
          <w:p w14:paraId="4B24C158" w14:textId="77777777" w:rsidR="00C264FF" w:rsidRPr="00534AD3" w:rsidRDefault="00055101" w:rsidP="000E473E">
            <w:pPr>
              <w:spacing w:after="0" w:line="240" w:lineRule="auto"/>
              <w:jc w:val="both"/>
              <w:rPr>
                <w:rFonts w:ascii="Times New Roman" w:eastAsia="Times New Roman" w:hAnsi="Times New Roman" w:cs="Times New Roman"/>
                <w:b/>
                <w:sz w:val="24"/>
                <w:szCs w:val="24"/>
              </w:rPr>
            </w:pPr>
            <w:r w:rsidRPr="00534AD3">
              <w:rPr>
                <w:rFonts w:ascii="Times New Roman" w:eastAsia="Times New Roman" w:hAnsi="Times New Roman" w:cs="Times New Roman"/>
                <w:sz w:val="24"/>
                <w:szCs w:val="24"/>
              </w:rPr>
              <w:t>Nu este aplicabil</w:t>
            </w:r>
          </w:p>
        </w:tc>
      </w:tr>
      <w:tr w:rsidR="00C264FF" w:rsidRPr="00534AD3" w14:paraId="3D613203" w14:textId="77777777" w:rsidTr="00EE4130">
        <w:trPr>
          <w:trHeight w:val="378"/>
        </w:trPr>
        <w:tc>
          <w:tcPr>
            <w:tcW w:w="10170" w:type="dxa"/>
            <w:shd w:val="clear" w:color="auto" w:fill="FFF2CC" w:themeFill="accent4" w:themeFillTint="33"/>
            <w:tcMar>
              <w:top w:w="0" w:type="dxa"/>
              <w:left w:w="100" w:type="dxa"/>
              <w:bottom w:w="0" w:type="dxa"/>
              <w:right w:w="100" w:type="dxa"/>
            </w:tcMar>
          </w:tcPr>
          <w:p w14:paraId="71F0C923" w14:textId="77777777" w:rsidR="00C264FF" w:rsidRPr="00534AD3" w:rsidRDefault="00BB3AA2" w:rsidP="0025532F">
            <w:pPr>
              <w:spacing w:after="0" w:line="240" w:lineRule="auto"/>
              <w:rPr>
                <w:rFonts w:ascii="Times New Roman" w:eastAsia="Times New Roman" w:hAnsi="Times New Roman" w:cs="Times New Roman"/>
                <w:b/>
                <w:sz w:val="24"/>
                <w:szCs w:val="24"/>
              </w:rPr>
            </w:pPr>
            <w:r w:rsidRPr="00534AD3">
              <w:rPr>
                <w:rFonts w:ascii="Times New Roman" w:eastAsia="Times New Roman" w:hAnsi="Times New Roman" w:cs="Times New Roman"/>
                <w:b/>
                <w:sz w:val="24"/>
                <w:szCs w:val="24"/>
              </w:rPr>
              <w:t>4.5. Impactul asupra mediului</w:t>
            </w:r>
          </w:p>
        </w:tc>
      </w:tr>
      <w:tr w:rsidR="00C264FF" w:rsidRPr="00534AD3" w14:paraId="25EF8385" w14:textId="77777777" w:rsidTr="00B87488">
        <w:trPr>
          <w:trHeight w:val="315"/>
        </w:trPr>
        <w:tc>
          <w:tcPr>
            <w:tcW w:w="10170" w:type="dxa"/>
            <w:tcMar>
              <w:top w:w="0" w:type="dxa"/>
              <w:left w:w="100" w:type="dxa"/>
              <w:bottom w:w="0" w:type="dxa"/>
              <w:right w:w="100" w:type="dxa"/>
            </w:tcMar>
          </w:tcPr>
          <w:p w14:paraId="54C85EF3" w14:textId="77777777" w:rsidR="00C264FF" w:rsidRPr="00534AD3" w:rsidRDefault="006B6A3B" w:rsidP="0025532F">
            <w:pPr>
              <w:spacing w:after="0" w:line="240" w:lineRule="auto"/>
              <w:rPr>
                <w:rFonts w:ascii="Times New Roman" w:eastAsia="Times New Roman" w:hAnsi="Times New Roman" w:cs="Times New Roman"/>
                <w:sz w:val="25"/>
                <w:szCs w:val="25"/>
              </w:rPr>
            </w:pPr>
            <w:r w:rsidRPr="00534AD3">
              <w:rPr>
                <w:rFonts w:ascii="Times New Roman" w:hAnsi="Times New Roman" w:cs="Times New Roman"/>
                <w:sz w:val="24"/>
                <w:szCs w:val="24"/>
              </w:rPr>
              <w:t>Nu este aplicabil</w:t>
            </w:r>
          </w:p>
        </w:tc>
      </w:tr>
      <w:tr w:rsidR="00C264FF" w:rsidRPr="00534AD3" w14:paraId="29C73D5D" w14:textId="77777777" w:rsidTr="00EE4130">
        <w:trPr>
          <w:trHeight w:val="378"/>
        </w:trPr>
        <w:tc>
          <w:tcPr>
            <w:tcW w:w="10170" w:type="dxa"/>
            <w:shd w:val="clear" w:color="auto" w:fill="FFF2CC" w:themeFill="accent4" w:themeFillTint="33"/>
            <w:tcMar>
              <w:top w:w="0" w:type="dxa"/>
              <w:left w:w="100" w:type="dxa"/>
              <w:bottom w:w="0" w:type="dxa"/>
              <w:right w:w="100" w:type="dxa"/>
            </w:tcMar>
          </w:tcPr>
          <w:p w14:paraId="709546BA" w14:textId="77777777" w:rsidR="00C264FF" w:rsidRPr="00534AD3" w:rsidRDefault="00BB3AA2" w:rsidP="0025532F">
            <w:pPr>
              <w:spacing w:after="0" w:line="240" w:lineRule="auto"/>
              <w:rPr>
                <w:rFonts w:ascii="Times New Roman" w:eastAsia="Times New Roman" w:hAnsi="Times New Roman" w:cs="Times New Roman"/>
                <w:b/>
                <w:sz w:val="24"/>
                <w:szCs w:val="24"/>
              </w:rPr>
            </w:pPr>
            <w:r w:rsidRPr="00534AD3">
              <w:rPr>
                <w:rFonts w:ascii="Times New Roman" w:eastAsia="Times New Roman" w:hAnsi="Times New Roman" w:cs="Times New Roman"/>
                <w:b/>
                <w:sz w:val="24"/>
                <w:szCs w:val="24"/>
              </w:rPr>
              <w:t>4.6. Alte impacturi și informații relevante</w:t>
            </w:r>
          </w:p>
        </w:tc>
      </w:tr>
      <w:tr w:rsidR="00C264FF" w:rsidRPr="00534AD3" w14:paraId="56393547" w14:textId="77777777" w:rsidTr="00EE4130">
        <w:trPr>
          <w:trHeight w:val="303"/>
        </w:trPr>
        <w:tc>
          <w:tcPr>
            <w:tcW w:w="10170" w:type="dxa"/>
            <w:tcMar>
              <w:top w:w="0" w:type="dxa"/>
              <w:left w:w="100" w:type="dxa"/>
              <w:bottom w:w="0" w:type="dxa"/>
              <w:right w:w="100" w:type="dxa"/>
            </w:tcMar>
          </w:tcPr>
          <w:p w14:paraId="5B89F2EC" w14:textId="77777777" w:rsidR="00C264FF" w:rsidRPr="00534AD3" w:rsidRDefault="006B6A3B" w:rsidP="0025532F">
            <w:pPr>
              <w:spacing w:after="0" w:line="240" w:lineRule="auto"/>
              <w:rPr>
                <w:rFonts w:ascii="Times New Roman" w:eastAsia="Times New Roman" w:hAnsi="Times New Roman" w:cs="Times New Roman"/>
                <w:sz w:val="24"/>
                <w:szCs w:val="24"/>
              </w:rPr>
            </w:pPr>
            <w:r w:rsidRPr="00534AD3">
              <w:rPr>
                <w:rFonts w:ascii="Times New Roman" w:hAnsi="Times New Roman" w:cs="Times New Roman"/>
                <w:sz w:val="24"/>
                <w:szCs w:val="24"/>
              </w:rPr>
              <w:t>Nu este aplicabil</w:t>
            </w:r>
          </w:p>
        </w:tc>
      </w:tr>
      <w:tr w:rsidR="00C264FF" w:rsidRPr="00534AD3" w14:paraId="6C7D3989" w14:textId="77777777" w:rsidTr="00EE4130">
        <w:trPr>
          <w:trHeight w:val="368"/>
        </w:trPr>
        <w:tc>
          <w:tcPr>
            <w:tcW w:w="10170" w:type="dxa"/>
            <w:shd w:val="clear" w:color="auto" w:fill="A8D08D" w:themeFill="accent6" w:themeFillTint="99"/>
            <w:vAlign w:val="center"/>
          </w:tcPr>
          <w:p w14:paraId="6BBDD40F" w14:textId="77777777" w:rsidR="00C264FF" w:rsidRPr="00534AD3" w:rsidRDefault="00BB3AA2" w:rsidP="0025532F">
            <w:pPr>
              <w:spacing w:after="0" w:line="240" w:lineRule="auto"/>
              <w:ind w:right="141"/>
              <w:rPr>
                <w:rFonts w:ascii="Times New Roman" w:eastAsia="Times New Roman" w:hAnsi="Times New Roman" w:cs="Times New Roman"/>
                <w:b/>
                <w:sz w:val="24"/>
                <w:szCs w:val="24"/>
              </w:rPr>
            </w:pPr>
            <w:r w:rsidRPr="00534AD3">
              <w:rPr>
                <w:rFonts w:ascii="Times New Roman" w:eastAsia="Times New Roman" w:hAnsi="Times New Roman" w:cs="Times New Roman"/>
                <w:b/>
                <w:sz w:val="24"/>
                <w:szCs w:val="24"/>
              </w:rPr>
              <w:t xml:space="preserve">5. Compatibilitatea proiectului actului normativ cu legislația UE </w:t>
            </w:r>
          </w:p>
        </w:tc>
      </w:tr>
      <w:tr w:rsidR="00C264FF" w:rsidRPr="00534AD3" w14:paraId="14981ED5" w14:textId="77777777" w:rsidTr="00EE4130">
        <w:trPr>
          <w:trHeight w:val="201"/>
        </w:trPr>
        <w:tc>
          <w:tcPr>
            <w:tcW w:w="10170" w:type="dxa"/>
            <w:shd w:val="clear" w:color="auto" w:fill="FFF2CC" w:themeFill="accent4" w:themeFillTint="33"/>
            <w:tcMar>
              <w:top w:w="0" w:type="dxa"/>
              <w:left w:w="100" w:type="dxa"/>
              <w:bottom w:w="0" w:type="dxa"/>
              <w:right w:w="100" w:type="dxa"/>
            </w:tcMar>
          </w:tcPr>
          <w:p w14:paraId="1B1520CD" w14:textId="77777777" w:rsidR="00C264FF" w:rsidRPr="00534AD3" w:rsidRDefault="00BB3AA2" w:rsidP="0025532F">
            <w:pPr>
              <w:spacing w:after="0" w:line="240" w:lineRule="auto"/>
              <w:jc w:val="both"/>
              <w:rPr>
                <w:rFonts w:ascii="Times New Roman" w:eastAsia="Times New Roman" w:hAnsi="Times New Roman" w:cs="Times New Roman"/>
                <w:b/>
                <w:sz w:val="24"/>
                <w:szCs w:val="24"/>
              </w:rPr>
            </w:pPr>
            <w:r w:rsidRPr="00534AD3">
              <w:rPr>
                <w:rFonts w:ascii="Times New Roman" w:eastAsia="Times New Roman" w:hAnsi="Times New Roman" w:cs="Times New Roman"/>
                <w:b/>
                <w:sz w:val="24"/>
                <w:szCs w:val="24"/>
              </w:rPr>
              <w:t>5.1. Măsuri normative necesare pentru transpunerea actelor juridice ale UE în legislația națională</w:t>
            </w:r>
          </w:p>
        </w:tc>
      </w:tr>
      <w:tr w:rsidR="00C264FF" w:rsidRPr="00534AD3" w14:paraId="78A5921C" w14:textId="77777777" w:rsidTr="00B87488">
        <w:trPr>
          <w:trHeight w:val="608"/>
        </w:trPr>
        <w:tc>
          <w:tcPr>
            <w:tcW w:w="10170" w:type="dxa"/>
            <w:shd w:val="clear" w:color="auto" w:fill="FFFFFF"/>
            <w:vAlign w:val="center"/>
          </w:tcPr>
          <w:p w14:paraId="2AE39A5C" w14:textId="77777777" w:rsidR="00C264FF" w:rsidRPr="00534AD3" w:rsidRDefault="00BB3AA2" w:rsidP="005734C2">
            <w:pPr>
              <w:spacing w:after="0" w:line="240" w:lineRule="auto"/>
              <w:ind w:right="141"/>
              <w:jc w:val="both"/>
              <w:rPr>
                <w:rFonts w:ascii="Times New Roman" w:eastAsia="Times New Roman" w:hAnsi="Times New Roman" w:cs="Times New Roman"/>
                <w:b/>
                <w:sz w:val="24"/>
                <w:szCs w:val="24"/>
              </w:rPr>
            </w:pPr>
            <w:r w:rsidRPr="00534AD3">
              <w:rPr>
                <w:rFonts w:ascii="Times New Roman" w:eastAsia="Times New Roman" w:hAnsi="Times New Roman" w:cs="Times New Roman"/>
                <w:sz w:val="24"/>
                <w:szCs w:val="24"/>
              </w:rPr>
              <w:t>Proiectul nu intră în categoria actelor normative care necesită expertiza de compatibilitate cu legislația Uniunii Europene.</w:t>
            </w:r>
          </w:p>
        </w:tc>
      </w:tr>
      <w:tr w:rsidR="00C264FF" w:rsidRPr="00534AD3" w14:paraId="6378D612" w14:textId="77777777" w:rsidTr="00EE4130">
        <w:trPr>
          <w:trHeight w:val="443"/>
        </w:trPr>
        <w:tc>
          <w:tcPr>
            <w:tcW w:w="10170" w:type="dxa"/>
            <w:shd w:val="clear" w:color="auto" w:fill="FFF2CC" w:themeFill="accent4" w:themeFillTint="33"/>
            <w:tcMar>
              <w:top w:w="0" w:type="dxa"/>
              <w:left w:w="100" w:type="dxa"/>
              <w:bottom w:w="0" w:type="dxa"/>
              <w:right w:w="100" w:type="dxa"/>
            </w:tcMar>
          </w:tcPr>
          <w:p w14:paraId="02E34273" w14:textId="77777777" w:rsidR="00C264FF" w:rsidRPr="00534AD3" w:rsidRDefault="00BB3AA2" w:rsidP="0025532F">
            <w:pPr>
              <w:spacing w:after="0" w:line="240" w:lineRule="auto"/>
              <w:jc w:val="both"/>
              <w:rPr>
                <w:rFonts w:ascii="Times New Roman" w:eastAsia="Times New Roman" w:hAnsi="Times New Roman" w:cs="Times New Roman"/>
                <w:b/>
                <w:sz w:val="24"/>
                <w:szCs w:val="24"/>
              </w:rPr>
            </w:pPr>
            <w:r w:rsidRPr="00534AD3">
              <w:rPr>
                <w:rFonts w:ascii="Times New Roman" w:eastAsia="Times New Roman" w:hAnsi="Times New Roman" w:cs="Times New Roman"/>
                <w:b/>
                <w:sz w:val="24"/>
                <w:szCs w:val="24"/>
              </w:rPr>
              <w:t>5.2. Măsuri normative care urmăresc crearea cadrului juridic intern necesar pentru implementarea legislației UE</w:t>
            </w:r>
          </w:p>
        </w:tc>
      </w:tr>
      <w:tr w:rsidR="00C264FF" w:rsidRPr="00534AD3" w14:paraId="3A0DE0E7" w14:textId="77777777" w:rsidTr="00EE4130">
        <w:trPr>
          <w:trHeight w:val="353"/>
        </w:trPr>
        <w:tc>
          <w:tcPr>
            <w:tcW w:w="10170" w:type="dxa"/>
            <w:shd w:val="clear" w:color="auto" w:fill="auto"/>
          </w:tcPr>
          <w:p w14:paraId="2DB95565" w14:textId="77777777" w:rsidR="00C264FF" w:rsidRPr="00534AD3" w:rsidRDefault="004C4936" w:rsidP="004C4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cs="Times New Roman"/>
                <w:sz w:val="24"/>
                <w:szCs w:val="24"/>
                <w:highlight w:val="white"/>
              </w:rPr>
            </w:pPr>
            <w:r w:rsidRPr="00534AD3">
              <w:rPr>
                <w:rFonts w:ascii="Times New Roman" w:eastAsia="Times New Roman" w:hAnsi="Times New Roman" w:cs="Times New Roman"/>
                <w:sz w:val="24"/>
                <w:szCs w:val="24"/>
              </w:rPr>
              <w:t>Nu este aplicabil</w:t>
            </w:r>
          </w:p>
        </w:tc>
      </w:tr>
      <w:tr w:rsidR="00C264FF" w:rsidRPr="00534AD3" w14:paraId="7A1D81BB" w14:textId="77777777" w:rsidTr="00EE4130">
        <w:trPr>
          <w:trHeight w:val="423"/>
        </w:trPr>
        <w:tc>
          <w:tcPr>
            <w:tcW w:w="10170" w:type="dxa"/>
            <w:shd w:val="clear" w:color="auto" w:fill="A8D08D" w:themeFill="accent6" w:themeFillTint="99"/>
            <w:vAlign w:val="center"/>
          </w:tcPr>
          <w:p w14:paraId="4179D642" w14:textId="77777777" w:rsidR="00C264FF" w:rsidRPr="00534AD3" w:rsidRDefault="00BB3AA2" w:rsidP="0025532F">
            <w:pPr>
              <w:spacing w:after="0" w:line="240" w:lineRule="auto"/>
              <w:ind w:right="141"/>
              <w:rPr>
                <w:rFonts w:ascii="Times New Roman" w:eastAsia="Times New Roman" w:hAnsi="Times New Roman" w:cs="Times New Roman"/>
                <w:b/>
                <w:sz w:val="24"/>
                <w:szCs w:val="24"/>
              </w:rPr>
            </w:pPr>
            <w:r w:rsidRPr="00534AD3">
              <w:rPr>
                <w:rFonts w:ascii="Times New Roman" w:eastAsia="Times New Roman" w:hAnsi="Times New Roman" w:cs="Times New Roman"/>
                <w:b/>
                <w:sz w:val="24"/>
                <w:szCs w:val="24"/>
              </w:rPr>
              <w:t>6. Avizarea și consultarea publică a proiectului actului normativ</w:t>
            </w:r>
          </w:p>
        </w:tc>
      </w:tr>
      <w:tr w:rsidR="00C264FF" w:rsidRPr="00534AD3" w14:paraId="1F4E8E93" w14:textId="77777777" w:rsidTr="00EE4130">
        <w:trPr>
          <w:trHeight w:val="1"/>
        </w:trPr>
        <w:tc>
          <w:tcPr>
            <w:tcW w:w="10170" w:type="dxa"/>
            <w:shd w:val="clear" w:color="auto" w:fill="FFFFFF"/>
          </w:tcPr>
          <w:p w14:paraId="5906E861" w14:textId="427C86B7" w:rsidR="00512583" w:rsidRPr="00534AD3" w:rsidRDefault="00BB3AA2" w:rsidP="00512583">
            <w:pPr>
              <w:spacing w:after="0" w:line="240" w:lineRule="auto"/>
              <w:ind w:firstLine="162"/>
              <w:jc w:val="both"/>
              <w:rPr>
                <w:rFonts w:ascii="Times New Roman" w:eastAsia="Times New Roman" w:hAnsi="Times New Roman" w:cs="Times New Roman"/>
                <w:sz w:val="24"/>
                <w:szCs w:val="24"/>
              </w:rPr>
            </w:pPr>
            <w:r w:rsidRPr="00534AD3">
              <w:rPr>
                <w:rFonts w:ascii="Times New Roman" w:eastAsia="Times New Roman" w:hAnsi="Times New Roman" w:cs="Times New Roman"/>
                <w:sz w:val="24"/>
                <w:szCs w:val="24"/>
              </w:rPr>
              <w:t xml:space="preserve">În scopul respectării Legii nr.239/2008 privind transparența în procesul decizional, anunțul de inițiere a elaborării proiectului </w:t>
            </w:r>
            <w:r w:rsidR="00512583">
              <w:rPr>
                <w:rFonts w:ascii="Times New Roman" w:eastAsia="Times New Roman" w:hAnsi="Times New Roman" w:cs="Times New Roman"/>
                <w:sz w:val="24"/>
                <w:szCs w:val="24"/>
              </w:rPr>
              <w:t>va fi</w:t>
            </w:r>
            <w:r w:rsidRPr="00534AD3">
              <w:rPr>
                <w:rFonts w:ascii="Times New Roman" w:eastAsia="Times New Roman" w:hAnsi="Times New Roman" w:cs="Times New Roman"/>
                <w:sz w:val="24"/>
                <w:szCs w:val="24"/>
              </w:rPr>
              <w:t xml:space="preserve"> plasat pe pagina web a Ministerului Educației și Cercetării, la secț</w:t>
            </w:r>
            <w:r w:rsidR="00512583">
              <w:rPr>
                <w:rFonts w:ascii="Times New Roman" w:eastAsia="Times New Roman" w:hAnsi="Times New Roman" w:cs="Times New Roman"/>
                <w:sz w:val="24"/>
                <w:szCs w:val="24"/>
              </w:rPr>
              <w:t>iunea Transparența decizională.</w:t>
            </w:r>
            <w:bookmarkStart w:id="0" w:name="_GoBack"/>
            <w:bookmarkEnd w:id="0"/>
          </w:p>
          <w:p w14:paraId="790DBE68" w14:textId="7471FC77" w:rsidR="00C264FF" w:rsidRPr="00534AD3" w:rsidRDefault="00C264FF" w:rsidP="0025532F">
            <w:pPr>
              <w:spacing w:after="0" w:line="240" w:lineRule="auto"/>
              <w:ind w:firstLine="162"/>
              <w:jc w:val="both"/>
              <w:rPr>
                <w:rFonts w:ascii="Times New Roman" w:eastAsia="Times New Roman" w:hAnsi="Times New Roman" w:cs="Times New Roman"/>
                <w:sz w:val="24"/>
                <w:szCs w:val="24"/>
              </w:rPr>
            </w:pPr>
          </w:p>
        </w:tc>
      </w:tr>
      <w:tr w:rsidR="00C264FF" w:rsidRPr="00534AD3" w14:paraId="257E074E" w14:textId="77777777" w:rsidTr="00EE4130">
        <w:trPr>
          <w:trHeight w:val="483"/>
        </w:trPr>
        <w:tc>
          <w:tcPr>
            <w:tcW w:w="10170" w:type="dxa"/>
            <w:shd w:val="clear" w:color="auto" w:fill="A8D08D" w:themeFill="accent6" w:themeFillTint="99"/>
            <w:vAlign w:val="center"/>
          </w:tcPr>
          <w:p w14:paraId="23C05B5F" w14:textId="77777777" w:rsidR="00C264FF" w:rsidRPr="00534AD3" w:rsidRDefault="00BB3AA2" w:rsidP="0025532F">
            <w:pPr>
              <w:spacing w:after="0" w:line="240" w:lineRule="auto"/>
              <w:ind w:right="141"/>
              <w:rPr>
                <w:rFonts w:ascii="Times New Roman" w:eastAsia="Times New Roman" w:hAnsi="Times New Roman" w:cs="Times New Roman"/>
                <w:b/>
                <w:sz w:val="24"/>
                <w:szCs w:val="24"/>
              </w:rPr>
            </w:pPr>
            <w:r w:rsidRPr="00534AD3">
              <w:rPr>
                <w:rFonts w:ascii="Times New Roman" w:eastAsia="Times New Roman" w:hAnsi="Times New Roman" w:cs="Times New Roman"/>
                <w:b/>
                <w:sz w:val="24"/>
                <w:szCs w:val="24"/>
              </w:rPr>
              <w:t>7. Concluziile expertizelor</w:t>
            </w:r>
          </w:p>
        </w:tc>
      </w:tr>
      <w:tr w:rsidR="00C264FF" w:rsidRPr="00534AD3" w14:paraId="4B4D7462" w14:textId="77777777" w:rsidTr="00EE4130">
        <w:trPr>
          <w:trHeight w:val="483"/>
        </w:trPr>
        <w:tc>
          <w:tcPr>
            <w:tcW w:w="10170" w:type="dxa"/>
            <w:vAlign w:val="center"/>
          </w:tcPr>
          <w:p w14:paraId="6EEB1339" w14:textId="69FD0D30" w:rsidR="00C264FF" w:rsidRPr="00534AD3" w:rsidRDefault="004C4936" w:rsidP="0025532F">
            <w:pPr>
              <w:tabs>
                <w:tab w:val="left" w:pos="993"/>
              </w:tabs>
              <w:spacing w:after="0" w:line="240" w:lineRule="auto"/>
              <w:jc w:val="both"/>
              <w:rPr>
                <w:rFonts w:ascii="Times New Roman" w:eastAsia="Times New Roman" w:hAnsi="Times New Roman" w:cs="Times New Roman"/>
                <w:sz w:val="24"/>
                <w:szCs w:val="24"/>
              </w:rPr>
            </w:pPr>
            <w:r w:rsidRPr="00534AD3">
              <w:rPr>
                <w:rFonts w:ascii="Times New Roman" w:eastAsia="Times New Roman" w:hAnsi="Times New Roman" w:cs="Times New Roman"/>
                <w:sz w:val="24"/>
                <w:szCs w:val="24"/>
              </w:rPr>
              <w:t>Proiectul va fi expertizat de</w:t>
            </w:r>
            <w:r w:rsidR="00EB2FC7" w:rsidRPr="00534AD3">
              <w:rPr>
                <w:rFonts w:ascii="Times New Roman" w:eastAsia="Times New Roman" w:hAnsi="Times New Roman" w:cs="Times New Roman"/>
                <w:sz w:val="24"/>
                <w:szCs w:val="24"/>
              </w:rPr>
              <w:t xml:space="preserve"> către Ministerul Justiției și</w:t>
            </w:r>
            <w:r w:rsidRPr="00534AD3">
              <w:rPr>
                <w:rFonts w:ascii="Times New Roman" w:eastAsia="Times New Roman" w:hAnsi="Times New Roman" w:cs="Times New Roman"/>
                <w:sz w:val="24"/>
                <w:szCs w:val="24"/>
              </w:rPr>
              <w:t xml:space="preserve"> Centrul Național </w:t>
            </w:r>
            <w:r w:rsidR="00EB2FC7" w:rsidRPr="00534AD3">
              <w:rPr>
                <w:rFonts w:ascii="Times New Roman" w:eastAsia="Times New Roman" w:hAnsi="Times New Roman" w:cs="Times New Roman"/>
                <w:sz w:val="24"/>
                <w:szCs w:val="24"/>
              </w:rPr>
              <w:t>Anticorupție</w:t>
            </w:r>
          </w:p>
        </w:tc>
      </w:tr>
      <w:tr w:rsidR="00C264FF" w:rsidRPr="00534AD3" w14:paraId="63A6A835" w14:textId="77777777" w:rsidTr="00EE4130">
        <w:trPr>
          <w:trHeight w:val="483"/>
        </w:trPr>
        <w:tc>
          <w:tcPr>
            <w:tcW w:w="10170" w:type="dxa"/>
            <w:shd w:val="clear" w:color="auto" w:fill="A8D08D" w:themeFill="accent6" w:themeFillTint="99"/>
            <w:vAlign w:val="center"/>
          </w:tcPr>
          <w:p w14:paraId="7576A50C" w14:textId="77777777" w:rsidR="00C264FF" w:rsidRPr="00534AD3" w:rsidRDefault="00BB3AA2" w:rsidP="0025532F">
            <w:pPr>
              <w:spacing w:after="0" w:line="240" w:lineRule="auto"/>
              <w:ind w:right="141"/>
              <w:rPr>
                <w:rFonts w:ascii="Times New Roman" w:eastAsia="Times New Roman" w:hAnsi="Times New Roman" w:cs="Times New Roman"/>
                <w:b/>
                <w:sz w:val="24"/>
                <w:szCs w:val="24"/>
              </w:rPr>
            </w:pPr>
            <w:r w:rsidRPr="00534AD3">
              <w:rPr>
                <w:rFonts w:ascii="Times New Roman" w:eastAsia="Times New Roman" w:hAnsi="Times New Roman" w:cs="Times New Roman"/>
                <w:b/>
                <w:sz w:val="24"/>
                <w:szCs w:val="24"/>
              </w:rPr>
              <w:t>8. Modul de încorporare a actului în cadrul normativ existent</w:t>
            </w:r>
          </w:p>
        </w:tc>
      </w:tr>
      <w:tr w:rsidR="00C264FF" w:rsidRPr="00534AD3" w14:paraId="27C48FD7" w14:textId="77777777" w:rsidTr="00EE4130">
        <w:trPr>
          <w:trHeight w:val="483"/>
        </w:trPr>
        <w:tc>
          <w:tcPr>
            <w:tcW w:w="10170" w:type="dxa"/>
            <w:vAlign w:val="center"/>
          </w:tcPr>
          <w:p w14:paraId="0B8FD3FF" w14:textId="77777777" w:rsidR="00C264FF" w:rsidRPr="00534AD3" w:rsidRDefault="004C4936" w:rsidP="0025532F">
            <w:pPr>
              <w:spacing w:after="0" w:line="240" w:lineRule="auto"/>
              <w:ind w:right="141"/>
              <w:rPr>
                <w:rFonts w:ascii="Times New Roman" w:eastAsia="Times New Roman" w:hAnsi="Times New Roman" w:cs="Times New Roman"/>
                <w:b/>
                <w:sz w:val="24"/>
                <w:szCs w:val="24"/>
              </w:rPr>
            </w:pPr>
            <w:r w:rsidRPr="00534AD3">
              <w:rPr>
                <w:rFonts w:ascii="Times New Roman" w:eastAsia="Times New Roman" w:hAnsi="Times New Roman" w:cs="Times New Roman"/>
                <w:sz w:val="24"/>
                <w:szCs w:val="24"/>
              </w:rPr>
              <w:t>Proiectul de Regulament nu implică modificarea altor acte normative</w:t>
            </w:r>
          </w:p>
        </w:tc>
      </w:tr>
      <w:tr w:rsidR="00C264FF" w:rsidRPr="00534AD3" w14:paraId="3142DD81" w14:textId="77777777" w:rsidTr="00EE4130">
        <w:trPr>
          <w:trHeight w:val="483"/>
        </w:trPr>
        <w:tc>
          <w:tcPr>
            <w:tcW w:w="10170" w:type="dxa"/>
            <w:shd w:val="clear" w:color="auto" w:fill="A8D08D" w:themeFill="accent6" w:themeFillTint="99"/>
            <w:vAlign w:val="center"/>
          </w:tcPr>
          <w:p w14:paraId="3ACEF968" w14:textId="77777777" w:rsidR="00C264FF" w:rsidRPr="00534AD3" w:rsidRDefault="00BB3AA2" w:rsidP="0025532F">
            <w:pPr>
              <w:spacing w:after="0" w:line="240" w:lineRule="auto"/>
              <w:ind w:right="141"/>
              <w:rPr>
                <w:rFonts w:ascii="Times New Roman" w:eastAsia="Times New Roman" w:hAnsi="Times New Roman" w:cs="Times New Roman"/>
                <w:b/>
                <w:sz w:val="24"/>
                <w:szCs w:val="24"/>
              </w:rPr>
            </w:pPr>
            <w:r w:rsidRPr="00534AD3">
              <w:rPr>
                <w:rFonts w:ascii="Times New Roman" w:eastAsia="Times New Roman" w:hAnsi="Times New Roman" w:cs="Times New Roman"/>
                <w:b/>
                <w:sz w:val="24"/>
                <w:szCs w:val="24"/>
              </w:rPr>
              <w:t>9. Măsurile necesare pentru implementarea prevederilor proiectului actului normativ</w:t>
            </w:r>
          </w:p>
        </w:tc>
      </w:tr>
      <w:tr w:rsidR="00C264FF" w:rsidRPr="00534AD3" w14:paraId="27A3251A" w14:textId="77777777" w:rsidTr="00EE4130">
        <w:trPr>
          <w:trHeight w:val="483"/>
        </w:trPr>
        <w:tc>
          <w:tcPr>
            <w:tcW w:w="10170" w:type="dxa"/>
            <w:vAlign w:val="center"/>
          </w:tcPr>
          <w:p w14:paraId="6D3865B8" w14:textId="77777777" w:rsidR="00C264FF" w:rsidRPr="00534AD3" w:rsidRDefault="004C4936" w:rsidP="0025532F">
            <w:pPr>
              <w:jc w:val="both"/>
              <w:rPr>
                <w:rFonts w:ascii="Times New Roman" w:eastAsia="Times New Roman" w:hAnsi="Times New Roman" w:cs="Times New Roman"/>
                <w:sz w:val="24"/>
                <w:szCs w:val="24"/>
              </w:rPr>
            </w:pPr>
            <w:r w:rsidRPr="00534AD3">
              <w:rPr>
                <w:rFonts w:ascii="Times New Roman" w:eastAsia="Times New Roman" w:hAnsi="Times New Roman" w:cs="Times New Roman"/>
                <w:sz w:val="24"/>
                <w:szCs w:val="24"/>
              </w:rPr>
              <w:t xml:space="preserve">Se propune implementarea proiectului de Regulament odată cu </w:t>
            </w:r>
            <w:r w:rsidR="003676CC" w:rsidRPr="00534AD3">
              <w:rPr>
                <w:rFonts w:ascii="Times New Roman" w:eastAsia="Times New Roman" w:hAnsi="Times New Roman" w:cs="Times New Roman"/>
                <w:sz w:val="24"/>
                <w:szCs w:val="24"/>
              </w:rPr>
              <w:t>aprobarea acestuia și publicarea în Monitorul Oficial.</w:t>
            </w:r>
          </w:p>
        </w:tc>
      </w:tr>
    </w:tbl>
    <w:p w14:paraId="38D32798" w14:textId="77777777" w:rsidR="00C264FF" w:rsidRPr="00534AD3" w:rsidRDefault="00C264FF">
      <w:pPr>
        <w:pBdr>
          <w:top w:val="nil"/>
          <w:left w:val="nil"/>
          <w:bottom w:val="nil"/>
          <w:right w:val="nil"/>
          <w:between w:val="nil"/>
        </w:pBdr>
        <w:spacing w:after="0" w:line="240" w:lineRule="auto"/>
        <w:ind w:right="141"/>
        <w:jc w:val="both"/>
        <w:rPr>
          <w:rFonts w:ascii="Times New Roman" w:eastAsia="Times New Roman" w:hAnsi="Times New Roman" w:cs="Times New Roman"/>
          <w:b/>
          <w:color w:val="000000"/>
          <w:sz w:val="24"/>
          <w:szCs w:val="24"/>
          <w:highlight w:val="yellow"/>
        </w:rPr>
      </w:pPr>
    </w:p>
    <w:p w14:paraId="17A2C132" w14:textId="77777777" w:rsidR="00C264FF" w:rsidRPr="00534AD3" w:rsidRDefault="00C264FF">
      <w:pPr>
        <w:pBdr>
          <w:top w:val="nil"/>
          <w:left w:val="nil"/>
          <w:bottom w:val="nil"/>
          <w:right w:val="nil"/>
          <w:between w:val="nil"/>
        </w:pBdr>
        <w:spacing w:after="0" w:line="240" w:lineRule="auto"/>
        <w:ind w:right="141"/>
        <w:jc w:val="both"/>
        <w:rPr>
          <w:rFonts w:ascii="Times New Roman" w:eastAsia="Times New Roman" w:hAnsi="Times New Roman" w:cs="Times New Roman"/>
          <w:b/>
          <w:color w:val="000000"/>
          <w:sz w:val="24"/>
          <w:szCs w:val="24"/>
          <w:highlight w:val="yellow"/>
        </w:rPr>
      </w:pPr>
    </w:p>
    <w:p w14:paraId="01EA827F" w14:textId="77777777" w:rsidR="00C264FF" w:rsidRPr="00534AD3" w:rsidRDefault="00C264FF">
      <w:pPr>
        <w:spacing w:after="0" w:line="240" w:lineRule="auto"/>
        <w:ind w:right="141"/>
        <w:jc w:val="center"/>
        <w:rPr>
          <w:rFonts w:ascii="Times New Roman" w:eastAsia="Times New Roman" w:hAnsi="Times New Roman" w:cs="Times New Roman"/>
          <w:b/>
          <w:color w:val="000000"/>
          <w:sz w:val="24"/>
          <w:szCs w:val="24"/>
        </w:rPr>
      </w:pPr>
    </w:p>
    <w:p w14:paraId="1C9CF371" w14:textId="77777777" w:rsidR="00C264FF" w:rsidRPr="00534AD3" w:rsidRDefault="00BB3AA2">
      <w:pPr>
        <w:spacing w:after="0" w:line="240" w:lineRule="auto"/>
        <w:ind w:right="141"/>
        <w:jc w:val="center"/>
        <w:rPr>
          <w:rFonts w:ascii="Times New Roman" w:eastAsia="Times New Roman" w:hAnsi="Times New Roman" w:cs="Times New Roman"/>
          <w:b/>
          <w:color w:val="000000"/>
          <w:sz w:val="24"/>
          <w:szCs w:val="24"/>
        </w:rPr>
      </w:pPr>
      <w:r w:rsidRPr="00534AD3">
        <w:rPr>
          <w:rFonts w:ascii="Times New Roman" w:eastAsia="Times New Roman" w:hAnsi="Times New Roman" w:cs="Times New Roman"/>
          <w:b/>
          <w:color w:val="000000"/>
          <w:sz w:val="24"/>
          <w:szCs w:val="24"/>
        </w:rPr>
        <w:t>Ministru                                         Dan PERCIUN</w:t>
      </w:r>
    </w:p>
    <w:p w14:paraId="4C33FD76" w14:textId="77777777" w:rsidR="00C264FF" w:rsidRPr="00534AD3" w:rsidRDefault="00C264FF">
      <w:pPr>
        <w:spacing w:after="0" w:line="240" w:lineRule="auto"/>
        <w:ind w:right="141"/>
        <w:jc w:val="center"/>
        <w:rPr>
          <w:rFonts w:ascii="Times New Roman" w:eastAsia="Times New Roman" w:hAnsi="Times New Roman" w:cs="Times New Roman"/>
          <w:b/>
          <w:color w:val="000000"/>
          <w:sz w:val="24"/>
          <w:szCs w:val="24"/>
        </w:rPr>
      </w:pPr>
    </w:p>
    <w:p w14:paraId="018F6652" w14:textId="77777777" w:rsidR="00C264FF" w:rsidRPr="00534AD3" w:rsidRDefault="00C264FF">
      <w:pPr>
        <w:spacing w:after="0" w:line="240" w:lineRule="auto"/>
        <w:ind w:right="141"/>
        <w:jc w:val="center"/>
        <w:rPr>
          <w:rFonts w:ascii="Times New Roman" w:eastAsia="Times New Roman" w:hAnsi="Times New Roman" w:cs="Times New Roman"/>
          <w:b/>
          <w:color w:val="000000"/>
          <w:sz w:val="24"/>
          <w:szCs w:val="24"/>
        </w:rPr>
      </w:pPr>
    </w:p>
    <w:p w14:paraId="198A5123" w14:textId="77777777" w:rsidR="00B87488" w:rsidRDefault="00B87488">
      <w:pPr>
        <w:spacing w:after="0" w:line="240" w:lineRule="auto"/>
        <w:ind w:right="141"/>
        <w:rPr>
          <w:rFonts w:ascii="Times New Roman" w:eastAsia="Times New Roman" w:hAnsi="Times New Roman" w:cs="Times New Roman"/>
          <w:i/>
          <w:iCs/>
          <w:color w:val="000000"/>
          <w:sz w:val="18"/>
          <w:szCs w:val="18"/>
        </w:rPr>
      </w:pPr>
    </w:p>
    <w:p w14:paraId="2C9988D9" w14:textId="7452BDD1" w:rsidR="00C264FF" w:rsidRPr="00534AD3" w:rsidRDefault="003676CC">
      <w:pPr>
        <w:spacing w:after="0" w:line="240" w:lineRule="auto"/>
        <w:ind w:right="141"/>
        <w:rPr>
          <w:rFonts w:ascii="Times New Roman" w:eastAsia="Times New Roman" w:hAnsi="Times New Roman" w:cs="Times New Roman"/>
          <w:i/>
          <w:iCs/>
          <w:color w:val="000000"/>
          <w:sz w:val="18"/>
          <w:szCs w:val="18"/>
        </w:rPr>
      </w:pPr>
      <w:r w:rsidRPr="00534AD3">
        <w:rPr>
          <w:rFonts w:ascii="Times New Roman" w:eastAsia="Times New Roman" w:hAnsi="Times New Roman" w:cs="Times New Roman"/>
          <w:i/>
          <w:iCs/>
          <w:color w:val="000000"/>
          <w:sz w:val="18"/>
          <w:szCs w:val="18"/>
        </w:rPr>
        <w:t xml:space="preserve">Ex.: </w:t>
      </w:r>
      <w:r w:rsidR="00DF104E" w:rsidRPr="00534AD3">
        <w:rPr>
          <w:rFonts w:ascii="Times New Roman" w:eastAsia="Times New Roman" w:hAnsi="Times New Roman" w:cs="Times New Roman"/>
          <w:i/>
          <w:iCs/>
          <w:color w:val="000000"/>
          <w:sz w:val="18"/>
          <w:szCs w:val="18"/>
        </w:rPr>
        <w:t>M</w:t>
      </w:r>
      <w:r w:rsidRPr="00534AD3">
        <w:rPr>
          <w:rFonts w:ascii="Times New Roman" w:eastAsia="Times New Roman" w:hAnsi="Times New Roman" w:cs="Times New Roman"/>
          <w:i/>
          <w:iCs/>
          <w:color w:val="000000"/>
          <w:sz w:val="18"/>
          <w:szCs w:val="18"/>
        </w:rPr>
        <w:t>. Baleca</w:t>
      </w:r>
      <w:r w:rsidR="00AE7DA4" w:rsidRPr="00534AD3">
        <w:rPr>
          <w:rFonts w:ascii="Times New Roman" w:eastAsia="Times New Roman" w:hAnsi="Times New Roman" w:cs="Times New Roman"/>
          <w:i/>
          <w:iCs/>
          <w:color w:val="000000"/>
          <w:sz w:val="18"/>
          <w:szCs w:val="18"/>
        </w:rPr>
        <w:t>, tel. 0(22) 23 32 12</w:t>
      </w:r>
    </w:p>
    <w:p w14:paraId="31C882E8" w14:textId="46C97A6E" w:rsidR="00DF104E" w:rsidRPr="00534AD3" w:rsidRDefault="00DF104E">
      <w:pPr>
        <w:spacing w:after="0" w:line="240" w:lineRule="auto"/>
        <w:ind w:right="141"/>
        <w:rPr>
          <w:rFonts w:ascii="Times New Roman" w:eastAsia="Times New Roman" w:hAnsi="Times New Roman" w:cs="Times New Roman"/>
          <w:i/>
          <w:iCs/>
          <w:color w:val="000000"/>
          <w:sz w:val="18"/>
          <w:szCs w:val="18"/>
        </w:rPr>
      </w:pPr>
      <w:r w:rsidRPr="00534AD3">
        <w:rPr>
          <w:rFonts w:ascii="Times New Roman" w:eastAsia="Times New Roman" w:hAnsi="Times New Roman" w:cs="Times New Roman"/>
          <w:i/>
          <w:iCs/>
          <w:color w:val="000000"/>
          <w:sz w:val="18"/>
          <w:szCs w:val="18"/>
        </w:rPr>
        <w:t xml:space="preserve">       </w:t>
      </w:r>
      <w:r w:rsidR="00B87488">
        <w:rPr>
          <w:rFonts w:ascii="Times New Roman" w:eastAsia="Times New Roman" w:hAnsi="Times New Roman" w:cs="Times New Roman"/>
          <w:i/>
          <w:iCs/>
          <w:color w:val="000000"/>
          <w:sz w:val="18"/>
          <w:szCs w:val="18"/>
        </w:rPr>
        <w:t>D. Clipaci</w:t>
      </w:r>
      <w:r w:rsidRPr="00534AD3">
        <w:rPr>
          <w:rFonts w:ascii="Times New Roman" w:eastAsia="Times New Roman" w:hAnsi="Times New Roman" w:cs="Times New Roman"/>
          <w:i/>
          <w:iCs/>
          <w:color w:val="000000"/>
          <w:sz w:val="18"/>
          <w:szCs w:val="18"/>
        </w:rPr>
        <w:t>, tel. 067</w:t>
      </w:r>
      <w:r w:rsidR="00B87488">
        <w:rPr>
          <w:rFonts w:ascii="Times New Roman" w:eastAsia="Times New Roman" w:hAnsi="Times New Roman" w:cs="Times New Roman"/>
          <w:i/>
          <w:iCs/>
          <w:color w:val="000000"/>
          <w:sz w:val="18"/>
          <w:szCs w:val="18"/>
        </w:rPr>
        <w:t>664701</w:t>
      </w:r>
    </w:p>
    <w:sectPr w:rsidR="00DF104E" w:rsidRPr="00534AD3" w:rsidSect="00EE4130">
      <w:footerReference w:type="default" r:id="rId9"/>
      <w:pgSz w:w="11906" w:h="16838"/>
      <w:pgMar w:top="709" w:right="707" w:bottom="709" w:left="1276" w:header="709" w:footer="303"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F5418E" w16cex:dateUtc="2025-07-31T08:40:00Z"/>
  <w16cex:commentExtensible w16cex:durableId="6E0EB718" w16cex:dateUtc="2025-07-31T08:40:00Z"/>
  <w16cex:commentExtensible w16cex:durableId="30C34EC4" w16cex:dateUtc="2025-07-31T08:39:00Z"/>
  <w16cex:commentExtensible w16cex:durableId="1315DFE3" w16cex:dateUtc="2025-07-31T08:38:00Z"/>
  <w16cex:commentExtensible w16cex:durableId="42E9C472" w16cex:dateUtc="2025-07-31T08:36:00Z"/>
  <w16cex:commentExtensible w16cex:durableId="6D8D244B" w16cex:dateUtc="2025-07-31T08:37:00Z"/>
  <w16cex:commentExtensible w16cex:durableId="7811018F" w16cex:dateUtc="2025-07-31T08:36:00Z"/>
  <w16cex:commentExtensible w16cex:durableId="400B7DF3" w16cex:dateUtc="2025-07-31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5868F" w16cid:durableId="26F5418E"/>
  <w16cid:commentId w16cid:paraId="49A01669" w16cid:durableId="6E0EB718"/>
  <w16cid:commentId w16cid:paraId="00B8ED73" w16cid:durableId="30C34EC4"/>
  <w16cid:commentId w16cid:paraId="34D57214" w16cid:durableId="1315DFE3"/>
  <w16cid:commentId w16cid:paraId="0F5303E5" w16cid:durableId="42E9C472"/>
  <w16cid:commentId w16cid:paraId="0B92794E" w16cid:durableId="6D8D244B"/>
  <w16cid:commentId w16cid:paraId="5B7C236B" w16cid:durableId="7811018F"/>
  <w16cid:commentId w16cid:paraId="47921FB2" w16cid:durableId="400B7D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8A8A1" w14:textId="77777777" w:rsidR="00DF5410" w:rsidRDefault="00DF5410">
      <w:pPr>
        <w:spacing w:after="0" w:line="240" w:lineRule="auto"/>
      </w:pPr>
      <w:r>
        <w:separator/>
      </w:r>
    </w:p>
  </w:endnote>
  <w:endnote w:type="continuationSeparator" w:id="0">
    <w:p w14:paraId="40642E9A" w14:textId="77777777" w:rsidR="00DF5410" w:rsidRDefault="00DF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erif">
    <w:altName w:val="Times New Roman"/>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6CF9B" w14:textId="77777777" w:rsidR="00055101" w:rsidRDefault="00055101">
    <w:pPr>
      <w:pBdr>
        <w:top w:val="nil"/>
        <w:left w:val="nil"/>
        <w:bottom w:val="nil"/>
        <w:right w:val="nil"/>
        <w:between w:val="nil"/>
      </w:pBdr>
      <w:tabs>
        <w:tab w:val="center" w:pos="4680"/>
        <w:tab w:val="right" w:pos="9360"/>
      </w:tabs>
      <w:spacing w:after="0" w:line="240" w:lineRule="auto"/>
      <w:jc w:val="right"/>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512583">
      <w:rPr>
        <w:rFonts w:eastAsia="Calibri"/>
        <w:noProof/>
        <w:color w:val="000000"/>
      </w:rPr>
      <w:t>3</w:t>
    </w:r>
    <w:r>
      <w:rPr>
        <w:rFonts w:eastAsia="Calibri"/>
        <w:color w:val="000000"/>
      </w:rPr>
      <w:fldChar w:fldCharType="end"/>
    </w:r>
  </w:p>
  <w:p w14:paraId="11672249" w14:textId="77777777" w:rsidR="00055101" w:rsidRDefault="00055101">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0982B" w14:textId="77777777" w:rsidR="00DF5410" w:rsidRDefault="00DF5410">
      <w:pPr>
        <w:spacing w:after="0" w:line="240" w:lineRule="auto"/>
      </w:pPr>
      <w:r>
        <w:separator/>
      </w:r>
    </w:p>
  </w:footnote>
  <w:footnote w:type="continuationSeparator" w:id="0">
    <w:p w14:paraId="5DC2A478" w14:textId="77777777" w:rsidR="00DF5410" w:rsidRDefault="00DF54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53589"/>
    <w:multiLevelType w:val="multilevel"/>
    <w:tmpl w:val="345C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E2635A"/>
    <w:multiLevelType w:val="multilevel"/>
    <w:tmpl w:val="8CF4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461F2"/>
    <w:multiLevelType w:val="hybridMultilevel"/>
    <w:tmpl w:val="ACE8DAE0"/>
    <w:lvl w:ilvl="0" w:tplc="25D6DAC0">
      <w:start w:val="2"/>
      <w:numFmt w:val="bullet"/>
      <w:lvlText w:val="-"/>
      <w:lvlJc w:val="left"/>
      <w:pPr>
        <w:ind w:left="720" w:hanging="360"/>
      </w:pPr>
      <w:rPr>
        <w:rFonts w:ascii="Times New Roman" w:eastAsia="Times New Roman" w:hAnsi="Times New Roman" w:cs="Times New Roman" w:hint="default"/>
        <w:b/>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CA37ACE"/>
    <w:multiLevelType w:val="multilevel"/>
    <w:tmpl w:val="F0E8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0346FB"/>
    <w:multiLevelType w:val="hybridMultilevel"/>
    <w:tmpl w:val="80F84C3C"/>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675B6DC1"/>
    <w:multiLevelType w:val="multilevel"/>
    <w:tmpl w:val="AC50E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FF"/>
    <w:rsid w:val="00041E0C"/>
    <w:rsid w:val="00055101"/>
    <w:rsid w:val="00083CC3"/>
    <w:rsid w:val="000930D6"/>
    <w:rsid w:val="00096C53"/>
    <w:rsid w:val="000B135F"/>
    <w:rsid w:val="000B616D"/>
    <w:rsid w:val="000C3C46"/>
    <w:rsid w:val="000E473E"/>
    <w:rsid w:val="00152D90"/>
    <w:rsid w:val="00172A0F"/>
    <w:rsid w:val="00175A3F"/>
    <w:rsid w:val="001878EB"/>
    <w:rsid w:val="00187E64"/>
    <w:rsid w:val="001E4D79"/>
    <w:rsid w:val="00206AA0"/>
    <w:rsid w:val="00207C65"/>
    <w:rsid w:val="00235C3A"/>
    <w:rsid w:val="0025532F"/>
    <w:rsid w:val="00257685"/>
    <w:rsid w:val="00261806"/>
    <w:rsid w:val="00292477"/>
    <w:rsid w:val="002B5F77"/>
    <w:rsid w:val="002D3E1E"/>
    <w:rsid w:val="002E20A9"/>
    <w:rsid w:val="002E7350"/>
    <w:rsid w:val="003007BB"/>
    <w:rsid w:val="0030515C"/>
    <w:rsid w:val="00322197"/>
    <w:rsid w:val="00332931"/>
    <w:rsid w:val="00332C28"/>
    <w:rsid w:val="00335A29"/>
    <w:rsid w:val="00356E40"/>
    <w:rsid w:val="00362367"/>
    <w:rsid w:val="003676CC"/>
    <w:rsid w:val="0037039C"/>
    <w:rsid w:val="0038471B"/>
    <w:rsid w:val="003A2C90"/>
    <w:rsid w:val="003D573E"/>
    <w:rsid w:val="003F11BA"/>
    <w:rsid w:val="003F1BD4"/>
    <w:rsid w:val="00470ED5"/>
    <w:rsid w:val="004A56ED"/>
    <w:rsid w:val="004C4936"/>
    <w:rsid w:val="004C4DDC"/>
    <w:rsid w:val="00512583"/>
    <w:rsid w:val="00514AAE"/>
    <w:rsid w:val="00534AD3"/>
    <w:rsid w:val="0053529C"/>
    <w:rsid w:val="00547216"/>
    <w:rsid w:val="005734C2"/>
    <w:rsid w:val="005A07A0"/>
    <w:rsid w:val="005A2347"/>
    <w:rsid w:val="00632761"/>
    <w:rsid w:val="006643E7"/>
    <w:rsid w:val="00667D52"/>
    <w:rsid w:val="00673F3B"/>
    <w:rsid w:val="006B63D3"/>
    <w:rsid w:val="006B6A3B"/>
    <w:rsid w:val="006D4981"/>
    <w:rsid w:val="00751C85"/>
    <w:rsid w:val="00763405"/>
    <w:rsid w:val="007804A8"/>
    <w:rsid w:val="00782BB1"/>
    <w:rsid w:val="007833CC"/>
    <w:rsid w:val="00790421"/>
    <w:rsid w:val="00794192"/>
    <w:rsid w:val="007B5D10"/>
    <w:rsid w:val="007C3D2C"/>
    <w:rsid w:val="007F69FB"/>
    <w:rsid w:val="00801133"/>
    <w:rsid w:val="00807D98"/>
    <w:rsid w:val="008161CC"/>
    <w:rsid w:val="008617FE"/>
    <w:rsid w:val="00863333"/>
    <w:rsid w:val="008726E0"/>
    <w:rsid w:val="008A4CF8"/>
    <w:rsid w:val="008E14D0"/>
    <w:rsid w:val="00921013"/>
    <w:rsid w:val="009870E7"/>
    <w:rsid w:val="00A113E7"/>
    <w:rsid w:val="00A178A7"/>
    <w:rsid w:val="00A62EAA"/>
    <w:rsid w:val="00A63BF2"/>
    <w:rsid w:val="00A92C36"/>
    <w:rsid w:val="00AA6018"/>
    <w:rsid w:val="00AB179B"/>
    <w:rsid w:val="00AE7DA4"/>
    <w:rsid w:val="00B04F79"/>
    <w:rsid w:val="00B4184B"/>
    <w:rsid w:val="00B43A6E"/>
    <w:rsid w:val="00B46018"/>
    <w:rsid w:val="00B745CC"/>
    <w:rsid w:val="00B87488"/>
    <w:rsid w:val="00BB3AA2"/>
    <w:rsid w:val="00BC025E"/>
    <w:rsid w:val="00BC15D8"/>
    <w:rsid w:val="00BD25F1"/>
    <w:rsid w:val="00C05826"/>
    <w:rsid w:val="00C264FF"/>
    <w:rsid w:val="00C27274"/>
    <w:rsid w:val="00C4754A"/>
    <w:rsid w:val="00C727EE"/>
    <w:rsid w:val="00C80BE6"/>
    <w:rsid w:val="00C83073"/>
    <w:rsid w:val="00C92635"/>
    <w:rsid w:val="00CA5143"/>
    <w:rsid w:val="00CA5419"/>
    <w:rsid w:val="00CE132A"/>
    <w:rsid w:val="00CE3EDC"/>
    <w:rsid w:val="00CF006B"/>
    <w:rsid w:val="00D00BA3"/>
    <w:rsid w:val="00D819ED"/>
    <w:rsid w:val="00D842A9"/>
    <w:rsid w:val="00DF104E"/>
    <w:rsid w:val="00DF251E"/>
    <w:rsid w:val="00DF5410"/>
    <w:rsid w:val="00E00D95"/>
    <w:rsid w:val="00E61443"/>
    <w:rsid w:val="00E9382E"/>
    <w:rsid w:val="00EB2FC7"/>
    <w:rsid w:val="00EB3090"/>
    <w:rsid w:val="00EC0111"/>
    <w:rsid w:val="00EC4508"/>
    <w:rsid w:val="00EE4130"/>
    <w:rsid w:val="00EF3647"/>
    <w:rsid w:val="00F03E8F"/>
    <w:rsid w:val="00F11AF7"/>
    <w:rsid w:val="00F23FCE"/>
    <w:rsid w:val="00F26F15"/>
    <w:rsid w:val="00F82A93"/>
    <w:rsid w:val="00F94041"/>
    <w:rsid w:val="00FB465C"/>
    <w:rsid w:val="00FC0361"/>
    <w:rsid w:val="00FF1333"/>
    <w:rsid w:val="00FF3063"/>
    <w:rsid w:val="00FF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7C52D"/>
  <w15:docId w15:val="{122FFCA0-4523-4B63-9068-A9485B0D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1"/>
        <w:szCs w:val="21"/>
        <w:lang w:val="ro-RO"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5E3"/>
    <w:rPr>
      <w:rFonts w:eastAsiaTheme="minorEastAsia"/>
    </w:rPr>
  </w:style>
  <w:style w:type="paragraph" w:styleId="Titlu1">
    <w:name w:val="heading 1"/>
    <w:basedOn w:val="Normal"/>
    <w:next w:val="Normal"/>
    <w:pPr>
      <w:keepNext/>
      <w:keepLines/>
      <w:spacing w:before="48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link w:val="Titlu4Caracter"/>
    <w:uiPriority w:val="9"/>
    <w:qFormat/>
    <w:rsid w:val="00A6124F"/>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Titlu5">
    <w:name w:val="heading 5"/>
    <w:basedOn w:val="Normal"/>
    <w:next w:val="Normal"/>
    <w:pPr>
      <w:keepNext/>
      <w:keepLines/>
      <w:spacing w:before="220" w:after="40"/>
      <w:outlineLvl w:val="4"/>
    </w:pPr>
    <w:rPr>
      <w:b/>
      <w:sz w:val="22"/>
      <w:szCs w:val="22"/>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pPr>
    <w:rPr>
      <w:b/>
      <w:sz w:val="72"/>
      <w:szCs w:val="72"/>
    </w:rPr>
  </w:style>
  <w:style w:type="paragraph" w:styleId="NormalWeb">
    <w:name w:val="Normal (Web)"/>
    <w:basedOn w:val="Normal"/>
    <w:uiPriority w:val="99"/>
    <w:rsid w:val="000948CB"/>
    <w:pPr>
      <w:spacing w:after="0" w:line="240" w:lineRule="auto"/>
      <w:ind w:firstLine="567"/>
      <w:jc w:val="both"/>
    </w:pPr>
    <w:rPr>
      <w:rFonts w:ascii="Times New Roman" w:eastAsia="Calibri" w:hAnsi="Times New Roman" w:cs="Times New Roman"/>
      <w:sz w:val="24"/>
      <w:szCs w:val="24"/>
      <w:lang w:eastAsia="ru-RU"/>
    </w:rPr>
  </w:style>
  <w:style w:type="paragraph" w:styleId="Indentcorptext">
    <w:name w:val="Body Text Indent"/>
    <w:basedOn w:val="Normal"/>
    <w:link w:val="IndentcorptextCaracter"/>
    <w:rsid w:val="000948CB"/>
    <w:pPr>
      <w:autoSpaceDE w:val="0"/>
      <w:autoSpaceDN w:val="0"/>
      <w:spacing w:after="0" w:line="240" w:lineRule="auto"/>
      <w:ind w:firstLine="540"/>
      <w:jc w:val="both"/>
    </w:pPr>
    <w:rPr>
      <w:rFonts w:ascii="Times New Roman" w:eastAsia="Times New Roman" w:hAnsi="Times New Roman" w:cs="Arial"/>
      <w:sz w:val="28"/>
      <w:szCs w:val="20"/>
      <w:lang w:eastAsia="ru-RU"/>
    </w:rPr>
  </w:style>
  <w:style w:type="character" w:customStyle="1" w:styleId="IndentcorptextCaracter">
    <w:name w:val="Indent corp text Caracter"/>
    <w:basedOn w:val="Fontdeparagrafimplicit"/>
    <w:link w:val="Indentcorptext"/>
    <w:rsid w:val="000948CB"/>
    <w:rPr>
      <w:rFonts w:ascii="Times New Roman" w:eastAsia="Times New Roman" w:hAnsi="Times New Roman" w:cs="Arial"/>
      <w:sz w:val="28"/>
      <w:szCs w:val="20"/>
      <w:lang w:val="ro-RO" w:eastAsia="ru-RU"/>
    </w:rPr>
  </w:style>
  <w:style w:type="paragraph" w:styleId="PreformatatHTML">
    <w:name w:val="HTML Preformatted"/>
    <w:basedOn w:val="Normal"/>
    <w:link w:val="PreformatatHTMLCaracter"/>
    <w:rsid w:val="0009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PreformatatHTMLCaracter">
    <w:name w:val="Preformatat HTML Caracter"/>
    <w:basedOn w:val="Fontdeparagrafimplicit"/>
    <w:link w:val="PreformatatHTML"/>
    <w:rsid w:val="000948CB"/>
    <w:rPr>
      <w:rFonts w:ascii="Courier New" w:eastAsia="Times New Roman" w:hAnsi="Courier New" w:cs="Courier New"/>
      <w:sz w:val="20"/>
      <w:szCs w:val="20"/>
      <w:lang w:eastAsia="ru-RU"/>
    </w:rPr>
  </w:style>
  <w:style w:type="paragraph" w:styleId="Listparagraf">
    <w:name w:val="List Paragraph"/>
    <w:basedOn w:val="Normal"/>
    <w:uiPriority w:val="34"/>
    <w:qFormat/>
    <w:rsid w:val="005A16C1"/>
    <w:pPr>
      <w:ind w:left="720"/>
      <w:contextualSpacing/>
    </w:pPr>
  </w:style>
  <w:style w:type="character" w:styleId="Hyperlink">
    <w:name w:val="Hyperlink"/>
    <w:uiPriority w:val="99"/>
    <w:unhideWhenUsed/>
    <w:rsid w:val="006A4428"/>
    <w:rPr>
      <w:color w:val="0563C1"/>
      <w:u w:val="single"/>
    </w:rPr>
  </w:style>
  <w:style w:type="paragraph" w:styleId="TextnBalon">
    <w:name w:val="Balloon Text"/>
    <w:basedOn w:val="Normal"/>
    <w:link w:val="TextnBalonCaracter"/>
    <w:uiPriority w:val="99"/>
    <w:semiHidden/>
    <w:unhideWhenUsed/>
    <w:rsid w:val="00684DF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84DF8"/>
    <w:rPr>
      <w:rFonts w:ascii="Segoe UI" w:eastAsiaTheme="minorEastAsia" w:hAnsi="Segoe UI" w:cs="Segoe UI"/>
      <w:sz w:val="18"/>
      <w:szCs w:val="18"/>
    </w:rPr>
  </w:style>
  <w:style w:type="character" w:styleId="Referincomentariu">
    <w:name w:val="annotation reference"/>
    <w:basedOn w:val="Fontdeparagrafimplicit"/>
    <w:uiPriority w:val="99"/>
    <w:semiHidden/>
    <w:unhideWhenUsed/>
    <w:rsid w:val="00416C98"/>
    <w:rPr>
      <w:sz w:val="16"/>
      <w:szCs w:val="16"/>
    </w:rPr>
  </w:style>
  <w:style w:type="paragraph" w:styleId="Textcomentariu">
    <w:name w:val="annotation text"/>
    <w:basedOn w:val="Normal"/>
    <w:link w:val="TextcomentariuCaracter"/>
    <w:uiPriority w:val="99"/>
    <w:semiHidden/>
    <w:unhideWhenUsed/>
    <w:rsid w:val="00416C9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16C98"/>
    <w:rPr>
      <w:rFonts w:eastAsiaTheme="minorEastAsia"/>
      <w:sz w:val="20"/>
      <w:szCs w:val="20"/>
    </w:rPr>
  </w:style>
  <w:style w:type="paragraph" w:styleId="SubiectComentariu">
    <w:name w:val="annotation subject"/>
    <w:basedOn w:val="Textcomentariu"/>
    <w:next w:val="Textcomentariu"/>
    <w:link w:val="SubiectComentariuCaracter"/>
    <w:uiPriority w:val="99"/>
    <w:semiHidden/>
    <w:unhideWhenUsed/>
    <w:rsid w:val="00416C98"/>
    <w:rPr>
      <w:b/>
      <w:bCs/>
    </w:rPr>
  </w:style>
  <w:style w:type="character" w:customStyle="1" w:styleId="SubiectComentariuCaracter">
    <w:name w:val="Subiect Comentariu Caracter"/>
    <w:basedOn w:val="TextcomentariuCaracter"/>
    <w:link w:val="SubiectComentariu"/>
    <w:uiPriority w:val="99"/>
    <w:semiHidden/>
    <w:rsid w:val="00416C98"/>
    <w:rPr>
      <w:rFonts w:eastAsiaTheme="minorEastAsia"/>
      <w:b/>
      <w:bCs/>
      <w:sz w:val="20"/>
      <w:szCs w:val="20"/>
    </w:rPr>
  </w:style>
  <w:style w:type="paragraph" w:styleId="Revizuire">
    <w:name w:val="Revision"/>
    <w:hidden/>
    <w:uiPriority w:val="99"/>
    <w:semiHidden/>
    <w:rsid w:val="00001EFD"/>
    <w:pPr>
      <w:spacing w:after="0" w:line="240" w:lineRule="auto"/>
    </w:pPr>
    <w:rPr>
      <w:rFonts w:eastAsiaTheme="minorEastAsia"/>
    </w:rPr>
  </w:style>
  <w:style w:type="character" w:customStyle="1" w:styleId="object">
    <w:name w:val="object"/>
    <w:basedOn w:val="Fontdeparagrafimplicit"/>
    <w:rsid w:val="00DA5D62"/>
  </w:style>
  <w:style w:type="character" w:styleId="Accentuat">
    <w:name w:val="Emphasis"/>
    <w:basedOn w:val="Fontdeparagrafimplicit"/>
    <w:uiPriority w:val="20"/>
    <w:qFormat/>
    <w:rsid w:val="00DA5D62"/>
    <w:rPr>
      <w:i/>
      <w:iCs/>
    </w:rPr>
  </w:style>
  <w:style w:type="character" w:customStyle="1" w:styleId="Titlu4Caracter">
    <w:name w:val="Titlu 4 Caracter"/>
    <w:basedOn w:val="Fontdeparagrafimplicit"/>
    <w:link w:val="Titlu4"/>
    <w:uiPriority w:val="9"/>
    <w:rsid w:val="00A6124F"/>
    <w:rPr>
      <w:rFonts w:ascii="Times New Roman" w:eastAsia="Times New Roman" w:hAnsi="Times New Roman" w:cs="Times New Roman"/>
      <w:b/>
      <w:bCs/>
      <w:sz w:val="24"/>
      <w:szCs w:val="24"/>
      <w:lang w:val="en-US"/>
    </w:rPr>
  </w:style>
  <w:style w:type="character" w:styleId="Robust">
    <w:name w:val="Strong"/>
    <w:basedOn w:val="Fontdeparagrafimplicit"/>
    <w:uiPriority w:val="22"/>
    <w:qFormat/>
    <w:rsid w:val="00A6124F"/>
    <w:rPr>
      <w:b/>
      <w:bCs/>
    </w:rPr>
  </w:style>
  <w:style w:type="paragraph" w:styleId="Antet">
    <w:name w:val="header"/>
    <w:basedOn w:val="Normal"/>
    <w:link w:val="AntetCaracter"/>
    <w:uiPriority w:val="99"/>
    <w:unhideWhenUsed/>
    <w:rsid w:val="007B032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B032A"/>
    <w:rPr>
      <w:rFonts w:eastAsiaTheme="minorEastAsia"/>
      <w:sz w:val="21"/>
      <w:szCs w:val="21"/>
    </w:rPr>
  </w:style>
  <w:style w:type="paragraph" w:styleId="Subsol">
    <w:name w:val="footer"/>
    <w:basedOn w:val="Normal"/>
    <w:link w:val="SubsolCaracter"/>
    <w:uiPriority w:val="99"/>
    <w:unhideWhenUsed/>
    <w:rsid w:val="007B032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B032A"/>
    <w:rPr>
      <w:rFonts w:eastAsiaTheme="minorEastAsia"/>
      <w:sz w:val="21"/>
      <w:szCs w:val="21"/>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5603">
      <w:bodyDiv w:val="1"/>
      <w:marLeft w:val="0"/>
      <w:marRight w:val="0"/>
      <w:marTop w:val="0"/>
      <w:marBottom w:val="0"/>
      <w:divBdr>
        <w:top w:val="none" w:sz="0" w:space="0" w:color="auto"/>
        <w:left w:val="none" w:sz="0" w:space="0" w:color="auto"/>
        <w:bottom w:val="none" w:sz="0" w:space="0" w:color="auto"/>
        <w:right w:val="none" w:sz="0" w:space="0" w:color="auto"/>
      </w:divBdr>
    </w:div>
    <w:div w:id="99570313">
      <w:bodyDiv w:val="1"/>
      <w:marLeft w:val="0"/>
      <w:marRight w:val="0"/>
      <w:marTop w:val="0"/>
      <w:marBottom w:val="0"/>
      <w:divBdr>
        <w:top w:val="none" w:sz="0" w:space="0" w:color="auto"/>
        <w:left w:val="none" w:sz="0" w:space="0" w:color="auto"/>
        <w:bottom w:val="none" w:sz="0" w:space="0" w:color="auto"/>
        <w:right w:val="none" w:sz="0" w:space="0" w:color="auto"/>
      </w:divBdr>
    </w:div>
    <w:div w:id="210457049">
      <w:bodyDiv w:val="1"/>
      <w:marLeft w:val="0"/>
      <w:marRight w:val="0"/>
      <w:marTop w:val="0"/>
      <w:marBottom w:val="0"/>
      <w:divBdr>
        <w:top w:val="none" w:sz="0" w:space="0" w:color="auto"/>
        <w:left w:val="none" w:sz="0" w:space="0" w:color="auto"/>
        <w:bottom w:val="none" w:sz="0" w:space="0" w:color="auto"/>
        <w:right w:val="none" w:sz="0" w:space="0" w:color="auto"/>
      </w:divBdr>
      <w:divsChild>
        <w:div w:id="2085182965">
          <w:marLeft w:val="0"/>
          <w:marRight w:val="0"/>
          <w:marTop w:val="0"/>
          <w:marBottom w:val="0"/>
          <w:divBdr>
            <w:top w:val="none" w:sz="0" w:space="0" w:color="auto"/>
            <w:left w:val="none" w:sz="0" w:space="0" w:color="auto"/>
            <w:bottom w:val="none" w:sz="0" w:space="0" w:color="auto"/>
            <w:right w:val="none" w:sz="0" w:space="0" w:color="auto"/>
          </w:divBdr>
        </w:div>
        <w:div w:id="710616354">
          <w:marLeft w:val="0"/>
          <w:marRight w:val="0"/>
          <w:marTop w:val="0"/>
          <w:marBottom w:val="0"/>
          <w:divBdr>
            <w:top w:val="none" w:sz="0" w:space="0" w:color="auto"/>
            <w:left w:val="none" w:sz="0" w:space="0" w:color="auto"/>
            <w:bottom w:val="none" w:sz="0" w:space="0" w:color="auto"/>
            <w:right w:val="none" w:sz="0" w:space="0" w:color="auto"/>
          </w:divBdr>
        </w:div>
        <w:div w:id="271936548">
          <w:marLeft w:val="0"/>
          <w:marRight w:val="0"/>
          <w:marTop w:val="0"/>
          <w:marBottom w:val="0"/>
          <w:divBdr>
            <w:top w:val="none" w:sz="0" w:space="0" w:color="auto"/>
            <w:left w:val="none" w:sz="0" w:space="0" w:color="auto"/>
            <w:bottom w:val="none" w:sz="0" w:space="0" w:color="auto"/>
            <w:right w:val="none" w:sz="0" w:space="0" w:color="auto"/>
          </w:divBdr>
        </w:div>
        <w:div w:id="1199322686">
          <w:marLeft w:val="0"/>
          <w:marRight w:val="0"/>
          <w:marTop w:val="0"/>
          <w:marBottom w:val="0"/>
          <w:divBdr>
            <w:top w:val="none" w:sz="0" w:space="0" w:color="auto"/>
            <w:left w:val="none" w:sz="0" w:space="0" w:color="auto"/>
            <w:bottom w:val="none" w:sz="0" w:space="0" w:color="auto"/>
            <w:right w:val="none" w:sz="0" w:space="0" w:color="auto"/>
          </w:divBdr>
        </w:div>
      </w:divsChild>
    </w:div>
    <w:div w:id="357128177">
      <w:bodyDiv w:val="1"/>
      <w:marLeft w:val="0"/>
      <w:marRight w:val="0"/>
      <w:marTop w:val="0"/>
      <w:marBottom w:val="0"/>
      <w:divBdr>
        <w:top w:val="none" w:sz="0" w:space="0" w:color="auto"/>
        <w:left w:val="none" w:sz="0" w:space="0" w:color="auto"/>
        <w:bottom w:val="none" w:sz="0" w:space="0" w:color="auto"/>
        <w:right w:val="none" w:sz="0" w:space="0" w:color="auto"/>
      </w:divBdr>
    </w:div>
    <w:div w:id="634606034">
      <w:bodyDiv w:val="1"/>
      <w:marLeft w:val="0"/>
      <w:marRight w:val="0"/>
      <w:marTop w:val="0"/>
      <w:marBottom w:val="0"/>
      <w:divBdr>
        <w:top w:val="none" w:sz="0" w:space="0" w:color="auto"/>
        <w:left w:val="none" w:sz="0" w:space="0" w:color="auto"/>
        <w:bottom w:val="none" w:sz="0" w:space="0" w:color="auto"/>
        <w:right w:val="none" w:sz="0" w:space="0" w:color="auto"/>
      </w:divBdr>
    </w:div>
    <w:div w:id="667026034">
      <w:bodyDiv w:val="1"/>
      <w:marLeft w:val="0"/>
      <w:marRight w:val="0"/>
      <w:marTop w:val="0"/>
      <w:marBottom w:val="0"/>
      <w:divBdr>
        <w:top w:val="none" w:sz="0" w:space="0" w:color="auto"/>
        <w:left w:val="none" w:sz="0" w:space="0" w:color="auto"/>
        <w:bottom w:val="none" w:sz="0" w:space="0" w:color="auto"/>
        <w:right w:val="none" w:sz="0" w:space="0" w:color="auto"/>
      </w:divBdr>
    </w:div>
    <w:div w:id="682439097">
      <w:bodyDiv w:val="1"/>
      <w:marLeft w:val="0"/>
      <w:marRight w:val="0"/>
      <w:marTop w:val="0"/>
      <w:marBottom w:val="0"/>
      <w:divBdr>
        <w:top w:val="none" w:sz="0" w:space="0" w:color="auto"/>
        <w:left w:val="none" w:sz="0" w:space="0" w:color="auto"/>
        <w:bottom w:val="none" w:sz="0" w:space="0" w:color="auto"/>
        <w:right w:val="none" w:sz="0" w:space="0" w:color="auto"/>
      </w:divBdr>
    </w:div>
    <w:div w:id="1010066559">
      <w:bodyDiv w:val="1"/>
      <w:marLeft w:val="0"/>
      <w:marRight w:val="0"/>
      <w:marTop w:val="0"/>
      <w:marBottom w:val="0"/>
      <w:divBdr>
        <w:top w:val="none" w:sz="0" w:space="0" w:color="auto"/>
        <w:left w:val="none" w:sz="0" w:space="0" w:color="auto"/>
        <w:bottom w:val="none" w:sz="0" w:space="0" w:color="auto"/>
        <w:right w:val="none" w:sz="0" w:space="0" w:color="auto"/>
      </w:divBdr>
    </w:div>
    <w:div w:id="1019426745">
      <w:bodyDiv w:val="1"/>
      <w:marLeft w:val="0"/>
      <w:marRight w:val="0"/>
      <w:marTop w:val="0"/>
      <w:marBottom w:val="0"/>
      <w:divBdr>
        <w:top w:val="none" w:sz="0" w:space="0" w:color="auto"/>
        <w:left w:val="none" w:sz="0" w:space="0" w:color="auto"/>
        <w:bottom w:val="none" w:sz="0" w:space="0" w:color="auto"/>
        <w:right w:val="none" w:sz="0" w:space="0" w:color="auto"/>
      </w:divBdr>
    </w:div>
    <w:div w:id="1098870156">
      <w:bodyDiv w:val="1"/>
      <w:marLeft w:val="0"/>
      <w:marRight w:val="0"/>
      <w:marTop w:val="0"/>
      <w:marBottom w:val="0"/>
      <w:divBdr>
        <w:top w:val="none" w:sz="0" w:space="0" w:color="auto"/>
        <w:left w:val="none" w:sz="0" w:space="0" w:color="auto"/>
        <w:bottom w:val="none" w:sz="0" w:space="0" w:color="auto"/>
        <w:right w:val="none" w:sz="0" w:space="0" w:color="auto"/>
      </w:divBdr>
    </w:div>
    <w:div w:id="1145393292">
      <w:bodyDiv w:val="1"/>
      <w:marLeft w:val="0"/>
      <w:marRight w:val="0"/>
      <w:marTop w:val="0"/>
      <w:marBottom w:val="0"/>
      <w:divBdr>
        <w:top w:val="none" w:sz="0" w:space="0" w:color="auto"/>
        <w:left w:val="none" w:sz="0" w:space="0" w:color="auto"/>
        <w:bottom w:val="none" w:sz="0" w:space="0" w:color="auto"/>
        <w:right w:val="none" w:sz="0" w:space="0" w:color="auto"/>
      </w:divBdr>
    </w:div>
    <w:div w:id="1192953898">
      <w:bodyDiv w:val="1"/>
      <w:marLeft w:val="0"/>
      <w:marRight w:val="0"/>
      <w:marTop w:val="0"/>
      <w:marBottom w:val="0"/>
      <w:divBdr>
        <w:top w:val="none" w:sz="0" w:space="0" w:color="auto"/>
        <w:left w:val="none" w:sz="0" w:space="0" w:color="auto"/>
        <w:bottom w:val="none" w:sz="0" w:space="0" w:color="auto"/>
        <w:right w:val="none" w:sz="0" w:space="0" w:color="auto"/>
      </w:divBdr>
    </w:div>
    <w:div w:id="1543909129">
      <w:bodyDiv w:val="1"/>
      <w:marLeft w:val="0"/>
      <w:marRight w:val="0"/>
      <w:marTop w:val="0"/>
      <w:marBottom w:val="0"/>
      <w:divBdr>
        <w:top w:val="none" w:sz="0" w:space="0" w:color="auto"/>
        <w:left w:val="none" w:sz="0" w:space="0" w:color="auto"/>
        <w:bottom w:val="none" w:sz="0" w:space="0" w:color="auto"/>
        <w:right w:val="none" w:sz="0" w:space="0" w:color="auto"/>
      </w:divBdr>
      <w:divsChild>
        <w:div w:id="535854442">
          <w:marLeft w:val="0"/>
          <w:marRight w:val="0"/>
          <w:marTop w:val="0"/>
          <w:marBottom w:val="0"/>
          <w:divBdr>
            <w:top w:val="none" w:sz="0" w:space="0" w:color="auto"/>
            <w:left w:val="none" w:sz="0" w:space="0" w:color="auto"/>
            <w:bottom w:val="none" w:sz="0" w:space="0" w:color="auto"/>
            <w:right w:val="none" w:sz="0" w:space="0" w:color="auto"/>
          </w:divBdr>
        </w:div>
        <w:div w:id="1858883205">
          <w:marLeft w:val="0"/>
          <w:marRight w:val="0"/>
          <w:marTop w:val="0"/>
          <w:marBottom w:val="0"/>
          <w:divBdr>
            <w:top w:val="none" w:sz="0" w:space="0" w:color="auto"/>
            <w:left w:val="none" w:sz="0" w:space="0" w:color="auto"/>
            <w:bottom w:val="none" w:sz="0" w:space="0" w:color="auto"/>
            <w:right w:val="none" w:sz="0" w:space="0" w:color="auto"/>
          </w:divBdr>
        </w:div>
      </w:divsChild>
    </w:div>
    <w:div w:id="1871718924">
      <w:bodyDiv w:val="1"/>
      <w:marLeft w:val="0"/>
      <w:marRight w:val="0"/>
      <w:marTop w:val="0"/>
      <w:marBottom w:val="0"/>
      <w:divBdr>
        <w:top w:val="none" w:sz="0" w:space="0" w:color="auto"/>
        <w:left w:val="none" w:sz="0" w:space="0" w:color="auto"/>
        <w:bottom w:val="none" w:sz="0" w:space="0" w:color="auto"/>
        <w:right w:val="none" w:sz="0" w:space="0" w:color="auto"/>
      </w:divBdr>
    </w:div>
    <w:div w:id="1887796501">
      <w:bodyDiv w:val="1"/>
      <w:marLeft w:val="0"/>
      <w:marRight w:val="0"/>
      <w:marTop w:val="0"/>
      <w:marBottom w:val="0"/>
      <w:divBdr>
        <w:top w:val="none" w:sz="0" w:space="0" w:color="auto"/>
        <w:left w:val="none" w:sz="0" w:space="0" w:color="auto"/>
        <w:bottom w:val="none" w:sz="0" w:space="0" w:color="auto"/>
        <w:right w:val="none" w:sz="0" w:space="0" w:color="auto"/>
      </w:divBdr>
    </w:div>
    <w:div w:id="1928271552">
      <w:bodyDiv w:val="1"/>
      <w:marLeft w:val="0"/>
      <w:marRight w:val="0"/>
      <w:marTop w:val="0"/>
      <w:marBottom w:val="0"/>
      <w:divBdr>
        <w:top w:val="none" w:sz="0" w:space="0" w:color="auto"/>
        <w:left w:val="none" w:sz="0" w:space="0" w:color="auto"/>
        <w:bottom w:val="none" w:sz="0" w:space="0" w:color="auto"/>
        <w:right w:val="none" w:sz="0" w:space="0" w:color="auto"/>
      </w:divBdr>
    </w:div>
    <w:div w:id="2058355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8yZoMavkMdjR80ts+xztpV+qWw==">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6932A4-1239-434E-A8FA-14CFAE07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1437</Words>
  <Characters>8196</Characters>
  <Application>Microsoft Office Word</Application>
  <DocSecurity>0</DocSecurity>
  <Lines>68</Lines>
  <Paragraphs>19</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Bogatu</dc:creator>
  <cp:lastModifiedBy>User</cp:lastModifiedBy>
  <cp:revision>2</cp:revision>
  <cp:lastPrinted>2025-07-18T06:24:00Z</cp:lastPrinted>
  <dcterms:created xsi:type="dcterms:W3CDTF">2025-08-19T11:50:00Z</dcterms:created>
  <dcterms:modified xsi:type="dcterms:W3CDTF">2025-08-19T11:50:00Z</dcterms:modified>
</cp:coreProperties>
</file>