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1AAE" w14:textId="77777777" w:rsidR="009C03FE" w:rsidRPr="00BB3A8D" w:rsidRDefault="009C03FE" w:rsidP="009C03FE">
      <w:pPr>
        <w:spacing w:after="0" w:line="240" w:lineRule="auto"/>
        <w:ind w:left="696" w:firstLine="720"/>
        <w:jc w:val="center"/>
        <w:rPr>
          <w:rFonts w:ascii="Times New Roman" w:eastAsia="Times New Roman" w:hAnsi="Times New Roman" w:cs="Times New Roman"/>
          <w:b/>
          <w:noProof/>
          <w:sz w:val="20"/>
          <w:szCs w:val="20"/>
          <w:lang w:val="ro-MD"/>
        </w:rPr>
      </w:pPr>
      <w:r w:rsidRPr="00BB3A8D">
        <w:rPr>
          <w:rFonts w:ascii="Times New Roman" w:eastAsia="Times New Roman" w:hAnsi="Times New Roman" w:cs="Times New Roman"/>
          <w:b/>
          <w:noProof/>
          <w:sz w:val="20"/>
          <w:szCs w:val="20"/>
          <w:lang w:val="ro-MD"/>
        </w:rPr>
        <w:t>TABEL DE CONCORDANȚĂ</w:t>
      </w:r>
    </w:p>
    <w:p w14:paraId="1B2C73A8" w14:textId="77777777" w:rsidR="009C03FE" w:rsidRPr="00BB3A8D" w:rsidRDefault="009C03FE" w:rsidP="009C03FE">
      <w:pPr>
        <w:spacing w:after="0" w:line="240" w:lineRule="auto"/>
        <w:ind w:left="696" w:firstLine="720"/>
        <w:jc w:val="center"/>
        <w:rPr>
          <w:rFonts w:ascii="Times New Roman" w:eastAsia="Times New Roman" w:hAnsi="Times New Roman" w:cs="Times New Roman"/>
          <w:b/>
          <w:noProof/>
          <w:sz w:val="20"/>
          <w:szCs w:val="20"/>
          <w:lang w:val="ro-MD"/>
        </w:rPr>
      </w:pPr>
    </w:p>
    <w:p w14:paraId="135DC3D5" w14:textId="77777777" w:rsidR="009C03FE" w:rsidRPr="00BB3A8D" w:rsidRDefault="009C03FE" w:rsidP="009C03FE">
      <w:pPr>
        <w:spacing w:after="0" w:line="240" w:lineRule="auto"/>
        <w:ind w:firstLine="720"/>
        <w:jc w:val="center"/>
        <w:rPr>
          <w:rFonts w:ascii="Times New Roman" w:eastAsia="Times New Roman" w:hAnsi="Times New Roman" w:cs="Times New Roman"/>
          <w:b/>
          <w:bCs/>
          <w:noProof/>
          <w:spacing w:val="10"/>
          <w:sz w:val="20"/>
          <w:szCs w:val="20"/>
          <w:lang w:val="ro-MD" w:eastAsia="ro-RO"/>
        </w:rPr>
      </w:pPr>
      <w:r w:rsidRPr="00BB3A8D">
        <w:rPr>
          <w:rFonts w:ascii="Times New Roman" w:eastAsia="Times New Roman" w:hAnsi="Times New Roman" w:cs="Times New Roman"/>
          <w:b/>
          <w:bCs/>
          <w:noProof/>
          <w:spacing w:val="10"/>
          <w:sz w:val="20"/>
          <w:szCs w:val="20"/>
          <w:lang w:val="ro-MD" w:eastAsia="ro-RO"/>
        </w:rPr>
        <w:t>a proiectului Hotărârii  de Guvern pentru aprobarea Cerințelor specifice de igienă care se aplică alimentelor de origine animală.</w:t>
      </w:r>
    </w:p>
    <w:tbl>
      <w:tblPr>
        <w:tblpPr w:leftFromText="180" w:rightFromText="180" w:vertAnchor="text" w:horzAnchor="page" w:tblpX="316" w:tblpY="670"/>
        <w:tblW w:w="15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4791"/>
      </w:tblGrid>
      <w:tr w:rsidR="009C03FE" w:rsidRPr="00BB3A8D" w14:paraId="48ED5F50" w14:textId="77777777" w:rsidTr="009A53B5">
        <w:trPr>
          <w:trHeight w:val="557"/>
        </w:trPr>
        <w:tc>
          <w:tcPr>
            <w:tcW w:w="131" w:type="pct"/>
          </w:tcPr>
          <w:p w14:paraId="0F2E8704" w14:textId="77777777" w:rsidR="009C03FE" w:rsidRPr="00BB3A8D" w:rsidRDefault="009C03FE" w:rsidP="009A53B5">
            <w:pPr>
              <w:spacing w:after="0" w:line="240" w:lineRule="auto"/>
              <w:jc w:val="center"/>
              <w:rPr>
                <w:rFonts w:ascii="Times New Roman" w:eastAsia="Times New Roman" w:hAnsi="Times New Roman" w:cs="Times New Roman"/>
                <w:b/>
                <w:sz w:val="20"/>
                <w:szCs w:val="20"/>
                <w:lang w:val="ro-MD"/>
              </w:rPr>
            </w:pPr>
            <w:r w:rsidRPr="00BB3A8D">
              <w:rPr>
                <w:rFonts w:ascii="Times New Roman" w:eastAsia="Times New Roman" w:hAnsi="Times New Roman" w:cs="Times New Roman"/>
                <w:b/>
                <w:sz w:val="20"/>
                <w:szCs w:val="20"/>
                <w:lang w:val="ro-MD"/>
              </w:rPr>
              <w:t>1</w:t>
            </w:r>
          </w:p>
        </w:tc>
        <w:tc>
          <w:tcPr>
            <w:tcW w:w="4869" w:type="pct"/>
          </w:tcPr>
          <w:p w14:paraId="06FE669E" w14:textId="77777777" w:rsidR="009C03FE" w:rsidRPr="00BB3A8D" w:rsidRDefault="009C03FE" w:rsidP="009A53B5">
            <w:pPr>
              <w:spacing w:after="0" w:line="240" w:lineRule="auto"/>
              <w:jc w:val="both"/>
              <w:rPr>
                <w:rFonts w:ascii="Times New Roman" w:eastAsia="Times New Roman" w:hAnsi="Times New Roman" w:cs="Times New Roman"/>
                <w:b/>
                <w:bCs/>
                <w:color w:val="000000"/>
                <w:sz w:val="20"/>
                <w:szCs w:val="20"/>
                <w:shd w:val="clear" w:color="auto" w:fill="FFFFFF"/>
                <w:lang w:val="ro-MD"/>
              </w:rPr>
            </w:pPr>
          </w:p>
          <w:p w14:paraId="68B37DC8" w14:textId="77777777" w:rsidR="009C03FE" w:rsidRPr="00BB3A8D" w:rsidRDefault="009C03FE" w:rsidP="000000CA">
            <w:pPr>
              <w:spacing w:after="0" w:line="240" w:lineRule="auto"/>
              <w:jc w:val="both"/>
              <w:rPr>
                <w:rFonts w:ascii="Times New Roman" w:eastAsia="Times New Roman" w:hAnsi="Times New Roman" w:cs="Times New Roman"/>
                <w:b/>
                <w:bCs/>
                <w:color w:val="000000"/>
                <w:sz w:val="20"/>
                <w:szCs w:val="20"/>
                <w:shd w:val="clear" w:color="auto" w:fill="FFFFFF"/>
                <w:lang w:val="ro-MD"/>
              </w:rPr>
            </w:pPr>
            <w:r w:rsidRPr="009C03FE">
              <w:rPr>
                <w:rFonts w:ascii="Times New Roman" w:eastAsia="Times New Roman" w:hAnsi="Times New Roman" w:cs="Times New Roman"/>
                <w:b/>
                <w:bCs/>
                <w:color w:val="000000"/>
                <w:sz w:val="20"/>
                <w:szCs w:val="20"/>
                <w:shd w:val="clear" w:color="auto" w:fill="FFFFFF"/>
                <w:lang w:val="ro-MD"/>
              </w:rPr>
              <w:t>Regulamentul (CE) nr.</w:t>
            </w:r>
            <w:r w:rsidRPr="009C03FE">
              <w:rPr>
                <w:rFonts w:ascii="Times New Roman" w:eastAsia="Times New Roman" w:hAnsi="Times New Roman" w:cs="Times New Roman"/>
                <w:b/>
                <w:bCs/>
                <w:color w:val="000000"/>
                <w:sz w:val="20"/>
                <w:szCs w:val="20"/>
                <w:shd w:val="clear" w:color="auto" w:fill="FFFFFF"/>
              </w:rPr>
              <w:t xml:space="preserve"> </w:t>
            </w:r>
            <w:r w:rsidRPr="009C03FE">
              <w:rPr>
                <w:rFonts w:ascii="Times New Roman" w:eastAsia="Times New Roman" w:hAnsi="Times New Roman" w:cs="Times New Roman"/>
                <w:b/>
                <w:bCs/>
                <w:color w:val="000000"/>
                <w:sz w:val="20"/>
                <w:szCs w:val="20"/>
                <w:shd w:val="clear" w:color="auto" w:fill="FFFFFF"/>
                <w:lang w:val="ro-MD"/>
              </w:rPr>
              <w:t>2074/2005 al Comisiei din 5 decembrie 2005 de stabilire a măsurilor de aplicare privind anumite produse reglementate de Regulamentul (CE) nr. 853/2004 al Parlamentului European și al Consiliului și organizarea unor controale oficiale prevăzute de Regulamentele (CE) nr. 854/2004 al Parlamentului European și al Consiliului și (CE) nr. 882/2004 al Parlamentului European și al Consiliului, de derogare de la Regulamentul (CE) nr. 852/2004 al Parlamentului European și al Consiliului și de modificare a Regulamentelor (CE) nr. 853/2004 și (CE) nr. 854/2004</w:t>
            </w:r>
          </w:p>
        </w:tc>
      </w:tr>
      <w:tr w:rsidR="009C03FE" w:rsidRPr="00BB3A8D" w14:paraId="3F755E01" w14:textId="77777777" w:rsidTr="009A53B5">
        <w:trPr>
          <w:trHeight w:val="442"/>
        </w:trPr>
        <w:tc>
          <w:tcPr>
            <w:tcW w:w="131" w:type="pct"/>
          </w:tcPr>
          <w:p w14:paraId="556E4AFD" w14:textId="77777777" w:rsidR="009C03FE" w:rsidRPr="00BB3A8D" w:rsidRDefault="009C03FE" w:rsidP="009A53B5">
            <w:pPr>
              <w:spacing w:after="0" w:line="240" w:lineRule="auto"/>
              <w:jc w:val="center"/>
              <w:rPr>
                <w:rFonts w:ascii="Times New Roman" w:eastAsia="Times New Roman" w:hAnsi="Times New Roman" w:cs="Times New Roman"/>
                <w:b/>
                <w:sz w:val="20"/>
                <w:szCs w:val="20"/>
                <w:lang w:val="ro-MD"/>
              </w:rPr>
            </w:pPr>
            <w:r w:rsidRPr="00BB3A8D">
              <w:rPr>
                <w:rFonts w:ascii="Times New Roman" w:eastAsia="Times New Roman" w:hAnsi="Times New Roman" w:cs="Times New Roman"/>
                <w:b/>
                <w:sz w:val="20"/>
                <w:szCs w:val="20"/>
                <w:lang w:val="ro-MD"/>
              </w:rPr>
              <w:t>2</w:t>
            </w:r>
          </w:p>
        </w:tc>
        <w:tc>
          <w:tcPr>
            <w:tcW w:w="4869" w:type="pct"/>
          </w:tcPr>
          <w:p w14:paraId="033FBE54" w14:textId="77777777" w:rsidR="009C03FE" w:rsidRPr="00BB3A8D" w:rsidRDefault="009C03FE" w:rsidP="009A53B5">
            <w:pPr>
              <w:shd w:val="clear" w:color="auto" w:fill="FFFFFF"/>
              <w:spacing w:before="120" w:after="0" w:line="312" w:lineRule="atLeast"/>
              <w:rPr>
                <w:rFonts w:ascii="Times New Roman" w:eastAsia="Arial Unicode MS" w:hAnsi="Times New Roman" w:cs="Times New Roman"/>
                <w:b/>
                <w:bCs/>
                <w:sz w:val="20"/>
                <w:szCs w:val="20"/>
                <w:lang w:val="ro-MD" w:eastAsia="ro-RO"/>
              </w:rPr>
            </w:pPr>
            <w:r w:rsidRPr="00BB3A8D">
              <w:rPr>
                <w:rFonts w:ascii="Times New Roman" w:eastAsia="Times New Roman" w:hAnsi="Times New Roman" w:cs="Times New Roman"/>
                <w:b/>
                <w:bCs/>
                <w:noProof/>
                <w:spacing w:val="10"/>
                <w:sz w:val="20"/>
                <w:szCs w:val="20"/>
                <w:lang w:val="ro-MD" w:eastAsia="ro-RO"/>
              </w:rPr>
              <w:t>Proiectului Hotărârii  de Guvern pentru aprobarea Cerințelor specifice de igienă care se aplică alimentelor de origine animală</w:t>
            </w:r>
          </w:p>
        </w:tc>
      </w:tr>
      <w:tr w:rsidR="009C03FE" w:rsidRPr="00BB3A8D" w14:paraId="7C8149C6" w14:textId="77777777" w:rsidTr="009A53B5">
        <w:trPr>
          <w:trHeight w:val="238"/>
        </w:trPr>
        <w:tc>
          <w:tcPr>
            <w:tcW w:w="131" w:type="pct"/>
          </w:tcPr>
          <w:p w14:paraId="14A41CC4" w14:textId="77777777" w:rsidR="009C03FE" w:rsidRPr="00BB3A8D" w:rsidRDefault="009C03FE" w:rsidP="009A53B5">
            <w:pPr>
              <w:spacing w:after="0" w:line="240" w:lineRule="auto"/>
              <w:jc w:val="both"/>
              <w:rPr>
                <w:rFonts w:ascii="Times New Roman" w:eastAsia="Times New Roman" w:hAnsi="Times New Roman" w:cs="Times New Roman"/>
                <w:b/>
                <w:sz w:val="20"/>
                <w:szCs w:val="20"/>
                <w:lang w:val="ro-MD"/>
              </w:rPr>
            </w:pPr>
            <w:r w:rsidRPr="00BB3A8D">
              <w:rPr>
                <w:rFonts w:ascii="Times New Roman" w:eastAsia="Times New Roman" w:hAnsi="Times New Roman" w:cs="Times New Roman"/>
                <w:b/>
                <w:sz w:val="20"/>
                <w:szCs w:val="20"/>
                <w:lang w:val="ro-MD"/>
              </w:rPr>
              <w:t>3</w:t>
            </w:r>
          </w:p>
        </w:tc>
        <w:tc>
          <w:tcPr>
            <w:tcW w:w="4869" w:type="pct"/>
          </w:tcPr>
          <w:p w14:paraId="76F051DC" w14:textId="77777777" w:rsidR="009C03FE" w:rsidRPr="00BB3A8D" w:rsidRDefault="009C03FE" w:rsidP="009A53B5">
            <w:pPr>
              <w:spacing w:after="0" w:line="240" w:lineRule="auto"/>
              <w:rPr>
                <w:rFonts w:ascii="Times New Roman" w:eastAsia="Times New Roman" w:hAnsi="Times New Roman" w:cs="Times New Roman"/>
                <w:b/>
                <w:sz w:val="20"/>
                <w:szCs w:val="20"/>
                <w:lang w:val="ro-MD"/>
              </w:rPr>
            </w:pPr>
            <w:r w:rsidRPr="00BB3A8D">
              <w:rPr>
                <w:rFonts w:ascii="Times New Roman" w:eastAsia="Times New Roman" w:hAnsi="Times New Roman" w:cs="Times New Roman"/>
                <w:b/>
                <w:sz w:val="20"/>
                <w:szCs w:val="20"/>
                <w:lang w:val="ro-MD"/>
              </w:rPr>
              <w:t>Gradul general de compatibilitate -</w:t>
            </w:r>
            <w:r>
              <w:rPr>
                <w:rFonts w:ascii="Times New Roman" w:eastAsia="Times New Roman" w:hAnsi="Times New Roman" w:cs="Times New Roman"/>
                <w:b/>
                <w:sz w:val="20"/>
                <w:szCs w:val="20"/>
                <w:lang w:val="ro-MD"/>
              </w:rPr>
              <w:t xml:space="preserve"> parțial</w:t>
            </w:r>
            <w:r w:rsidRPr="00BB3A8D">
              <w:rPr>
                <w:rFonts w:ascii="Times New Roman" w:eastAsia="Times New Roman" w:hAnsi="Times New Roman" w:cs="Times New Roman"/>
                <w:b/>
                <w:sz w:val="20"/>
                <w:szCs w:val="20"/>
                <w:lang w:val="ro-MD"/>
              </w:rPr>
              <w:t xml:space="preserve"> compatibil</w:t>
            </w:r>
          </w:p>
        </w:tc>
      </w:tr>
      <w:tr w:rsidR="009C03FE" w:rsidRPr="00BB3A8D" w14:paraId="5DD68EDE" w14:textId="77777777" w:rsidTr="009A53B5">
        <w:trPr>
          <w:trHeight w:val="238"/>
        </w:trPr>
        <w:tc>
          <w:tcPr>
            <w:tcW w:w="131" w:type="pct"/>
          </w:tcPr>
          <w:p w14:paraId="06F81DA8" w14:textId="77777777" w:rsidR="009C03FE" w:rsidRPr="00BB3A8D" w:rsidRDefault="009C03FE" w:rsidP="009A53B5">
            <w:pPr>
              <w:spacing w:after="0" w:line="240" w:lineRule="auto"/>
              <w:jc w:val="both"/>
              <w:rPr>
                <w:rFonts w:ascii="Times New Roman" w:eastAsia="Times New Roman" w:hAnsi="Times New Roman" w:cs="Times New Roman"/>
                <w:b/>
                <w:sz w:val="20"/>
                <w:szCs w:val="20"/>
                <w:lang w:val="ro-MD"/>
              </w:rPr>
            </w:pPr>
            <w:r w:rsidRPr="00BB3A8D">
              <w:rPr>
                <w:rFonts w:ascii="Times New Roman" w:eastAsia="Times New Roman" w:hAnsi="Times New Roman" w:cs="Times New Roman"/>
                <w:b/>
                <w:sz w:val="20"/>
                <w:szCs w:val="20"/>
                <w:lang w:val="ro-MD"/>
              </w:rPr>
              <w:t>4</w:t>
            </w:r>
          </w:p>
        </w:tc>
        <w:tc>
          <w:tcPr>
            <w:tcW w:w="4869" w:type="pct"/>
          </w:tcPr>
          <w:p w14:paraId="779658B8" w14:textId="77777777" w:rsidR="009C03FE" w:rsidRPr="00BB3A8D" w:rsidRDefault="009C03FE" w:rsidP="009A53B5">
            <w:pPr>
              <w:spacing w:after="0" w:line="240" w:lineRule="auto"/>
              <w:rPr>
                <w:rFonts w:ascii="Times New Roman" w:eastAsia="Times New Roman" w:hAnsi="Times New Roman" w:cs="Times New Roman"/>
                <w:b/>
                <w:sz w:val="20"/>
                <w:szCs w:val="20"/>
                <w:lang w:val="ro-MD"/>
              </w:rPr>
            </w:pPr>
            <w:r w:rsidRPr="00BB3A8D">
              <w:rPr>
                <w:rFonts w:ascii="Times New Roman" w:eastAsia="Times New Roman" w:hAnsi="Times New Roman" w:cs="Times New Roman"/>
                <w:b/>
                <w:sz w:val="20"/>
                <w:szCs w:val="20"/>
                <w:lang w:val="ro-MD"/>
              </w:rPr>
              <w:t>Autoritatea/persoana responsabilă,  MAIA – Rodica FOTESCU</w:t>
            </w:r>
          </w:p>
        </w:tc>
      </w:tr>
      <w:tr w:rsidR="009C03FE" w:rsidRPr="00BB3A8D" w14:paraId="77A420F4" w14:textId="77777777" w:rsidTr="009A53B5">
        <w:trPr>
          <w:trHeight w:val="238"/>
        </w:trPr>
        <w:tc>
          <w:tcPr>
            <w:tcW w:w="131" w:type="pct"/>
          </w:tcPr>
          <w:p w14:paraId="0B33B697" w14:textId="77777777" w:rsidR="009C03FE" w:rsidRPr="00BB3A8D" w:rsidRDefault="009C03FE" w:rsidP="009A53B5">
            <w:pPr>
              <w:spacing w:after="0" w:line="240" w:lineRule="auto"/>
              <w:jc w:val="both"/>
              <w:rPr>
                <w:rFonts w:ascii="Times New Roman" w:eastAsia="Times New Roman" w:hAnsi="Times New Roman" w:cs="Times New Roman"/>
                <w:b/>
                <w:sz w:val="20"/>
                <w:szCs w:val="20"/>
                <w:lang w:val="ro-MD"/>
              </w:rPr>
            </w:pPr>
            <w:r w:rsidRPr="00BB3A8D">
              <w:rPr>
                <w:rFonts w:ascii="Times New Roman" w:eastAsia="Times New Roman" w:hAnsi="Times New Roman" w:cs="Times New Roman"/>
                <w:b/>
                <w:sz w:val="20"/>
                <w:szCs w:val="20"/>
                <w:lang w:val="ro-MD"/>
              </w:rPr>
              <w:t>5</w:t>
            </w:r>
          </w:p>
        </w:tc>
        <w:tc>
          <w:tcPr>
            <w:tcW w:w="4869" w:type="pct"/>
          </w:tcPr>
          <w:p w14:paraId="59F06D76" w14:textId="399C776F" w:rsidR="009C03FE" w:rsidRPr="00BB3A8D" w:rsidRDefault="009C03FE" w:rsidP="009A53B5">
            <w:pPr>
              <w:spacing w:after="0" w:line="240" w:lineRule="auto"/>
              <w:rPr>
                <w:rFonts w:ascii="Times New Roman" w:eastAsia="Times New Roman" w:hAnsi="Times New Roman" w:cs="Times New Roman"/>
                <w:b/>
                <w:sz w:val="20"/>
                <w:szCs w:val="20"/>
                <w:lang w:val="ro-MD"/>
              </w:rPr>
            </w:pPr>
            <w:r w:rsidRPr="00BB3A8D">
              <w:rPr>
                <w:rFonts w:ascii="Times New Roman" w:eastAsia="Times New Roman" w:hAnsi="Times New Roman" w:cs="Times New Roman"/>
                <w:b/>
                <w:sz w:val="20"/>
                <w:szCs w:val="20"/>
                <w:lang w:val="ro-MD"/>
              </w:rPr>
              <w:t>Dat</w:t>
            </w:r>
            <w:r>
              <w:rPr>
                <w:rFonts w:ascii="Times New Roman" w:eastAsia="Times New Roman" w:hAnsi="Times New Roman" w:cs="Times New Roman"/>
                <w:b/>
                <w:sz w:val="20"/>
                <w:szCs w:val="20"/>
                <w:lang w:val="ro-MD"/>
              </w:rPr>
              <w:t xml:space="preserve">a întocmirii/actualizării – </w:t>
            </w:r>
            <w:r w:rsidR="00633813">
              <w:rPr>
                <w:rFonts w:ascii="Times New Roman" w:eastAsia="Times New Roman" w:hAnsi="Times New Roman" w:cs="Times New Roman"/>
                <w:b/>
                <w:sz w:val="20"/>
                <w:szCs w:val="20"/>
                <w:lang w:val="ro-MD"/>
              </w:rPr>
              <w:t>8</w:t>
            </w:r>
            <w:r>
              <w:rPr>
                <w:rFonts w:ascii="Times New Roman" w:eastAsia="Times New Roman" w:hAnsi="Times New Roman" w:cs="Times New Roman"/>
                <w:b/>
                <w:sz w:val="20"/>
                <w:szCs w:val="20"/>
                <w:lang w:val="ro-MD"/>
              </w:rPr>
              <w:t>.0</w:t>
            </w:r>
            <w:r w:rsidR="00633813">
              <w:rPr>
                <w:rFonts w:ascii="Times New Roman" w:eastAsia="Times New Roman" w:hAnsi="Times New Roman" w:cs="Times New Roman"/>
                <w:b/>
                <w:sz w:val="20"/>
                <w:szCs w:val="20"/>
                <w:lang w:val="ro-MD"/>
              </w:rPr>
              <w:t>8</w:t>
            </w:r>
            <w:r w:rsidRPr="00BB3A8D">
              <w:rPr>
                <w:rFonts w:ascii="Times New Roman" w:eastAsia="Times New Roman" w:hAnsi="Times New Roman" w:cs="Times New Roman"/>
                <w:b/>
                <w:sz w:val="20"/>
                <w:szCs w:val="20"/>
                <w:lang w:val="ro-MD"/>
              </w:rPr>
              <w:t>.2025</w:t>
            </w:r>
          </w:p>
        </w:tc>
      </w:tr>
    </w:tbl>
    <w:tbl>
      <w:tblPr>
        <w:tblStyle w:val="TableGrid1"/>
        <w:tblW w:w="15163" w:type="dxa"/>
        <w:jc w:val="center"/>
        <w:tblLayout w:type="fixed"/>
        <w:tblLook w:val="04A0" w:firstRow="1" w:lastRow="0" w:firstColumn="1" w:lastColumn="0" w:noHBand="0" w:noVBand="1"/>
      </w:tblPr>
      <w:tblGrid>
        <w:gridCol w:w="5382"/>
        <w:gridCol w:w="5386"/>
        <w:gridCol w:w="1560"/>
        <w:gridCol w:w="2835"/>
      </w:tblGrid>
      <w:tr w:rsidR="009C03FE" w:rsidRPr="00BB3A8D" w14:paraId="215DE266" w14:textId="77777777" w:rsidTr="00C23E6D">
        <w:trPr>
          <w:trHeight w:val="316"/>
          <w:jc w:val="center"/>
        </w:trPr>
        <w:tc>
          <w:tcPr>
            <w:tcW w:w="5382" w:type="dxa"/>
          </w:tcPr>
          <w:p w14:paraId="6E912FB7" w14:textId="77777777" w:rsidR="009C03FE" w:rsidRPr="00BB3A8D" w:rsidRDefault="009C03FE" w:rsidP="009A53B5">
            <w:pPr>
              <w:jc w:val="center"/>
              <w:rPr>
                <w:rFonts w:ascii="Times New Roman" w:eastAsia="Times New Roman" w:hAnsi="Times New Roman"/>
                <w:b/>
                <w:lang w:val="ro-MD"/>
              </w:rPr>
            </w:pPr>
            <w:r w:rsidRPr="00BB3A8D">
              <w:rPr>
                <w:rFonts w:ascii="Times New Roman" w:eastAsia="Times New Roman" w:hAnsi="Times New Roman"/>
                <w:b/>
                <w:lang w:val="ro-MD"/>
              </w:rPr>
              <w:t>Actul Uniunii Europene</w:t>
            </w:r>
          </w:p>
        </w:tc>
        <w:tc>
          <w:tcPr>
            <w:tcW w:w="5386" w:type="dxa"/>
          </w:tcPr>
          <w:p w14:paraId="52E08214" w14:textId="77777777" w:rsidR="009C03FE" w:rsidRPr="00BB3A8D" w:rsidRDefault="009C03FE" w:rsidP="009A53B5">
            <w:pPr>
              <w:jc w:val="center"/>
              <w:rPr>
                <w:rFonts w:ascii="Times New Roman" w:eastAsia="Times New Roman" w:hAnsi="Times New Roman"/>
                <w:b/>
                <w:lang w:val="ro-MD"/>
              </w:rPr>
            </w:pPr>
            <w:r w:rsidRPr="00BB3A8D">
              <w:rPr>
                <w:rFonts w:ascii="Times New Roman" w:eastAsia="Times New Roman" w:hAnsi="Times New Roman"/>
                <w:b/>
                <w:lang w:val="ro-MD"/>
              </w:rPr>
              <w:t>Proiectul de act normativ național</w:t>
            </w:r>
          </w:p>
        </w:tc>
        <w:tc>
          <w:tcPr>
            <w:tcW w:w="1560" w:type="dxa"/>
          </w:tcPr>
          <w:p w14:paraId="09EB2A30" w14:textId="77777777" w:rsidR="009C03FE" w:rsidRPr="00BB3A8D" w:rsidRDefault="009C03FE" w:rsidP="009A53B5">
            <w:pPr>
              <w:jc w:val="center"/>
              <w:rPr>
                <w:rFonts w:ascii="Times New Roman" w:eastAsia="Times New Roman" w:hAnsi="Times New Roman"/>
                <w:b/>
                <w:lang w:val="ro-MD"/>
              </w:rPr>
            </w:pPr>
            <w:r w:rsidRPr="00BB3A8D">
              <w:rPr>
                <w:rFonts w:ascii="Times New Roman" w:eastAsia="Times New Roman" w:hAnsi="Times New Roman"/>
                <w:b/>
                <w:lang w:val="ro-MD"/>
              </w:rPr>
              <w:t>Gradul de compatibilitate</w:t>
            </w:r>
          </w:p>
        </w:tc>
        <w:tc>
          <w:tcPr>
            <w:tcW w:w="2835" w:type="dxa"/>
          </w:tcPr>
          <w:p w14:paraId="1DBE1CA7" w14:textId="77777777" w:rsidR="009C03FE" w:rsidRPr="00BB3A8D" w:rsidRDefault="009C03FE" w:rsidP="009A53B5">
            <w:pPr>
              <w:jc w:val="center"/>
              <w:rPr>
                <w:rFonts w:ascii="Times New Roman" w:eastAsia="Times New Roman" w:hAnsi="Times New Roman"/>
                <w:b/>
                <w:lang w:val="ro-MD"/>
              </w:rPr>
            </w:pPr>
            <w:r w:rsidRPr="00BB3A8D">
              <w:rPr>
                <w:rFonts w:ascii="Times New Roman" w:eastAsia="Times New Roman" w:hAnsi="Times New Roman"/>
                <w:b/>
                <w:lang w:val="ro-MD"/>
              </w:rPr>
              <w:t>Observațiile</w:t>
            </w:r>
          </w:p>
        </w:tc>
      </w:tr>
      <w:tr w:rsidR="009C03FE" w:rsidRPr="00BB3A8D" w14:paraId="647A1FEF" w14:textId="77777777" w:rsidTr="00C23E6D">
        <w:trPr>
          <w:trHeight w:val="218"/>
          <w:jc w:val="center"/>
        </w:trPr>
        <w:tc>
          <w:tcPr>
            <w:tcW w:w="5382" w:type="dxa"/>
          </w:tcPr>
          <w:p w14:paraId="29C33195" w14:textId="77777777" w:rsidR="009C03FE" w:rsidRPr="00BB3A8D" w:rsidRDefault="009C03FE" w:rsidP="009A53B5">
            <w:pPr>
              <w:jc w:val="center"/>
              <w:rPr>
                <w:rFonts w:ascii="Times New Roman" w:eastAsia="Times New Roman" w:hAnsi="Times New Roman"/>
                <w:b/>
                <w:lang w:val="ro-MD"/>
              </w:rPr>
            </w:pPr>
            <w:r w:rsidRPr="00BB3A8D">
              <w:rPr>
                <w:rFonts w:ascii="Times New Roman" w:eastAsia="Times New Roman" w:hAnsi="Times New Roman"/>
                <w:b/>
                <w:lang w:val="ro-MD"/>
              </w:rPr>
              <w:t>6</w:t>
            </w:r>
          </w:p>
        </w:tc>
        <w:tc>
          <w:tcPr>
            <w:tcW w:w="5386" w:type="dxa"/>
          </w:tcPr>
          <w:p w14:paraId="4051E264" w14:textId="77777777" w:rsidR="009C03FE" w:rsidRPr="00BB3A8D" w:rsidRDefault="009C03FE" w:rsidP="009A53B5">
            <w:pPr>
              <w:jc w:val="center"/>
              <w:rPr>
                <w:rFonts w:ascii="Times New Roman" w:eastAsia="Times New Roman" w:hAnsi="Times New Roman"/>
                <w:b/>
                <w:lang w:val="ro-MD"/>
              </w:rPr>
            </w:pPr>
            <w:r w:rsidRPr="00BB3A8D">
              <w:rPr>
                <w:rFonts w:ascii="Times New Roman" w:eastAsia="Times New Roman" w:hAnsi="Times New Roman"/>
                <w:b/>
                <w:lang w:val="ro-MD"/>
              </w:rPr>
              <w:t>7</w:t>
            </w:r>
          </w:p>
        </w:tc>
        <w:tc>
          <w:tcPr>
            <w:tcW w:w="1560" w:type="dxa"/>
          </w:tcPr>
          <w:p w14:paraId="2066F830" w14:textId="77777777" w:rsidR="009C03FE" w:rsidRPr="00BB3A8D" w:rsidRDefault="009C03FE" w:rsidP="009A53B5">
            <w:pPr>
              <w:jc w:val="center"/>
              <w:rPr>
                <w:rFonts w:ascii="Times New Roman" w:eastAsia="Times New Roman" w:hAnsi="Times New Roman"/>
                <w:b/>
                <w:lang w:val="ro-MD"/>
              </w:rPr>
            </w:pPr>
            <w:r w:rsidRPr="00BB3A8D">
              <w:rPr>
                <w:rFonts w:ascii="Times New Roman" w:eastAsia="Times New Roman" w:hAnsi="Times New Roman"/>
                <w:b/>
                <w:lang w:val="ro-MD"/>
              </w:rPr>
              <w:t>8</w:t>
            </w:r>
          </w:p>
        </w:tc>
        <w:tc>
          <w:tcPr>
            <w:tcW w:w="2835" w:type="dxa"/>
          </w:tcPr>
          <w:p w14:paraId="294C0575" w14:textId="77777777" w:rsidR="009C03FE" w:rsidRPr="00BB3A8D" w:rsidRDefault="009C03FE" w:rsidP="009A53B5">
            <w:pPr>
              <w:jc w:val="center"/>
              <w:rPr>
                <w:rFonts w:ascii="Times New Roman" w:eastAsia="Times New Roman" w:hAnsi="Times New Roman"/>
                <w:b/>
                <w:lang w:val="ro-MD"/>
              </w:rPr>
            </w:pPr>
            <w:r w:rsidRPr="00BB3A8D">
              <w:rPr>
                <w:rFonts w:ascii="Times New Roman" w:eastAsia="Times New Roman" w:hAnsi="Times New Roman"/>
                <w:b/>
                <w:lang w:val="ro-MD"/>
              </w:rPr>
              <w:t>9</w:t>
            </w:r>
          </w:p>
        </w:tc>
      </w:tr>
      <w:tr w:rsidR="009C03FE" w:rsidRPr="00BB3A8D" w14:paraId="536CACB5" w14:textId="77777777" w:rsidTr="00C23E6D">
        <w:tblPrEx>
          <w:jc w:val="left"/>
        </w:tblPrEx>
        <w:trPr>
          <w:trHeight w:val="1616"/>
        </w:trPr>
        <w:tc>
          <w:tcPr>
            <w:tcW w:w="5382" w:type="dxa"/>
          </w:tcPr>
          <w:p w14:paraId="3C280A23" w14:textId="77777777" w:rsidR="001854D6" w:rsidRPr="00940AE8" w:rsidRDefault="001854D6" w:rsidP="001854D6">
            <w:pPr>
              <w:shd w:val="clear" w:color="auto" w:fill="FFFFFF"/>
              <w:jc w:val="both"/>
              <w:rPr>
                <w:rFonts w:ascii="Times New Roman" w:eastAsia="Times New Roman" w:hAnsi="Times New Roman"/>
                <w:i/>
                <w:iCs/>
                <w:lang w:val="ro-MD"/>
              </w:rPr>
            </w:pPr>
            <w:r w:rsidRPr="00940AE8">
              <w:rPr>
                <w:rFonts w:ascii="Times New Roman" w:eastAsia="Times New Roman" w:hAnsi="Times New Roman"/>
                <w:i/>
                <w:iCs/>
                <w:lang w:val="ro-MD"/>
              </w:rPr>
              <w:t>Articolul 1</w:t>
            </w:r>
          </w:p>
          <w:p w14:paraId="6719B349" w14:textId="77777777" w:rsidR="001854D6" w:rsidRPr="00940AE8" w:rsidRDefault="001854D6" w:rsidP="001854D6">
            <w:pPr>
              <w:shd w:val="clear" w:color="auto" w:fill="FFFFFF"/>
              <w:jc w:val="both"/>
              <w:rPr>
                <w:rFonts w:ascii="Times New Roman" w:eastAsia="Times New Roman" w:hAnsi="Times New Roman"/>
                <w:b/>
                <w:bCs/>
                <w:lang w:val="ro-MD"/>
              </w:rPr>
            </w:pPr>
            <w:r w:rsidRPr="00940AE8">
              <w:rPr>
                <w:rFonts w:ascii="Times New Roman" w:eastAsia="Times New Roman" w:hAnsi="Times New Roman"/>
                <w:b/>
                <w:bCs/>
                <w:lang w:val="ro-MD"/>
              </w:rPr>
              <w:t>Cerințe vizând informațiile privind lanțul alimentar în sensul Regulamentului (CE) nr. 853/2004</w:t>
            </w:r>
          </w:p>
          <w:p w14:paraId="5FFFD7CD" w14:textId="77777777" w:rsidR="001854D6" w:rsidRPr="00940AE8" w:rsidRDefault="001854D6" w:rsidP="001854D6">
            <w:pPr>
              <w:shd w:val="clear" w:color="auto" w:fill="FFFFFF"/>
              <w:jc w:val="both"/>
              <w:rPr>
                <w:rFonts w:ascii="Times New Roman" w:eastAsia="Times New Roman" w:hAnsi="Times New Roman"/>
                <w:lang w:val="ro-MD"/>
              </w:rPr>
            </w:pPr>
            <w:r w:rsidRPr="00940AE8">
              <w:rPr>
                <w:rFonts w:ascii="Times New Roman" w:eastAsia="Times New Roman" w:hAnsi="Times New Roman"/>
                <w:lang w:val="ro-MD"/>
              </w:rPr>
              <w:t>Cerințele vizând informațiile privind lanțul alimentar menționate în secțiunea III din anexa II la Regulamentul (CE) nr. 853/2004 sunt stabilite în anexa I la prezentul regulament.</w:t>
            </w:r>
          </w:p>
          <w:p w14:paraId="7506BCF8" w14:textId="77777777" w:rsidR="009C03FE" w:rsidRPr="00940AE8" w:rsidRDefault="009C03FE" w:rsidP="00491B6B">
            <w:pPr>
              <w:shd w:val="clear" w:color="auto" w:fill="FFFFFF"/>
              <w:jc w:val="both"/>
              <w:rPr>
                <w:rFonts w:ascii="Times New Roman" w:eastAsia="Times New Roman" w:hAnsi="Times New Roman"/>
                <w:lang w:val="ro-MD"/>
              </w:rPr>
            </w:pPr>
          </w:p>
        </w:tc>
        <w:tc>
          <w:tcPr>
            <w:tcW w:w="5386" w:type="dxa"/>
          </w:tcPr>
          <w:p w14:paraId="1E8C6CB5" w14:textId="77777777" w:rsidR="009C03FE" w:rsidRDefault="009C03FE" w:rsidP="00212C99">
            <w:pPr>
              <w:jc w:val="both"/>
              <w:rPr>
                <w:rFonts w:ascii="Times New Roman" w:eastAsia="Times New Roman" w:hAnsi="Times New Roman"/>
                <w:bCs/>
                <w:lang w:val="ro-MD"/>
              </w:rPr>
            </w:pPr>
          </w:p>
          <w:p w14:paraId="0C3323EA" w14:textId="77777777" w:rsidR="0020090B" w:rsidRDefault="0020090B" w:rsidP="00212C99">
            <w:pPr>
              <w:jc w:val="both"/>
              <w:rPr>
                <w:rFonts w:ascii="Times New Roman" w:eastAsia="Times New Roman" w:hAnsi="Times New Roman"/>
                <w:bCs/>
                <w:lang w:val="ro-MD"/>
              </w:rPr>
            </w:pPr>
          </w:p>
          <w:p w14:paraId="20F5786A" w14:textId="366915E5" w:rsidR="0020090B" w:rsidRPr="00BB3A8D" w:rsidRDefault="0020090B" w:rsidP="00212C99">
            <w:pPr>
              <w:jc w:val="both"/>
              <w:rPr>
                <w:rFonts w:ascii="Times New Roman" w:eastAsia="Times New Roman" w:hAnsi="Times New Roman"/>
                <w:bCs/>
                <w:lang w:val="ro-MD"/>
              </w:rPr>
            </w:pPr>
            <w:r>
              <w:rPr>
                <w:rFonts w:ascii="Times New Roman" w:eastAsia="Times New Roman" w:hAnsi="Times New Roman"/>
                <w:bCs/>
                <w:lang w:val="ro-MD"/>
              </w:rPr>
              <w:t>Anexa nr.</w:t>
            </w:r>
            <w:r w:rsidR="001237C6">
              <w:rPr>
                <w:rFonts w:ascii="Times New Roman" w:eastAsia="Times New Roman" w:hAnsi="Times New Roman"/>
                <w:bCs/>
                <w:lang w:val="ro-MD"/>
              </w:rPr>
              <w:t>1</w:t>
            </w:r>
            <w:r>
              <w:rPr>
                <w:rFonts w:ascii="Times New Roman" w:eastAsia="Times New Roman" w:hAnsi="Times New Roman"/>
                <w:bCs/>
                <w:lang w:val="ro-MD"/>
              </w:rPr>
              <w:t>,</w:t>
            </w:r>
            <w:r w:rsidR="00E10565">
              <w:rPr>
                <w:rFonts w:ascii="Times New Roman" w:eastAsia="Times New Roman" w:hAnsi="Times New Roman"/>
                <w:bCs/>
                <w:lang w:val="ro-MD"/>
              </w:rPr>
              <w:t xml:space="preserve"> Secțiunea a 3-a </w:t>
            </w:r>
            <w:r>
              <w:rPr>
                <w:rFonts w:ascii="Times New Roman" w:eastAsia="Times New Roman" w:hAnsi="Times New Roman"/>
                <w:bCs/>
                <w:lang w:val="ro-MD"/>
              </w:rPr>
              <w:t xml:space="preserve"> pct.</w:t>
            </w:r>
            <w:r w:rsidR="00623121">
              <w:rPr>
                <w:rFonts w:ascii="Times New Roman" w:eastAsia="Times New Roman" w:hAnsi="Times New Roman"/>
                <w:bCs/>
                <w:lang w:val="ro-MD"/>
              </w:rPr>
              <w:t>19</w:t>
            </w:r>
          </w:p>
        </w:tc>
        <w:tc>
          <w:tcPr>
            <w:tcW w:w="1560" w:type="dxa"/>
          </w:tcPr>
          <w:p w14:paraId="04193B06" w14:textId="77777777" w:rsidR="009C03FE" w:rsidRPr="00BB3A8D" w:rsidRDefault="009C03FE" w:rsidP="009A53B5">
            <w:pPr>
              <w:jc w:val="center"/>
              <w:rPr>
                <w:rFonts w:ascii="Times New Roman" w:eastAsia="Times New Roman" w:hAnsi="Times New Roman"/>
                <w:b/>
                <w:noProof/>
                <w:color w:val="FF0000"/>
                <w:lang w:val="ro-MD"/>
              </w:rPr>
            </w:pPr>
            <w:r w:rsidRPr="00BB3A8D">
              <w:rPr>
                <w:rFonts w:ascii="Times New Roman" w:eastAsia="Times New Roman" w:hAnsi="Times New Roman"/>
                <w:b/>
                <w:noProof/>
                <w:color w:val="000000"/>
                <w:lang w:val="ro-MD"/>
              </w:rPr>
              <w:t>Compatibil</w:t>
            </w:r>
          </w:p>
        </w:tc>
        <w:tc>
          <w:tcPr>
            <w:tcW w:w="2835" w:type="dxa"/>
          </w:tcPr>
          <w:p w14:paraId="56FA17B7" w14:textId="77777777" w:rsidR="009C03FE" w:rsidRPr="00BB3A8D" w:rsidRDefault="009C03FE" w:rsidP="009A53B5">
            <w:pPr>
              <w:jc w:val="center"/>
              <w:rPr>
                <w:rFonts w:ascii="Times New Roman" w:eastAsia="Times New Roman" w:hAnsi="Times New Roman"/>
                <w:b/>
                <w:lang w:val="ro-MD"/>
              </w:rPr>
            </w:pPr>
          </w:p>
        </w:tc>
      </w:tr>
      <w:tr w:rsidR="009C03FE" w:rsidRPr="00BB3A8D" w14:paraId="4EA4626D" w14:textId="77777777" w:rsidTr="00C23E6D">
        <w:tblPrEx>
          <w:jc w:val="left"/>
        </w:tblPrEx>
        <w:trPr>
          <w:trHeight w:val="1995"/>
        </w:trPr>
        <w:tc>
          <w:tcPr>
            <w:tcW w:w="5382" w:type="dxa"/>
          </w:tcPr>
          <w:p w14:paraId="0B2A84CF" w14:textId="77777777" w:rsidR="001854D6" w:rsidRPr="00940AE8" w:rsidRDefault="001854D6" w:rsidP="001854D6">
            <w:pPr>
              <w:shd w:val="clear" w:color="auto" w:fill="FFFFFF"/>
              <w:rPr>
                <w:rFonts w:ascii="Times New Roman" w:eastAsia="Times New Roman" w:hAnsi="Times New Roman"/>
                <w:i/>
                <w:iCs/>
                <w:lang w:val="ro-MD" w:eastAsia="ro-RO"/>
              </w:rPr>
            </w:pPr>
            <w:r w:rsidRPr="00940AE8">
              <w:rPr>
                <w:rFonts w:ascii="Times New Roman" w:eastAsia="Times New Roman" w:hAnsi="Times New Roman"/>
                <w:i/>
                <w:iCs/>
                <w:lang w:val="ro-MD" w:eastAsia="ro-RO"/>
              </w:rPr>
              <w:t>Articolul 2</w:t>
            </w:r>
          </w:p>
          <w:p w14:paraId="79359FA2" w14:textId="77777777" w:rsidR="001854D6" w:rsidRPr="00940AE8" w:rsidRDefault="001854D6" w:rsidP="001854D6">
            <w:pPr>
              <w:shd w:val="clear" w:color="auto" w:fill="FFFFFF"/>
              <w:rPr>
                <w:rFonts w:ascii="Times New Roman" w:eastAsia="Times New Roman" w:hAnsi="Times New Roman"/>
                <w:b/>
                <w:bCs/>
                <w:lang w:val="ro-MD" w:eastAsia="ro-RO"/>
              </w:rPr>
            </w:pPr>
            <w:r w:rsidRPr="00940AE8">
              <w:rPr>
                <w:rFonts w:ascii="Times New Roman" w:eastAsia="Times New Roman" w:hAnsi="Times New Roman"/>
                <w:b/>
                <w:bCs/>
                <w:lang w:val="ro-MD" w:eastAsia="ro-RO"/>
              </w:rPr>
              <w:t>Cerințe vizând produse pescărești în sensul Regulamentului (CE) nr. 853/2004</w:t>
            </w:r>
          </w:p>
          <w:p w14:paraId="193A1106" w14:textId="77777777" w:rsidR="009C03FE" w:rsidRPr="00940AE8" w:rsidRDefault="001854D6" w:rsidP="009A53B5">
            <w:pPr>
              <w:shd w:val="clear" w:color="auto" w:fill="FFFFFF"/>
              <w:rPr>
                <w:rFonts w:ascii="Times New Roman" w:eastAsia="Times New Roman" w:hAnsi="Times New Roman"/>
                <w:lang w:val="ro-MD" w:eastAsia="ro-RO"/>
              </w:rPr>
            </w:pPr>
            <w:r w:rsidRPr="00940AE8">
              <w:rPr>
                <w:rFonts w:ascii="Times New Roman" w:eastAsia="Times New Roman" w:hAnsi="Times New Roman"/>
                <w:lang w:val="ro-MD" w:eastAsia="ro-RO"/>
              </w:rPr>
              <w:t>Cerințele privind produsele pescărești menționate la articolul 11 alineatul (9) din Regulamentul (CE) nr. 853/2004 sunt stabilite în anexa II la prezentul regulament.</w:t>
            </w:r>
          </w:p>
        </w:tc>
        <w:tc>
          <w:tcPr>
            <w:tcW w:w="5386" w:type="dxa"/>
          </w:tcPr>
          <w:p w14:paraId="63ABE0BB" w14:textId="77777777" w:rsidR="004E01AD" w:rsidRDefault="004E01AD" w:rsidP="004E01AD">
            <w:pPr>
              <w:jc w:val="both"/>
              <w:rPr>
                <w:rFonts w:ascii="Times New Roman" w:eastAsia="Times New Roman" w:hAnsi="Times New Roman"/>
                <w:bCs/>
                <w:lang w:val="ro-MD"/>
              </w:rPr>
            </w:pPr>
          </w:p>
          <w:p w14:paraId="53D93FB2" w14:textId="77777777" w:rsidR="004E01AD" w:rsidRDefault="004E01AD" w:rsidP="004E01AD">
            <w:pPr>
              <w:jc w:val="both"/>
              <w:rPr>
                <w:rFonts w:ascii="Times New Roman" w:eastAsia="Times New Roman" w:hAnsi="Times New Roman"/>
                <w:bCs/>
                <w:lang w:val="ro-MD"/>
              </w:rPr>
            </w:pPr>
          </w:p>
          <w:p w14:paraId="506D80BB" w14:textId="6B3413E5" w:rsidR="004E01AD" w:rsidRDefault="00E10565" w:rsidP="004E01AD">
            <w:pPr>
              <w:jc w:val="both"/>
              <w:rPr>
                <w:rFonts w:ascii="Times New Roman" w:eastAsia="Times New Roman" w:hAnsi="Times New Roman"/>
                <w:bCs/>
                <w:lang w:val="ro-MD"/>
              </w:rPr>
            </w:pPr>
            <w:r>
              <w:rPr>
                <w:rFonts w:ascii="Times New Roman" w:eastAsia="Times New Roman" w:hAnsi="Times New Roman"/>
                <w:bCs/>
                <w:lang w:val="ro-MD"/>
              </w:rPr>
              <w:t>La GH</w:t>
            </w:r>
          </w:p>
          <w:p w14:paraId="13F06372" w14:textId="7944CA28" w:rsidR="004E01AD" w:rsidRPr="004E01AD" w:rsidRDefault="00E10565" w:rsidP="004E01AD">
            <w:pPr>
              <w:jc w:val="both"/>
              <w:rPr>
                <w:rFonts w:ascii="Times New Roman" w:eastAsia="Times New Roman" w:hAnsi="Times New Roman"/>
                <w:bCs/>
                <w:lang w:val="ro-MD"/>
              </w:rPr>
            </w:pPr>
            <w:r>
              <w:rPr>
                <w:rFonts w:ascii="Times New Roman" w:eastAsia="Times New Roman" w:hAnsi="Times New Roman"/>
                <w:bCs/>
                <w:lang w:val="ro-MD"/>
              </w:rPr>
              <w:t>Capitolul III- Comerțul, pct. 28</w:t>
            </w:r>
            <w:r w:rsidR="004E01AD" w:rsidRPr="004E01AD">
              <w:rPr>
                <w:rFonts w:ascii="Times New Roman" w:eastAsia="Times New Roman" w:hAnsi="Times New Roman"/>
                <w:bCs/>
                <w:lang w:val="ro-MD"/>
              </w:rPr>
              <w:t>.2 stabilirea criteriilor de prospețime și limite de histamine și de azot volatil total pentru produsele pescărești;</w:t>
            </w:r>
          </w:p>
          <w:p w14:paraId="0823DA45" w14:textId="77777777" w:rsidR="009C03FE" w:rsidRPr="00BB3A8D" w:rsidRDefault="009C03FE" w:rsidP="009A53B5">
            <w:pPr>
              <w:jc w:val="both"/>
              <w:rPr>
                <w:rFonts w:ascii="Times New Roman" w:eastAsia="Times New Roman" w:hAnsi="Times New Roman"/>
                <w:bCs/>
                <w:lang w:val="ro-MD"/>
              </w:rPr>
            </w:pPr>
          </w:p>
        </w:tc>
        <w:tc>
          <w:tcPr>
            <w:tcW w:w="1560" w:type="dxa"/>
          </w:tcPr>
          <w:p w14:paraId="627931FA" w14:textId="77777777" w:rsidR="009C03FE" w:rsidRPr="00BB3A8D" w:rsidRDefault="00732020" w:rsidP="009A53B5">
            <w:pPr>
              <w:jc w:val="center"/>
              <w:rPr>
                <w:rFonts w:ascii="Times New Roman" w:eastAsia="Times New Roman" w:hAnsi="Times New Roman"/>
                <w:b/>
                <w:noProof/>
                <w:color w:val="000000"/>
                <w:lang w:val="ro-MD"/>
              </w:rPr>
            </w:pPr>
            <w:r>
              <w:rPr>
                <w:rFonts w:ascii="Times New Roman" w:eastAsia="Times New Roman" w:hAnsi="Times New Roman"/>
                <w:b/>
                <w:noProof/>
                <w:color w:val="000000"/>
                <w:lang w:val="ro-MD"/>
              </w:rPr>
              <w:t>Compatibil</w:t>
            </w:r>
          </w:p>
        </w:tc>
        <w:tc>
          <w:tcPr>
            <w:tcW w:w="2835" w:type="dxa"/>
          </w:tcPr>
          <w:p w14:paraId="5E7F2467" w14:textId="77777777" w:rsidR="009C03FE" w:rsidRPr="00BB3A8D" w:rsidRDefault="009C03FE" w:rsidP="009A53B5">
            <w:pPr>
              <w:jc w:val="center"/>
              <w:rPr>
                <w:rFonts w:ascii="Times New Roman" w:eastAsia="Times New Roman" w:hAnsi="Times New Roman"/>
                <w:b/>
                <w:lang w:val="ro-MD"/>
              </w:rPr>
            </w:pPr>
          </w:p>
        </w:tc>
      </w:tr>
      <w:tr w:rsidR="001854D6" w:rsidRPr="00BB3A8D" w14:paraId="7B532AB4" w14:textId="77777777" w:rsidTr="00C23E6D">
        <w:tblPrEx>
          <w:jc w:val="left"/>
        </w:tblPrEx>
        <w:trPr>
          <w:trHeight w:val="1701"/>
        </w:trPr>
        <w:tc>
          <w:tcPr>
            <w:tcW w:w="5382" w:type="dxa"/>
          </w:tcPr>
          <w:p w14:paraId="1360D5BA" w14:textId="77777777" w:rsidR="001854D6" w:rsidRPr="00940AE8" w:rsidRDefault="001854D6" w:rsidP="001854D6">
            <w:pPr>
              <w:jc w:val="both"/>
              <w:rPr>
                <w:rFonts w:ascii="Times New Roman" w:eastAsia="Times New Roman" w:hAnsi="Times New Roman"/>
                <w:i/>
                <w:iCs/>
                <w:lang w:val="ro-MD"/>
              </w:rPr>
            </w:pPr>
            <w:r w:rsidRPr="00940AE8">
              <w:rPr>
                <w:rFonts w:ascii="Times New Roman" w:eastAsia="Times New Roman" w:hAnsi="Times New Roman"/>
                <w:i/>
                <w:iCs/>
                <w:lang w:val="ro-MD"/>
              </w:rPr>
              <w:lastRenderedPageBreak/>
              <w:t>Articolul 3</w:t>
            </w:r>
          </w:p>
          <w:p w14:paraId="04F40A27" w14:textId="77777777" w:rsidR="001854D6" w:rsidRPr="00940AE8" w:rsidRDefault="001854D6" w:rsidP="001854D6">
            <w:pPr>
              <w:jc w:val="both"/>
              <w:rPr>
                <w:rFonts w:ascii="Times New Roman" w:eastAsia="Times New Roman" w:hAnsi="Times New Roman"/>
                <w:b/>
                <w:bCs/>
                <w:lang w:val="ro-MD"/>
              </w:rPr>
            </w:pPr>
            <w:r w:rsidRPr="00940AE8">
              <w:rPr>
                <w:rFonts w:ascii="Times New Roman" w:eastAsia="Times New Roman" w:hAnsi="Times New Roman"/>
                <w:b/>
                <w:bCs/>
                <w:lang w:val="ro-MD"/>
              </w:rPr>
              <w:t xml:space="preserve">Metode de testare recunoscute pentru </w:t>
            </w:r>
            <w:proofErr w:type="spellStart"/>
            <w:r w:rsidRPr="00940AE8">
              <w:rPr>
                <w:rFonts w:ascii="Times New Roman" w:eastAsia="Times New Roman" w:hAnsi="Times New Roman"/>
                <w:b/>
                <w:bCs/>
                <w:lang w:val="ro-MD"/>
              </w:rPr>
              <w:t>biotoxinele</w:t>
            </w:r>
            <w:proofErr w:type="spellEnd"/>
            <w:r w:rsidRPr="00940AE8">
              <w:rPr>
                <w:rFonts w:ascii="Times New Roman" w:eastAsia="Times New Roman" w:hAnsi="Times New Roman"/>
                <w:b/>
                <w:bCs/>
                <w:lang w:val="ro-MD"/>
              </w:rPr>
              <w:t xml:space="preserve"> marine în sensul Regulamentului (CE) nr. 853/2004</w:t>
            </w:r>
          </w:p>
          <w:p w14:paraId="21363BE2"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 xml:space="preserve">Metodele de testare recunoscute pentru detectarea </w:t>
            </w:r>
            <w:proofErr w:type="spellStart"/>
            <w:r w:rsidRPr="00940AE8">
              <w:rPr>
                <w:rFonts w:ascii="Times New Roman" w:eastAsia="Times New Roman" w:hAnsi="Times New Roman"/>
                <w:lang w:val="ro-MD"/>
              </w:rPr>
              <w:t>biotoxinelor</w:t>
            </w:r>
            <w:proofErr w:type="spellEnd"/>
            <w:r w:rsidRPr="00940AE8">
              <w:rPr>
                <w:rFonts w:ascii="Times New Roman" w:eastAsia="Times New Roman" w:hAnsi="Times New Roman"/>
                <w:lang w:val="ro-MD"/>
              </w:rPr>
              <w:t xml:space="preserve"> marine menționate la articolul 11 alineatul (4) din Regulamentul (CE) nr. 853/2004 sunt stabilite în anexa V la Regulamentul de punere în aplicare (UE) 2019/627.</w:t>
            </w:r>
          </w:p>
          <w:p w14:paraId="38A40C0B" w14:textId="77777777" w:rsidR="001854D6" w:rsidRPr="00940AE8" w:rsidRDefault="001854D6" w:rsidP="009A53B5">
            <w:pPr>
              <w:ind w:firstLine="720"/>
              <w:jc w:val="both"/>
              <w:rPr>
                <w:rFonts w:ascii="Times New Roman" w:eastAsia="Times New Roman" w:hAnsi="Times New Roman"/>
                <w:lang w:val="ro-MD"/>
              </w:rPr>
            </w:pPr>
          </w:p>
        </w:tc>
        <w:tc>
          <w:tcPr>
            <w:tcW w:w="5386" w:type="dxa"/>
          </w:tcPr>
          <w:p w14:paraId="086ECBA8" w14:textId="77777777" w:rsidR="001854D6" w:rsidRPr="00BB3A8D" w:rsidRDefault="001854D6" w:rsidP="009A53B5">
            <w:pPr>
              <w:jc w:val="both"/>
              <w:rPr>
                <w:rFonts w:ascii="Times New Roman" w:eastAsia="Times New Roman" w:hAnsi="Times New Roman"/>
                <w:bCs/>
                <w:lang w:val="ro-MD"/>
              </w:rPr>
            </w:pPr>
          </w:p>
        </w:tc>
        <w:tc>
          <w:tcPr>
            <w:tcW w:w="1560" w:type="dxa"/>
          </w:tcPr>
          <w:p w14:paraId="1D878E5A" w14:textId="77777777" w:rsidR="00070DA0" w:rsidRDefault="00070DA0" w:rsidP="009A53B5">
            <w:pPr>
              <w:jc w:val="center"/>
              <w:rPr>
                <w:rFonts w:ascii="Times New Roman" w:eastAsia="Times New Roman" w:hAnsi="Times New Roman"/>
                <w:b/>
                <w:noProof/>
                <w:color w:val="000000"/>
                <w:lang w:val="ro-MD"/>
              </w:rPr>
            </w:pPr>
          </w:p>
          <w:p w14:paraId="746CCD83" w14:textId="77777777" w:rsidR="001854D6" w:rsidRPr="00B300E0" w:rsidRDefault="00070DA0" w:rsidP="009A53B5">
            <w:pPr>
              <w:jc w:val="center"/>
              <w:rPr>
                <w:rFonts w:ascii="Times New Roman" w:eastAsia="Times New Roman" w:hAnsi="Times New Roman"/>
                <w:b/>
                <w:noProof/>
                <w:color w:val="000000"/>
                <w:lang w:val="ro-MD"/>
              </w:rPr>
            </w:pPr>
            <w:r w:rsidRPr="00070DA0">
              <w:rPr>
                <w:rFonts w:ascii="Times New Roman" w:eastAsia="Times New Roman" w:hAnsi="Times New Roman"/>
                <w:b/>
                <w:noProof/>
                <w:color w:val="000000"/>
                <w:lang w:val="ro-MD"/>
              </w:rPr>
              <w:t>Prevederi UE neaplicabile</w:t>
            </w:r>
          </w:p>
        </w:tc>
        <w:tc>
          <w:tcPr>
            <w:tcW w:w="2835" w:type="dxa"/>
          </w:tcPr>
          <w:p w14:paraId="0D150AFC" w14:textId="77777777" w:rsidR="001854D6" w:rsidRPr="00BB3A8D" w:rsidRDefault="001854D6" w:rsidP="009A53B5">
            <w:pPr>
              <w:jc w:val="center"/>
              <w:rPr>
                <w:rFonts w:ascii="Times New Roman" w:eastAsia="Times New Roman" w:hAnsi="Times New Roman"/>
                <w:b/>
                <w:lang w:val="ro-MD"/>
              </w:rPr>
            </w:pPr>
          </w:p>
        </w:tc>
      </w:tr>
      <w:tr w:rsidR="001854D6" w:rsidRPr="00BB3A8D" w14:paraId="20D9F2B5" w14:textId="77777777" w:rsidTr="00C23E6D">
        <w:tblPrEx>
          <w:jc w:val="left"/>
        </w:tblPrEx>
        <w:trPr>
          <w:trHeight w:val="1530"/>
        </w:trPr>
        <w:tc>
          <w:tcPr>
            <w:tcW w:w="5382" w:type="dxa"/>
          </w:tcPr>
          <w:p w14:paraId="409A2E55" w14:textId="77777777" w:rsidR="001854D6" w:rsidRPr="00940AE8" w:rsidRDefault="001854D6" w:rsidP="001854D6">
            <w:pPr>
              <w:jc w:val="both"/>
              <w:rPr>
                <w:rFonts w:ascii="Times New Roman" w:eastAsia="Times New Roman" w:hAnsi="Times New Roman"/>
                <w:i/>
                <w:iCs/>
                <w:lang w:val="ro-MD"/>
              </w:rPr>
            </w:pPr>
            <w:r w:rsidRPr="00940AE8">
              <w:rPr>
                <w:rFonts w:ascii="Times New Roman" w:eastAsia="Times New Roman" w:hAnsi="Times New Roman"/>
                <w:i/>
                <w:iCs/>
                <w:lang w:val="ro-MD"/>
              </w:rPr>
              <w:t>Articolul 4</w:t>
            </w:r>
          </w:p>
          <w:p w14:paraId="75F03EEE"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Conținutul de calciu al cărnii separate mecanic în sensul Regulamentului (CE) nr. 853/2004</w:t>
            </w:r>
          </w:p>
          <w:p w14:paraId="1CAB1850"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Conținutul de calciu al cărnii separate mecanic menționate la articolul 11 punctul 2 din Regulamentul (CE) nr. 853/2004 este precizat în anexa IV la prezentul regulament.</w:t>
            </w:r>
          </w:p>
          <w:p w14:paraId="6AD0859C" w14:textId="77777777" w:rsidR="001854D6" w:rsidRPr="00940AE8" w:rsidRDefault="001854D6" w:rsidP="009A53B5">
            <w:pPr>
              <w:ind w:firstLine="720"/>
              <w:jc w:val="both"/>
              <w:rPr>
                <w:rFonts w:ascii="Times New Roman" w:eastAsia="Times New Roman" w:hAnsi="Times New Roman"/>
                <w:lang w:val="ro-MD"/>
              </w:rPr>
            </w:pPr>
          </w:p>
        </w:tc>
        <w:tc>
          <w:tcPr>
            <w:tcW w:w="5386" w:type="dxa"/>
          </w:tcPr>
          <w:p w14:paraId="5CA295A0" w14:textId="77777777" w:rsidR="00307606" w:rsidRDefault="00307606" w:rsidP="00307606">
            <w:pPr>
              <w:jc w:val="both"/>
              <w:rPr>
                <w:rFonts w:ascii="Times New Roman" w:eastAsia="Times New Roman" w:hAnsi="Times New Roman"/>
                <w:bCs/>
                <w:lang w:val="ro-MD"/>
              </w:rPr>
            </w:pPr>
          </w:p>
          <w:p w14:paraId="194A3A42" w14:textId="77777777" w:rsidR="00E10565" w:rsidRPr="00E10565" w:rsidRDefault="00E10565" w:rsidP="00E10565">
            <w:pPr>
              <w:jc w:val="both"/>
              <w:rPr>
                <w:rFonts w:ascii="Times New Roman" w:eastAsia="Times New Roman" w:hAnsi="Times New Roman"/>
                <w:bCs/>
                <w:lang w:val="ro-MD"/>
              </w:rPr>
            </w:pPr>
            <w:r w:rsidRPr="00E10565">
              <w:rPr>
                <w:rFonts w:ascii="Times New Roman" w:eastAsia="Times New Roman" w:hAnsi="Times New Roman"/>
                <w:bCs/>
                <w:lang w:val="ro-MD"/>
              </w:rPr>
              <w:t>La GH</w:t>
            </w:r>
          </w:p>
          <w:p w14:paraId="645300F3" w14:textId="5632E290" w:rsidR="00307606" w:rsidRPr="00307606" w:rsidRDefault="00E10565" w:rsidP="00E10565">
            <w:pPr>
              <w:jc w:val="both"/>
              <w:rPr>
                <w:rFonts w:ascii="Times New Roman" w:eastAsia="Times New Roman" w:hAnsi="Times New Roman"/>
                <w:bCs/>
                <w:lang w:val="ro-MD"/>
              </w:rPr>
            </w:pPr>
            <w:r w:rsidRPr="00E10565">
              <w:rPr>
                <w:rFonts w:ascii="Times New Roman" w:eastAsia="Times New Roman" w:hAnsi="Times New Roman"/>
                <w:bCs/>
                <w:lang w:val="ro-MD"/>
              </w:rPr>
              <w:t>Capitolul III</w:t>
            </w:r>
            <w:r>
              <w:rPr>
                <w:rFonts w:ascii="Times New Roman" w:eastAsia="Times New Roman" w:hAnsi="Times New Roman"/>
                <w:bCs/>
                <w:lang w:val="ro-MD"/>
              </w:rPr>
              <w:t xml:space="preserve"> -Comerțul,</w:t>
            </w:r>
            <w:r w:rsidRPr="00E10565">
              <w:rPr>
                <w:rFonts w:ascii="Times New Roman" w:eastAsia="Times New Roman" w:hAnsi="Times New Roman"/>
                <w:bCs/>
                <w:lang w:val="ro-MD"/>
              </w:rPr>
              <w:t xml:space="preserve"> pct. 28</w:t>
            </w:r>
            <w:r w:rsidR="00307606" w:rsidRPr="00307606">
              <w:rPr>
                <w:rFonts w:ascii="Times New Roman" w:eastAsia="Times New Roman" w:hAnsi="Times New Roman"/>
                <w:bCs/>
                <w:lang w:val="ro-MD"/>
              </w:rPr>
              <w:t>.1</w:t>
            </w:r>
            <w:r>
              <w:rPr>
                <w:rFonts w:ascii="Times New Roman" w:eastAsia="Times New Roman" w:hAnsi="Times New Roman"/>
                <w:bCs/>
                <w:lang w:val="ro-MD"/>
              </w:rPr>
              <w:t xml:space="preserve"> </w:t>
            </w:r>
            <w:r w:rsidR="00307606" w:rsidRPr="00307606">
              <w:rPr>
                <w:rFonts w:ascii="Times New Roman" w:eastAsia="Times New Roman" w:hAnsi="Times New Roman"/>
                <w:bCs/>
                <w:lang w:val="ro-MD"/>
              </w:rPr>
              <w:t>carnea separată mecanic, care este conținutul de calciu considerat ca nefiind mult mai mare decât cel al cărnii tocate, prevăzut la anexa nr.</w:t>
            </w:r>
            <w:r>
              <w:rPr>
                <w:rFonts w:ascii="Times New Roman" w:eastAsia="Times New Roman" w:hAnsi="Times New Roman"/>
                <w:bCs/>
                <w:lang w:val="ro-MD"/>
              </w:rPr>
              <w:t>4</w:t>
            </w:r>
            <w:r w:rsidR="00307606" w:rsidRPr="00307606">
              <w:rPr>
                <w:rFonts w:ascii="Times New Roman" w:eastAsia="Times New Roman" w:hAnsi="Times New Roman"/>
                <w:bCs/>
                <w:lang w:val="ro-MD"/>
              </w:rPr>
              <w:t>;</w:t>
            </w:r>
          </w:p>
          <w:p w14:paraId="5F5864B5" w14:textId="77777777" w:rsidR="001854D6" w:rsidRPr="00BB3A8D" w:rsidRDefault="001854D6" w:rsidP="009A53B5">
            <w:pPr>
              <w:jc w:val="both"/>
              <w:rPr>
                <w:rFonts w:ascii="Times New Roman" w:eastAsia="Times New Roman" w:hAnsi="Times New Roman"/>
                <w:bCs/>
                <w:lang w:val="ro-MD"/>
              </w:rPr>
            </w:pPr>
          </w:p>
        </w:tc>
        <w:tc>
          <w:tcPr>
            <w:tcW w:w="1560" w:type="dxa"/>
          </w:tcPr>
          <w:p w14:paraId="5D1C6C50" w14:textId="77777777" w:rsidR="00307606" w:rsidRDefault="00307606" w:rsidP="009A53B5">
            <w:pPr>
              <w:jc w:val="center"/>
              <w:rPr>
                <w:rFonts w:ascii="Times New Roman" w:eastAsia="Times New Roman" w:hAnsi="Times New Roman"/>
                <w:b/>
                <w:noProof/>
                <w:color w:val="000000"/>
                <w:lang w:val="ro-MD"/>
              </w:rPr>
            </w:pPr>
          </w:p>
          <w:p w14:paraId="26741CDE" w14:textId="77777777" w:rsidR="001854D6" w:rsidRPr="00B300E0" w:rsidRDefault="00307606" w:rsidP="009A53B5">
            <w:pPr>
              <w:jc w:val="center"/>
              <w:rPr>
                <w:rFonts w:ascii="Times New Roman" w:eastAsia="Times New Roman" w:hAnsi="Times New Roman"/>
                <w:b/>
                <w:noProof/>
                <w:color w:val="000000"/>
                <w:lang w:val="ro-MD"/>
              </w:rPr>
            </w:pPr>
            <w:r>
              <w:rPr>
                <w:rFonts w:ascii="Times New Roman" w:eastAsia="Times New Roman" w:hAnsi="Times New Roman"/>
                <w:b/>
                <w:noProof/>
                <w:color w:val="000000"/>
                <w:lang w:val="ro-MD"/>
              </w:rPr>
              <w:t>Compatibil</w:t>
            </w:r>
          </w:p>
        </w:tc>
        <w:tc>
          <w:tcPr>
            <w:tcW w:w="2835" w:type="dxa"/>
          </w:tcPr>
          <w:p w14:paraId="4F844864" w14:textId="77777777" w:rsidR="001854D6" w:rsidRPr="00BB3A8D" w:rsidRDefault="001854D6" w:rsidP="009A53B5">
            <w:pPr>
              <w:jc w:val="center"/>
              <w:rPr>
                <w:rFonts w:ascii="Times New Roman" w:eastAsia="Times New Roman" w:hAnsi="Times New Roman"/>
                <w:b/>
                <w:lang w:val="ro-MD"/>
              </w:rPr>
            </w:pPr>
          </w:p>
        </w:tc>
      </w:tr>
      <w:tr w:rsidR="001854D6" w:rsidRPr="00BB3A8D" w14:paraId="61C6B840" w14:textId="77777777" w:rsidTr="00C23E6D">
        <w:tblPrEx>
          <w:jc w:val="left"/>
        </w:tblPrEx>
        <w:trPr>
          <w:trHeight w:val="1995"/>
        </w:trPr>
        <w:tc>
          <w:tcPr>
            <w:tcW w:w="5382" w:type="dxa"/>
          </w:tcPr>
          <w:p w14:paraId="6440BD14" w14:textId="77777777" w:rsidR="001854D6" w:rsidRPr="00940AE8" w:rsidRDefault="001854D6" w:rsidP="001854D6">
            <w:pPr>
              <w:jc w:val="both"/>
              <w:rPr>
                <w:rFonts w:ascii="Times New Roman" w:eastAsia="Times New Roman" w:hAnsi="Times New Roman"/>
                <w:i/>
                <w:iCs/>
                <w:lang w:val="ro-MD"/>
              </w:rPr>
            </w:pPr>
            <w:r w:rsidRPr="00940AE8">
              <w:rPr>
                <w:rFonts w:ascii="Times New Roman" w:eastAsia="Times New Roman" w:hAnsi="Times New Roman"/>
                <w:i/>
                <w:iCs/>
                <w:lang w:val="ro-MD"/>
              </w:rPr>
              <w:t>Articolul 6a</w:t>
            </w:r>
          </w:p>
          <w:p w14:paraId="22A2925E" w14:textId="77777777" w:rsidR="001854D6" w:rsidRPr="00940AE8" w:rsidRDefault="001854D6" w:rsidP="001854D6">
            <w:pPr>
              <w:jc w:val="both"/>
              <w:rPr>
                <w:rFonts w:ascii="Times New Roman" w:eastAsia="Times New Roman" w:hAnsi="Times New Roman"/>
                <w:b/>
                <w:bCs/>
                <w:lang w:val="ro-MD"/>
              </w:rPr>
            </w:pPr>
            <w:r w:rsidRPr="00940AE8">
              <w:rPr>
                <w:rFonts w:ascii="Times New Roman" w:eastAsia="Times New Roman" w:hAnsi="Times New Roman"/>
                <w:b/>
                <w:bCs/>
                <w:lang w:val="ro-MD"/>
              </w:rPr>
              <w:t>Metode de testare a laptelui crud și a laptelui de vacă tratat termic</w:t>
            </w:r>
          </w:p>
          <w:p w14:paraId="51D5DB6A"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Operatorii din sectorul alimentar utilizează metodele de analiză stabilite în anexa III la Regulamentul de punere în aplicare (UE) 2019/627 pentru a verifica respectarea limitelor stabilite în secțiunea IX capitolul I partea III din anexa III la Regulamentul (CE) nr. 853/2004 și pentru a asigura aplicarea corespunzătoare a procesului de pasteurizare a produselor lactate, astfel cum se menționează în secțiunea IX capitolul II partea II din anexa III la regulamentul respectiv.</w:t>
            </w:r>
          </w:p>
          <w:p w14:paraId="144F655A" w14:textId="77777777" w:rsidR="001854D6" w:rsidRPr="00940AE8" w:rsidRDefault="001854D6" w:rsidP="009A53B5">
            <w:pPr>
              <w:ind w:firstLine="720"/>
              <w:jc w:val="both"/>
              <w:rPr>
                <w:rFonts w:ascii="Times New Roman" w:eastAsia="Times New Roman" w:hAnsi="Times New Roman"/>
                <w:lang w:val="ro-MD"/>
              </w:rPr>
            </w:pPr>
          </w:p>
        </w:tc>
        <w:tc>
          <w:tcPr>
            <w:tcW w:w="5386" w:type="dxa"/>
          </w:tcPr>
          <w:p w14:paraId="44EFDA21" w14:textId="77777777" w:rsidR="00C5064F" w:rsidRDefault="00C5064F" w:rsidP="00D227B5">
            <w:pPr>
              <w:jc w:val="both"/>
              <w:rPr>
                <w:rFonts w:ascii="Times New Roman" w:eastAsia="Times New Roman" w:hAnsi="Times New Roman"/>
                <w:b/>
                <w:bCs/>
                <w:lang w:val="ro-MD"/>
              </w:rPr>
            </w:pPr>
          </w:p>
          <w:p w14:paraId="408FF2D0" w14:textId="77777777" w:rsidR="00D227B5" w:rsidRPr="00C5064F" w:rsidRDefault="00D227B5" w:rsidP="00D227B5">
            <w:pPr>
              <w:jc w:val="both"/>
              <w:rPr>
                <w:rFonts w:ascii="Times New Roman" w:eastAsia="Times New Roman" w:hAnsi="Times New Roman"/>
                <w:b/>
                <w:bCs/>
                <w:lang w:val="ro-MD"/>
              </w:rPr>
            </w:pPr>
            <w:r w:rsidRPr="00D227B5">
              <w:rPr>
                <w:rFonts w:ascii="Times New Roman" w:eastAsia="Times New Roman" w:hAnsi="Times New Roman"/>
                <w:b/>
                <w:bCs/>
                <w:lang w:val="ro-MD"/>
              </w:rPr>
              <w:t>III.   CRITERII CARE SE APLI</w:t>
            </w:r>
            <w:r w:rsidR="00C5064F">
              <w:rPr>
                <w:rFonts w:ascii="Times New Roman" w:eastAsia="Times New Roman" w:hAnsi="Times New Roman"/>
                <w:b/>
                <w:bCs/>
                <w:lang w:val="ro-MD"/>
              </w:rPr>
              <w:t>CĂ LAPTELUI CRUD ȘI COLOSTRULUI</w:t>
            </w:r>
          </w:p>
          <w:p w14:paraId="6D62F2B2" w14:textId="77777777" w:rsidR="00C5064F" w:rsidRDefault="00C5064F" w:rsidP="00D227B5">
            <w:pPr>
              <w:jc w:val="both"/>
              <w:rPr>
                <w:rFonts w:ascii="Times New Roman" w:eastAsia="Times New Roman" w:hAnsi="Times New Roman"/>
                <w:bCs/>
                <w:lang w:val="ro-MD"/>
              </w:rPr>
            </w:pPr>
          </w:p>
          <w:p w14:paraId="08058E67" w14:textId="77777777" w:rsidR="00D227B5" w:rsidRPr="00C5064F" w:rsidRDefault="00621ADF" w:rsidP="00D227B5">
            <w:pPr>
              <w:jc w:val="both"/>
              <w:rPr>
                <w:rFonts w:ascii="Times New Roman" w:eastAsia="Times New Roman" w:hAnsi="Times New Roman"/>
                <w:bCs/>
                <w:lang w:val="ro-MD"/>
              </w:rPr>
            </w:pPr>
            <w:r w:rsidRPr="00C5064F">
              <w:rPr>
                <w:rFonts w:ascii="Times New Roman" w:eastAsia="Times New Roman" w:hAnsi="Times New Roman"/>
                <w:bCs/>
                <w:lang w:val="ro-MD"/>
              </w:rPr>
              <w:t>Pct.</w:t>
            </w:r>
            <w:r w:rsidR="00D227B5" w:rsidRPr="00C5064F">
              <w:rPr>
                <w:rFonts w:ascii="Times New Roman" w:eastAsia="Times New Roman" w:hAnsi="Times New Roman"/>
                <w:bCs/>
                <w:lang w:val="ro-MD"/>
              </w:rPr>
              <w:t>159</w:t>
            </w:r>
            <w:r w:rsidRPr="00C5064F">
              <w:rPr>
                <w:rFonts w:ascii="Times New Roman" w:eastAsia="Times New Roman" w:hAnsi="Times New Roman"/>
                <w:bCs/>
                <w:lang w:val="ro-MD"/>
              </w:rPr>
              <w:t xml:space="preserve"> - 165</w:t>
            </w:r>
            <w:r w:rsidR="00D227B5" w:rsidRPr="00C5064F">
              <w:rPr>
                <w:rFonts w:ascii="Times New Roman" w:eastAsia="Times New Roman" w:hAnsi="Times New Roman"/>
                <w:bCs/>
                <w:lang w:val="ro-MD"/>
              </w:rPr>
              <w:t xml:space="preserve">  </w:t>
            </w:r>
          </w:p>
          <w:p w14:paraId="5834C315" w14:textId="77777777" w:rsidR="00C5064F" w:rsidRDefault="00C5064F" w:rsidP="00D30575">
            <w:pPr>
              <w:jc w:val="both"/>
              <w:rPr>
                <w:rFonts w:ascii="Times New Roman" w:eastAsia="Times New Roman" w:hAnsi="Times New Roman"/>
                <w:b/>
                <w:bCs/>
                <w:lang w:val="ro-MD"/>
              </w:rPr>
            </w:pPr>
          </w:p>
          <w:p w14:paraId="7B2CE946" w14:textId="77777777" w:rsidR="00D30575" w:rsidRPr="00D30575" w:rsidRDefault="00D30575" w:rsidP="00D30575">
            <w:pPr>
              <w:jc w:val="both"/>
              <w:rPr>
                <w:rFonts w:ascii="Times New Roman" w:eastAsia="Times New Roman" w:hAnsi="Times New Roman"/>
                <w:b/>
                <w:bCs/>
                <w:lang w:val="ro-MD"/>
              </w:rPr>
            </w:pPr>
            <w:r w:rsidRPr="00D30575">
              <w:rPr>
                <w:rFonts w:ascii="Times New Roman" w:eastAsia="Times New Roman" w:hAnsi="Times New Roman"/>
                <w:b/>
                <w:bCs/>
                <w:lang w:val="ro-MD"/>
              </w:rPr>
              <w:t>II.   CERINȚE PRIVIND TRATAMENTUL TERMIC</w:t>
            </w:r>
          </w:p>
          <w:p w14:paraId="04FE0ACF" w14:textId="77777777" w:rsidR="00C5064F" w:rsidRDefault="00C5064F" w:rsidP="00621ADF">
            <w:pPr>
              <w:jc w:val="both"/>
              <w:rPr>
                <w:rFonts w:ascii="Times New Roman" w:eastAsia="Times New Roman" w:hAnsi="Times New Roman"/>
                <w:bCs/>
                <w:lang w:val="ro-MD"/>
              </w:rPr>
            </w:pPr>
          </w:p>
          <w:p w14:paraId="20F15BBA" w14:textId="77777777" w:rsidR="001854D6" w:rsidRPr="00C5064F" w:rsidRDefault="00621ADF" w:rsidP="00621ADF">
            <w:pPr>
              <w:jc w:val="both"/>
              <w:rPr>
                <w:rFonts w:ascii="Times New Roman" w:eastAsia="Times New Roman" w:hAnsi="Times New Roman"/>
                <w:bCs/>
                <w:lang w:val="ro-MD"/>
              </w:rPr>
            </w:pPr>
            <w:r w:rsidRPr="00C5064F">
              <w:rPr>
                <w:rFonts w:ascii="Times New Roman" w:eastAsia="Times New Roman" w:hAnsi="Times New Roman"/>
                <w:bCs/>
                <w:lang w:val="ro-MD"/>
              </w:rPr>
              <w:t xml:space="preserve">Pct. </w:t>
            </w:r>
            <w:r w:rsidR="00D30575" w:rsidRPr="00C5064F">
              <w:rPr>
                <w:rFonts w:ascii="Times New Roman" w:eastAsia="Times New Roman" w:hAnsi="Times New Roman"/>
                <w:bCs/>
                <w:lang w:val="ro-MD"/>
              </w:rPr>
              <w:t>168</w:t>
            </w:r>
            <w:r w:rsidRPr="00C5064F">
              <w:rPr>
                <w:rFonts w:ascii="Times New Roman" w:eastAsia="Times New Roman" w:hAnsi="Times New Roman"/>
                <w:bCs/>
                <w:lang w:val="ro-MD"/>
              </w:rPr>
              <w:t xml:space="preserve"> - </w:t>
            </w:r>
            <w:r w:rsidR="00C5064F" w:rsidRPr="00C5064F">
              <w:rPr>
                <w:rFonts w:ascii="Times New Roman" w:eastAsia="Times New Roman" w:hAnsi="Times New Roman"/>
                <w:bCs/>
                <w:lang w:val="ro-MD"/>
              </w:rPr>
              <w:t>171</w:t>
            </w:r>
            <w:r w:rsidRPr="00C5064F">
              <w:rPr>
                <w:rFonts w:ascii="Times New Roman" w:eastAsia="Times New Roman" w:hAnsi="Times New Roman"/>
                <w:bCs/>
                <w:lang w:val="ro-MD"/>
              </w:rPr>
              <w:t xml:space="preserve"> </w:t>
            </w:r>
          </w:p>
        </w:tc>
        <w:tc>
          <w:tcPr>
            <w:tcW w:w="1560" w:type="dxa"/>
          </w:tcPr>
          <w:p w14:paraId="6658AEB5" w14:textId="77777777" w:rsidR="00904DED" w:rsidRDefault="00904DED" w:rsidP="009A53B5">
            <w:pPr>
              <w:jc w:val="center"/>
              <w:rPr>
                <w:rFonts w:ascii="Times New Roman" w:eastAsia="Times New Roman" w:hAnsi="Times New Roman"/>
                <w:b/>
                <w:noProof/>
                <w:color w:val="000000"/>
                <w:lang w:val="ro-MD"/>
              </w:rPr>
            </w:pPr>
          </w:p>
          <w:p w14:paraId="7333422C" w14:textId="77777777" w:rsidR="001854D6" w:rsidRPr="00B300E0" w:rsidRDefault="00904DED" w:rsidP="009A53B5">
            <w:pPr>
              <w:jc w:val="center"/>
              <w:rPr>
                <w:rFonts w:ascii="Times New Roman" w:eastAsia="Times New Roman" w:hAnsi="Times New Roman"/>
                <w:b/>
                <w:noProof/>
                <w:color w:val="000000"/>
                <w:lang w:val="ro-MD"/>
              </w:rPr>
            </w:pPr>
            <w:r w:rsidRPr="00904DED">
              <w:rPr>
                <w:rFonts w:ascii="Times New Roman" w:eastAsia="Times New Roman" w:hAnsi="Times New Roman"/>
                <w:b/>
                <w:noProof/>
                <w:color w:val="000000"/>
                <w:lang w:val="ro-MD"/>
              </w:rPr>
              <w:t>Compatibil</w:t>
            </w:r>
          </w:p>
        </w:tc>
        <w:tc>
          <w:tcPr>
            <w:tcW w:w="2835" w:type="dxa"/>
          </w:tcPr>
          <w:p w14:paraId="107E8BD2" w14:textId="77777777" w:rsidR="001854D6" w:rsidRPr="00BB3A8D" w:rsidRDefault="001854D6" w:rsidP="009A53B5">
            <w:pPr>
              <w:jc w:val="center"/>
              <w:rPr>
                <w:rFonts w:ascii="Times New Roman" w:eastAsia="Times New Roman" w:hAnsi="Times New Roman"/>
                <w:b/>
                <w:lang w:val="ro-MD"/>
              </w:rPr>
            </w:pPr>
          </w:p>
        </w:tc>
      </w:tr>
      <w:tr w:rsidR="001854D6" w:rsidRPr="00BB3A8D" w14:paraId="5F11A351" w14:textId="77777777" w:rsidTr="00C23E6D">
        <w:tblPrEx>
          <w:jc w:val="left"/>
        </w:tblPrEx>
        <w:trPr>
          <w:trHeight w:val="1995"/>
        </w:trPr>
        <w:tc>
          <w:tcPr>
            <w:tcW w:w="5382" w:type="dxa"/>
          </w:tcPr>
          <w:p w14:paraId="1F975B99" w14:textId="77777777" w:rsidR="001854D6" w:rsidRPr="00940AE8" w:rsidRDefault="001854D6" w:rsidP="001854D6">
            <w:pPr>
              <w:jc w:val="both"/>
              <w:rPr>
                <w:rFonts w:ascii="Times New Roman" w:eastAsia="Times New Roman" w:hAnsi="Times New Roman"/>
                <w:i/>
                <w:iCs/>
                <w:lang w:val="ro-MD"/>
              </w:rPr>
            </w:pPr>
            <w:r w:rsidRPr="00940AE8">
              <w:rPr>
                <w:rFonts w:ascii="Times New Roman" w:eastAsia="Times New Roman" w:hAnsi="Times New Roman"/>
                <w:i/>
                <w:iCs/>
                <w:lang w:val="ro-MD"/>
              </w:rPr>
              <w:t>Articolul 7</w:t>
            </w:r>
          </w:p>
          <w:p w14:paraId="0CA1C916"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Derogare de la Regulamentul (CE) nr. 852/2004 pentru produsele alimentare care prezintă caracteristici tradiționale</w:t>
            </w:r>
          </w:p>
          <w:p w14:paraId="35AC15ED"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(1)  În sensul prezentului regulament, se înțelege prin „produse alimentare care prezintă caracteristici tradiționale” produsele alimentare care, în statele membre unde sunt fabricate în mod tradițional:</w:t>
            </w:r>
          </w:p>
          <w:p w14:paraId="25D20322"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(a) sunt recunoscute istoric ca produse tradiționale sau</w:t>
            </w:r>
          </w:p>
          <w:p w14:paraId="04CF079F"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(b) sunt fabricate prin referințe tehnice la un procedeu tradițional, codificate sau înregistrate, ori după metode de fabricație tradiționale, sau</w:t>
            </w:r>
          </w:p>
          <w:p w14:paraId="15641131"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(c) sunt protejate ca produse alimentare tradiționale printr-o reglementare comunitară, națională, regională sau locală.</w:t>
            </w:r>
          </w:p>
          <w:p w14:paraId="3AF441A5"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lastRenderedPageBreak/>
              <w:t>(2)  Statele membre pot acorda unităților care fabrică produse alimentare prezentând caracteristici tradiționale, cu titlu individual sau general, derogări de la cerințele menționate:</w:t>
            </w:r>
          </w:p>
          <w:p w14:paraId="47871D4D"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(a) la anexa II capitolul II punctul 1 din Regulamentul (CE) nr. 852/2004, pentru localurile în care aceste produse sunt expuse unui mediu care contribuie la dezvoltarea caracteristicilor lor. Aceste localuri pot avea în special ziduri, plafoane și uși care nu sunt compuse din materiale netede, etanșe, neabsorbante sau rezistente la coroziune și care au ziduri, plafoane și soluri naturale de origine geologică;</w:t>
            </w:r>
          </w:p>
          <w:p w14:paraId="257BDBF4"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(b) la anexa II capitolul II punctul 1 litera (f) și capitolul V punctul 1 din Regulamentul (CE) nr. 852/2004, în ceea ce privește natura materialelor care intră în compoziția instrumentelor și echipamentelor utilizate în mod specific pentru pregătirea, ambalarea și împachetarea acestor produse.</w:t>
            </w:r>
          </w:p>
          <w:p w14:paraId="1BB1F656"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Măsurile de curățare și de dezinfectare a localurilor menționate la litera (a), precum și frecvența punerii în aplicare a acestora, sunt adaptate la activitatea în cauză pentru a lua în considerare flora ambiantă care îi este specifică.</w:t>
            </w:r>
          </w:p>
          <w:p w14:paraId="1543FACA"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Instrumentele și echipamentele menționate la litera (b) sunt menținute în permanență într-o stare de igienă satisfăcătoare și sunt curățate și dezinfectate în mod regulat.</w:t>
            </w:r>
          </w:p>
          <w:p w14:paraId="6BF8DE0A"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(3)  Statele membre care acordă derogările menționate la alineatul (2) le notifică Comisiei și celorlalte state membre în cel mult douăsprezece luni după acordarea, cu titlu individual sau general, a derogărilor menționate anterior. Fiecare notificare:</w:t>
            </w:r>
          </w:p>
          <w:p w14:paraId="456B0A7C"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(a) descrie pe scurt dispozițiile care au fost adaptate;</w:t>
            </w:r>
          </w:p>
          <w:p w14:paraId="367E23C5"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(b) descrie produsele alimentare și unitățile în cauză și</w:t>
            </w:r>
          </w:p>
          <w:p w14:paraId="202F058D" w14:textId="77777777" w:rsidR="001854D6" w:rsidRPr="00940AE8" w:rsidRDefault="001854D6" w:rsidP="001854D6">
            <w:pPr>
              <w:jc w:val="both"/>
              <w:rPr>
                <w:rFonts w:ascii="Times New Roman" w:eastAsia="Times New Roman" w:hAnsi="Times New Roman"/>
                <w:lang w:val="ro-MD"/>
              </w:rPr>
            </w:pPr>
            <w:r w:rsidRPr="00940AE8">
              <w:rPr>
                <w:rFonts w:ascii="Times New Roman" w:eastAsia="Times New Roman" w:hAnsi="Times New Roman"/>
                <w:lang w:val="ro-MD"/>
              </w:rPr>
              <w:t>(c) furnizează orice altă informație pertinentă.</w:t>
            </w:r>
          </w:p>
          <w:p w14:paraId="46F4A28D" w14:textId="77777777" w:rsidR="001854D6" w:rsidRPr="00940AE8" w:rsidRDefault="001854D6" w:rsidP="009A53B5">
            <w:pPr>
              <w:ind w:firstLine="720"/>
              <w:jc w:val="both"/>
              <w:rPr>
                <w:rFonts w:ascii="Times New Roman" w:eastAsia="Times New Roman" w:hAnsi="Times New Roman"/>
                <w:lang w:val="ro-MD"/>
              </w:rPr>
            </w:pPr>
          </w:p>
        </w:tc>
        <w:tc>
          <w:tcPr>
            <w:tcW w:w="5386" w:type="dxa"/>
          </w:tcPr>
          <w:p w14:paraId="320CDB22" w14:textId="77777777" w:rsidR="00ED5D6A" w:rsidRDefault="00ED5D6A" w:rsidP="009A53B5">
            <w:pPr>
              <w:jc w:val="both"/>
              <w:rPr>
                <w:rFonts w:ascii="Times New Roman" w:eastAsia="Times New Roman" w:hAnsi="Times New Roman"/>
                <w:bCs/>
                <w:lang w:val="ro-MD"/>
              </w:rPr>
            </w:pPr>
          </w:p>
          <w:p w14:paraId="323F6E03" w14:textId="77777777" w:rsidR="001854D6" w:rsidRPr="00BB3A8D" w:rsidRDefault="00ED5D6A" w:rsidP="009A53B5">
            <w:pPr>
              <w:jc w:val="both"/>
              <w:rPr>
                <w:rFonts w:ascii="Times New Roman" w:eastAsia="Times New Roman" w:hAnsi="Times New Roman"/>
                <w:bCs/>
                <w:lang w:val="ro-MD"/>
              </w:rPr>
            </w:pPr>
            <w:r w:rsidRPr="00ED5D6A">
              <w:rPr>
                <w:rFonts w:ascii="Times New Roman" w:eastAsia="Times New Roman" w:hAnsi="Times New Roman"/>
                <w:bCs/>
                <w:lang w:val="ro-MD"/>
              </w:rPr>
              <w:t>Preluate prin Legea nr.296/2017</w:t>
            </w:r>
            <w:r>
              <w:rPr>
                <w:rFonts w:ascii="Times New Roman" w:eastAsia="Times New Roman" w:hAnsi="Times New Roman"/>
                <w:bCs/>
                <w:lang w:val="ro-MD"/>
              </w:rPr>
              <w:t>.</w:t>
            </w:r>
          </w:p>
        </w:tc>
        <w:tc>
          <w:tcPr>
            <w:tcW w:w="1560" w:type="dxa"/>
          </w:tcPr>
          <w:p w14:paraId="466C2794" w14:textId="77777777" w:rsidR="00481D20" w:rsidRDefault="00481D20" w:rsidP="009A53B5">
            <w:pPr>
              <w:jc w:val="center"/>
              <w:rPr>
                <w:rFonts w:ascii="Times New Roman" w:eastAsia="Times New Roman" w:hAnsi="Times New Roman"/>
                <w:b/>
                <w:noProof/>
                <w:color w:val="000000"/>
                <w:lang w:val="ro-MD"/>
              </w:rPr>
            </w:pPr>
          </w:p>
          <w:p w14:paraId="3E374556" w14:textId="77777777" w:rsidR="001854D6" w:rsidRDefault="00481D20" w:rsidP="009A53B5">
            <w:pPr>
              <w:jc w:val="center"/>
              <w:rPr>
                <w:rFonts w:ascii="Times New Roman" w:eastAsia="Times New Roman" w:hAnsi="Times New Roman"/>
                <w:b/>
                <w:noProof/>
                <w:color w:val="000000"/>
                <w:lang w:val="ro-MD"/>
              </w:rPr>
            </w:pPr>
            <w:r>
              <w:rPr>
                <w:rFonts w:ascii="Times New Roman" w:eastAsia="Times New Roman" w:hAnsi="Times New Roman"/>
                <w:b/>
                <w:noProof/>
                <w:color w:val="000000"/>
                <w:lang w:val="ro-MD"/>
              </w:rPr>
              <w:t>Compatibil</w:t>
            </w:r>
          </w:p>
          <w:p w14:paraId="696BD5A6" w14:textId="77777777" w:rsidR="00481D20" w:rsidRPr="00481D20" w:rsidRDefault="00481D20" w:rsidP="009A53B5">
            <w:pPr>
              <w:jc w:val="center"/>
              <w:rPr>
                <w:rFonts w:ascii="Times New Roman" w:eastAsia="Times New Roman" w:hAnsi="Times New Roman"/>
                <w:noProof/>
                <w:color w:val="000000"/>
                <w:lang w:val="ro-MD"/>
              </w:rPr>
            </w:pPr>
          </w:p>
        </w:tc>
        <w:tc>
          <w:tcPr>
            <w:tcW w:w="2835" w:type="dxa"/>
          </w:tcPr>
          <w:p w14:paraId="68F0203D" w14:textId="77777777" w:rsidR="001854D6" w:rsidRPr="00BB3A8D" w:rsidRDefault="001854D6" w:rsidP="009A53B5">
            <w:pPr>
              <w:jc w:val="center"/>
              <w:rPr>
                <w:rFonts w:ascii="Times New Roman" w:eastAsia="Times New Roman" w:hAnsi="Times New Roman"/>
                <w:b/>
                <w:lang w:val="ro-MD"/>
              </w:rPr>
            </w:pPr>
          </w:p>
        </w:tc>
      </w:tr>
      <w:tr w:rsidR="001854D6" w:rsidRPr="001D45F6" w14:paraId="600F33E8" w14:textId="77777777" w:rsidTr="00C23E6D">
        <w:tblPrEx>
          <w:jc w:val="left"/>
        </w:tblPrEx>
        <w:trPr>
          <w:trHeight w:val="1995"/>
        </w:trPr>
        <w:tc>
          <w:tcPr>
            <w:tcW w:w="5382" w:type="dxa"/>
          </w:tcPr>
          <w:p w14:paraId="42B34E7D" w14:textId="77777777" w:rsidR="005547A3" w:rsidRPr="00940AE8" w:rsidRDefault="005547A3" w:rsidP="005547A3">
            <w:pPr>
              <w:jc w:val="both"/>
              <w:rPr>
                <w:rFonts w:ascii="Times New Roman" w:eastAsia="Times New Roman" w:hAnsi="Times New Roman"/>
                <w:i/>
                <w:iCs/>
                <w:lang w:val="ro-MD"/>
              </w:rPr>
            </w:pPr>
            <w:r w:rsidRPr="00940AE8">
              <w:rPr>
                <w:rFonts w:ascii="Times New Roman" w:eastAsia="Times New Roman" w:hAnsi="Times New Roman"/>
                <w:i/>
                <w:iCs/>
                <w:lang w:val="ro-MD"/>
              </w:rPr>
              <w:t>Articolul 8</w:t>
            </w:r>
          </w:p>
          <w:p w14:paraId="73D6F91C" w14:textId="77777777" w:rsidR="005547A3" w:rsidRPr="00940AE8" w:rsidRDefault="005547A3" w:rsidP="005547A3">
            <w:pPr>
              <w:jc w:val="both"/>
              <w:rPr>
                <w:rFonts w:ascii="Times New Roman" w:eastAsia="Times New Roman" w:hAnsi="Times New Roman"/>
                <w:lang w:val="ro-MD"/>
              </w:rPr>
            </w:pPr>
            <w:r w:rsidRPr="00940AE8">
              <w:rPr>
                <w:rFonts w:ascii="Times New Roman" w:eastAsia="Times New Roman" w:hAnsi="Times New Roman"/>
                <w:lang w:val="ro-MD"/>
              </w:rPr>
              <w:t>Modificări ale Regulamentului (CE) nr. 853/2004</w:t>
            </w:r>
          </w:p>
          <w:p w14:paraId="191F9000" w14:textId="77777777" w:rsidR="005547A3" w:rsidRPr="00940AE8" w:rsidRDefault="005547A3" w:rsidP="005547A3">
            <w:pPr>
              <w:jc w:val="both"/>
              <w:rPr>
                <w:rFonts w:ascii="Times New Roman" w:eastAsia="Times New Roman" w:hAnsi="Times New Roman"/>
                <w:lang w:val="ro-MD"/>
              </w:rPr>
            </w:pPr>
            <w:r w:rsidRPr="00940AE8">
              <w:rPr>
                <w:rFonts w:ascii="Times New Roman" w:eastAsia="Times New Roman" w:hAnsi="Times New Roman"/>
                <w:lang w:val="ro-MD"/>
              </w:rPr>
              <w:t>Anexele II și III la Regulamentul (CE) nr. 853/2004 se modifică în conformitate cu anexa VII la prezentul regulament.</w:t>
            </w:r>
          </w:p>
          <w:p w14:paraId="6AE407F8" w14:textId="77777777" w:rsidR="001854D6" w:rsidRPr="00940AE8" w:rsidRDefault="001854D6" w:rsidP="009A53B5">
            <w:pPr>
              <w:ind w:firstLine="720"/>
              <w:jc w:val="both"/>
              <w:rPr>
                <w:rFonts w:ascii="Times New Roman" w:eastAsia="Times New Roman" w:hAnsi="Times New Roman"/>
                <w:lang w:val="ro-MD"/>
              </w:rPr>
            </w:pPr>
          </w:p>
        </w:tc>
        <w:tc>
          <w:tcPr>
            <w:tcW w:w="5386" w:type="dxa"/>
          </w:tcPr>
          <w:p w14:paraId="4912A93B" w14:textId="77777777" w:rsidR="004C0949" w:rsidRDefault="004C0949" w:rsidP="009A53B5">
            <w:pPr>
              <w:jc w:val="both"/>
              <w:rPr>
                <w:rFonts w:ascii="Times New Roman" w:eastAsia="Times New Roman" w:hAnsi="Times New Roman"/>
                <w:bCs/>
                <w:lang w:val="ro-MD"/>
              </w:rPr>
            </w:pPr>
          </w:p>
          <w:p w14:paraId="6BF32B40" w14:textId="77777777" w:rsidR="001854D6" w:rsidRPr="00BB3A8D" w:rsidRDefault="004C0949" w:rsidP="009A53B5">
            <w:pPr>
              <w:jc w:val="both"/>
              <w:rPr>
                <w:rFonts w:ascii="Times New Roman" w:eastAsia="Times New Roman" w:hAnsi="Times New Roman"/>
                <w:bCs/>
                <w:lang w:val="ro-MD"/>
              </w:rPr>
            </w:pPr>
            <w:r>
              <w:rPr>
                <w:rFonts w:ascii="Times New Roman" w:eastAsia="Times New Roman" w:hAnsi="Times New Roman"/>
                <w:bCs/>
                <w:lang w:val="ro-MD"/>
              </w:rPr>
              <w:t>Preluate toate modificările</w:t>
            </w:r>
          </w:p>
        </w:tc>
        <w:tc>
          <w:tcPr>
            <w:tcW w:w="1560" w:type="dxa"/>
          </w:tcPr>
          <w:p w14:paraId="6ACF28E3" w14:textId="77777777" w:rsidR="0058181C" w:rsidRDefault="0058181C" w:rsidP="009A53B5">
            <w:pPr>
              <w:jc w:val="center"/>
              <w:rPr>
                <w:rFonts w:ascii="Times New Roman" w:eastAsia="Times New Roman" w:hAnsi="Times New Roman"/>
                <w:b/>
                <w:noProof/>
                <w:color w:val="000000"/>
                <w:lang w:val="ro-MD"/>
              </w:rPr>
            </w:pPr>
          </w:p>
          <w:p w14:paraId="2860895F" w14:textId="77777777" w:rsidR="001854D6" w:rsidRDefault="0058181C" w:rsidP="009A53B5">
            <w:pPr>
              <w:jc w:val="center"/>
              <w:rPr>
                <w:rFonts w:ascii="Times New Roman" w:eastAsia="Times New Roman" w:hAnsi="Times New Roman"/>
                <w:b/>
                <w:noProof/>
                <w:color w:val="000000"/>
                <w:lang w:val="ro-MD"/>
              </w:rPr>
            </w:pPr>
            <w:r>
              <w:rPr>
                <w:rFonts w:ascii="Times New Roman" w:eastAsia="Times New Roman" w:hAnsi="Times New Roman"/>
                <w:b/>
                <w:noProof/>
                <w:color w:val="000000"/>
                <w:lang w:val="ro-MD"/>
              </w:rPr>
              <w:t>Compatibil</w:t>
            </w:r>
          </w:p>
          <w:p w14:paraId="1A82D390" w14:textId="77777777" w:rsidR="0058181C" w:rsidRPr="00B300E0" w:rsidRDefault="0058181C" w:rsidP="009A53B5">
            <w:pPr>
              <w:jc w:val="center"/>
              <w:rPr>
                <w:rFonts w:ascii="Times New Roman" w:eastAsia="Times New Roman" w:hAnsi="Times New Roman"/>
                <w:b/>
                <w:noProof/>
                <w:color w:val="000000"/>
                <w:lang w:val="ro-MD"/>
              </w:rPr>
            </w:pPr>
          </w:p>
        </w:tc>
        <w:tc>
          <w:tcPr>
            <w:tcW w:w="2835" w:type="dxa"/>
          </w:tcPr>
          <w:p w14:paraId="27FAEAD2" w14:textId="77777777" w:rsidR="001854D6" w:rsidRPr="00BB3A8D" w:rsidRDefault="001854D6" w:rsidP="009A53B5">
            <w:pPr>
              <w:jc w:val="center"/>
              <w:rPr>
                <w:rFonts w:ascii="Times New Roman" w:eastAsia="Times New Roman" w:hAnsi="Times New Roman"/>
                <w:b/>
                <w:lang w:val="ro-MD"/>
              </w:rPr>
            </w:pPr>
          </w:p>
        </w:tc>
      </w:tr>
      <w:tr w:rsidR="001D45F6" w:rsidRPr="001D45F6" w14:paraId="22F06104" w14:textId="77777777" w:rsidTr="00C23E6D">
        <w:tblPrEx>
          <w:jc w:val="left"/>
        </w:tblPrEx>
        <w:trPr>
          <w:trHeight w:val="1275"/>
        </w:trPr>
        <w:tc>
          <w:tcPr>
            <w:tcW w:w="5382" w:type="dxa"/>
          </w:tcPr>
          <w:p w14:paraId="42473F45" w14:textId="77777777" w:rsidR="001D45F6" w:rsidRPr="00940AE8" w:rsidRDefault="001D45F6" w:rsidP="005547A3">
            <w:pPr>
              <w:jc w:val="both"/>
              <w:rPr>
                <w:rFonts w:ascii="Times New Roman" w:eastAsia="Times New Roman" w:hAnsi="Times New Roman"/>
                <w:i/>
                <w:iCs/>
                <w:lang w:val="ro-MD"/>
              </w:rPr>
            </w:pPr>
          </w:p>
          <w:p w14:paraId="42531ACD" w14:textId="77777777" w:rsidR="001D45F6" w:rsidRPr="00940AE8" w:rsidRDefault="001D45F6" w:rsidP="001D45F6">
            <w:pPr>
              <w:jc w:val="both"/>
              <w:rPr>
                <w:rFonts w:ascii="Times New Roman" w:eastAsia="Times New Roman" w:hAnsi="Times New Roman"/>
                <w:i/>
                <w:iCs/>
                <w:lang w:val="ro-MD"/>
              </w:rPr>
            </w:pPr>
            <w:r w:rsidRPr="00940AE8">
              <w:rPr>
                <w:rFonts w:ascii="Times New Roman" w:eastAsia="Times New Roman" w:hAnsi="Times New Roman"/>
                <w:i/>
                <w:iCs/>
                <w:lang w:val="ro-MD"/>
              </w:rPr>
              <w:t>Articolul 9</w:t>
            </w:r>
          </w:p>
          <w:p w14:paraId="0937F10F" w14:textId="77777777" w:rsidR="001D45F6" w:rsidRPr="00940AE8" w:rsidRDefault="001D45F6" w:rsidP="001D45F6">
            <w:pPr>
              <w:jc w:val="both"/>
              <w:rPr>
                <w:rFonts w:ascii="Times New Roman" w:eastAsia="Times New Roman" w:hAnsi="Times New Roman"/>
                <w:iCs/>
                <w:lang w:val="ro-MD"/>
              </w:rPr>
            </w:pPr>
            <w:r w:rsidRPr="00940AE8">
              <w:rPr>
                <w:rFonts w:ascii="Times New Roman" w:eastAsia="Times New Roman" w:hAnsi="Times New Roman"/>
                <w:iCs/>
                <w:lang w:val="ro-MD"/>
              </w:rPr>
              <w:t>Modificări ale Regulamentului (CE) nr. 854/2004</w:t>
            </w:r>
          </w:p>
          <w:p w14:paraId="422783F9" w14:textId="77777777" w:rsidR="001D45F6" w:rsidRPr="00940AE8" w:rsidRDefault="001D45F6" w:rsidP="001D45F6">
            <w:pPr>
              <w:jc w:val="both"/>
              <w:rPr>
                <w:rFonts w:ascii="Times New Roman" w:eastAsia="Times New Roman" w:hAnsi="Times New Roman"/>
                <w:iCs/>
                <w:lang w:val="ro-MD"/>
              </w:rPr>
            </w:pPr>
            <w:r w:rsidRPr="00940AE8">
              <w:rPr>
                <w:rFonts w:ascii="Times New Roman" w:eastAsia="Times New Roman" w:hAnsi="Times New Roman"/>
                <w:iCs/>
                <w:lang w:val="ro-MD"/>
              </w:rPr>
              <w:t>Anexele I, II și III la Regulamentul (CE) nr. 854/2004 se modifică în conformitate cu anexa VIII la prezentul regulament.</w:t>
            </w:r>
          </w:p>
          <w:p w14:paraId="00FEB1CA" w14:textId="77777777" w:rsidR="001D45F6" w:rsidRPr="00940AE8" w:rsidRDefault="001D45F6" w:rsidP="005547A3">
            <w:pPr>
              <w:jc w:val="both"/>
              <w:rPr>
                <w:rFonts w:ascii="Times New Roman" w:eastAsia="Times New Roman" w:hAnsi="Times New Roman"/>
                <w:iCs/>
                <w:lang w:val="ro-MD"/>
              </w:rPr>
            </w:pPr>
          </w:p>
        </w:tc>
        <w:tc>
          <w:tcPr>
            <w:tcW w:w="5386" w:type="dxa"/>
          </w:tcPr>
          <w:p w14:paraId="45F74D0D" w14:textId="77777777" w:rsidR="00296B25" w:rsidRDefault="00296B25" w:rsidP="00296B25">
            <w:pPr>
              <w:jc w:val="both"/>
              <w:rPr>
                <w:rFonts w:ascii="Times New Roman" w:eastAsia="Times New Roman" w:hAnsi="Times New Roman"/>
                <w:bCs/>
              </w:rPr>
            </w:pPr>
          </w:p>
          <w:p w14:paraId="3B53CE2E" w14:textId="77777777" w:rsidR="00296B25" w:rsidRDefault="00296B25" w:rsidP="00296B25">
            <w:pPr>
              <w:jc w:val="both"/>
              <w:rPr>
                <w:rFonts w:ascii="Times New Roman" w:eastAsia="Times New Roman" w:hAnsi="Times New Roman"/>
                <w:bCs/>
              </w:rPr>
            </w:pPr>
          </w:p>
          <w:p w14:paraId="19199394" w14:textId="77777777" w:rsidR="00296B25" w:rsidRPr="00296B25" w:rsidRDefault="00296B25" w:rsidP="00296B25">
            <w:pPr>
              <w:jc w:val="both"/>
              <w:rPr>
                <w:rFonts w:ascii="Times New Roman" w:eastAsia="Times New Roman" w:hAnsi="Times New Roman"/>
                <w:bCs/>
                <w:lang w:val="ro-MD"/>
              </w:rPr>
            </w:pPr>
            <w:r w:rsidRPr="00296B25">
              <w:rPr>
                <w:rFonts w:ascii="Times New Roman" w:eastAsia="Times New Roman" w:hAnsi="Times New Roman"/>
                <w:bCs/>
                <w:lang w:val="ro-MD"/>
              </w:rPr>
              <w:t>Preluat prin HG nr. 1112/2010.</w:t>
            </w:r>
          </w:p>
          <w:p w14:paraId="053F5894" w14:textId="77777777" w:rsidR="001D45F6" w:rsidRPr="00BB3A8D" w:rsidRDefault="001D45F6" w:rsidP="009A53B5">
            <w:pPr>
              <w:jc w:val="both"/>
              <w:rPr>
                <w:rFonts w:ascii="Times New Roman" w:eastAsia="Times New Roman" w:hAnsi="Times New Roman"/>
                <w:bCs/>
                <w:lang w:val="ro-MD"/>
              </w:rPr>
            </w:pPr>
          </w:p>
        </w:tc>
        <w:tc>
          <w:tcPr>
            <w:tcW w:w="1560" w:type="dxa"/>
          </w:tcPr>
          <w:p w14:paraId="6A35E800" w14:textId="77777777" w:rsidR="001D45F6" w:rsidRPr="00B300E0" w:rsidRDefault="000D2B06" w:rsidP="009A53B5">
            <w:pPr>
              <w:jc w:val="center"/>
              <w:rPr>
                <w:rFonts w:ascii="Times New Roman" w:eastAsia="Times New Roman" w:hAnsi="Times New Roman"/>
                <w:b/>
                <w:noProof/>
                <w:color w:val="000000"/>
                <w:lang w:val="ro-MD"/>
              </w:rPr>
            </w:pPr>
            <w:r>
              <w:rPr>
                <w:rFonts w:ascii="Times New Roman" w:eastAsia="Times New Roman" w:hAnsi="Times New Roman"/>
                <w:b/>
                <w:noProof/>
                <w:color w:val="000000"/>
                <w:lang w:val="ro-MD"/>
              </w:rPr>
              <w:t>Compatibil</w:t>
            </w:r>
          </w:p>
        </w:tc>
        <w:tc>
          <w:tcPr>
            <w:tcW w:w="2835" w:type="dxa"/>
          </w:tcPr>
          <w:p w14:paraId="311237B8" w14:textId="77777777" w:rsidR="001D45F6" w:rsidRPr="00BB3A8D" w:rsidRDefault="001D45F6" w:rsidP="009A53B5">
            <w:pPr>
              <w:jc w:val="center"/>
              <w:rPr>
                <w:rFonts w:ascii="Times New Roman" w:eastAsia="Times New Roman" w:hAnsi="Times New Roman"/>
                <w:b/>
                <w:lang w:val="ro-MD"/>
              </w:rPr>
            </w:pPr>
          </w:p>
        </w:tc>
      </w:tr>
      <w:tr w:rsidR="001D45F6" w:rsidRPr="001D45F6" w14:paraId="59FD66F6" w14:textId="77777777" w:rsidTr="00C23E6D">
        <w:tblPrEx>
          <w:jc w:val="left"/>
        </w:tblPrEx>
        <w:trPr>
          <w:trHeight w:val="1862"/>
        </w:trPr>
        <w:tc>
          <w:tcPr>
            <w:tcW w:w="5382" w:type="dxa"/>
          </w:tcPr>
          <w:p w14:paraId="7AC6A1C1" w14:textId="77777777" w:rsidR="001D45F6" w:rsidRPr="00940AE8" w:rsidRDefault="001D45F6" w:rsidP="001D45F6">
            <w:pPr>
              <w:jc w:val="both"/>
              <w:rPr>
                <w:rFonts w:ascii="Times New Roman" w:eastAsia="Times New Roman" w:hAnsi="Times New Roman"/>
                <w:i/>
                <w:iCs/>
                <w:lang w:val="ro-MD"/>
              </w:rPr>
            </w:pPr>
            <w:r w:rsidRPr="00940AE8">
              <w:rPr>
                <w:rFonts w:ascii="Times New Roman" w:eastAsia="Times New Roman" w:hAnsi="Times New Roman"/>
                <w:i/>
                <w:iCs/>
                <w:lang w:val="ro-MD"/>
              </w:rPr>
              <w:t>Articolul 10</w:t>
            </w:r>
          </w:p>
          <w:p w14:paraId="31385802" w14:textId="77777777" w:rsidR="001D45F6" w:rsidRPr="00940AE8" w:rsidRDefault="001D45F6" w:rsidP="001D45F6">
            <w:pPr>
              <w:jc w:val="both"/>
              <w:rPr>
                <w:rFonts w:ascii="Times New Roman" w:eastAsia="Times New Roman" w:hAnsi="Times New Roman"/>
                <w:iCs/>
                <w:lang w:val="ro-MD"/>
              </w:rPr>
            </w:pPr>
            <w:r w:rsidRPr="00940AE8">
              <w:rPr>
                <w:rFonts w:ascii="Times New Roman" w:eastAsia="Times New Roman" w:hAnsi="Times New Roman"/>
                <w:iCs/>
                <w:lang w:val="ro-MD"/>
              </w:rPr>
              <w:t>Intrarea în vigoare și punerea în aplicare</w:t>
            </w:r>
          </w:p>
          <w:p w14:paraId="599517F8" w14:textId="77777777" w:rsidR="001D45F6" w:rsidRPr="00940AE8" w:rsidRDefault="001D45F6" w:rsidP="001D45F6">
            <w:pPr>
              <w:jc w:val="both"/>
              <w:rPr>
                <w:rFonts w:ascii="Times New Roman" w:eastAsia="Times New Roman" w:hAnsi="Times New Roman"/>
                <w:iCs/>
                <w:lang w:val="ro-MD"/>
              </w:rPr>
            </w:pPr>
            <w:r w:rsidRPr="00940AE8">
              <w:rPr>
                <w:rFonts w:ascii="Times New Roman" w:eastAsia="Times New Roman" w:hAnsi="Times New Roman"/>
                <w:iCs/>
                <w:lang w:val="ro-MD"/>
              </w:rPr>
              <w:t>Prezentul regulament intră în vigoare în a douăzecea zi de la data publicării în </w:t>
            </w:r>
            <w:r w:rsidRPr="00940AE8">
              <w:rPr>
                <w:rFonts w:ascii="Times New Roman" w:eastAsia="Times New Roman" w:hAnsi="Times New Roman"/>
                <w:i/>
                <w:iCs/>
                <w:lang w:val="ro-MD"/>
              </w:rPr>
              <w:t>Jurnalul Oficial al Uniunii Europene</w:t>
            </w:r>
            <w:r w:rsidRPr="00940AE8">
              <w:rPr>
                <w:rFonts w:ascii="Times New Roman" w:eastAsia="Times New Roman" w:hAnsi="Times New Roman"/>
                <w:iCs/>
                <w:lang w:val="ro-MD"/>
              </w:rPr>
              <w:t>.</w:t>
            </w:r>
          </w:p>
          <w:p w14:paraId="47C57DBA" w14:textId="77777777" w:rsidR="001D45F6" w:rsidRPr="00940AE8" w:rsidRDefault="001D45F6" w:rsidP="001D45F6">
            <w:pPr>
              <w:jc w:val="both"/>
              <w:rPr>
                <w:rFonts w:ascii="Times New Roman" w:eastAsia="Times New Roman" w:hAnsi="Times New Roman"/>
                <w:iCs/>
                <w:lang w:val="ro-MD"/>
              </w:rPr>
            </w:pPr>
            <w:r w:rsidRPr="00940AE8">
              <w:rPr>
                <w:rFonts w:ascii="Times New Roman" w:eastAsia="Times New Roman" w:hAnsi="Times New Roman"/>
                <w:iCs/>
                <w:lang w:val="ro-MD"/>
              </w:rPr>
              <w:t>Se aplică de la 1 ianuarie 2006, cu excepția capitolelor II și III din anexa V, care se aplică de la 1 ianuarie 2007.</w:t>
            </w:r>
          </w:p>
          <w:p w14:paraId="7E753357" w14:textId="77777777" w:rsidR="001D45F6" w:rsidRPr="00940AE8" w:rsidRDefault="001D45F6" w:rsidP="001D45F6">
            <w:pPr>
              <w:jc w:val="both"/>
              <w:rPr>
                <w:rFonts w:ascii="Times New Roman" w:eastAsia="Times New Roman" w:hAnsi="Times New Roman"/>
                <w:iCs/>
                <w:lang w:val="ro-MD"/>
              </w:rPr>
            </w:pPr>
            <w:r w:rsidRPr="00940AE8">
              <w:rPr>
                <w:rFonts w:ascii="Times New Roman" w:eastAsia="Times New Roman" w:hAnsi="Times New Roman"/>
                <w:iCs/>
                <w:lang w:val="ro-MD"/>
              </w:rPr>
              <w:t>Prezentul regulament este obligatoriu în toate elementele sale și se aplică direct în toate statele membre.</w:t>
            </w:r>
          </w:p>
          <w:p w14:paraId="713F8A96" w14:textId="77777777" w:rsidR="001D45F6" w:rsidRPr="00940AE8" w:rsidRDefault="001D45F6" w:rsidP="005547A3">
            <w:pPr>
              <w:jc w:val="both"/>
              <w:rPr>
                <w:rFonts w:ascii="Times New Roman" w:eastAsia="Times New Roman" w:hAnsi="Times New Roman"/>
                <w:iCs/>
                <w:lang w:val="ro-MD"/>
              </w:rPr>
            </w:pPr>
          </w:p>
        </w:tc>
        <w:tc>
          <w:tcPr>
            <w:tcW w:w="5386" w:type="dxa"/>
          </w:tcPr>
          <w:p w14:paraId="2DB4919B" w14:textId="77777777" w:rsidR="001D45F6" w:rsidRPr="00BB3A8D" w:rsidRDefault="001D45F6" w:rsidP="009A53B5">
            <w:pPr>
              <w:jc w:val="both"/>
              <w:rPr>
                <w:rFonts w:ascii="Times New Roman" w:eastAsia="Times New Roman" w:hAnsi="Times New Roman"/>
                <w:bCs/>
                <w:lang w:val="ro-MD"/>
              </w:rPr>
            </w:pPr>
          </w:p>
        </w:tc>
        <w:tc>
          <w:tcPr>
            <w:tcW w:w="1560" w:type="dxa"/>
          </w:tcPr>
          <w:p w14:paraId="0342BD8E" w14:textId="77777777" w:rsidR="001D45F6" w:rsidRPr="00B300E0" w:rsidRDefault="00421619" w:rsidP="009A53B5">
            <w:pPr>
              <w:jc w:val="center"/>
              <w:rPr>
                <w:rFonts w:ascii="Times New Roman" w:eastAsia="Times New Roman" w:hAnsi="Times New Roman"/>
                <w:b/>
                <w:noProof/>
                <w:color w:val="000000"/>
                <w:lang w:val="ro-MD"/>
              </w:rPr>
            </w:pPr>
            <w:r w:rsidRPr="00421619">
              <w:rPr>
                <w:rFonts w:ascii="Times New Roman" w:eastAsia="Times New Roman" w:hAnsi="Times New Roman"/>
                <w:b/>
                <w:noProof/>
                <w:color w:val="000000"/>
                <w:lang w:val="ro-MD"/>
              </w:rPr>
              <w:t>Prevederi UE neaplicabile</w:t>
            </w:r>
          </w:p>
        </w:tc>
        <w:tc>
          <w:tcPr>
            <w:tcW w:w="2835" w:type="dxa"/>
          </w:tcPr>
          <w:p w14:paraId="326EA6AF" w14:textId="77777777" w:rsidR="001D45F6" w:rsidRPr="00BB3A8D" w:rsidRDefault="001D45F6" w:rsidP="009A53B5">
            <w:pPr>
              <w:jc w:val="center"/>
              <w:rPr>
                <w:rFonts w:ascii="Times New Roman" w:eastAsia="Times New Roman" w:hAnsi="Times New Roman"/>
                <w:b/>
                <w:lang w:val="ro-MD"/>
              </w:rPr>
            </w:pPr>
          </w:p>
        </w:tc>
      </w:tr>
      <w:tr w:rsidR="00940AE8" w:rsidRPr="001D45F6" w14:paraId="15D5CC5D" w14:textId="77777777" w:rsidTr="00C23E6D">
        <w:tblPrEx>
          <w:jc w:val="left"/>
        </w:tblPrEx>
        <w:trPr>
          <w:trHeight w:val="1995"/>
        </w:trPr>
        <w:tc>
          <w:tcPr>
            <w:tcW w:w="5382" w:type="dxa"/>
          </w:tcPr>
          <w:p w14:paraId="6963BE9C" w14:textId="77777777" w:rsidR="00940AE8" w:rsidRPr="00940AE8" w:rsidRDefault="00940AE8" w:rsidP="00940AE8">
            <w:pPr>
              <w:jc w:val="both"/>
              <w:rPr>
                <w:rFonts w:ascii="Times New Roman" w:eastAsia="Times New Roman" w:hAnsi="Times New Roman"/>
                <w:i/>
                <w:iCs/>
                <w:lang w:val="ro-MD"/>
              </w:rPr>
            </w:pPr>
            <w:r w:rsidRPr="00940AE8">
              <w:rPr>
                <w:rFonts w:ascii="Times New Roman" w:eastAsia="Times New Roman" w:hAnsi="Times New Roman"/>
                <w:i/>
                <w:iCs/>
                <w:lang w:val="ro-MD"/>
              </w:rPr>
              <w:t>ANEXA II</w:t>
            </w:r>
          </w:p>
          <w:p w14:paraId="32945F4F" w14:textId="77777777" w:rsidR="00940AE8" w:rsidRPr="00940AE8" w:rsidRDefault="00940AE8" w:rsidP="00940AE8">
            <w:pPr>
              <w:jc w:val="both"/>
              <w:rPr>
                <w:rFonts w:ascii="Times New Roman" w:eastAsia="Times New Roman" w:hAnsi="Times New Roman"/>
                <w:b/>
                <w:bCs/>
                <w:iCs/>
                <w:lang w:val="ro-MD"/>
              </w:rPr>
            </w:pPr>
            <w:r w:rsidRPr="00940AE8">
              <w:rPr>
                <w:rFonts w:ascii="Times New Roman" w:eastAsia="Times New Roman" w:hAnsi="Times New Roman"/>
                <w:b/>
                <w:bCs/>
                <w:iCs/>
                <w:lang w:val="ro-MD"/>
              </w:rPr>
              <w:t>PRODUSE PESCĂREȘTI</w:t>
            </w:r>
          </w:p>
          <w:p w14:paraId="01191E1D" w14:textId="77777777" w:rsidR="00940AE8" w:rsidRPr="00940AE8" w:rsidRDefault="00940AE8" w:rsidP="00940AE8">
            <w:pPr>
              <w:jc w:val="both"/>
              <w:rPr>
                <w:rFonts w:ascii="Times New Roman" w:eastAsia="Times New Roman" w:hAnsi="Times New Roman"/>
                <w:b/>
                <w:bCs/>
                <w:iCs/>
                <w:lang w:val="ro-MD"/>
              </w:rPr>
            </w:pPr>
            <w:r w:rsidRPr="00940AE8">
              <w:rPr>
                <w:rFonts w:ascii="Times New Roman" w:eastAsia="Times New Roman" w:hAnsi="Times New Roman"/>
                <w:b/>
                <w:bCs/>
                <w:iCs/>
                <w:lang w:val="ro-MD"/>
              </w:rPr>
              <w:t>SECȚIUNEA I</w:t>
            </w:r>
          </w:p>
          <w:p w14:paraId="3BA4EBCB" w14:textId="77777777" w:rsidR="00940AE8" w:rsidRPr="00940AE8" w:rsidRDefault="00940AE8" w:rsidP="00940AE8">
            <w:pPr>
              <w:jc w:val="both"/>
              <w:rPr>
                <w:rFonts w:ascii="Times New Roman" w:eastAsia="Times New Roman" w:hAnsi="Times New Roman"/>
                <w:b/>
                <w:bCs/>
                <w:iCs/>
                <w:lang w:val="ro-MD"/>
              </w:rPr>
            </w:pPr>
            <w:r w:rsidRPr="00940AE8">
              <w:rPr>
                <w:rFonts w:ascii="Times New Roman" w:eastAsia="Times New Roman" w:hAnsi="Times New Roman"/>
                <w:b/>
                <w:bCs/>
                <w:iCs/>
                <w:lang w:val="ro-MD"/>
              </w:rPr>
              <w:t>OBLIGAȚII ALE OPERATORILOR DIN SECTORUL ALIMENTAR</w:t>
            </w:r>
          </w:p>
          <w:p w14:paraId="40F6997F"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Prezenta secțiune detaliază normele privind controalele vizuale care au scopul de a detecta paraziți la produsele pescărești.</w:t>
            </w:r>
          </w:p>
          <w:p w14:paraId="4F6B7EC5" w14:textId="77777777" w:rsidR="00940AE8" w:rsidRPr="00940AE8" w:rsidRDefault="00940AE8" w:rsidP="00940AE8">
            <w:pPr>
              <w:jc w:val="both"/>
              <w:rPr>
                <w:rFonts w:ascii="Times New Roman" w:eastAsia="Times New Roman" w:hAnsi="Times New Roman"/>
                <w:i/>
                <w:iCs/>
                <w:lang w:val="ro-MD"/>
              </w:rPr>
            </w:pPr>
            <w:r w:rsidRPr="00940AE8">
              <w:rPr>
                <w:rFonts w:ascii="Times New Roman" w:eastAsia="Times New Roman" w:hAnsi="Times New Roman"/>
                <w:i/>
                <w:iCs/>
                <w:lang w:val="ro-MD"/>
              </w:rPr>
              <w:t>CAPITOLUL I</w:t>
            </w:r>
          </w:p>
          <w:p w14:paraId="69EB190A" w14:textId="77777777" w:rsidR="00940AE8" w:rsidRPr="00940AE8" w:rsidRDefault="00940AE8" w:rsidP="00940AE8">
            <w:pPr>
              <w:jc w:val="both"/>
              <w:rPr>
                <w:rFonts w:ascii="Times New Roman" w:eastAsia="Times New Roman" w:hAnsi="Times New Roman"/>
                <w:i/>
                <w:iCs/>
                <w:lang w:val="ro-MD"/>
              </w:rPr>
            </w:pPr>
            <w:r w:rsidRPr="00940AE8">
              <w:rPr>
                <w:rFonts w:ascii="Times New Roman" w:eastAsia="Times New Roman" w:hAnsi="Times New Roman"/>
                <w:i/>
                <w:iCs/>
                <w:lang w:val="ro-MD"/>
              </w:rPr>
              <w:t>DEFINIȚII</w:t>
            </w:r>
          </w:p>
          <w:p w14:paraId="7B2C8DCA"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1. Prin „parazit vizibil” se înțelege orice parazit sau grup de paraziți având o dimensiune, o culoare sau o textură care permite să se identifice în mod clar parazitul în țesutul peștelui.</w:t>
            </w:r>
          </w:p>
          <w:p w14:paraId="77487391"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2. Prin „control vizual” se înțelege un examen nedistructiv al peștilor sau al produselor pescărești, exercitat cu sau fără un mijloc optic de mărire și în bune condiții de iluminare pentru ochiul uman, inclusiv prin examinare la lumină, după caz.</w:t>
            </w:r>
          </w:p>
          <w:p w14:paraId="3186852D"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3. Prin „examinare la lumină” se înțelege, în cazul peștilor plați sau al fileurilor de pește, observarea din sens opus luminii a peștelui iluminat de o sursă luminoasă într-o cameră întunecoasă pentru detectarea paraziților.</w:t>
            </w:r>
          </w:p>
          <w:p w14:paraId="10AFE0CC" w14:textId="77777777" w:rsidR="00940AE8" w:rsidRPr="00940AE8" w:rsidRDefault="00940AE8" w:rsidP="00940AE8">
            <w:pPr>
              <w:jc w:val="both"/>
              <w:rPr>
                <w:rFonts w:ascii="Times New Roman" w:eastAsia="Times New Roman" w:hAnsi="Times New Roman"/>
                <w:i/>
                <w:iCs/>
                <w:lang w:val="ro-MD"/>
              </w:rPr>
            </w:pPr>
            <w:r w:rsidRPr="00940AE8">
              <w:rPr>
                <w:rFonts w:ascii="Times New Roman" w:eastAsia="Times New Roman" w:hAnsi="Times New Roman"/>
                <w:i/>
                <w:iCs/>
                <w:lang w:val="ro-MD"/>
              </w:rPr>
              <w:t>CAPITOLUL II</w:t>
            </w:r>
          </w:p>
          <w:p w14:paraId="464FB698" w14:textId="77777777" w:rsidR="00940AE8" w:rsidRPr="00940AE8" w:rsidRDefault="00940AE8" w:rsidP="00940AE8">
            <w:pPr>
              <w:jc w:val="both"/>
              <w:rPr>
                <w:rFonts w:ascii="Times New Roman" w:eastAsia="Times New Roman" w:hAnsi="Times New Roman"/>
                <w:i/>
                <w:iCs/>
                <w:lang w:val="ro-MD"/>
              </w:rPr>
            </w:pPr>
            <w:r w:rsidRPr="00940AE8">
              <w:rPr>
                <w:rFonts w:ascii="Times New Roman" w:eastAsia="Times New Roman" w:hAnsi="Times New Roman"/>
                <w:i/>
                <w:iCs/>
                <w:lang w:val="ro-MD"/>
              </w:rPr>
              <w:t>CONTROL VIZUAL</w:t>
            </w:r>
          </w:p>
          <w:p w14:paraId="7B1CBFCE"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 xml:space="preserve">1. Controlul vizual trebuie să aibă în vedere un număr reprezentativ de eșantioane. Persoanele responsabile de unitățile terestre și personalul calificat de la bordul navelor fabrică </w:t>
            </w:r>
            <w:r w:rsidRPr="00940AE8">
              <w:rPr>
                <w:rFonts w:ascii="Times New Roman" w:eastAsia="Times New Roman" w:hAnsi="Times New Roman"/>
                <w:iCs/>
                <w:lang w:val="ro-MD"/>
              </w:rPr>
              <w:lastRenderedPageBreak/>
              <w:t>determină numărul și frecvența controalelor în funcție de natura produselor pescărești, de originea geografică a acestora și de uzul căruia îi sunt destinate. În cursul producției, controlul vizual al peștilor eviscerați este realizat de către persoane calificate și are în vedere cavitatea abdominală, ficatul, icrele și lapții destinați consumului uman. În funcție de sistemul de eviscerare utilizat, controlul vizual trebuie realizat:</w:t>
            </w:r>
          </w:p>
          <w:p w14:paraId="18F732D5"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(a) în mod continuu de către manipulator în timpul eviscerării și spălării, în caz de eviscerare manuală;</w:t>
            </w:r>
          </w:p>
          <w:p w14:paraId="5E65C58E"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(b) prin sondaj asupra unui număr reprezentativ de eșantioane, de cel puțin zece pești pe lot, în caz de eviscerare mecanică.</w:t>
            </w:r>
          </w:p>
          <w:p w14:paraId="0158D0ED"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2. Controlul vizual al fileurilor sau al tranșelor de pești se realizează de către persoane calificate în timpul fasonării și după tranșarea fileului sau porționare. În cazul în care un examen individual este imposibil din cauza mărimii fileurilor sau operațiunilor de tranșare a fileurilor, trebuie stabilit și pus la dispoziția autorității competente un plan de eșantionare, în conformitate cu anexa III secțiunea VIII capitolul II punctul 4 din Regulamentul (CE) nr. 853/2004. În cazul în care examinarea la lumină a fileurilor se dovedește necesară din punct de vedere tehnic, trebuie inclusă în planul de eșantionare.</w:t>
            </w:r>
          </w:p>
          <w:p w14:paraId="4753BCA2" w14:textId="77777777" w:rsidR="00940AE8" w:rsidRPr="00940AE8" w:rsidRDefault="00940AE8" w:rsidP="001D45F6">
            <w:pPr>
              <w:jc w:val="both"/>
              <w:rPr>
                <w:rFonts w:ascii="Times New Roman" w:eastAsia="Times New Roman" w:hAnsi="Times New Roman"/>
                <w:iCs/>
                <w:lang w:val="ro-MD"/>
              </w:rPr>
            </w:pPr>
          </w:p>
        </w:tc>
        <w:tc>
          <w:tcPr>
            <w:tcW w:w="5386" w:type="dxa"/>
          </w:tcPr>
          <w:p w14:paraId="727876F4" w14:textId="77777777" w:rsidR="00940AE8" w:rsidRDefault="00940AE8" w:rsidP="009A53B5">
            <w:pPr>
              <w:jc w:val="both"/>
              <w:rPr>
                <w:rFonts w:ascii="Times New Roman" w:eastAsia="Times New Roman" w:hAnsi="Times New Roman"/>
                <w:bCs/>
                <w:lang w:val="ro-MD"/>
              </w:rPr>
            </w:pPr>
          </w:p>
          <w:p w14:paraId="12786DB9" w14:textId="77777777" w:rsidR="00677439" w:rsidRDefault="00677439" w:rsidP="009A53B5">
            <w:pPr>
              <w:jc w:val="both"/>
              <w:rPr>
                <w:rFonts w:ascii="Times New Roman" w:eastAsia="Times New Roman" w:hAnsi="Times New Roman"/>
                <w:bCs/>
                <w:lang w:val="ro-MD"/>
              </w:rPr>
            </w:pPr>
          </w:p>
          <w:p w14:paraId="31160815" w14:textId="77777777" w:rsidR="00677439" w:rsidRDefault="00677439" w:rsidP="009A53B5">
            <w:pPr>
              <w:jc w:val="both"/>
              <w:rPr>
                <w:rFonts w:ascii="Times New Roman" w:eastAsia="Times New Roman" w:hAnsi="Times New Roman"/>
                <w:bCs/>
                <w:lang w:val="ro-MD"/>
              </w:rPr>
            </w:pPr>
          </w:p>
          <w:p w14:paraId="3540D81C" w14:textId="77777777" w:rsidR="00677439" w:rsidRDefault="00677439" w:rsidP="009A53B5">
            <w:pPr>
              <w:jc w:val="both"/>
              <w:rPr>
                <w:rFonts w:ascii="Times New Roman" w:eastAsia="Times New Roman" w:hAnsi="Times New Roman"/>
                <w:bCs/>
                <w:lang w:val="ro-MD"/>
              </w:rPr>
            </w:pPr>
          </w:p>
          <w:p w14:paraId="13AF72C8" w14:textId="77777777" w:rsidR="00677439" w:rsidRDefault="00677439" w:rsidP="009A53B5">
            <w:pPr>
              <w:jc w:val="both"/>
              <w:rPr>
                <w:rFonts w:ascii="Times New Roman" w:eastAsia="Times New Roman" w:hAnsi="Times New Roman"/>
                <w:bCs/>
                <w:lang w:val="ro-MD"/>
              </w:rPr>
            </w:pPr>
          </w:p>
          <w:p w14:paraId="4CD31682" w14:textId="77777777" w:rsidR="00677439" w:rsidRDefault="00677439" w:rsidP="009A53B5">
            <w:pPr>
              <w:jc w:val="both"/>
              <w:rPr>
                <w:rFonts w:ascii="Times New Roman" w:eastAsia="Times New Roman" w:hAnsi="Times New Roman"/>
                <w:bCs/>
                <w:lang w:val="ro-MD"/>
              </w:rPr>
            </w:pPr>
          </w:p>
          <w:p w14:paraId="59134760" w14:textId="77777777" w:rsidR="00677439" w:rsidRDefault="00677439" w:rsidP="009A53B5">
            <w:pPr>
              <w:jc w:val="both"/>
              <w:rPr>
                <w:rFonts w:ascii="Times New Roman" w:eastAsia="Times New Roman" w:hAnsi="Times New Roman"/>
                <w:bCs/>
                <w:lang w:val="ro-MD"/>
              </w:rPr>
            </w:pPr>
          </w:p>
          <w:p w14:paraId="53A61906" w14:textId="77777777" w:rsidR="00677439" w:rsidRDefault="00677439" w:rsidP="009A53B5">
            <w:pPr>
              <w:jc w:val="both"/>
              <w:rPr>
                <w:rFonts w:ascii="Times New Roman" w:eastAsia="Times New Roman" w:hAnsi="Times New Roman"/>
                <w:bCs/>
                <w:lang w:val="ro-MD"/>
              </w:rPr>
            </w:pPr>
          </w:p>
          <w:p w14:paraId="261ACB48" w14:textId="77777777" w:rsidR="00677439" w:rsidRDefault="00677439" w:rsidP="009A53B5">
            <w:pPr>
              <w:jc w:val="both"/>
              <w:rPr>
                <w:rFonts w:ascii="Times New Roman" w:eastAsia="Times New Roman" w:hAnsi="Times New Roman"/>
                <w:bCs/>
                <w:lang w:val="ro-MD"/>
              </w:rPr>
            </w:pPr>
          </w:p>
          <w:p w14:paraId="6CF5434C" w14:textId="793EA10B" w:rsidR="00677439" w:rsidRPr="00677439" w:rsidRDefault="001237C6" w:rsidP="00677439">
            <w:pPr>
              <w:jc w:val="both"/>
              <w:rPr>
                <w:rFonts w:ascii="Times New Roman" w:eastAsia="Times New Roman" w:hAnsi="Times New Roman"/>
                <w:bCs/>
                <w:lang w:val="ro-MD"/>
              </w:rPr>
            </w:pPr>
            <w:r>
              <w:rPr>
                <w:rFonts w:ascii="Times New Roman" w:eastAsia="Times New Roman" w:hAnsi="Times New Roman"/>
                <w:bCs/>
                <w:lang w:val="ro-MD"/>
              </w:rPr>
              <w:t>29</w:t>
            </w:r>
            <w:r w:rsidR="00677439" w:rsidRPr="00677439">
              <w:rPr>
                <w:rFonts w:ascii="Times New Roman" w:eastAsia="Times New Roman" w:hAnsi="Times New Roman"/>
                <w:bCs/>
                <w:lang w:val="ro-MD"/>
              </w:rPr>
              <w:t>.3 „parazit vizibil”: se înțelege orice parazit sau grup de paraziți având o dimensiune, o culoare sau o textură care permite să se identifice în mod clar parazitul în țesutul peștelui.</w:t>
            </w:r>
          </w:p>
          <w:p w14:paraId="1823B904" w14:textId="12B0EA1C" w:rsidR="00677439" w:rsidRPr="00677439" w:rsidRDefault="001237C6" w:rsidP="00677439">
            <w:pPr>
              <w:jc w:val="both"/>
              <w:rPr>
                <w:rFonts w:ascii="Times New Roman" w:eastAsia="Times New Roman" w:hAnsi="Times New Roman"/>
                <w:bCs/>
                <w:lang w:val="ro-MD"/>
              </w:rPr>
            </w:pPr>
            <w:r>
              <w:rPr>
                <w:rFonts w:ascii="Times New Roman" w:eastAsia="Times New Roman" w:hAnsi="Times New Roman"/>
                <w:bCs/>
                <w:lang w:val="ro-MD"/>
              </w:rPr>
              <w:t>29</w:t>
            </w:r>
            <w:r w:rsidR="00677439" w:rsidRPr="00677439">
              <w:rPr>
                <w:rFonts w:ascii="Times New Roman" w:eastAsia="Times New Roman" w:hAnsi="Times New Roman"/>
                <w:bCs/>
                <w:lang w:val="ro-MD"/>
              </w:rPr>
              <w:t>.4 „control vizual”: se înțelege un examen nedistructiv al peștilor sau al produselor pescărești, exercitat cu sau fără un mijloc optic de mărire și în bune condiții de iluminare pentru ochiul uman, inclusiv prin examinare la lumină, după caz.</w:t>
            </w:r>
          </w:p>
          <w:p w14:paraId="2D7D926A" w14:textId="38302742" w:rsidR="00677439" w:rsidRPr="00677439" w:rsidRDefault="001237C6" w:rsidP="00677439">
            <w:pPr>
              <w:jc w:val="both"/>
              <w:rPr>
                <w:rFonts w:ascii="Times New Roman" w:eastAsia="Times New Roman" w:hAnsi="Times New Roman"/>
                <w:bCs/>
                <w:lang w:val="ro-MD"/>
              </w:rPr>
            </w:pPr>
            <w:r>
              <w:rPr>
                <w:rFonts w:ascii="Times New Roman" w:eastAsia="Times New Roman" w:hAnsi="Times New Roman"/>
                <w:bCs/>
                <w:lang w:val="ro-MD"/>
              </w:rPr>
              <w:t>29</w:t>
            </w:r>
            <w:r w:rsidR="00677439" w:rsidRPr="00677439">
              <w:rPr>
                <w:rFonts w:ascii="Times New Roman" w:eastAsia="Times New Roman" w:hAnsi="Times New Roman"/>
                <w:bCs/>
                <w:lang w:val="ro-MD"/>
              </w:rPr>
              <w:t>.5 „examinare la lumină”: se înțelege, în cazul peștilor plați sau al fileurilor de pește, observarea din sens opus luminii a peștelui iluminat de o sursă luminoasă într-o cameră întunecoasă pentru detectarea paraziților.</w:t>
            </w:r>
          </w:p>
          <w:p w14:paraId="4566BCAE" w14:textId="0D2198BF" w:rsidR="00677439" w:rsidRDefault="00EF20A2" w:rsidP="00EF20A2">
            <w:pPr>
              <w:jc w:val="right"/>
              <w:rPr>
                <w:rFonts w:ascii="Times New Roman" w:eastAsia="Times New Roman" w:hAnsi="Times New Roman"/>
                <w:bCs/>
                <w:lang w:val="ro-MD"/>
              </w:rPr>
            </w:pPr>
            <w:r w:rsidRPr="00EF20A2">
              <w:rPr>
                <w:rFonts w:ascii="Times New Roman" w:eastAsia="Times New Roman" w:hAnsi="Times New Roman"/>
                <w:bCs/>
                <w:lang w:val="ro-MD"/>
              </w:rPr>
              <w:t>Anexa nr.</w:t>
            </w:r>
            <w:r w:rsidR="001237C6">
              <w:rPr>
                <w:rFonts w:ascii="Times New Roman" w:eastAsia="Times New Roman" w:hAnsi="Times New Roman"/>
                <w:bCs/>
                <w:lang w:val="ro-MD"/>
              </w:rPr>
              <w:t>2</w:t>
            </w:r>
          </w:p>
          <w:p w14:paraId="116146B1" w14:textId="77777777" w:rsidR="00EF20A2" w:rsidRDefault="00EF20A2" w:rsidP="00EF20A2">
            <w:pPr>
              <w:jc w:val="both"/>
              <w:rPr>
                <w:rFonts w:ascii="Times New Roman" w:eastAsia="Times New Roman" w:hAnsi="Times New Roman"/>
                <w:bCs/>
                <w:lang w:val="ro-MD"/>
              </w:rPr>
            </w:pPr>
          </w:p>
          <w:p w14:paraId="258F7617" w14:textId="77777777" w:rsidR="001237C6" w:rsidRPr="001237C6" w:rsidRDefault="001237C6" w:rsidP="001237C6">
            <w:pPr>
              <w:jc w:val="both"/>
              <w:rPr>
                <w:rFonts w:ascii="Times New Roman" w:eastAsia="Times New Roman" w:hAnsi="Times New Roman"/>
                <w:bCs/>
                <w:lang w:val="ro-MD"/>
              </w:rPr>
            </w:pPr>
            <w:r w:rsidRPr="001237C6">
              <w:rPr>
                <w:rFonts w:ascii="Times New Roman" w:eastAsia="Times New Roman" w:hAnsi="Times New Roman"/>
                <w:bCs/>
                <w:lang w:val="ro-MD"/>
              </w:rPr>
              <w:t xml:space="preserve">121. Inspecția vizuală se efectuează pe un număr reprezentativ de eșantioane. În timpul producției, inspecția vizuală a peștelui eviscerat trebuie efectuată de către persoane calificate pe </w:t>
            </w:r>
            <w:r w:rsidRPr="001237C6">
              <w:rPr>
                <w:rFonts w:ascii="Times New Roman" w:eastAsia="Times New Roman" w:hAnsi="Times New Roman"/>
                <w:bCs/>
                <w:lang w:val="ro-MD"/>
              </w:rPr>
              <w:lastRenderedPageBreak/>
              <w:t>cavitatea abdominală și ficatul și icrele destinate consumului uman. În funcție de sistemul de eviscerare utilizat, inspecția vizuală trebuie efectuată.</w:t>
            </w:r>
          </w:p>
          <w:p w14:paraId="0BB2125F" w14:textId="77777777" w:rsidR="001237C6" w:rsidRPr="001237C6" w:rsidRDefault="001237C6" w:rsidP="001237C6">
            <w:pPr>
              <w:jc w:val="both"/>
              <w:rPr>
                <w:rFonts w:ascii="Times New Roman" w:eastAsia="Times New Roman" w:hAnsi="Times New Roman"/>
                <w:bCs/>
                <w:lang w:val="ro-MD"/>
              </w:rPr>
            </w:pPr>
            <w:r w:rsidRPr="001237C6">
              <w:rPr>
                <w:rFonts w:ascii="Times New Roman" w:eastAsia="Times New Roman" w:hAnsi="Times New Roman"/>
                <w:bCs/>
                <w:lang w:val="ro-MD"/>
              </w:rPr>
              <w:t>121.1 în cazul eviscerării manuale, în mod continuu de către manipulator în momentul eviscerării și spălării,</w:t>
            </w:r>
          </w:p>
          <w:p w14:paraId="49777AF6" w14:textId="77777777" w:rsidR="001237C6" w:rsidRPr="001237C6" w:rsidRDefault="001237C6" w:rsidP="001237C6">
            <w:pPr>
              <w:jc w:val="both"/>
              <w:rPr>
                <w:rFonts w:ascii="Times New Roman" w:eastAsia="Times New Roman" w:hAnsi="Times New Roman"/>
                <w:bCs/>
                <w:lang w:val="ro-MD"/>
              </w:rPr>
            </w:pPr>
            <w:r w:rsidRPr="001237C6">
              <w:rPr>
                <w:rFonts w:ascii="Times New Roman" w:eastAsia="Times New Roman" w:hAnsi="Times New Roman"/>
                <w:bCs/>
                <w:lang w:val="ro-MD"/>
              </w:rPr>
              <w:t>121.2 în cazul eviscerării mecanice, prin prelevarea de probe efectuată pe număr reprezentativ de probe fiind de cel puțin 10 pești pe lot.</w:t>
            </w:r>
          </w:p>
          <w:p w14:paraId="39BA9A69" w14:textId="07B50EE8" w:rsidR="00EF20A2" w:rsidRPr="00EF20A2" w:rsidRDefault="001237C6" w:rsidP="001237C6">
            <w:pPr>
              <w:jc w:val="both"/>
              <w:rPr>
                <w:rFonts w:ascii="Times New Roman" w:eastAsia="Times New Roman" w:hAnsi="Times New Roman"/>
                <w:bCs/>
                <w:lang w:val="ro-MD"/>
              </w:rPr>
            </w:pPr>
            <w:r w:rsidRPr="001237C6">
              <w:rPr>
                <w:rFonts w:ascii="Times New Roman" w:eastAsia="Times New Roman" w:hAnsi="Times New Roman"/>
                <w:bCs/>
                <w:lang w:val="ro-MD"/>
              </w:rPr>
              <w:t xml:space="preserve">122. Inspecția vizuală a fileurilor de pește sau a feliilor de pește se efectuează de către personal instruit în domeniul igienei și siguranței alimentelor, desemnat de operator, în timpul tăierii și după filetare sau filiere. În cazul în care o examinare individuală nu este posibilă din cauza mărimii fileurilor sau a operațiunilor de filetare, planul de eșantionare trebuie întocmit și ținut la dispoziția autorității competente. </w:t>
            </w:r>
          </w:p>
        </w:tc>
        <w:tc>
          <w:tcPr>
            <w:tcW w:w="1560" w:type="dxa"/>
          </w:tcPr>
          <w:p w14:paraId="46C26EE2" w14:textId="77777777" w:rsidR="00940AE8" w:rsidRPr="00B300E0" w:rsidRDefault="004C0949" w:rsidP="009A53B5">
            <w:pPr>
              <w:jc w:val="center"/>
              <w:rPr>
                <w:rFonts w:ascii="Times New Roman" w:eastAsia="Times New Roman" w:hAnsi="Times New Roman"/>
                <w:b/>
                <w:noProof/>
                <w:color w:val="000000"/>
                <w:lang w:val="ro-MD"/>
              </w:rPr>
            </w:pPr>
            <w:r>
              <w:rPr>
                <w:rFonts w:ascii="Times New Roman" w:eastAsia="Times New Roman" w:hAnsi="Times New Roman"/>
                <w:b/>
                <w:noProof/>
                <w:color w:val="000000"/>
                <w:lang w:val="ro-MD"/>
              </w:rPr>
              <w:lastRenderedPageBreak/>
              <w:t>Compatibil</w:t>
            </w:r>
          </w:p>
        </w:tc>
        <w:tc>
          <w:tcPr>
            <w:tcW w:w="2835" w:type="dxa"/>
          </w:tcPr>
          <w:p w14:paraId="2C24AB8B" w14:textId="77777777" w:rsidR="00940AE8" w:rsidRPr="00BB3A8D" w:rsidRDefault="00940AE8" w:rsidP="009A53B5">
            <w:pPr>
              <w:jc w:val="center"/>
              <w:rPr>
                <w:rFonts w:ascii="Times New Roman" w:eastAsia="Times New Roman" w:hAnsi="Times New Roman"/>
                <w:b/>
                <w:lang w:val="ro-MD"/>
              </w:rPr>
            </w:pPr>
          </w:p>
        </w:tc>
      </w:tr>
      <w:tr w:rsidR="00940AE8" w:rsidRPr="001D45F6" w14:paraId="5E96F28B" w14:textId="77777777" w:rsidTr="00C23E6D">
        <w:tblPrEx>
          <w:jc w:val="left"/>
        </w:tblPrEx>
        <w:trPr>
          <w:trHeight w:val="1995"/>
        </w:trPr>
        <w:tc>
          <w:tcPr>
            <w:tcW w:w="5382" w:type="dxa"/>
          </w:tcPr>
          <w:p w14:paraId="460DCF98" w14:textId="77777777" w:rsidR="00940AE8" w:rsidRPr="00940AE8" w:rsidRDefault="00940AE8" w:rsidP="00940AE8">
            <w:pPr>
              <w:jc w:val="both"/>
              <w:rPr>
                <w:rFonts w:ascii="Times New Roman" w:eastAsia="Times New Roman" w:hAnsi="Times New Roman"/>
                <w:i/>
                <w:iCs/>
                <w:lang w:val="ro-MD"/>
              </w:rPr>
            </w:pPr>
            <w:r w:rsidRPr="00940AE8">
              <w:rPr>
                <w:rFonts w:ascii="Times New Roman" w:eastAsia="Times New Roman" w:hAnsi="Times New Roman"/>
                <w:i/>
                <w:iCs/>
                <w:lang w:val="ro-MD"/>
              </w:rPr>
              <w:t>ANEXA IV</w:t>
            </w:r>
          </w:p>
          <w:p w14:paraId="1AE1E2D2" w14:textId="77777777" w:rsidR="00940AE8" w:rsidRPr="00940AE8" w:rsidRDefault="00940AE8" w:rsidP="00940AE8">
            <w:pPr>
              <w:jc w:val="both"/>
              <w:rPr>
                <w:rFonts w:ascii="Times New Roman" w:eastAsia="Times New Roman" w:hAnsi="Times New Roman"/>
                <w:b/>
                <w:bCs/>
                <w:iCs/>
                <w:lang w:val="ro-MD"/>
              </w:rPr>
            </w:pPr>
            <w:r w:rsidRPr="00940AE8">
              <w:rPr>
                <w:rFonts w:ascii="Times New Roman" w:eastAsia="Times New Roman" w:hAnsi="Times New Roman"/>
                <w:b/>
                <w:bCs/>
                <w:iCs/>
                <w:lang w:val="ro-MD"/>
              </w:rPr>
              <w:t>CONȚINUTUL DE CALCIU AL CĂRNII SEPARATE MECANIC</w:t>
            </w:r>
          </w:p>
          <w:p w14:paraId="66C75BA4"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Conținutul de calciu al CSM, menționat de Regulamentul (CE) nr. 853/2004, trebuie să fie:</w:t>
            </w:r>
          </w:p>
          <w:p w14:paraId="09139C1E"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1. mai mic sau egal cu 0,1  % (= 100 mg/100 g sau 1 000  </w:t>
            </w:r>
            <w:proofErr w:type="spellStart"/>
            <w:r w:rsidRPr="00940AE8">
              <w:rPr>
                <w:rFonts w:ascii="Times New Roman" w:eastAsia="Times New Roman" w:hAnsi="Times New Roman"/>
                <w:iCs/>
                <w:lang w:val="ro-MD"/>
              </w:rPr>
              <w:t>ppm</w:t>
            </w:r>
            <w:proofErr w:type="spellEnd"/>
            <w:r w:rsidRPr="00940AE8">
              <w:rPr>
                <w:rFonts w:ascii="Times New Roman" w:eastAsia="Times New Roman" w:hAnsi="Times New Roman"/>
                <w:iCs/>
                <w:lang w:val="ro-MD"/>
              </w:rPr>
              <w:t>) de produs proaspăt;</w:t>
            </w:r>
          </w:p>
          <w:p w14:paraId="5058CFD6"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2. determinat printr-o metodă standardizată la nivel internațional.</w:t>
            </w:r>
          </w:p>
          <w:p w14:paraId="7A2A33A2" w14:textId="77777777" w:rsidR="00940AE8" w:rsidRPr="00940AE8" w:rsidRDefault="00940AE8" w:rsidP="001D45F6">
            <w:pPr>
              <w:jc w:val="both"/>
              <w:rPr>
                <w:rFonts w:ascii="Times New Roman" w:eastAsia="Times New Roman" w:hAnsi="Times New Roman"/>
                <w:iCs/>
                <w:lang w:val="ro-MD"/>
              </w:rPr>
            </w:pPr>
          </w:p>
        </w:tc>
        <w:tc>
          <w:tcPr>
            <w:tcW w:w="5386" w:type="dxa"/>
          </w:tcPr>
          <w:p w14:paraId="400BC776" w14:textId="3B69F3E6" w:rsidR="00E32D15" w:rsidRPr="00E32D15" w:rsidRDefault="00E32D15" w:rsidP="00E32D15">
            <w:pPr>
              <w:jc w:val="right"/>
              <w:rPr>
                <w:rFonts w:ascii="Times New Roman" w:eastAsia="Times New Roman" w:hAnsi="Times New Roman"/>
                <w:bCs/>
                <w:lang w:val="ro-MD"/>
              </w:rPr>
            </w:pPr>
            <w:r w:rsidRPr="00E32D15">
              <w:rPr>
                <w:rFonts w:ascii="Times New Roman" w:eastAsia="Times New Roman" w:hAnsi="Times New Roman"/>
                <w:bCs/>
                <w:lang w:val="ro-MD"/>
              </w:rPr>
              <w:t>Anexa nr.</w:t>
            </w:r>
            <w:r w:rsidR="00633813">
              <w:rPr>
                <w:rFonts w:ascii="Times New Roman" w:eastAsia="Times New Roman" w:hAnsi="Times New Roman"/>
                <w:bCs/>
                <w:lang w:val="ro-MD"/>
              </w:rPr>
              <w:t>4</w:t>
            </w:r>
            <w:r w:rsidRPr="00E32D15">
              <w:rPr>
                <w:rFonts w:ascii="Times New Roman" w:eastAsia="Times New Roman" w:hAnsi="Times New Roman"/>
                <w:bCs/>
                <w:lang w:val="ro-MD"/>
              </w:rPr>
              <w:t xml:space="preserve"> la</w:t>
            </w:r>
          </w:p>
          <w:p w14:paraId="1EEFCC37" w14:textId="77777777" w:rsidR="00E32D15" w:rsidRPr="00E32D15" w:rsidRDefault="00E32D15" w:rsidP="00E32D15">
            <w:pPr>
              <w:jc w:val="right"/>
              <w:rPr>
                <w:rFonts w:ascii="Times New Roman" w:eastAsia="Times New Roman" w:hAnsi="Times New Roman"/>
                <w:bCs/>
                <w:lang w:val="ro-MD"/>
              </w:rPr>
            </w:pPr>
            <w:r w:rsidRPr="00E32D15">
              <w:rPr>
                <w:rFonts w:ascii="Times New Roman" w:eastAsia="Times New Roman" w:hAnsi="Times New Roman"/>
                <w:bCs/>
                <w:lang w:val="ro-MD"/>
              </w:rPr>
              <w:t xml:space="preserve">Cerințele specifice de igienă </w:t>
            </w:r>
          </w:p>
          <w:p w14:paraId="707A255B" w14:textId="77777777" w:rsidR="00E32D15" w:rsidRPr="00E32D15" w:rsidRDefault="00E32D15" w:rsidP="00E32D15">
            <w:pPr>
              <w:jc w:val="right"/>
              <w:rPr>
                <w:rFonts w:ascii="Times New Roman" w:eastAsia="Times New Roman" w:hAnsi="Times New Roman"/>
                <w:bCs/>
                <w:lang w:val="ro-MD"/>
              </w:rPr>
            </w:pPr>
            <w:r w:rsidRPr="00E32D15">
              <w:rPr>
                <w:rFonts w:ascii="Times New Roman" w:eastAsia="Times New Roman" w:hAnsi="Times New Roman"/>
                <w:bCs/>
                <w:lang w:val="ro-MD"/>
              </w:rPr>
              <w:t xml:space="preserve">care se aplică alimentelor de </w:t>
            </w:r>
          </w:p>
          <w:p w14:paraId="18F809EC" w14:textId="77777777" w:rsidR="00E32D15" w:rsidRPr="00E32D15" w:rsidRDefault="00E32D15" w:rsidP="00E32D15">
            <w:pPr>
              <w:jc w:val="right"/>
              <w:rPr>
                <w:rFonts w:ascii="Times New Roman" w:eastAsia="Times New Roman" w:hAnsi="Times New Roman"/>
                <w:bCs/>
                <w:lang w:val="ro-MD"/>
              </w:rPr>
            </w:pPr>
            <w:r w:rsidRPr="00E32D15">
              <w:rPr>
                <w:rFonts w:ascii="Times New Roman" w:eastAsia="Times New Roman" w:hAnsi="Times New Roman"/>
                <w:bCs/>
                <w:lang w:val="ro-MD"/>
              </w:rPr>
              <w:t>origine animală</w:t>
            </w:r>
          </w:p>
          <w:p w14:paraId="7EA171EE" w14:textId="77777777" w:rsidR="00E32D15" w:rsidRPr="00E32D15" w:rsidRDefault="00E32D15" w:rsidP="00E32D15">
            <w:pPr>
              <w:jc w:val="right"/>
              <w:rPr>
                <w:rFonts w:ascii="Times New Roman" w:eastAsia="Times New Roman" w:hAnsi="Times New Roman"/>
                <w:bCs/>
                <w:lang w:val="ro-MD"/>
              </w:rPr>
            </w:pPr>
          </w:p>
          <w:p w14:paraId="129CB771" w14:textId="77777777" w:rsidR="00E32D15" w:rsidRPr="00E32D15" w:rsidRDefault="00E32D15" w:rsidP="00E32D15">
            <w:pPr>
              <w:jc w:val="both"/>
              <w:rPr>
                <w:rFonts w:ascii="Times New Roman" w:eastAsia="Times New Roman" w:hAnsi="Times New Roman"/>
                <w:b/>
                <w:bCs/>
                <w:lang w:val="ro-MD"/>
              </w:rPr>
            </w:pPr>
            <w:r w:rsidRPr="00E32D15">
              <w:rPr>
                <w:rFonts w:ascii="Times New Roman" w:eastAsia="Times New Roman" w:hAnsi="Times New Roman"/>
                <w:b/>
                <w:bCs/>
                <w:lang w:val="ro-MD"/>
              </w:rPr>
              <w:t>CONȚINUTUL DE CA</w:t>
            </w:r>
            <w:r>
              <w:rPr>
                <w:rFonts w:ascii="Times New Roman" w:eastAsia="Times New Roman" w:hAnsi="Times New Roman"/>
                <w:b/>
                <w:bCs/>
                <w:lang w:val="ro-MD"/>
              </w:rPr>
              <w:t>LCIU AL CĂRNII SEPARATE MECANIC</w:t>
            </w:r>
          </w:p>
          <w:p w14:paraId="213626D2" w14:textId="77777777" w:rsidR="00E32D15" w:rsidRPr="00E32D15" w:rsidRDefault="00E32D15" w:rsidP="00E32D15">
            <w:pPr>
              <w:jc w:val="both"/>
              <w:rPr>
                <w:rFonts w:ascii="Times New Roman" w:eastAsia="Times New Roman" w:hAnsi="Times New Roman"/>
                <w:bCs/>
                <w:lang w:val="ro-MD"/>
              </w:rPr>
            </w:pPr>
            <w:r w:rsidRPr="00E32D15">
              <w:rPr>
                <w:rFonts w:ascii="Times New Roman" w:eastAsia="Times New Roman" w:hAnsi="Times New Roman"/>
                <w:bCs/>
                <w:lang w:val="ro-MD"/>
              </w:rPr>
              <w:t>1. Conținutul de calciu al CSM, menționat de Regulamentul (CE) nr. 853/2004, trebuie să fie:</w:t>
            </w:r>
          </w:p>
          <w:p w14:paraId="357C05AE" w14:textId="77777777" w:rsidR="00E32D15" w:rsidRPr="00E32D15" w:rsidRDefault="00E32D15" w:rsidP="00E32D15">
            <w:pPr>
              <w:jc w:val="both"/>
              <w:rPr>
                <w:rFonts w:ascii="Times New Roman" w:eastAsia="Times New Roman" w:hAnsi="Times New Roman"/>
                <w:bCs/>
                <w:lang w:val="ro-MD"/>
              </w:rPr>
            </w:pPr>
            <w:r w:rsidRPr="00E32D15">
              <w:rPr>
                <w:rFonts w:ascii="Times New Roman" w:eastAsia="Times New Roman" w:hAnsi="Times New Roman"/>
                <w:bCs/>
                <w:lang w:val="ro-MD"/>
              </w:rPr>
              <w:t xml:space="preserve">1.1 mai mic sau egal cu 0,1  % (= 100 mg/100 g sau 1 000  </w:t>
            </w:r>
            <w:proofErr w:type="spellStart"/>
            <w:r w:rsidRPr="00E32D15">
              <w:rPr>
                <w:rFonts w:ascii="Times New Roman" w:eastAsia="Times New Roman" w:hAnsi="Times New Roman"/>
                <w:bCs/>
                <w:lang w:val="ro-MD"/>
              </w:rPr>
              <w:t>ppm</w:t>
            </w:r>
            <w:proofErr w:type="spellEnd"/>
            <w:r w:rsidRPr="00E32D15">
              <w:rPr>
                <w:rFonts w:ascii="Times New Roman" w:eastAsia="Times New Roman" w:hAnsi="Times New Roman"/>
                <w:bCs/>
                <w:lang w:val="ro-MD"/>
              </w:rPr>
              <w:t>) de produs proaspăt;</w:t>
            </w:r>
          </w:p>
          <w:p w14:paraId="71F2B14F" w14:textId="77777777" w:rsidR="00E32D15" w:rsidRPr="00E32D15" w:rsidRDefault="00E32D15" w:rsidP="00E32D15">
            <w:pPr>
              <w:jc w:val="both"/>
              <w:rPr>
                <w:rFonts w:ascii="Times New Roman" w:eastAsia="Times New Roman" w:hAnsi="Times New Roman"/>
                <w:bCs/>
                <w:lang w:val="ro-MD"/>
              </w:rPr>
            </w:pPr>
            <w:r w:rsidRPr="00E32D15">
              <w:rPr>
                <w:rFonts w:ascii="Times New Roman" w:eastAsia="Times New Roman" w:hAnsi="Times New Roman"/>
                <w:bCs/>
                <w:lang w:val="ro-MD"/>
              </w:rPr>
              <w:t>1.2 determinat printr-o metodă standardizată la nivel internațional.</w:t>
            </w:r>
          </w:p>
          <w:p w14:paraId="06892062" w14:textId="77777777" w:rsidR="00E32D15" w:rsidRPr="00E32D15" w:rsidRDefault="00E32D15" w:rsidP="00E32D15">
            <w:pPr>
              <w:jc w:val="both"/>
              <w:rPr>
                <w:rFonts w:ascii="Times New Roman" w:eastAsia="Times New Roman" w:hAnsi="Times New Roman"/>
                <w:bCs/>
                <w:lang w:val="ro-MD"/>
              </w:rPr>
            </w:pPr>
          </w:p>
          <w:p w14:paraId="55AC0CAB" w14:textId="77777777" w:rsidR="00940AE8" w:rsidRPr="00BB3A8D" w:rsidRDefault="00940AE8" w:rsidP="009A53B5">
            <w:pPr>
              <w:jc w:val="both"/>
              <w:rPr>
                <w:rFonts w:ascii="Times New Roman" w:eastAsia="Times New Roman" w:hAnsi="Times New Roman"/>
                <w:bCs/>
                <w:lang w:val="ro-MD"/>
              </w:rPr>
            </w:pPr>
          </w:p>
        </w:tc>
        <w:tc>
          <w:tcPr>
            <w:tcW w:w="1560" w:type="dxa"/>
          </w:tcPr>
          <w:p w14:paraId="446ED762" w14:textId="77777777" w:rsidR="00C65AAA" w:rsidRDefault="00C65AAA" w:rsidP="009A53B5">
            <w:pPr>
              <w:jc w:val="center"/>
              <w:rPr>
                <w:rFonts w:ascii="Times New Roman" w:eastAsia="Times New Roman" w:hAnsi="Times New Roman"/>
                <w:b/>
                <w:noProof/>
                <w:color w:val="000000"/>
                <w:lang w:val="ro-MD"/>
              </w:rPr>
            </w:pPr>
          </w:p>
          <w:p w14:paraId="6B49AD94" w14:textId="77777777" w:rsidR="00940AE8" w:rsidRDefault="00014BED" w:rsidP="00C65AAA">
            <w:pPr>
              <w:rPr>
                <w:rFonts w:ascii="Times New Roman" w:eastAsia="Times New Roman" w:hAnsi="Times New Roman"/>
                <w:b/>
                <w:noProof/>
                <w:color w:val="000000"/>
                <w:lang w:val="ro-MD"/>
              </w:rPr>
            </w:pPr>
            <w:r>
              <w:rPr>
                <w:rFonts w:ascii="Times New Roman" w:eastAsia="Times New Roman" w:hAnsi="Times New Roman"/>
                <w:b/>
                <w:noProof/>
                <w:color w:val="000000"/>
                <w:lang w:val="ro-MD"/>
              </w:rPr>
              <w:t>Com</w:t>
            </w:r>
            <w:r w:rsidR="00B56172">
              <w:rPr>
                <w:rFonts w:ascii="Times New Roman" w:eastAsia="Times New Roman" w:hAnsi="Times New Roman"/>
                <w:b/>
                <w:noProof/>
                <w:color w:val="000000"/>
                <w:lang w:val="ro-MD"/>
              </w:rPr>
              <w:t>p</w:t>
            </w:r>
            <w:r>
              <w:rPr>
                <w:rFonts w:ascii="Times New Roman" w:eastAsia="Times New Roman" w:hAnsi="Times New Roman"/>
                <w:b/>
                <w:noProof/>
                <w:color w:val="000000"/>
                <w:lang w:val="ro-MD"/>
              </w:rPr>
              <w:t>atibil</w:t>
            </w:r>
          </w:p>
          <w:p w14:paraId="049504F3" w14:textId="77777777" w:rsidR="00014BED" w:rsidRPr="00B300E0" w:rsidRDefault="00014BED" w:rsidP="009A53B5">
            <w:pPr>
              <w:jc w:val="center"/>
              <w:rPr>
                <w:rFonts w:ascii="Times New Roman" w:eastAsia="Times New Roman" w:hAnsi="Times New Roman"/>
                <w:b/>
                <w:noProof/>
                <w:color w:val="000000"/>
                <w:lang w:val="ro-MD"/>
              </w:rPr>
            </w:pPr>
          </w:p>
        </w:tc>
        <w:tc>
          <w:tcPr>
            <w:tcW w:w="2835" w:type="dxa"/>
          </w:tcPr>
          <w:p w14:paraId="63EB8D41" w14:textId="77777777" w:rsidR="00940AE8" w:rsidRPr="00BB3A8D" w:rsidRDefault="00940AE8" w:rsidP="009A53B5">
            <w:pPr>
              <w:jc w:val="center"/>
              <w:rPr>
                <w:rFonts w:ascii="Times New Roman" w:eastAsia="Times New Roman" w:hAnsi="Times New Roman"/>
                <w:b/>
                <w:lang w:val="ro-MD"/>
              </w:rPr>
            </w:pPr>
          </w:p>
        </w:tc>
      </w:tr>
      <w:tr w:rsidR="00940AE8" w:rsidRPr="001D45F6" w14:paraId="054622D0" w14:textId="77777777" w:rsidTr="00C23E6D">
        <w:tblPrEx>
          <w:jc w:val="left"/>
        </w:tblPrEx>
        <w:trPr>
          <w:trHeight w:val="1995"/>
        </w:trPr>
        <w:tc>
          <w:tcPr>
            <w:tcW w:w="5382" w:type="dxa"/>
          </w:tcPr>
          <w:p w14:paraId="5FE3A8F8" w14:textId="77777777" w:rsidR="00940AE8" w:rsidRPr="00940AE8" w:rsidRDefault="00940AE8" w:rsidP="00940AE8">
            <w:pPr>
              <w:jc w:val="both"/>
              <w:rPr>
                <w:rFonts w:ascii="Times New Roman" w:eastAsia="Times New Roman" w:hAnsi="Times New Roman"/>
                <w:i/>
                <w:iCs/>
                <w:lang w:val="ro-MD"/>
              </w:rPr>
            </w:pPr>
            <w:r w:rsidRPr="00940AE8">
              <w:rPr>
                <w:rFonts w:ascii="Times New Roman" w:eastAsia="Times New Roman" w:hAnsi="Times New Roman"/>
                <w:i/>
                <w:iCs/>
                <w:lang w:val="ro-MD"/>
              </w:rPr>
              <w:lastRenderedPageBreak/>
              <w:t>ANEXA VII</w:t>
            </w:r>
          </w:p>
          <w:p w14:paraId="3BD61034" w14:textId="77777777" w:rsidR="00940AE8" w:rsidRPr="00940AE8" w:rsidRDefault="00940AE8" w:rsidP="00940AE8">
            <w:pPr>
              <w:jc w:val="both"/>
              <w:rPr>
                <w:rFonts w:ascii="Times New Roman" w:eastAsia="Times New Roman" w:hAnsi="Times New Roman"/>
                <w:b/>
                <w:bCs/>
                <w:iCs/>
                <w:lang w:val="ro-MD"/>
              </w:rPr>
            </w:pPr>
            <w:r w:rsidRPr="00940AE8">
              <w:rPr>
                <w:rFonts w:ascii="Times New Roman" w:eastAsia="Times New Roman" w:hAnsi="Times New Roman"/>
                <w:b/>
                <w:bCs/>
                <w:iCs/>
                <w:lang w:val="ro-MD"/>
              </w:rPr>
              <w:t>MODIFICĂRI ALE REGULAMENTULUI (CE) NR. 853/2004</w:t>
            </w:r>
          </w:p>
          <w:p w14:paraId="1E387A20"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Anexele II și III la Regulamentul (CE) nr. 853/2004 se modifică după cum urmează:</w:t>
            </w:r>
          </w:p>
          <w:p w14:paraId="77B1F24A"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1. Anexa II secțiunea I titlul B se modifică după cum urmează:</w:t>
            </w:r>
          </w:p>
          <w:p w14:paraId="00A90AD4"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(a) la punctul 6, al doilea paragraf se înlocuiește cu următorul text:</w:t>
            </w:r>
          </w:p>
          <w:p w14:paraId="701129ED"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„BE, CZ, DK, DE, EE, GR, ES, FR, IE, IT, CY, LV, LT, LU, HU, MT, NL, AT, PL, PT, SI, SK, FI, SE și UK”;</w:t>
            </w:r>
          </w:p>
          <w:p w14:paraId="5D824ACE"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(b) punctul 8 se înlocuiește cu următorul text:</w:t>
            </w:r>
          </w:p>
          <w:p w14:paraId="6A7CA0D1"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„8. Atunci când se aplică într-o unitate situată în Comunitate, marca trebuie să aibă formă ovală și să includă abrevierea CE, EC, EF, EG, EK, EY, ES, EÜ, EK, EB sau WE.”</w:t>
            </w:r>
          </w:p>
          <w:p w14:paraId="4A3265EA"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2. Anexa III se modifică după cum urmează:</w:t>
            </w:r>
          </w:p>
          <w:p w14:paraId="0A7CA2BE"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(a) La secțiunea I capitolul IV, punctul 8 se înlocuiește cu următorul text:</w:t>
            </w:r>
          </w:p>
          <w:p w14:paraId="6A7C199B"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„8. Este necesar să se procedeze la o jupuire completă a carcaselor și a altor părți ale corpului animalului destinate consumului uman, cu excepția porcinelor, capetelor de ovine, de caprine și de viței, precum și a picioarelor de bovine, de ovine și de caprine. Capetele și picioarele trebuie să fie manipulate astfel încât să se evite orice contaminare.”</w:t>
            </w:r>
          </w:p>
          <w:p w14:paraId="35EF2D32"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(b) La secțiunea II se adaugă următorul capitol VII:</w:t>
            </w:r>
          </w:p>
          <w:p w14:paraId="33A5A17E" w14:textId="77777777" w:rsidR="00940AE8" w:rsidRPr="00940AE8" w:rsidRDefault="00940AE8" w:rsidP="00940AE8">
            <w:pPr>
              <w:jc w:val="both"/>
              <w:rPr>
                <w:rFonts w:ascii="Times New Roman" w:eastAsia="Times New Roman" w:hAnsi="Times New Roman"/>
                <w:b/>
                <w:bCs/>
                <w:iCs/>
                <w:lang w:val="ro-MD"/>
              </w:rPr>
            </w:pPr>
            <w:r w:rsidRPr="00940AE8">
              <w:rPr>
                <w:rFonts w:ascii="Times New Roman" w:eastAsia="Times New Roman" w:hAnsi="Times New Roman"/>
                <w:b/>
                <w:bCs/>
                <w:iCs/>
                <w:lang w:val="ro-MD"/>
              </w:rPr>
              <w:t>„CAPITOLUL VII: AGENȚI DE RETENȚIE A APEI</w:t>
            </w:r>
          </w:p>
          <w:p w14:paraId="74313FCD"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Operatorii din sectorul alimentar nu introduc pe piață carnea de pasăre tratată pentru a favoriza retenția de apă ca fiind carne proaspătă, ci ca preparat de carne, sau o utilizează în producția de produse prelucrate.”</w:t>
            </w:r>
          </w:p>
          <w:p w14:paraId="2069A44B"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(c) La secțiunea VIII capitolul V litera E, punctul 1 se înlocuiește cu următorul text:</w:t>
            </w:r>
          </w:p>
          <w:p w14:paraId="0FD09ECD"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„1. Produsele pescărești derivate din pești toxici din următoarele familii nu trebuie introduse pe piață: </w:t>
            </w:r>
            <w:proofErr w:type="spellStart"/>
            <w:r w:rsidRPr="00940AE8">
              <w:rPr>
                <w:rFonts w:ascii="Times New Roman" w:eastAsia="Times New Roman" w:hAnsi="Times New Roman"/>
                <w:i/>
                <w:iCs/>
                <w:lang w:val="ro-MD"/>
              </w:rPr>
              <w:t>Tetraodontidae</w:t>
            </w:r>
            <w:proofErr w:type="spellEnd"/>
            <w:r w:rsidRPr="00940AE8">
              <w:rPr>
                <w:rFonts w:ascii="Times New Roman" w:eastAsia="Times New Roman" w:hAnsi="Times New Roman"/>
                <w:i/>
                <w:iCs/>
                <w:lang w:val="ro-MD"/>
              </w:rPr>
              <w:t xml:space="preserve">, </w:t>
            </w:r>
            <w:proofErr w:type="spellStart"/>
            <w:r w:rsidRPr="00940AE8">
              <w:rPr>
                <w:rFonts w:ascii="Times New Roman" w:eastAsia="Times New Roman" w:hAnsi="Times New Roman"/>
                <w:i/>
                <w:iCs/>
                <w:lang w:val="ro-MD"/>
              </w:rPr>
              <w:t>Molidae</w:t>
            </w:r>
            <w:proofErr w:type="spellEnd"/>
            <w:r w:rsidRPr="00940AE8">
              <w:rPr>
                <w:rFonts w:ascii="Times New Roman" w:eastAsia="Times New Roman" w:hAnsi="Times New Roman"/>
                <w:i/>
                <w:iCs/>
                <w:lang w:val="ro-MD"/>
              </w:rPr>
              <w:t xml:space="preserve">, </w:t>
            </w:r>
            <w:proofErr w:type="spellStart"/>
            <w:r w:rsidRPr="00940AE8">
              <w:rPr>
                <w:rFonts w:ascii="Times New Roman" w:eastAsia="Times New Roman" w:hAnsi="Times New Roman"/>
                <w:i/>
                <w:iCs/>
                <w:lang w:val="ro-MD"/>
              </w:rPr>
              <w:t>Diodontidae</w:t>
            </w:r>
            <w:r w:rsidRPr="00940AE8">
              <w:rPr>
                <w:rFonts w:ascii="Times New Roman" w:eastAsia="Times New Roman" w:hAnsi="Times New Roman"/>
                <w:iCs/>
                <w:lang w:val="ro-MD"/>
              </w:rPr>
              <w:t>și</w:t>
            </w:r>
            <w:proofErr w:type="spellEnd"/>
            <w:r w:rsidRPr="00940AE8">
              <w:rPr>
                <w:rFonts w:ascii="Times New Roman" w:eastAsia="Times New Roman" w:hAnsi="Times New Roman"/>
                <w:iCs/>
                <w:lang w:val="ro-MD"/>
              </w:rPr>
              <w:t> </w:t>
            </w:r>
            <w:proofErr w:type="spellStart"/>
            <w:r w:rsidRPr="00940AE8">
              <w:rPr>
                <w:rFonts w:ascii="Times New Roman" w:eastAsia="Times New Roman" w:hAnsi="Times New Roman"/>
                <w:i/>
                <w:iCs/>
                <w:lang w:val="ro-MD"/>
              </w:rPr>
              <w:t>Canthigasteridae</w:t>
            </w:r>
            <w:proofErr w:type="spellEnd"/>
            <w:r w:rsidRPr="00940AE8">
              <w:rPr>
                <w:rFonts w:ascii="Times New Roman" w:eastAsia="Times New Roman" w:hAnsi="Times New Roman"/>
                <w:iCs/>
                <w:lang w:val="ro-MD"/>
              </w:rPr>
              <w:t>. Produsele pescărești proaspete, preparate și prelucrate din familia </w:t>
            </w:r>
            <w:proofErr w:type="spellStart"/>
            <w:r w:rsidRPr="00940AE8">
              <w:rPr>
                <w:rFonts w:ascii="Times New Roman" w:eastAsia="Times New Roman" w:hAnsi="Times New Roman"/>
                <w:i/>
                <w:iCs/>
                <w:lang w:val="ro-MD"/>
              </w:rPr>
              <w:t>Gempylidae</w:t>
            </w:r>
            <w:proofErr w:type="spellEnd"/>
            <w:r w:rsidRPr="00940AE8">
              <w:rPr>
                <w:rFonts w:ascii="Times New Roman" w:eastAsia="Times New Roman" w:hAnsi="Times New Roman"/>
                <w:iCs/>
                <w:lang w:val="ro-MD"/>
              </w:rPr>
              <w:t>, în special </w:t>
            </w:r>
            <w:proofErr w:type="spellStart"/>
            <w:r w:rsidRPr="00940AE8">
              <w:rPr>
                <w:rFonts w:ascii="Times New Roman" w:eastAsia="Times New Roman" w:hAnsi="Times New Roman"/>
                <w:i/>
                <w:iCs/>
                <w:lang w:val="ro-MD"/>
              </w:rPr>
              <w:t>Ruvettus</w:t>
            </w:r>
            <w:proofErr w:type="spellEnd"/>
            <w:r w:rsidRPr="00940AE8">
              <w:rPr>
                <w:rFonts w:ascii="Times New Roman" w:eastAsia="Times New Roman" w:hAnsi="Times New Roman"/>
                <w:i/>
                <w:iCs/>
                <w:lang w:val="ro-MD"/>
              </w:rPr>
              <w:t xml:space="preserve"> </w:t>
            </w:r>
            <w:proofErr w:type="spellStart"/>
            <w:r w:rsidRPr="00940AE8">
              <w:rPr>
                <w:rFonts w:ascii="Times New Roman" w:eastAsia="Times New Roman" w:hAnsi="Times New Roman"/>
                <w:i/>
                <w:iCs/>
                <w:lang w:val="ro-MD"/>
              </w:rPr>
              <w:t>pretiosus</w:t>
            </w:r>
            <w:r w:rsidRPr="00940AE8">
              <w:rPr>
                <w:rFonts w:ascii="Times New Roman" w:eastAsia="Times New Roman" w:hAnsi="Times New Roman"/>
                <w:iCs/>
                <w:lang w:val="ro-MD"/>
              </w:rPr>
              <w:t>și</w:t>
            </w:r>
            <w:proofErr w:type="spellEnd"/>
            <w:r w:rsidRPr="00940AE8">
              <w:rPr>
                <w:rFonts w:ascii="Times New Roman" w:eastAsia="Times New Roman" w:hAnsi="Times New Roman"/>
                <w:iCs/>
                <w:lang w:val="ro-MD"/>
              </w:rPr>
              <w:t> </w:t>
            </w:r>
            <w:proofErr w:type="spellStart"/>
            <w:r w:rsidRPr="00940AE8">
              <w:rPr>
                <w:rFonts w:ascii="Times New Roman" w:eastAsia="Times New Roman" w:hAnsi="Times New Roman"/>
                <w:i/>
                <w:iCs/>
                <w:lang w:val="ro-MD"/>
              </w:rPr>
              <w:t>Lepidocybium</w:t>
            </w:r>
            <w:proofErr w:type="spellEnd"/>
            <w:r w:rsidRPr="00940AE8">
              <w:rPr>
                <w:rFonts w:ascii="Times New Roman" w:eastAsia="Times New Roman" w:hAnsi="Times New Roman"/>
                <w:i/>
                <w:iCs/>
                <w:lang w:val="ro-MD"/>
              </w:rPr>
              <w:t xml:space="preserve"> </w:t>
            </w:r>
            <w:proofErr w:type="spellStart"/>
            <w:r w:rsidRPr="00940AE8">
              <w:rPr>
                <w:rFonts w:ascii="Times New Roman" w:eastAsia="Times New Roman" w:hAnsi="Times New Roman"/>
                <w:i/>
                <w:iCs/>
                <w:lang w:val="ro-MD"/>
              </w:rPr>
              <w:t>flavobrunneum</w:t>
            </w:r>
            <w:proofErr w:type="spellEnd"/>
            <w:r w:rsidRPr="00940AE8">
              <w:rPr>
                <w:rFonts w:ascii="Times New Roman" w:eastAsia="Times New Roman" w:hAnsi="Times New Roman"/>
                <w:i/>
                <w:iCs/>
                <w:lang w:val="ro-MD"/>
              </w:rPr>
              <w:t>,</w:t>
            </w:r>
            <w:r w:rsidRPr="00940AE8">
              <w:rPr>
                <w:rFonts w:ascii="Times New Roman" w:eastAsia="Times New Roman" w:hAnsi="Times New Roman"/>
                <w:iCs/>
                <w:lang w:val="ro-MD"/>
              </w:rPr>
              <w:t xml:space="preserve"> nu pot fi introduse pe piață decât ambalate sau împachetate și trebuie să fie etichetate în mod corespunzător pentru a informa consumatorul cu privire la metodele de preparare și/sau de fierbere, precum și cu privire la prezența substanțelor care pot </w:t>
            </w:r>
            <w:r w:rsidRPr="00940AE8">
              <w:rPr>
                <w:rFonts w:ascii="Times New Roman" w:eastAsia="Times New Roman" w:hAnsi="Times New Roman"/>
                <w:iCs/>
                <w:lang w:val="ro-MD"/>
              </w:rPr>
              <w:lastRenderedPageBreak/>
              <w:t>provoca tulburări gastrointestinale. Pe etichetă trebuie să figureze, lângă denumirea comună, numele științific.”</w:t>
            </w:r>
          </w:p>
          <w:p w14:paraId="5168D1DF"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(d) Secțiunea X se modifică după cum urmează:</w:t>
            </w:r>
          </w:p>
          <w:p w14:paraId="3D484914"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(i) la capitolul I partea II titlul B punctul 1, litera (e) se înlocuiește cu următorul text:</w:t>
            </w:r>
          </w:p>
          <w:p w14:paraId="192861C7"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 xml:space="preserve">„(e) ca tratamentele prin imersiune sau prin pulverizare ale ugerelor să nu fie utilizate decât după ce au fost utilizate sau înregistrate, în conformitate cu Directiva 98/8/CE a Parlamentului European și a Consiliului din 16 februarie privind introducerea pe piață a produselor </w:t>
            </w:r>
            <w:proofErr w:type="spellStart"/>
            <w:r w:rsidRPr="00940AE8">
              <w:rPr>
                <w:rFonts w:ascii="Times New Roman" w:eastAsia="Times New Roman" w:hAnsi="Times New Roman"/>
                <w:iCs/>
                <w:lang w:val="ro-MD"/>
              </w:rPr>
              <w:t>biocide</w:t>
            </w:r>
            <w:proofErr w:type="spellEnd"/>
            <w:r w:rsidRPr="00940AE8">
              <w:rPr>
                <w:rFonts w:ascii="Times New Roman" w:eastAsia="Times New Roman" w:hAnsi="Times New Roman"/>
                <w:iCs/>
                <w:lang w:val="ro-MD"/>
              </w:rPr>
              <w:t> (</w:t>
            </w:r>
            <w:hyperlink r:id="rId4" w:anchor="E0007" w:history="1">
              <w:r w:rsidRPr="00940AE8">
                <w:rPr>
                  <w:rStyle w:val="Hyperlink"/>
                  <w:rFonts w:ascii="Times New Roman" w:eastAsia="Times New Roman" w:hAnsi="Times New Roman"/>
                  <w:iCs/>
                  <w:color w:val="auto"/>
                  <w:lang w:val="ro-MD"/>
                </w:rPr>
                <w:t> </w:t>
              </w:r>
              <w:r w:rsidRPr="00940AE8">
                <w:rPr>
                  <w:rStyle w:val="Hyperlink"/>
                  <w:rFonts w:ascii="Times New Roman" w:eastAsia="Times New Roman" w:hAnsi="Times New Roman"/>
                  <w:iCs/>
                  <w:color w:val="auto"/>
                  <w:vertAlign w:val="superscript"/>
                  <w:lang w:val="ro-MD"/>
                </w:rPr>
                <w:t>*1</w:t>
              </w:r>
              <w:r w:rsidRPr="00940AE8">
                <w:rPr>
                  <w:rStyle w:val="Hyperlink"/>
                  <w:rFonts w:ascii="Times New Roman" w:eastAsia="Times New Roman" w:hAnsi="Times New Roman"/>
                  <w:iCs/>
                  <w:color w:val="auto"/>
                  <w:lang w:val="ro-MD"/>
                </w:rPr>
                <w:t> </w:t>
              </w:r>
            </w:hyperlink>
            <w:r w:rsidRPr="00940AE8">
              <w:rPr>
                <w:rFonts w:ascii="Times New Roman" w:eastAsia="Times New Roman" w:hAnsi="Times New Roman"/>
                <w:iCs/>
                <w:lang w:val="ro-MD"/>
              </w:rPr>
              <w:t>).</w:t>
            </w:r>
          </w:p>
          <w:p w14:paraId="3D3BDD25"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(ii) la capitolul II partea II, punctul 1 se înlocuiește cu următorul text:</w:t>
            </w:r>
          </w:p>
          <w:p w14:paraId="3C9FA3B7"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„1. Atunci când laptele crud sau produsele lactate fac obiectul unui tratament termic, operatorii din sectorul alimentar trebuie să asigure respectarea cerințelor prevăzute la anexa II capitolul XI din Regulamentul (CE) nr. 852/2004. Atunci când au recurs la următoarele procedee, aceștia se asigură că procedeele se desfășoară în conformitate cu specificațiile enunțate:</w:t>
            </w:r>
          </w:p>
          <w:p w14:paraId="53588410"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(a) Pasteurizarea se realizează printr-un tratament care implică:</w:t>
            </w:r>
          </w:p>
          <w:p w14:paraId="05CF38D3"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(i) o temperatură ridicată în timpul unei perioade scurte (cel puțin 72 °C timp de 15 secunde);</w:t>
            </w:r>
          </w:p>
          <w:p w14:paraId="79C3B66A"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(ii) o temperatură moderată în timpul unei perioade lungi (cel puțin 63 °C timp de 30 de minute) sau</w:t>
            </w:r>
          </w:p>
          <w:p w14:paraId="6439F073"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 xml:space="preserve">(iii) orice altă combinație timp-temperatură care </w:t>
            </w:r>
            <w:proofErr w:type="spellStart"/>
            <w:r w:rsidRPr="00940AE8">
              <w:rPr>
                <w:rFonts w:ascii="Times New Roman" w:eastAsia="Times New Roman" w:hAnsi="Times New Roman"/>
                <w:iCs/>
                <w:lang w:val="ro-MD"/>
              </w:rPr>
              <w:t>permitE</w:t>
            </w:r>
            <w:proofErr w:type="spellEnd"/>
            <w:r w:rsidRPr="00940AE8">
              <w:rPr>
                <w:rFonts w:ascii="Times New Roman" w:eastAsia="Times New Roman" w:hAnsi="Times New Roman"/>
                <w:iCs/>
                <w:lang w:val="ro-MD"/>
              </w:rPr>
              <w:t xml:space="preserve"> să se obțină un efect echivalent, astfel încât produsele dau, după caz, un rezultat negativ la testul de fosfatază alcalină imediat după ce au suferit un asemenea tratament.</w:t>
            </w:r>
          </w:p>
          <w:p w14:paraId="1DCA5401"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(b) Tratamentul Temperatură ultraînaltă (UHT) se realizează printr-un tratament:</w:t>
            </w:r>
          </w:p>
          <w:p w14:paraId="7605773D"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(i) care necesită un flux termic continuu și o temperatură ridicată pentru o perioadă scurtă (cel puțin 135 °C în timpul unei perioade corespunzătoare) pentru a elimina orice microorganism sau spor viabil, capabil să se dezvolte în produsul tratat în cazul în care este menținut într-un recipient închis aseptic la temperatura mediului ambiant și</w:t>
            </w:r>
          </w:p>
          <w:p w14:paraId="4ABC46EF"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(ii) care asigură stabilitatea microbiologică a produselor după o perioadă de incubație de 15 zile la 30 °C sau 7 zile la 55 °C într-un recipient închis sau după punerea în aplicare a oricărei alte metode care demonstrează că s-a aplicat tratamentul termic corespunzător.”</w:t>
            </w:r>
          </w:p>
          <w:p w14:paraId="33FA2EB1"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lastRenderedPageBreak/>
              <w:t>(e) La secțiunea X, capitolul II se modifică după cum urmează:</w:t>
            </w:r>
          </w:p>
          <w:p w14:paraId="1FDE1D69"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(i) la partea III, punctul 5 se înlocuiește cu următorul text:</w:t>
            </w:r>
          </w:p>
          <w:p w14:paraId="271B0835"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„5. După spargere, oul lichid trebuie să fie supus integral, cât mai repede posibil, unui tratament care urmărește eliminarea riscurilor microbiologice sau reducerea acestora la un nivel acceptabil. Un lot a cărui prelucrare este insuficientă poate face obiectul unei noi transformări în aceeași unitate, cu condiția ca prin această prelucrare să devină adecvat consumului uman. În cazul în care un lot se dovedește a fi necorespunzător pentru consumul uman, trebuie denaturat pentru a se asigura că nu se folosește pentru consumul uman.”;</w:t>
            </w:r>
          </w:p>
          <w:p w14:paraId="5316A288"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(ii) la partea V, punctul 2 se înlocuiește cu următorul text:</w:t>
            </w:r>
          </w:p>
          <w:p w14:paraId="26662DF9"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„2. Pentru ouăle lichide, eticheta menționată la punctul 1 trebuie, de asemenea, să cuprindă mențiunea: «ou lichid nepasteurizat – se tratează la locul de destinație» și să indice data și ora spargerii ouălor.”</w:t>
            </w:r>
          </w:p>
          <w:p w14:paraId="38FE78E2"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(f) La secțiunea XIV se adaugă capitolul V, formulat după cum urmează:</w:t>
            </w:r>
          </w:p>
          <w:p w14:paraId="15703E43" w14:textId="77777777" w:rsidR="00940AE8" w:rsidRPr="00940AE8" w:rsidRDefault="00940AE8" w:rsidP="00940AE8">
            <w:pPr>
              <w:jc w:val="both"/>
              <w:rPr>
                <w:rFonts w:ascii="Times New Roman" w:eastAsia="Times New Roman" w:hAnsi="Times New Roman"/>
                <w:b/>
                <w:bCs/>
                <w:iCs/>
                <w:lang w:val="ro-MD"/>
              </w:rPr>
            </w:pPr>
            <w:r w:rsidRPr="00940AE8">
              <w:rPr>
                <w:rFonts w:ascii="Times New Roman" w:eastAsia="Times New Roman" w:hAnsi="Times New Roman"/>
                <w:b/>
                <w:bCs/>
                <w:iCs/>
                <w:lang w:val="ro-MD"/>
              </w:rPr>
              <w:t>„CAPITOLUL V: ETICHETARE</w:t>
            </w:r>
          </w:p>
          <w:p w14:paraId="0E1140BF"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Ambalarea și împachetarea gelatinei trebuie să cuprindă termenii «gelatină adecvată pentru consumul uman» și să indice data preparării.”</w:t>
            </w:r>
          </w:p>
          <w:p w14:paraId="46ED9FE6" w14:textId="77777777" w:rsidR="00940AE8" w:rsidRPr="00940AE8" w:rsidRDefault="00940AE8" w:rsidP="001D45F6">
            <w:pPr>
              <w:jc w:val="both"/>
              <w:rPr>
                <w:rFonts w:ascii="Times New Roman" w:eastAsia="Times New Roman" w:hAnsi="Times New Roman"/>
                <w:iCs/>
                <w:lang w:val="ro-MD"/>
              </w:rPr>
            </w:pPr>
          </w:p>
        </w:tc>
        <w:tc>
          <w:tcPr>
            <w:tcW w:w="5386" w:type="dxa"/>
          </w:tcPr>
          <w:p w14:paraId="251C2375" w14:textId="77777777" w:rsidR="00940AE8" w:rsidRDefault="00940AE8" w:rsidP="009A53B5">
            <w:pPr>
              <w:jc w:val="both"/>
              <w:rPr>
                <w:rFonts w:ascii="Times New Roman" w:eastAsia="Times New Roman" w:hAnsi="Times New Roman"/>
                <w:bCs/>
                <w:lang w:val="ro-MD"/>
              </w:rPr>
            </w:pPr>
          </w:p>
          <w:p w14:paraId="4388FE5E" w14:textId="77777777" w:rsidR="0096656A" w:rsidRDefault="0096656A" w:rsidP="009A53B5">
            <w:pPr>
              <w:jc w:val="both"/>
              <w:rPr>
                <w:rFonts w:ascii="Times New Roman" w:eastAsia="Times New Roman" w:hAnsi="Times New Roman"/>
                <w:bCs/>
                <w:lang w:val="ro-MD"/>
              </w:rPr>
            </w:pPr>
          </w:p>
          <w:p w14:paraId="79934532" w14:textId="77777777" w:rsidR="0096656A" w:rsidRDefault="0096656A" w:rsidP="009A53B5">
            <w:pPr>
              <w:jc w:val="both"/>
              <w:rPr>
                <w:rFonts w:ascii="Times New Roman" w:eastAsia="Times New Roman" w:hAnsi="Times New Roman"/>
                <w:bCs/>
                <w:lang w:val="ro-MD"/>
              </w:rPr>
            </w:pPr>
          </w:p>
          <w:p w14:paraId="21D28255" w14:textId="77777777" w:rsidR="0096656A" w:rsidRDefault="0096656A" w:rsidP="009A53B5">
            <w:pPr>
              <w:jc w:val="both"/>
              <w:rPr>
                <w:rFonts w:ascii="Times New Roman" w:eastAsia="Times New Roman" w:hAnsi="Times New Roman"/>
                <w:bCs/>
                <w:lang w:val="ro-MD"/>
              </w:rPr>
            </w:pPr>
          </w:p>
          <w:p w14:paraId="23DEB166" w14:textId="77777777" w:rsidR="0096656A" w:rsidRDefault="0096656A" w:rsidP="009A53B5">
            <w:pPr>
              <w:jc w:val="both"/>
              <w:rPr>
                <w:rFonts w:ascii="Times New Roman" w:eastAsia="Times New Roman" w:hAnsi="Times New Roman"/>
                <w:bCs/>
                <w:lang w:val="ro-MD"/>
              </w:rPr>
            </w:pPr>
          </w:p>
          <w:p w14:paraId="31486A93" w14:textId="77777777" w:rsidR="0096656A" w:rsidRDefault="0096656A" w:rsidP="009A53B5">
            <w:pPr>
              <w:jc w:val="both"/>
              <w:rPr>
                <w:rFonts w:ascii="Times New Roman" w:eastAsia="Times New Roman" w:hAnsi="Times New Roman"/>
                <w:bCs/>
                <w:lang w:val="ro-MD"/>
              </w:rPr>
            </w:pPr>
          </w:p>
          <w:p w14:paraId="422D5F0C" w14:textId="77777777" w:rsidR="0096656A" w:rsidRDefault="0096656A" w:rsidP="009A53B5">
            <w:pPr>
              <w:jc w:val="both"/>
              <w:rPr>
                <w:rFonts w:ascii="Times New Roman" w:eastAsia="Times New Roman" w:hAnsi="Times New Roman"/>
                <w:bCs/>
                <w:lang w:val="ro-MD"/>
              </w:rPr>
            </w:pPr>
          </w:p>
          <w:p w14:paraId="61A41A70" w14:textId="77777777" w:rsidR="0096656A" w:rsidRDefault="0096656A" w:rsidP="009A53B5">
            <w:pPr>
              <w:jc w:val="both"/>
              <w:rPr>
                <w:rFonts w:ascii="Times New Roman" w:eastAsia="Times New Roman" w:hAnsi="Times New Roman"/>
                <w:bCs/>
                <w:lang w:val="ro-MD"/>
              </w:rPr>
            </w:pPr>
          </w:p>
          <w:p w14:paraId="6F9714AC" w14:textId="77777777" w:rsidR="0096656A" w:rsidRDefault="0096656A" w:rsidP="009A53B5">
            <w:pPr>
              <w:jc w:val="both"/>
              <w:rPr>
                <w:rFonts w:ascii="Times New Roman" w:eastAsia="Times New Roman" w:hAnsi="Times New Roman"/>
                <w:bCs/>
                <w:lang w:val="ro-MD"/>
              </w:rPr>
            </w:pPr>
          </w:p>
          <w:p w14:paraId="12011076" w14:textId="77777777" w:rsidR="0096656A" w:rsidRDefault="0096656A" w:rsidP="009A53B5">
            <w:pPr>
              <w:jc w:val="both"/>
              <w:rPr>
                <w:rFonts w:ascii="Times New Roman" w:eastAsia="Times New Roman" w:hAnsi="Times New Roman"/>
                <w:bCs/>
                <w:lang w:val="ro-MD"/>
              </w:rPr>
            </w:pPr>
          </w:p>
          <w:p w14:paraId="4DE129A7" w14:textId="77777777" w:rsidR="0096656A" w:rsidRDefault="0096656A" w:rsidP="009A53B5">
            <w:pPr>
              <w:jc w:val="both"/>
              <w:rPr>
                <w:rFonts w:ascii="Times New Roman" w:eastAsia="Times New Roman" w:hAnsi="Times New Roman"/>
                <w:bCs/>
                <w:lang w:val="ro-MD"/>
              </w:rPr>
            </w:pPr>
          </w:p>
          <w:p w14:paraId="5207BAA4" w14:textId="77777777" w:rsidR="0096656A" w:rsidRDefault="0096656A" w:rsidP="009A53B5">
            <w:pPr>
              <w:jc w:val="both"/>
              <w:rPr>
                <w:rFonts w:ascii="Times New Roman" w:eastAsia="Times New Roman" w:hAnsi="Times New Roman"/>
                <w:bCs/>
                <w:lang w:val="ro-MD"/>
              </w:rPr>
            </w:pPr>
          </w:p>
          <w:p w14:paraId="0D9010A7" w14:textId="77777777" w:rsidR="0096656A" w:rsidRDefault="0096656A" w:rsidP="009A53B5">
            <w:pPr>
              <w:jc w:val="both"/>
              <w:rPr>
                <w:rFonts w:ascii="Times New Roman" w:eastAsia="Times New Roman" w:hAnsi="Times New Roman"/>
                <w:bCs/>
                <w:lang w:val="ro-MD"/>
              </w:rPr>
            </w:pPr>
          </w:p>
          <w:p w14:paraId="6ADB9FCC" w14:textId="77777777" w:rsidR="0096656A" w:rsidRDefault="0096656A" w:rsidP="009A53B5">
            <w:pPr>
              <w:jc w:val="both"/>
              <w:rPr>
                <w:rFonts w:ascii="Times New Roman" w:eastAsia="Times New Roman" w:hAnsi="Times New Roman"/>
                <w:bCs/>
                <w:lang w:val="ro-MD"/>
              </w:rPr>
            </w:pPr>
          </w:p>
          <w:p w14:paraId="068E39BE" w14:textId="77777777" w:rsidR="0096656A" w:rsidRDefault="0096656A" w:rsidP="009A53B5">
            <w:pPr>
              <w:jc w:val="both"/>
              <w:rPr>
                <w:rFonts w:ascii="Times New Roman" w:eastAsia="Times New Roman" w:hAnsi="Times New Roman"/>
                <w:bCs/>
                <w:lang w:val="ro-MD"/>
              </w:rPr>
            </w:pPr>
          </w:p>
          <w:p w14:paraId="1949DF67" w14:textId="77777777" w:rsidR="0096656A" w:rsidRDefault="0096656A" w:rsidP="009A53B5">
            <w:pPr>
              <w:jc w:val="both"/>
              <w:rPr>
                <w:rFonts w:ascii="Times New Roman" w:eastAsia="Times New Roman" w:hAnsi="Times New Roman"/>
                <w:bCs/>
                <w:lang w:val="ro-MD"/>
              </w:rPr>
            </w:pPr>
          </w:p>
          <w:p w14:paraId="420C40CB" w14:textId="77777777" w:rsidR="0096656A" w:rsidRDefault="0096656A" w:rsidP="009A53B5">
            <w:pPr>
              <w:jc w:val="both"/>
              <w:rPr>
                <w:rFonts w:ascii="Times New Roman" w:eastAsia="Times New Roman" w:hAnsi="Times New Roman"/>
                <w:bCs/>
                <w:lang w:val="ro-MD"/>
              </w:rPr>
            </w:pPr>
          </w:p>
          <w:p w14:paraId="6B1E856F" w14:textId="348DC602" w:rsidR="0096656A" w:rsidRDefault="0096656A" w:rsidP="009A53B5">
            <w:pPr>
              <w:jc w:val="both"/>
              <w:rPr>
                <w:rFonts w:ascii="Times New Roman" w:eastAsia="Times New Roman" w:hAnsi="Times New Roman"/>
                <w:bCs/>
                <w:lang w:val="ro-MD"/>
              </w:rPr>
            </w:pPr>
            <w:r>
              <w:rPr>
                <w:rFonts w:ascii="Times New Roman" w:eastAsia="Times New Roman" w:hAnsi="Times New Roman"/>
                <w:bCs/>
                <w:lang w:val="ro-MD"/>
              </w:rPr>
              <w:t>Anexa nr.</w:t>
            </w:r>
            <w:r w:rsidR="00C23E6D">
              <w:rPr>
                <w:rFonts w:ascii="Times New Roman" w:eastAsia="Times New Roman" w:hAnsi="Times New Roman"/>
                <w:bCs/>
                <w:lang w:val="ro-MD"/>
              </w:rPr>
              <w:t>2</w:t>
            </w:r>
            <w:r w:rsidR="00EC1044">
              <w:rPr>
                <w:rFonts w:ascii="Times New Roman" w:eastAsia="Times New Roman" w:hAnsi="Times New Roman"/>
                <w:bCs/>
                <w:lang w:val="ro-MD"/>
              </w:rPr>
              <w:t>, p</w:t>
            </w:r>
            <w:r>
              <w:rPr>
                <w:rFonts w:ascii="Times New Roman" w:eastAsia="Times New Roman" w:hAnsi="Times New Roman"/>
                <w:bCs/>
                <w:lang w:val="ro-MD"/>
              </w:rPr>
              <w:t>ct.1</w:t>
            </w:r>
            <w:r w:rsidR="00C23E6D">
              <w:rPr>
                <w:rFonts w:ascii="Times New Roman" w:eastAsia="Times New Roman" w:hAnsi="Times New Roman"/>
                <w:bCs/>
                <w:lang w:val="ro-MD"/>
              </w:rPr>
              <w:t>2</w:t>
            </w:r>
            <w:r>
              <w:rPr>
                <w:rFonts w:ascii="Times New Roman" w:eastAsia="Times New Roman" w:hAnsi="Times New Roman"/>
                <w:bCs/>
                <w:lang w:val="ro-MD"/>
              </w:rPr>
              <w:t>.</w:t>
            </w:r>
            <w:r w:rsidR="00C23E6D">
              <w:rPr>
                <w:rFonts w:ascii="Times New Roman" w:eastAsia="Times New Roman" w:hAnsi="Times New Roman"/>
                <w:bCs/>
                <w:lang w:val="ro-MD"/>
              </w:rPr>
              <w:t>10</w:t>
            </w:r>
          </w:p>
          <w:p w14:paraId="0CF1DD6D" w14:textId="77777777" w:rsidR="00EC1044" w:rsidRDefault="00EC1044" w:rsidP="009A53B5">
            <w:pPr>
              <w:jc w:val="both"/>
              <w:rPr>
                <w:rFonts w:ascii="Times New Roman" w:eastAsia="Times New Roman" w:hAnsi="Times New Roman"/>
                <w:bCs/>
                <w:lang w:val="ro-MD"/>
              </w:rPr>
            </w:pPr>
          </w:p>
          <w:p w14:paraId="35C859DE" w14:textId="77777777" w:rsidR="00EC1044" w:rsidRDefault="00EC1044" w:rsidP="009A53B5">
            <w:pPr>
              <w:jc w:val="both"/>
              <w:rPr>
                <w:rFonts w:ascii="Times New Roman" w:eastAsia="Times New Roman" w:hAnsi="Times New Roman"/>
                <w:bCs/>
                <w:lang w:val="ro-MD"/>
              </w:rPr>
            </w:pPr>
          </w:p>
          <w:p w14:paraId="622C671F" w14:textId="77777777" w:rsidR="00EC1044" w:rsidRDefault="00EC1044" w:rsidP="009A53B5">
            <w:pPr>
              <w:jc w:val="both"/>
              <w:rPr>
                <w:rFonts w:ascii="Times New Roman" w:eastAsia="Times New Roman" w:hAnsi="Times New Roman"/>
                <w:bCs/>
                <w:lang w:val="ro-MD"/>
              </w:rPr>
            </w:pPr>
          </w:p>
          <w:p w14:paraId="5C7D096B" w14:textId="77777777" w:rsidR="00EC1044" w:rsidRDefault="00EC1044" w:rsidP="009A53B5">
            <w:pPr>
              <w:jc w:val="both"/>
              <w:rPr>
                <w:rFonts w:ascii="Times New Roman" w:eastAsia="Times New Roman" w:hAnsi="Times New Roman"/>
                <w:bCs/>
                <w:lang w:val="ro-MD"/>
              </w:rPr>
            </w:pPr>
          </w:p>
          <w:p w14:paraId="43DF430F" w14:textId="77777777" w:rsidR="00EC1044" w:rsidRDefault="00EC1044" w:rsidP="009A53B5">
            <w:pPr>
              <w:jc w:val="both"/>
              <w:rPr>
                <w:rFonts w:ascii="Times New Roman" w:eastAsia="Times New Roman" w:hAnsi="Times New Roman"/>
                <w:bCs/>
                <w:lang w:val="ro-MD"/>
              </w:rPr>
            </w:pPr>
          </w:p>
          <w:p w14:paraId="671C7395" w14:textId="77777777" w:rsidR="00EC1044" w:rsidRDefault="00EC1044" w:rsidP="009A53B5">
            <w:pPr>
              <w:jc w:val="both"/>
              <w:rPr>
                <w:rFonts w:ascii="Times New Roman" w:eastAsia="Times New Roman" w:hAnsi="Times New Roman"/>
                <w:bCs/>
                <w:lang w:val="ro-MD"/>
              </w:rPr>
            </w:pPr>
          </w:p>
          <w:p w14:paraId="498B12DD" w14:textId="09147431" w:rsidR="00EC1044" w:rsidRDefault="00EC1044" w:rsidP="00EC1044">
            <w:pPr>
              <w:jc w:val="both"/>
              <w:rPr>
                <w:rFonts w:ascii="Times New Roman" w:eastAsia="Times New Roman" w:hAnsi="Times New Roman"/>
                <w:bCs/>
                <w:lang w:val="ro-MD"/>
              </w:rPr>
            </w:pPr>
            <w:r w:rsidRPr="00EC1044">
              <w:rPr>
                <w:rFonts w:ascii="Times New Roman" w:eastAsia="Times New Roman" w:hAnsi="Times New Roman"/>
                <w:bCs/>
                <w:lang w:val="ro-MD"/>
              </w:rPr>
              <w:t>Anexa nr.</w:t>
            </w:r>
            <w:r w:rsidR="00C23E6D">
              <w:rPr>
                <w:rFonts w:ascii="Times New Roman" w:eastAsia="Times New Roman" w:hAnsi="Times New Roman"/>
                <w:bCs/>
                <w:lang w:val="ro-MD"/>
              </w:rPr>
              <w:t>2</w:t>
            </w:r>
            <w:r w:rsidRPr="00EC1044">
              <w:rPr>
                <w:rFonts w:ascii="Times New Roman" w:eastAsia="Times New Roman" w:hAnsi="Times New Roman"/>
                <w:bCs/>
                <w:lang w:val="ro-MD"/>
              </w:rPr>
              <w:t>, pct.</w:t>
            </w:r>
            <w:r>
              <w:rPr>
                <w:rFonts w:ascii="Times New Roman" w:eastAsia="Times New Roman" w:hAnsi="Times New Roman"/>
                <w:bCs/>
                <w:lang w:val="ro-MD"/>
              </w:rPr>
              <w:t>2</w:t>
            </w:r>
            <w:r w:rsidR="00C23E6D">
              <w:rPr>
                <w:rFonts w:ascii="Times New Roman" w:eastAsia="Times New Roman" w:hAnsi="Times New Roman"/>
                <w:bCs/>
                <w:lang w:val="ro-MD"/>
              </w:rPr>
              <w:t>9</w:t>
            </w:r>
          </w:p>
          <w:p w14:paraId="775F8C29" w14:textId="77777777" w:rsidR="00EC1044" w:rsidRDefault="00EC1044" w:rsidP="00EC1044">
            <w:pPr>
              <w:jc w:val="both"/>
              <w:rPr>
                <w:rFonts w:ascii="Times New Roman" w:eastAsia="Times New Roman" w:hAnsi="Times New Roman"/>
                <w:bCs/>
                <w:lang w:val="ro-MD"/>
              </w:rPr>
            </w:pPr>
          </w:p>
          <w:p w14:paraId="279105F8" w14:textId="77777777" w:rsidR="00EC1044" w:rsidRDefault="00EC1044" w:rsidP="00EC1044">
            <w:pPr>
              <w:jc w:val="both"/>
              <w:rPr>
                <w:rFonts w:ascii="Times New Roman" w:eastAsia="Times New Roman" w:hAnsi="Times New Roman"/>
                <w:bCs/>
                <w:lang w:val="ro-MD"/>
              </w:rPr>
            </w:pPr>
          </w:p>
          <w:p w14:paraId="019EC55A" w14:textId="77777777" w:rsidR="00EC1044" w:rsidRDefault="00EC1044" w:rsidP="00EC1044">
            <w:pPr>
              <w:jc w:val="both"/>
              <w:rPr>
                <w:rFonts w:ascii="Times New Roman" w:eastAsia="Times New Roman" w:hAnsi="Times New Roman"/>
                <w:bCs/>
                <w:lang w:val="ro-MD"/>
              </w:rPr>
            </w:pPr>
          </w:p>
          <w:p w14:paraId="4305C165" w14:textId="77777777" w:rsidR="00EC1044" w:rsidRDefault="00EC1044" w:rsidP="00EC1044">
            <w:pPr>
              <w:jc w:val="both"/>
              <w:rPr>
                <w:rFonts w:ascii="Times New Roman" w:eastAsia="Times New Roman" w:hAnsi="Times New Roman"/>
                <w:bCs/>
                <w:lang w:val="ro-MD"/>
              </w:rPr>
            </w:pPr>
          </w:p>
          <w:p w14:paraId="4ED92645" w14:textId="77777777" w:rsidR="00EC1044" w:rsidRDefault="00EC1044" w:rsidP="00EC1044">
            <w:pPr>
              <w:jc w:val="both"/>
              <w:rPr>
                <w:rFonts w:ascii="Times New Roman" w:eastAsia="Times New Roman" w:hAnsi="Times New Roman"/>
                <w:bCs/>
                <w:lang w:val="ro-MD"/>
              </w:rPr>
            </w:pPr>
          </w:p>
          <w:p w14:paraId="7B9DFD8E" w14:textId="321FA565" w:rsidR="00EC1044" w:rsidRDefault="00EC1044" w:rsidP="00EC1044">
            <w:pPr>
              <w:jc w:val="both"/>
              <w:rPr>
                <w:rFonts w:ascii="Times New Roman" w:eastAsia="Times New Roman" w:hAnsi="Times New Roman"/>
                <w:bCs/>
                <w:lang w:val="ro-MD"/>
              </w:rPr>
            </w:pPr>
            <w:r w:rsidRPr="00EC1044">
              <w:rPr>
                <w:rFonts w:ascii="Times New Roman" w:eastAsia="Times New Roman" w:hAnsi="Times New Roman"/>
                <w:bCs/>
                <w:lang w:val="ro-MD"/>
              </w:rPr>
              <w:t>Anexa nr.</w:t>
            </w:r>
            <w:r w:rsidR="00C23E6D">
              <w:rPr>
                <w:rFonts w:ascii="Times New Roman" w:eastAsia="Times New Roman" w:hAnsi="Times New Roman"/>
                <w:bCs/>
                <w:lang w:val="ro-MD"/>
              </w:rPr>
              <w:t>2</w:t>
            </w:r>
            <w:r w:rsidRPr="00EC1044">
              <w:rPr>
                <w:rFonts w:ascii="Times New Roman" w:eastAsia="Times New Roman" w:hAnsi="Times New Roman"/>
                <w:bCs/>
                <w:lang w:val="ro-MD"/>
              </w:rPr>
              <w:t>, pct.</w:t>
            </w:r>
            <w:r>
              <w:rPr>
                <w:rFonts w:ascii="Times New Roman" w:eastAsia="Times New Roman" w:hAnsi="Times New Roman"/>
                <w:bCs/>
                <w:lang w:val="ro-MD"/>
              </w:rPr>
              <w:t>12</w:t>
            </w:r>
            <w:r w:rsidR="00C23E6D">
              <w:rPr>
                <w:rFonts w:ascii="Times New Roman" w:eastAsia="Times New Roman" w:hAnsi="Times New Roman"/>
                <w:bCs/>
                <w:lang w:val="ro-MD"/>
              </w:rPr>
              <w:t>3</w:t>
            </w:r>
            <w:r>
              <w:rPr>
                <w:rFonts w:ascii="Times New Roman" w:eastAsia="Times New Roman" w:hAnsi="Times New Roman"/>
                <w:bCs/>
                <w:lang w:val="ro-MD"/>
              </w:rPr>
              <w:t>-12</w:t>
            </w:r>
            <w:r w:rsidR="00C23E6D">
              <w:rPr>
                <w:rFonts w:ascii="Times New Roman" w:eastAsia="Times New Roman" w:hAnsi="Times New Roman"/>
                <w:bCs/>
                <w:lang w:val="ro-MD"/>
              </w:rPr>
              <w:t>4</w:t>
            </w:r>
          </w:p>
          <w:p w14:paraId="77151E47" w14:textId="77777777" w:rsidR="00EC1044" w:rsidRDefault="00EC1044" w:rsidP="00EC1044">
            <w:pPr>
              <w:jc w:val="both"/>
              <w:rPr>
                <w:rFonts w:ascii="Times New Roman" w:eastAsia="Times New Roman" w:hAnsi="Times New Roman"/>
                <w:bCs/>
                <w:lang w:val="ro-MD"/>
              </w:rPr>
            </w:pPr>
          </w:p>
          <w:p w14:paraId="00378701" w14:textId="77777777" w:rsidR="00EC1044" w:rsidRDefault="00EC1044" w:rsidP="00EC1044">
            <w:pPr>
              <w:jc w:val="both"/>
              <w:rPr>
                <w:rFonts w:ascii="Times New Roman" w:eastAsia="Times New Roman" w:hAnsi="Times New Roman"/>
                <w:bCs/>
                <w:lang w:val="ro-MD"/>
              </w:rPr>
            </w:pPr>
          </w:p>
          <w:p w14:paraId="6D42D28E" w14:textId="77777777" w:rsidR="00EC1044" w:rsidRDefault="00EC1044" w:rsidP="00EC1044">
            <w:pPr>
              <w:jc w:val="both"/>
              <w:rPr>
                <w:rFonts w:ascii="Times New Roman" w:eastAsia="Times New Roman" w:hAnsi="Times New Roman"/>
                <w:bCs/>
                <w:lang w:val="ro-MD"/>
              </w:rPr>
            </w:pPr>
          </w:p>
          <w:p w14:paraId="37947D56" w14:textId="77777777" w:rsidR="00EC1044" w:rsidRDefault="00EC1044" w:rsidP="00EC1044">
            <w:pPr>
              <w:jc w:val="both"/>
              <w:rPr>
                <w:rFonts w:ascii="Times New Roman" w:eastAsia="Times New Roman" w:hAnsi="Times New Roman"/>
                <w:bCs/>
                <w:lang w:val="ro-MD"/>
              </w:rPr>
            </w:pPr>
          </w:p>
          <w:p w14:paraId="569915BF" w14:textId="77777777" w:rsidR="00EC1044" w:rsidRDefault="00EC1044" w:rsidP="00EC1044">
            <w:pPr>
              <w:jc w:val="both"/>
              <w:rPr>
                <w:rFonts w:ascii="Times New Roman" w:eastAsia="Times New Roman" w:hAnsi="Times New Roman"/>
                <w:bCs/>
                <w:lang w:val="ro-MD"/>
              </w:rPr>
            </w:pPr>
          </w:p>
          <w:p w14:paraId="49E4217E" w14:textId="77777777" w:rsidR="00EC1044" w:rsidRDefault="00EC1044" w:rsidP="00EC1044">
            <w:pPr>
              <w:jc w:val="both"/>
              <w:rPr>
                <w:rFonts w:ascii="Times New Roman" w:eastAsia="Times New Roman" w:hAnsi="Times New Roman"/>
                <w:bCs/>
                <w:lang w:val="ro-MD"/>
              </w:rPr>
            </w:pPr>
          </w:p>
          <w:p w14:paraId="4FE5C832" w14:textId="77777777" w:rsidR="00EC1044" w:rsidRDefault="00EC1044" w:rsidP="00EC1044">
            <w:pPr>
              <w:jc w:val="both"/>
              <w:rPr>
                <w:rFonts w:ascii="Times New Roman" w:eastAsia="Times New Roman" w:hAnsi="Times New Roman"/>
                <w:bCs/>
                <w:lang w:val="ro-MD"/>
              </w:rPr>
            </w:pPr>
          </w:p>
          <w:p w14:paraId="3D3E15CF" w14:textId="77777777" w:rsidR="00EC1044" w:rsidRDefault="00EC1044" w:rsidP="00EC1044">
            <w:pPr>
              <w:jc w:val="both"/>
              <w:rPr>
                <w:rFonts w:ascii="Times New Roman" w:eastAsia="Times New Roman" w:hAnsi="Times New Roman"/>
                <w:bCs/>
                <w:lang w:val="ro-MD"/>
              </w:rPr>
            </w:pPr>
          </w:p>
          <w:p w14:paraId="11D77268" w14:textId="77777777" w:rsidR="00EC1044" w:rsidRDefault="00EC1044" w:rsidP="00EC1044">
            <w:pPr>
              <w:jc w:val="both"/>
              <w:rPr>
                <w:rFonts w:ascii="Times New Roman" w:eastAsia="Times New Roman" w:hAnsi="Times New Roman"/>
                <w:bCs/>
                <w:lang w:val="ro-MD"/>
              </w:rPr>
            </w:pPr>
          </w:p>
          <w:p w14:paraId="114CA8D8" w14:textId="77777777" w:rsidR="00EC1044" w:rsidRDefault="00EC1044" w:rsidP="00EC1044">
            <w:pPr>
              <w:jc w:val="both"/>
              <w:rPr>
                <w:rFonts w:ascii="Times New Roman" w:eastAsia="Times New Roman" w:hAnsi="Times New Roman"/>
                <w:bCs/>
                <w:lang w:val="ro-MD"/>
              </w:rPr>
            </w:pPr>
          </w:p>
          <w:p w14:paraId="44F62EA0" w14:textId="77777777" w:rsidR="00EC1044" w:rsidRDefault="00EC1044" w:rsidP="00EC1044">
            <w:pPr>
              <w:jc w:val="both"/>
              <w:rPr>
                <w:rFonts w:ascii="Times New Roman" w:eastAsia="Times New Roman" w:hAnsi="Times New Roman"/>
                <w:bCs/>
                <w:lang w:val="ro-MD"/>
              </w:rPr>
            </w:pPr>
          </w:p>
          <w:p w14:paraId="336786E5" w14:textId="77777777" w:rsidR="007B6484" w:rsidRDefault="007B6484" w:rsidP="007B6484">
            <w:pPr>
              <w:jc w:val="both"/>
              <w:rPr>
                <w:rFonts w:ascii="Times New Roman" w:eastAsia="Times New Roman" w:hAnsi="Times New Roman"/>
                <w:bCs/>
                <w:lang w:val="ro-MD"/>
              </w:rPr>
            </w:pPr>
          </w:p>
          <w:p w14:paraId="25AEBFB5" w14:textId="77777777" w:rsidR="007B6484" w:rsidRDefault="007B6484" w:rsidP="007B6484">
            <w:pPr>
              <w:jc w:val="both"/>
              <w:rPr>
                <w:rFonts w:ascii="Times New Roman" w:eastAsia="Times New Roman" w:hAnsi="Times New Roman"/>
                <w:bCs/>
                <w:lang w:val="ro-MD"/>
              </w:rPr>
            </w:pPr>
          </w:p>
          <w:p w14:paraId="3BFD454A" w14:textId="06FE715A" w:rsidR="007B6484" w:rsidRDefault="007B6484" w:rsidP="007B6484">
            <w:pPr>
              <w:jc w:val="both"/>
              <w:rPr>
                <w:rFonts w:ascii="Times New Roman" w:eastAsia="Times New Roman" w:hAnsi="Times New Roman"/>
                <w:bCs/>
                <w:lang w:val="ro-MD"/>
              </w:rPr>
            </w:pPr>
            <w:r w:rsidRPr="007B6484">
              <w:rPr>
                <w:rFonts w:ascii="Times New Roman" w:eastAsia="Times New Roman" w:hAnsi="Times New Roman"/>
                <w:bCs/>
                <w:lang w:val="ro-MD"/>
              </w:rPr>
              <w:t>Anexa nr.</w:t>
            </w:r>
            <w:r w:rsidR="00C23E6D">
              <w:rPr>
                <w:rFonts w:ascii="Times New Roman" w:eastAsia="Times New Roman" w:hAnsi="Times New Roman"/>
                <w:bCs/>
                <w:lang w:val="ro-MD"/>
              </w:rPr>
              <w:t>2</w:t>
            </w:r>
            <w:r w:rsidRPr="007B6484">
              <w:rPr>
                <w:rFonts w:ascii="Times New Roman" w:eastAsia="Times New Roman" w:hAnsi="Times New Roman"/>
                <w:bCs/>
                <w:lang w:val="ro-MD"/>
              </w:rPr>
              <w:t>, pct.</w:t>
            </w:r>
            <w:r>
              <w:rPr>
                <w:rFonts w:ascii="Times New Roman" w:eastAsia="Times New Roman" w:hAnsi="Times New Roman"/>
                <w:bCs/>
                <w:lang w:val="ro-MD"/>
              </w:rPr>
              <w:t>153.3</w:t>
            </w:r>
          </w:p>
          <w:p w14:paraId="7E580D1C" w14:textId="77777777" w:rsidR="007B6484" w:rsidRDefault="007B6484" w:rsidP="007B6484">
            <w:pPr>
              <w:jc w:val="both"/>
              <w:rPr>
                <w:rFonts w:ascii="Times New Roman" w:eastAsia="Times New Roman" w:hAnsi="Times New Roman"/>
                <w:bCs/>
                <w:lang w:val="ro-MD"/>
              </w:rPr>
            </w:pPr>
          </w:p>
          <w:p w14:paraId="12FBD439" w14:textId="77777777" w:rsidR="007B6484" w:rsidRDefault="007B6484" w:rsidP="007B6484">
            <w:pPr>
              <w:jc w:val="both"/>
              <w:rPr>
                <w:rFonts w:ascii="Times New Roman" w:eastAsia="Times New Roman" w:hAnsi="Times New Roman"/>
                <w:bCs/>
                <w:lang w:val="ro-MD"/>
              </w:rPr>
            </w:pPr>
          </w:p>
          <w:p w14:paraId="62095BA8" w14:textId="77777777" w:rsidR="007B6484" w:rsidRPr="007B6484" w:rsidRDefault="007B6484" w:rsidP="007B6484">
            <w:pPr>
              <w:jc w:val="both"/>
              <w:rPr>
                <w:rFonts w:ascii="Times New Roman" w:eastAsia="Times New Roman" w:hAnsi="Times New Roman"/>
                <w:bCs/>
                <w:lang w:val="ro-MD"/>
              </w:rPr>
            </w:pPr>
          </w:p>
          <w:p w14:paraId="1C0E2AC7" w14:textId="77777777" w:rsidR="007B6484" w:rsidRPr="007B6484" w:rsidRDefault="007B6484" w:rsidP="007B6484">
            <w:pPr>
              <w:jc w:val="both"/>
              <w:rPr>
                <w:rFonts w:ascii="Times New Roman" w:eastAsia="Times New Roman" w:hAnsi="Times New Roman"/>
                <w:bCs/>
                <w:lang w:val="ro-MD"/>
              </w:rPr>
            </w:pPr>
          </w:p>
          <w:p w14:paraId="668BD99A" w14:textId="77777777" w:rsidR="00EC1044" w:rsidRPr="00EC1044" w:rsidRDefault="00EC1044" w:rsidP="00EC1044">
            <w:pPr>
              <w:jc w:val="both"/>
              <w:rPr>
                <w:rFonts w:ascii="Times New Roman" w:eastAsia="Times New Roman" w:hAnsi="Times New Roman"/>
                <w:bCs/>
                <w:lang w:val="ro-MD"/>
              </w:rPr>
            </w:pPr>
          </w:p>
          <w:p w14:paraId="1E27C376" w14:textId="7B66841D" w:rsidR="007B6484" w:rsidRDefault="007B6484" w:rsidP="007B6484">
            <w:pPr>
              <w:jc w:val="both"/>
              <w:rPr>
                <w:rFonts w:ascii="Times New Roman" w:eastAsia="Times New Roman" w:hAnsi="Times New Roman"/>
                <w:bCs/>
                <w:lang w:val="ro-MD"/>
              </w:rPr>
            </w:pPr>
            <w:r w:rsidRPr="007B6484">
              <w:rPr>
                <w:rFonts w:ascii="Times New Roman" w:eastAsia="Times New Roman" w:hAnsi="Times New Roman"/>
                <w:bCs/>
                <w:lang w:val="ro-MD"/>
              </w:rPr>
              <w:t>Anexa nr.</w:t>
            </w:r>
            <w:r w:rsidR="00C23E6D">
              <w:rPr>
                <w:rFonts w:ascii="Times New Roman" w:eastAsia="Times New Roman" w:hAnsi="Times New Roman"/>
                <w:bCs/>
                <w:lang w:val="ro-MD"/>
              </w:rPr>
              <w:t>2</w:t>
            </w:r>
            <w:r w:rsidRPr="007B6484">
              <w:rPr>
                <w:rFonts w:ascii="Times New Roman" w:eastAsia="Times New Roman" w:hAnsi="Times New Roman"/>
                <w:bCs/>
                <w:lang w:val="ro-MD"/>
              </w:rPr>
              <w:t>, pct.</w:t>
            </w:r>
            <w:r>
              <w:rPr>
                <w:rFonts w:ascii="Times New Roman" w:eastAsia="Times New Roman" w:hAnsi="Times New Roman"/>
                <w:bCs/>
                <w:lang w:val="ro-MD"/>
              </w:rPr>
              <w:t>168</w:t>
            </w:r>
          </w:p>
          <w:p w14:paraId="76824986" w14:textId="77777777" w:rsidR="007B6484" w:rsidRDefault="007B6484" w:rsidP="007B6484">
            <w:pPr>
              <w:jc w:val="both"/>
              <w:rPr>
                <w:rFonts w:ascii="Times New Roman" w:eastAsia="Times New Roman" w:hAnsi="Times New Roman"/>
                <w:bCs/>
                <w:lang w:val="ro-MD"/>
              </w:rPr>
            </w:pPr>
          </w:p>
          <w:p w14:paraId="7F4B9AB4" w14:textId="77777777" w:rsidR="007B6484" w:rsidRDefault="007B6484" w:rsidP="007B6484">
            <w:pPr>
              <w:jc w:val="both"/>
              <w:rPr>
                <w:rFonts w:ascii="Times New Roman" w:eastAsia="Times New Roman" w:hAnsi="Times New Roman"/>
                <w:bCs/>
                <w:lang w:val="ro-MD"/>
              </w:rPr>
            </w:pPr>
          </w:p>
          <w:p w14:paraId="127AE381" w14:textId="77777777" w:rsidR="007B6484" w:rsidRDefault="007B6484" w:rsidP="007B6484">
            <w:pPr>
              <w:jc w:val="both"/>
              <w:rPr>
                <w:rFonts w:ascii="Times New Roman" w:eastAsia="Times New Roman" w:hAnsi="Times New Roman"/>
                <w:bCs/>
                <w:lang w:val="ro-MD"/>
              </w:rPr>
            </w:pPr>
          </w:p>
          <w:p w14:paraId="0F7685F0" w14:textId="77777777" w:rsidR="007B6484" w:rsidRDefault="007B6484" w:rsidP="007B6484">
            <w:pPr>
              <w:jc w:val="both"/>
              <w:rPr>
                <w:rFonts w:ascii="Times New Roman" w:eastAsia="Times New Roman" w:hAnsi="Times New Roman"/>
                <w:bCs/>
                <w:lang w:val="ro-MD"/>
              </w:rPr>
            </w:pPr>
          </w:p>
          <w:p w14:paraId="50FCF2E5" w14:textId="77777777" w:rsidR="007B6484" w:rsidRDefault="007B6484" w:rsidP="007B6484">
            <w:pPr>
              <w:jc w:val="both"/>
              <w:rPr>
                <w:rFonts w:ascii="Times New Roman" w:eastAsia="Times New Roman" w:hAnsi="Times New Roman"/>
                <w:bCs/>
                <w:lang w:val="ro-MD"/>
              </w:rPr>
            </w:pPr>
          </w:p>
          <w:p w14:paraId="12FF2990" w14:textId="77777777" w:rsidR="007B6484" w:rsidRDefault="007B6484" w:rsidP="007B6484">
            <w:pPr>
              <w:jc w:val="both"/>
              <w:rPr>
                <w:rFonts w:ascii="Times New Roman" w:eastAsia="Times New Roman" w:hAnsi="Times New Roman"/>
                <w:bCs/>
                <w:lang w:val="ro-MD"/>
              </w:rPr>
            </w:pPr>
          </w:p>
          <w:p w14:paraId="61EA4224" w14:textId="77777777" w:rsidR="007B6484" w:rsidRDefault="007B6484" w:rsidP="007B6484">
            <w:pPr>
              <w:jc w:val="both"/>
              <w:rPr>
                <w:rFonts w:ascii="Times New Roman" w:eastAsia="Times New Roman" w:hAnsi="Times New Roman"/>
                <w:bCs/>
                <w:lang w:val="ro-MD"/>
              </w:rPr>
            </w:pPr>
          </w:p>
          <w:p w14:paraId="72F84E32" w14:textId="77777777" w:rsidR="007B6484" w:rsidRDefault="007B6484" w:rsidP="007B6484">
            <w:pPr>
              <w:jc w:val="both"/>
              <w:rPr>
                <w:rFonts w:ascii="Times New Roman" w:eastAsia="Times New Roman" w:hAnsi="Times New Roman"/>
                <w:bCs/>
                <w:lang w:val="ro-MD"/>
              </w:rPr>
            </w:pPr>
          </w:p>
          <w:p w14:paraId="3ADCBC51" w14:textId="77777777" w:rsidR="007B6484" w:rsidRDefault="007B6484" w:rsidP="007B6484">
            <w:pPr>
              <w:jc w:val="both"/>
              <w:rPr>
                <w:rFonts w:ascii="Times New Roman" w:eastAsia="Times New Roman" w:hAnsi="Times New Roman"/>
                <w:bCs/>
                <w:lang w:val="ro-MD"/>
              </w:rPr>
            </w:pPr>
          </w:p>
          <w:p w14:paraId="4131357C" w14:textId="77777777" w:rsidR="007B6484" w:rsidRDefault="007B6484" w:rsidP="007B6484">
            <w:pPr>
              <w:jc w:val="both"/>
              <w:rPr>
                <w:rFonts w:ascii="Times New Roman" w:eastAsia="Times New Roman" w:hAnsi="Times New Roman"/>
                <w:bCs/>
                <w:lang w:val="ro-MD"/>
              </w:rPr>
            </w:pPr>
          </w:p>
          <w:p w14:paraId="17DDA985" w14:textId="77777777" w:rsidR="007B6484" w:rsidRDefault="007B6484" w:rsidP="007B6484">
            <w:pPr>
              <w:jc w:val="both"/>
              <w:rPr>
                <w:rFonts w:ascii="Times New Roman" w:eastAsia="Times New Roman" w:hAnsi="Times New Roman"/>
                <w:bCs/>
                <w:lang w:val="ro-MD"/>
              </w:rPr>
            </w:pPr>
          </w:p>
          <w:p w14:paraId="2DBD1421" w14:textId="77777777" w:rsidR="007B6484" w:rsidRDefault="007B6484" w:rsidP="007B6484">
            <w:pPr>
              <w:jc w:val="both"/>
              <w:rPr>
                <w:rFonts w:ascii="Times New Roman" w:eastAsia="Times New Roman" w:hAnsi="Times New Roman"/>
                <w:bCs/>
                <w:lang w:val="ro-MD"/>
              </w:rPr>
            </w:pPr>
          </w:p>
          <w:p w14:paraId="49BA1466" w14:textId="77777777" w:rsidR="007B6484" w:rsidRDefault="007B6484" w:rsidP="007B6484">
            <w:pPr>
              <w:jc w:val="both"/>
              <w:rPr>
                <w:rFonts w:ascii="Times New Roman" w:eastAsia="Times New Roman" w:hAnsi="Times New Roman"/>
                <w:bCs/>
                <w:lang w:val="ro-MD"/>
              </w:rPr>
            </w:pPr>
          </w:p>
          <w:p w14:paraId="02AD61CD" w14:textId="77777777" w:rsidR="007B6484" w:rsidRDefault="007B6484" w:rsidP="007B6484">
            <w:pPr>
              <w:jc w:val="both"/>
              <w:rPr>
                <w:rFonts w:ascii="Times New Roman" w:eastAsia="Times New Roman" w:hAnsi="Times New Roman"/>
                <w:bCs/>
                <w:lang w:val="ro-MD"/>
              </w:rPr>
            </w:pPr>
          </w:p>
          <w:p w14:paraId="508DB9A8" w14:textId="77777777" w:rsidR="007B6484" w:rsidRDefault="007B6484" w:rsidP="007B6484">
            <w:pPr>
              <w:jc w:val="both"/>
              <w:rPr>
                <w:rFonts w:ascii="Times New Roman" w:eastAsia="Times New Roman" w:hAnsi="Times New Roman"/>
                <w:bCs/>
                <w:lang w:val="ro-MD"/>
              </w:rPr>
            </w:pPr>
          </w:p>
          <w:p w14:paraId="6818471C" w14:textId="77777777" w:rsidR="007B6484" w:rsidRDefault="007B6484" w:rsidP="007B6484">
            <w:pPr>
              <w:jc w:val="both"/>
              <w:rPr>
                <w:rFonts w:ascii="Times New Roman" w:eastAsia="Times New Roman" w:hAnsi="Times New Roman"/>
                <w:bCs/>
                <w:lang w:val="ro-MD"/>
              </w:rPr>
            </w:pPr>
          </w:p>
          <w:p w14:paraId="066CEF4B" w14:textId="77777777" w:rsidR="007B6484" w:rsidRDefault="007B6484" w:rsidP="007B6484">
            <w:pPr>
              <w:jc w:val="both"/>
              <w:rPr>
                <w:rFonts w:ascii="Times New Roman" w:eastAsia="Times New Roman" w:hAnsi="Times New Roman"/>
                <w:bCs/>
                <w:lang w:val="ro-MD"/>
              </w:rPr>
            </w:pPr>
          </w:p>
          <w:p w14:paraId="1C24B5DD" w14:textId="77777777" w:rsidR="007B6484" w:rsidRDefault="007B6484" w:rsidP="007B6484">
            <w:pPr>
              <w:jc w:val="both"/>
              <w:rPr>
                <w:rFonts w:ascii="Times New Roman" w:eastAsia="Times New Roman" w:hAnsi="Times New Roman"/>
                <w:bCs/>
                <w:lang w:val="ro-MD"/>
              </w:rPr>
            </w:pPr>
          </w:p>
          <w:p w14:paraId="476199CE" w14:textId="77777777" w:rsidR="007B6484" w:rsidRDefault="007B6484" w:rsidP="007B6484">
            <w:pPr>
              <w:jc w:val="both"/>
              <w:rPr>
                <w:rFonts w:ascii="Times New Roman" w:eastAsia="Times New Roman" w:hAnsi="Times New Roman"/>
                <w:bCs/>
                <w:lang w:val="ro-MD"/>
              </w:rPr>
            </w:pPr>
          </w:p>
          <w:p w14:paraId="0656485C" w14:textId="77777777" w:rsidR="007B6484" w:rsidRDefault="007B6484" w:rsidP="007B6484">
            <w:pPr>
              <w:jc w:val="both"/>
              <w:rPr>
                <w:rFonts w:ascii="Times New Roman" w:eastAsia="Times New Roman" w:hAnsi="Times New Roman"/>
                <w:bCs/>
                <w:lang w:val="ro-MD"/>
              </w:rPr>
            </w:pPr>
          </w:p>
          <w:p w14:paraId="3722A0B4" w14:textId="77777777" w:rsidR="007B6484" w:rsidRDefault="007B6484" w:rsidP="007B6484">
            <w:pPr>
              <w:jc w:val="both"/>
              <w:rPr>
                <w:rFonts w:ascii="Times New Roman" w:eastAsia="Times New Roman" w:hAnsi="Times New Roman"/>
                <w:bCs/>
                <w:lang w:val="ro-MD"/>
              </w:rPr>
            </w:pPr>
          </w:p>
          <w:p w14:paraId="467BE478" w14:textId="77777777" w:rsidR="007B6484" w:rsidRDefault="007B6484" w:rsidP="007B6484">
            <w:pPr>
              <w:jc w:val="both"/>
              <w:rPr>
                <w:rFonts w:ascii="Times New Roman" w:eastAsia="Times New Roman" w:hAnsi="Times New Roman"/>
                <w:bCs/>
                <w:lang w:val="ro-MD"/>
              </w:rPr>
            </w:pPr>
          </w:p>
          <w:p w14:paraId="19F8A996" w14:textId="77777777" w:rsidR="007B6484" w:rsidRDefault="007B6484" w:rsidP="007B6484">
            <w:pPr>
              <w:jc w:val="both"/>
              <w:rPr>
                <w:rFonts w:ascii="Times New Roman" w:eastAsia="Times New Roman" w:hAnsi="Times New Roman"/>
                <w:bCs/>
                <w:lang w:val="ro-MD"/>
              </w:rPr>
            </w:pPr>
          </w:p>
          <w:p w14:paraId="738E98BC" w14:textId="77777777" w:rsidR="007B6484" w:rsidRDefault="007B6484" w:rsidP="007B6484">
            <w:pPr>
              <w:jc w:val="both"/>
              <w:rPr>
                <w:rFonts w:ascii="Times New Roman" w:eastAsia="Times New Roman" w:hAnsi="Times New Roman"/>
                <w:bCs/>
                <w:lang w:val="ro-MD"/>
              </w:rPr>
            </w:pPr>
          </w:p>
          <w:p w14:paraId="40865BCF" w14:textId="77777777" w:rsidR="007B6484" w:rsidRDefault="007B6484" w:rsidP="007B6484">
            <w:pPr>
              <w:jc w:val="both"/>
              <w:rPr>
                <w:rFonts w:ascii="Times New Roman" w:eastAsia="Times New Roman" w:hAnsi="Times New Roman"/>
                <w:bCs/>
                <w:lang w:val="ro-MD"/>
              </w:rPr>
            </w:pPr>
          </w:p>
          <w:p w14:paraId="7D7CE33F" w14:textId="77777777" w:rsidR="007B6484" w:rsidRDefault="007B6484" w:rsidP="007B6484">
            <w:pPr>
              <w:jc w:val="both"/>
              <w:rPr>
                <w:rFonts w:ascii="Times New Roman" w:eastAsia="Times New Roman" w:hAnsi="Times New Roman"/>
                <w:bCs/>
                <w:lang w:val="ro-MD"/>
              </w:rPr>
            </w:pPr>
          </w:p>
          <w:p w14:paraId="3B26D9EE" w14:textId="77777777" w:rsidR="007B6484" w:rsidRDefault="007B6484" w:rsidP="007B6484">
            <w:pPr>
              <w:jc w:val="both"/>
              <w:rPr>
                <w:rFonts w:ascii="Times New Roman" w:eastAsia="Times New Roman" w:hAnsi="Times New Roman"/>
                <w:bCs/>
                <w:lang w:val="ro-MD"/>
              </w:rPr>
            </w:pPr>
          </w:p>
          <w:p w14:paraId="5C83449E" w14:textId="77777777" w:rsidR="007B6484" w:rsidRDefault="007B6484" w:rsidP="007B6484">
            <w:pPr>
              <w:jc w:val="both"/>
              <w:rPr>
                <w:rFonts w:ascii="Times New Roman" w:eastAsia="Times New Roman" w:hAnsi="Times New Roman"/>
                <w:bCs/>
                <w:lang w:val="ro-MD"/>
              </w:rPr>
            </w:pPr>
          </w:p>
          <w:p w14:paraId="32EC5457" w14:textId="77777777" w:rsidR="007B6484" w:rsidRDefault="007B6484" w:rsidP="007B6484">
            <w:pPr>
              <w:jc w:val="both"/>
              <w:rPr>
                <w:rFonts w:ascii="Times New Roman" w:eastAsia="Times New Roman" w:hAnsi="Times New Roman"/>
                <w:bCs/>
                <w:lang w:val="ro-MD"/>
              </w:rPr>
            </w:pPr>
          </w:p>
          <w:p w14:paraId="2F6C5982" w14:textId="77777777" w:rsidR="007B6484" w:rsidRDefault="007B6484" w:rsidP="007B6484">
            <w:pPr>
              <w:jc w:val="both"/>
              <w:rPr>
                <w:rFonts w:ascii="Times New Roman" w:eastAsia="Times New Roman" w:hAnsi="Times New Roman"/>
                <w:bCs/>
                <w:lang w:val="ro-MD"/>
              </w:rPr>
            </w:pPr>
          </w:p>
          <w:p w14:paraId="6AB2AA23" w14:textId="77777777" w:rsidR="007B6484" w:rsidRDefault="007B6484" w:rsidP="007B6484">
            <w:pPr>
              <w:jc w:val="both"/>
              <w:rPr>
                <w:rFonts w:ascii="Times New Roman" w:eastAsia="Times New Roman" w:hAnsi="Times New Roman"/>
                <w:bCs/>
                <w:lang w:val="ro-MD"/>
              </w:rPr>
            </w:pPr>
          </w:p>
          <w:p w14:paraId="6335FFB7" w14:textId="6C7D41AC" w:rsidR="007B6484" w:rsidRPr="007B6484" w:rsidRDefault="007B6484" w:rsidP="007B6484">
            <w:pPr>
              <w:jc w:val="both"/>
              <w:rPr>
                <w:rFonts w:ascii="Times New Roman" w:eastAsia="Times New Roman" w:hAnsi="Times New Roman"/>
                <w:bCs/>
                <w:lang w:val="ro-MD"/>
              </w:rPr>
            </w:pPr>
            <w:r w:rsidRPr="007B6484">
              <w:rPr>
                <w:rFonts w:ascii="Times New Roman" w:eastAsia="Times New Roman" w:hAnsi="Times New Roman"/>
                <w:bCs/>
                <w:lang w:val="ro-MD"/>
              </w:rPr>
              <w:t>Anexa nr.</w:t>
            </w:r>
            <w:r w:rsidR="00C23E6D">
              <w:rPr>
                <w:rFonts w:ascii="Times New Roman" w:eastAsia="Times New Roman" w:hAnsi="Times New Roman"/>
                <w:bCs/>
                <w:lang w:val="ro-MD"/>
              </w:rPr>
              <w:t>2</w:t>
            </w:r>
            <w:r w:rsidRPr="007B6484">
              <w:rPr>
                <w:rFonts w:ascii="Times New Roman" w:eastAsia="Times New Roman" w:hAnsi="Times New Roman"/>
                <w:bCs/>
                <w:lang w:val="ro-MD"/>
              </w:rPr>
              <w:t>, pct.1</w:t>
            </w:r>
            <w:r w:rsidR="00AB79E3">
              <w:rPr>
                <w:rFonts w:ascii="Times New Roman" w:eastAsia="Times New Roman" w:hAnsi="Times New Roman"/>
                <w:bCs/>
                <w:lang w:val="ro-MD"/>
              </w:rPr>
              <w:t>84.5</w:t>
            </w:r>
          </w:p>
          <w:p w14:paraId="29A00B1D" w14:textId="77777777" w:rsidR="007B6484" w:rsidRPr="007B6484" w:rsidRDefault="007B6484" w:rsidP="007B6484">
            <w:pPr>
              <w:jc w:val="both"/>
              <w:rPr>
                <w:rFonts w:ascii="Times New Roman" w:eastAsia="Times New Roman" w:hAnsi="Times New Roman"/>
                <w:bCs/>
                <w:lang w:val="ro-MD"/>
              </w:rPr>
            </w:pPr>
          </w:p>
          <w:p w14:paraId="7BD72622" w14:textId="77777777" w:rsidR="007B6484" w:rsidRPr="007B6484" w:rsidRDefault="007B6484" w:rsidP="007B6484">
            <w:pPr>
              <w:jc w:val="both"/>
              <w:rPr>
                <w:rFonts w:ascii="Times New Roman" w:eastAsia="Times New Roman" w:hAnsi="Times New Roman"/>
                <w:bCs/>
                <w:lang w:val="ro-MD"/>
              </w:rPr>
            </w:pPr>
          </w:p>
          <w:p w14:paraId="07DED4F3" w14:textId="77777777" w:rsidR="007B6484" w:rsidRPr="007B6484" w:rsidRDefault="007B6484" w:rsidP="007B6484">
            <w:pPr>
              <w:jc w:val="both"/>
              <w:rPr>
                <w:rFonts w:ascii="Times New Roman" w:eastAsia="Times New Roman" w:hAnsi="Times New Roman"/>
                <w:bCs/>
                <w:lang w:val="ro-MD"/>
              </w:rPr>
            </w:pPr>
          </w:p>
          <w:p w14:paraId="0A9C25A7" w14:textId="77777777" w:rsidR="00EC1044" w:rsidRPr="00EC1044" w:rsidRDefault="00EC1044" w:rsidP="00EC1044">
            <w:pPr>
              <w:jc w:val="both"/>
              <w:rPr>
                <w:rFonts w:ascii="Times New Roman" w:eastAsia="Times New Roman" w:hAnsi="Times New Roman"/>
                <w:bCs/>
                <w:lang w:val="ro-MD"/>
              </w:rPr>
            </w:pPr>
          </w:p>
          <w:p w14:paraId="235D3410" w14:textId="77777777" w:rsidR="00EC1044" w:rsidRPr="00EC1044" w:rsidRDefault="00EC1044" w:rsidP="00EC1044">
            <w:pPr>
              <w:jc w:val="both"/>
              <w:rPr>
                <w:rFonts w:ascii="Times New Roman" w:eastAsia="Times New Roman" w:hAnsi="Times New Roman"/>
                <w:bCs/>
                <w:lang w:val="ro-MD"/>
              </w:rPr>
            </w:pPr>
          </w:p>
          <w:p w14:paraId="49A30CB9" w14:textId="77777777" w:rsidR="00EC1044" w:rsidRPr="00EC1044" w:rsidRDefault="00EC1044" w:rsidP="00EC1044">
            <w:pPr>
              <w:jc w:val="both"/>
              <w:rPr>
                <w:rFonts w:ascii="Times New Roman" w:eastAsia="Times New Roman" w:hAnsi="Times New Roman"/>
                <w:bCs/>
                <w:lang w:val="ro-MD"/>
              </w:rPr>
            </w:pPr>
          </w:p>
          <w:p w14:paraId="0F2BF6EB" w14:textId="77777777" w:rsidR="00EC1044" w:rsidRDefault="00EC1044" w:rsidP="009A53B5">
            <w:pPr>
              <w:jc w:val="both"/>
              <w:rPr>
                <w:rFonts w:ascii="Times New Roman" w:eastAsia="Times New Roman" w:hAnsi="Times New Roman"/>
                <w:bCs/>
                <w:lang w:val="ro-MD"/>
              </w:rPr>
            </w:pPr>
          </w:p>
          <w:p w14:paraId="24AC4374" w14:textId="77777777" w:rsidR="00AB79E3" w:rsidRDefault="00AB79E3" w:rsidP="009A53B5">
            <w:pPr>
              <w:jc w:val="both"/>
              <w:rPr>
                <w:rFonts w:ascii="Times New Roman" w:eastAsia="Times New Roman" w:hAnsi="Times New Roman"/>
                <w:bCs/>
                <w:lang w:val="ro-MD"/>
              </w:rPr>
            </w:pPr>
          </w:p>
          <w:p w14:paraId="7FA487D0" w14:textId="5F8BE479" w:rsidR="00AB79E3" w:rsidRDefault="00AB79E3" w:rsidP="00AB79E3">
            <w:pPr>
              <w:jc w:val="both"/>
              <w:rPr>
                <w:rFonts w:ascii="Times New Roman" w:eastAsia="Times New Roman" w:hAnsi="Times New Roman"/>
                <w:bCs/>
                <w:lang w:val="ro-MD"/>
              </w:rPr>
            </w:pPr>
            <w:r w:rsidRPr="00AB79E3">
              <w:rPr>
                <w:rFonts w:ascii="Times New Roman" w:eastAsia="Times New Roman" w:hAnsi="Times New Roman"/>
                <w:bCs/>
                <w:lang w:val="ro-MD"/>
              </w:rPr>
              <w:t>Anexa nr.</w:t>
            </w:r>
            <w:r w:rsidR="00C23E6D">
              <w:rPr>
                <w:rFonts w:ascii="Times New Roman" w:eastAsia="Times New Roman" w:hAnsi="Times New Roman"/>
                <w:bCs/>
                <w:lang w:val="ro-MD"/>
              </w:rPr>
              <w:t>2</w:t>
            </w:r>
            <w:r w:rsidRPr="00AB79E3">
              <w:rPr>
                <w:rFonts w:ascii="Times New Roman" w:eastAsia="Times New Roman" w:hAnsi="Times New Roman"/>
                <w:bCs/>
                <w:lang w:val="ro-MD"/>
              </w:rPr>
              <w:t>, pct.</w:t>
            </w:r>
            <w:r>
              <w:rPr>
                <w:rFonts w:ascii="Times New Roman" w:eastAsia="Times New Roman" w:hAnsi="Times New Roman"/>
                <w:bCs/>
                <w:lang w:val="ro-MD"/>
              </w:rPr>
              <w:t>189</w:t>
            </w:r>
          </w:p>
          <w:p w14:paraId="65FB2C1F" w14:textId="77777777" w:rsidR="00AB79E3" w:rsidRDefault="00AB79E3" w:rsidP="00AB79E3">
            <w:pPr>
              <w:jc w:val="both"/>
              <w:rPr>
                <w:rFonts w:ascii="Times New Roman" w:eastAsia="Times New Roman" w:hAnsi="Times New Roman"/>
                <w:bCs/>
                <w:lang w:val="ro-MD"/>
              </w:rPr>
            </w:pPr>
          </w:p>
          <w:p w14:paraId="6FD8A150" w14:textId="77777777" w:rsidR="00AB79E3" w:rsidRDefault="00AB79E3" w:rsidP="00AB79E3">
            <w:pPr>
              <w:jc w:val="both"/>
              <w:rPr>
                <w:rFonts w:ascii="Times New Roman" w:eastAsia="Times New Roman" w:hAnsi="Times New Roman"/>
                <w:bCs/>
                <w:lang w:val="ro-MD"/>
              </w:rPr>
            </w:pPr>
          </w:p>
          <w:p w14:paraId="64B16429" w14:textId="77777777" w:rsidR="00AB79E3" w:rsidRDefault="00AB79E3" w:rsidP="00AB79E3">
            <w:pPr>
              <w:jc w:val="both"/>
              <w:rPr>
                <w:rFonts w:ascii="Times New Roman" w:eastAsia="Times New Roman" w:hAnsi="Times New Roman"/>
                <w:bCs/>
                <w:lang w:val="ro-MD"/>
              </w:rPr>
            </w:pPr>
          </w:p>
          <w:p w14:paraId="045C5A88" w14:textId="77777777" w:rsidR="00AB79E3" w:rsidRDefault="00AB79E3" w:rsidP="00AB79E3">
            <w:pPr>
              <w:jc w:val="both"/>
              <w:rPr>
                <w:rFonts w:ascii="Times New Roman" w:eastAsia="Times New Roman" w:hAnsi="Times New Roman"/>
                <w:bCs/>
                <w:lang w:val="ro-MD"/>
              </w:rPr>
            </w:pPr>
          </w:p>
          <w:p w14:paraId="6609BA84" w14:textId="77777777" w:rsidR="00AB79E3" w:rsidRDefault="00AB79E3" w:rsidP="00AB79E3">
            <w:pPr>
              <w:jc w:val="both"/>
              <w:rPr>
                <w:rFonts w:ascii="Times New Roman" w:eastAsia="Times New Roman" w:hAnsi="Times New Roman"/>
                <w:bCs/>
                <w:lang w:val="ro-MD"/>
              </w:rPr>
            </w:pPr>
          </w:p>
          <w:p w14:paraId="1E45531D" w14:textId="77777777" w:rsidR="00AB79E3" w:rsidRDefault="00AB79E3" w:rsidP="00AB79E3">
            <w:pPr>
              <w:jc w:val="both"/>
              <w:rPr>
                <w:rFonts w:ascii="Times New Roman" w:eastAsia="Times New Roman" w:hAnsi="Times New Roman"/>
                <w:bCs/>
                <w:lang w:val="ro-MD"/>
              </w:rPr>
            </w:pPr>
          </w:p>
          <w:p w14:paraId="64924E5C" w14:textId="76517CDB" w:rsidR="00AB79E3" w:rsidRDefault="00AB79E3" w:rsidP="00AB79E3">
            <w:pPr>
              <w:jc w:val="both"/>
              <w:rPr>
                <w:rFonts w:ascii="Times New Roman" w:eastAsia="Times New Roman" w:hAnsi="Times New Roman"/>
                <w:bCs/>
                <w:lang w:val="ro-MD"/>
              </w:rPr>
            </w:pPr>
            <w:r>
              <w:rPr>
                <w:rFonts w:ascii="Times New Roman" w:eastAsia="Times New Roman" w:hAnsi="Times New Roman"/>
                <w:bCs/>
                <w:lang w:val="ro-MD"/>
              </w:rPr>
              <w:t>Anexa nr.</w:t>
            </w:r>
            <w:r w:rsidR="00C23E6D">
              <w:rPr>
                <w:rFonts w:ascii="Times New Roman" w:eastAsia="Times New Roman" w:hAnsi="Times New Roman"/>
                <w:bCs/>
                <w:lang w:val="ro-MD"/>
              </w:rPr>
              <w:t>2</w:t>
            </w:r>
            <w:r>
              <w:rPr>
                <w:rFonts w:ascii="Times New Roman" w:eastAsia="Times New Roman" w:hAnsi="Times New Roman"/>
                <w:bCs/>
                <w:lang w:val="ro-MD"/>
              </w:rPr>
              <w:t>, pct.211</w:t>
            </w:r>
          </w:p>
          <w:p w14:paraId="5BD4FC8E" w14:textId="77777777" w:rsidR="00AB79E3" w:rsidRDefault="00AB79E3" w:rsidP="00AB79E3">
            <w:pPr>
              <w:jc w:val="both"/>
              <w:rPr>
                <w:rFonts w:ascii="Times New Roman" w:eastAsia="Times New Roman" w:hAnsi="Times New Roman"/>
                <w:bCs/>
                <w:lang w:val="ro-MD"/>
              </w:rPr>
            </w:pPr>
          </w:p>
          <w:p w14:paraId="14E9CB53" w14:textId="77777777" w:rsidR="00AB79E3" w:rsidRPr="00AB79E3" w:rsidRDefault="00AB79E3" w:rsidP="00AB79E3">
            <w:pPr>
              <w:jc w:val="both"/>
              <w:rPr>
                <w:rFonts w:ascii="Times New Roman" w:eastAsia="Times New Roman" w:hAnsi="Times New Roman"/>
                <w:bCs/>
                <w:lang w:val="ro-MD"/>
              </w:rPr>
            </w:pPr>
          </w:p>
          <w:p w14:paraId="6829ECAB" w14:textId="77777777" w:rsidR="00AB79E3" w:rsidRPr="00AB79E3" w:rsidRDefault="00AB79E3" w:rsidP="00AB79E3">
            <w:pPr>
              <w:jc w:val="both"/>
              <w:rPr>
                <w:rFonts w:ascii="Times New Roman" w:eastAsia="Times New Roman" w:hAnsi="Times New Roman"/>
                <w:bCs/>
                <w:lang w:val="ro-MD"/>
              </w:rPr>
            </w:pPr>
          </w:p>
          <w:p w14:paraId="2B693AD5" w14:textId="77777777" w:rsidR="00AB79E3" w:rsidRPr="00BB3A8D" w:rsidRDefault="00AB79E3" w:rsidP="009A53B5">
            <w:pPr>
              <w:jc w:val="both"/>
              <w:rPr>
                <w:rFonts w:ascii="Times New Roman" w:eastAsia="Times New Roman" w:hAnsi="Times New Roman"/>
                <w:bCs/>
                <w:lang w:val="ro-MD"/>
              </w:rPr>
            </w:pPr>
          </w:p>
        </w:tc>
        <w:tc>
          <w:tcPr>
            <w:tcW w:w="1560" w:type="dxa"/>
          </w:tcPr>
          <w:p w14:paraId="7F02C7A1" w14:textId="77777777" w:rsidR="0096656A" w:rsidRDefault="0096656A" w:rsidP="0096656A">
            <w:pPr>
              <w:rPr>
                <w:rFonts w:ascii="Times New Roman" w:eastAsia="Times New Roman" w:hAnsi="Times New Roman"/>
                <w:b/>
                <w:noProof/>
                <w:color w:val="000000"/>
                <w:lang w:val="ro-MD"/>
              </w:rPr>
            </w:pPr>
            <w:r w:rsidRPr="0096656A">
              <w:rPr>
                <w:rFonts w:ascii="Times New Roman" w:eastAsia="Times New Roman" w:hAnsi="Times New Roman"/>
                <w:b/>
                <w:noProof/>
                <w:color w:val="000000"/>
                <w:lang w:val="ro-MD"/>
              </w:rPr>
              <w:lastRenderedPageBreak/>
              <w:t xml:space="preserve">Prevederi UE neaplicabile </w:t>
            </w:r>
          </w:p>
          <w:p w14:paraId="28B16BEB" w14:textId="77777777" w:rsidR="0096656A" w:rsidRDefault="0096656A" w:rsidP="0096656A">
            <w:pPr>
              <w:rPr>
                <w:rFonts w:ascii="Times New Roman" w:eastAsia="Times New Roman" w:hAnsi="Times New Roman"/>
                <w:b/>
                <w:noProof/>
                <w:color w:val="000000"/>
                <w:lang w:val="ro-MD"/>
              </w:rPr>
            </w:pPr>
          </w:p>
          <w:p w14:paraId="3985D6BC" w14:textId="77777777" w:rsidR="0096656A" w:rsidRDefault="0096656A" w:rsidP="0096656A">
            <w:pPr>
              <w:rPr>
                <w:rFonts w:ascii="Times New Roman" w:eastAsia="Times New Roman" w:hAnsi="Times New Roman"/>
                <w:b/>
                <w:noProof/>
                <w:color w:val="000000"/>
                <w:lang w:val="ro-MD"/>
              </w:rPr>
            </w:pPr>
          </w:p>
          <w:p w14:paraId="5E8BC542" w14:textId="77777777" w:rsidR="0096656A" w:rsidRDefault="0096656A" w:rsidP="0096656A">
            <w:pPr>
              <w:rPr>
                <w:rFonts w:ascii="Times New Roman" w:eastAsia="Times New Roman" w:hAnsi="Times New Roman"/>
                <w:b/>
                <w:noProof/>
                <w:color w:val="000000"/>
                <w:lang w:val="ro-MD"/>
              </w:rPr>
            </w:pPr>
          </w:p>
          <w:p w14:paraId="331B6273" w14:textId="77777777" w:rsidR="0096656A" w:rsidRDefault="0096656A" w:rsidP="0096656A">
            <w:pPr>
              <w:rPr>
                <w:rFonts w:ascii="Times New Roman" w:eastAsia="Times New Roman" w:hAnsi="Times New Roman"/>
                <w:b/>
                <w:noProof/>
                <w:color w:val="000000"/>
                <w:lang w:val="ro-MD"/>
              </w:rPr>
            </w:pPr>
          </w:p>
          <w:p w14:paraId="3C9C97B7" w14:textId="77777777" w:rsidR="0096656A" w:rsidRDefault="0096656A" w:rsidP="0096656A">
            <w:pPr>
              <w:rPr>
                <w:rFonts w:ascii="Times New Roman" w:eastAsia="Times New Roman" w:hAnsi="Times New Roman"/>
                <w:b/>
                <w:noProof/>
                <w:color w:val="000000"/>
                <w:lang w:val="ro-MD"/>
              </w:rPr>
            </w:pPr>
          </w:p>
          <w:p w14:paraId="5E751B53" w14:textId="77777777" w:rsidR="0096656A" w:rsidRDefault="0096656A" w:rsidP="0096656A">
            <w:pPr>
              <w:rPr>
                <w:rFonts w:ascii="Times New Roman" w:eastAsia="Times New Roman" w:hAnsi="Times New Roman"/>
                <w:b/>
                <w:noProof/>
                <w:color w:val="000000"/>
                <w:lang w:val="ro-MD"/>
              </w:rPr>
            </w:pPr>
          </w:p>
          <w:p w14:paraId="4DA622CE" w14:textId="77777777" w:rsidR="0096656A" w:rsidRDefault="0096656A" w:rsidP="0096656A">
            <w:pPr>
              <w:rPr>
                <w:rFonts w:ascii="Times New Roman" w:eastAsia="Times New Roman" w:hAnsi="Times New Roman"/>
                <w:b/>
                <w:noProof/>
                <w:color w:val="000000"/>
                <w:lang w:val="ro-MD"/>
              </w:rPr>
            </w:pPr>
          </w:p>
          <w:p w14:paraId="79922900" w14:textId="77777777" w:rsidR="0096656A" w:rsidRDefault="0096656A" w:rsidP="0096656A">
            <w:pPr>
              <w:rPr>
                <w:rFonts w:ascii="Times New Roman" w:eastAsia="Times New Roman" w:hAnsi="Times New Roman"/>
                <w:b/>
                <w:noProof/>
                <w:color w:val="000000"/>
                <w:lang w:val="ro-MD"/>
              </w:rPr>
            </w:pPr>
          </w:p>
          <w:p w14:paraId="773BE1FA" w14:textId="77777777" w:rsidR="0096656A" w:rsidRDefault="0096656A" w:rsidP="0096656A">
            <w:pPr>
              <w:rPr>
                <w:rFonts w:ascii="Times New Roman" w:eastAsia="Times New Roman" w:hAnsi="Times New Roman"/>
                <w:b/>
                <w:noProof/>
                <w:color w:val="000000"/>
                <w:lang w:val="ro-MD"/>
              </w:rPr>
            </w:pPr>
          </w:p>
          <w:p w14:paraId="4F59331F" w14:textId="77777777" w:rsidR="0096656A" w:rsidRDefault="0096656A" w:rsidP="0096656A">
            <w:pPr>
              <w:rPr>
                <w:rFonts w:ascii="Times New Roman" w:eastAsia="Times New Roman" w:hAnsi="Times New Roman"/>
                <w:b/>
                <w:noProof/>
                <w:color w:val="000000"/>
                <w:lang w:val="ro-MD"/>
              </w:rPr>
            </w:pPr>
          </w:p>
          <w:p w14:paraId="2C0B1D7B" w14:textId="77777777" w:rsidR="0096656A" w:rsidRDefault="0096656A" w:rsidP="0096656A">
            <w:pPr>
              <w:rPr>
                <w:rFonts w:ascii="Times New Roman" w:eastAsia="Times New Roman" w:hAnsi="Times New Roman"/>
                <w:b/>
                <w:noProof/>
                <w:color w:val="000000"/>
                <w:lang w:val="ro-MD"/>
              </w:rPr>
            </w:pPr>
          </w:p>
          <w:p w14:paraId="4176BCC5" w14:textId="77777777" w:rsidR="0096656A" w:rsidRDefault="0096656A" w:rsidP="0096656A">
            <w:pPr>
              <w:rPr>
                <w:rFonts w:ascii="Times New Roman" w:eastAsia="Times New Roman" w:hAnsi="Times New Roman"/>
                <w:b/>
                <w:noProof/>
                <w:color w:val="000000"/>
                <w:lang w:val="ro-MD"/>
              </w:rPr>
            </w:pPr>
          </w:p>
          <w:p w14:paraId="0334972E" w14:textId="77777777" w:rsidR="0096656A" w:rsidRDefault="0096656A" w:rsidP="0096656A">
            <w:pPr>
              <w:rPr>
                <w:rFonts w:ascii="Times New Roman" w:eastAsia="Times New Roman" w:hAnsi="Times New Roman"/>
                <w:b/>
                <w:noProof/>
                <w:color w:val="000000"/>
                <w:lang w:val="ro-MD"/>
              </w:rPr>
            </w:pPr>
          </w:p>
          <w:p w14:paraId="13986960" w14:textId="77777777" w:rsidR="0096656A" w:rsidRDefault="0096656A" w:rsidP="0096656A">
            <w:pPr>
              <w:rPr>
                <w:rFonts w:ascii="Times New Roman" w:eastAsia="Times New Roman" w:hAnsi="Times New Roman"/>
                <w:b/>
                <w:noProof/>
                <w:color w:val="000000"/>
                <w:lang w:val="ro-MD"/>
              </w:rPr>
            </w:pPr>
          </w:p>
          <w:p w14:paraId="590F3B0D" w14:textId="77777777" w:rsidR="0096656A" w:rsidRDefault="0096656A" w:rsidP="0096656A">
            <w:pPr>
              <w:rPr>
                <w:rFonts w:ascii="Times New Roman" w:eastAsia="Times New Roman" w:hAnsi="Times New Roman"/>
                <w:b/>
                <w:noProof/>
                <w:color w:val="000000"/>
                <w:lang w:val="ro-MD"/>
              </w:rPr>
            </w:pPr>
          </w:p>
          <w:p w14:paraId="385954E3" w14:textId="77777777" w:rsidR="00940AE8" w:rsidRDefault="00E32D15" w:rsidP="0096656A">
            <w:pPr>
              <w:rPr>
                <w:rFonts w:ascii="Times New Roman" w:eastAsia="Times New Roman" w:hAnsi="Times New Roman"/>
                <w:b/>
                <w:noProof/>
                <w:color w:val="000000"/>
                <w:lang w:val="ro-MD"/>
              </w:rPr>
            </w:pPr>
            <w:r>
              <w:rPr>
                <w:rFonts w:ascii="Times New Roman" w:eastAsia="Times New Roman" w:hAnsi="Times New Roman"/>
                <w:b/>
                <w:noProof/>
                <w:color w:val="000000"/>
                <w:lang w:val="ro-MD"/>
              </w:rPr>
              <w:t>Compatibil</w:t>
            </w:r>
          </w:p>
          <w:p w14:paraId="561A6945" w14:textId="3E3C4897" w:rsidR="00B56172" w:rsidRPr="00C23E6D" w:rsidRDefault="00C23E6D" w:rsidP="0096656A">
            <w:pPr>
              <w:rPr>
                <w:rFonts w:ascii="Times New Roman" w:eastAsia="Times New Roman" w:hAnsi="Times New Roman"/>
                <w:bCs/>
                <w:noProof/>
                <w:color w:val="000000"/>
                <w:lang w:val="ro-MD"/>
              </w:rPr>
            </w:pPr>
            <w:r w:rsidRPr="00C23E6D">
              <w:rPr>
                <w:rFonts w:ascii="Times New Roman" w:eastAsia="Times New Roman" w:hAnsi="Times New Roman"/>
                <w:bCs/>
                <w:noProof/>
                <w:color w:val="000000"/>
                <w:lang w:val="ro-MD"/>
              </w:rPr>
              <w:t>Preluat pealabil în textul regulamentului</w:t>
            </w:r>
          </w:p>
          <w:p w14:paraId="4E456FFB" w14:textId="77777777" w:rsidR="00B56172" w:rsidRDefault="00B56172" w:rsidP="0096656A">
            <w:pPr>
              <w:rPr>
                <w:rFonts w:ascii="Times New Roman" w:eastAsia="Times New Roman" w:hAnsi="Times New Roman"/>
                <w:b/>
                <w:noProof/>
                <w:color w:val="000000"/>
                <w:lang w:val="ro-MD"/>
              </w:rPr>
            </w:pPr>
          </w:p>
          <w:p w14:paraId="58E5C9F2" w14:textId="77777777" w:rsidR="00B56172" w:rsidRDefault="00B56172" w:rsidP="0096656A">
            <w:pPr>
              <w:rPr>
                <w:rFonts w:ascii="Times New Roman" w:eastAsia="Times New Roman" w:hAnsi="Times New Roman"/>
                <w:b/>
                <w:noProof/>
                <w:color w:val="000000"/>
                <w:lang w:val="ro-MD"/>
              </w:rPr>
            </w:pPr>
          </w:p>
          <w:p w14:paraId="028139FC" w14:textId="77777777" w:rsidR="00B56172" w:rsidRDefault="00B56172" w:rsidP="0096656A">
            <w:pPr>
              <w:rPr>
                <w:rFonts w:ascii="Times New Roman" w:eastAsia="Times New Roman" w:hAnsi="Times New Roman"/>
                <w:b/>
                <w:noProof/>
                <w:color w:val="000000"/>
                <w:lang w:val="ro-MD"/>
              </w:rPr>
            </w:pPr>
          </w:p>
          <w:p w14:paraId="329A2FB2" w14:textId="77777777" w:rsidR="00B56172" w:rsidRDefault="00B56172" w:rsidP="0096656A">
            <w:pPr>
              <w:rPr>
                <w:rFonts w:ascii="Times New Roman" w:eastAsia="Times New Roman" w:hAnsi="Times New Roman"/>
                <w:b/>
                <w:noProof/>
                <w:color w:val="000000"/>
                <w:lang w:val="ro-MD"/>
              </w:rPr>
            </w:pPr>
          </w:p>
          <w:p w14:paraId="60248D84" w14:textId="77777777" w:rsidR="00B56172" w:rsidRDefault="00B56172" w:rsidP="0096656A">
            <w:pPr>
              <w:rPr>
                <w:rFonts w:ascii="Times New Roman" w:eastAsia="Times New Roman" w:hAnsi="Times New Roman"/>
                <w:b/>
                <w:noProof/>
                <w:color w:val="000000"/>
                <w:lang w:val="ro-MD"/>
              </w:rPr>
            </w:pPr>
          </w:p>
          <w:p w14:paraId="7555E73A" w14:textId="77777777" w:rsidR="00B56172" w:rsidRDefault="00B56172" w:rsidP="0096656A">
            <w:pPr>
              <w:rPr>
                <w:rFonts w:ascii="Times New Roman" w:eastAsia="Times New Roman" w:hAnsi="Times New Roman"/>
                <w:b/>
                <w:noProof/>
                <w:color w:val="000000"/>
                <w:lang w:val="ro-MD"/>
              </w:rPr>
            </w:pPr>
          </w:p>
          <w:p w14:paraId="7B9499F2" w14:textId="77777777" w:rsidR="00B56172" w:rsidRDefault="00B56172" w:rsidP="0096656A">
            <w:pPr>
              <w:rPr>
                <w:rFonts w:ascii="Times New Roman" w:eastAsia="Times New Roman" w:hAnsi="Times New Roman"/>
                <w:b/>
                <w:noProof/>
                <w:color w:val="000000"/>
                <w:lang w:val="ro-MD"/>
              </w:rPr>
            </w:pPr>
          </w:p>
          <w:p w14:paraId="0EE2DF1D" w14:textId="77777777" w:rsidR="00B56172" w:rsidRDefault="00B56172" w:rsidP="0096656A">
            <w:pPr>
              <w:rPr>
                <w:rFonts w:ascii="Times New Roman" w:eastAsia="Times New Roman" w:hAnsi="Times New Roman"/>
                <w:b/>
                <w:noProof/>
                <w:color w:val="000000"/>
                <w:lang w:val="ro-MD"/>
              </w:rPr>
            </w:pPr>
          </w:p>
          <w:p w14:paraId="30961B4D" w14:textId="77777777" w:rsidR="00B56172" w:rsidRDefault="00B56172" w:rsidP="0096656A">
            <w:pPr>
              <w:rPr>
                <w:rFonts w:ascii="Times New Roman" w:eastAsia="Times New Roman" w:hAnsi="Times New Roman"/>
                <w:b/>
                <w:noProof/>
                <w:color w:val="000000"/>
                <w:lang w:val="ro-MD"/>
              </w:rPr>
            </w:pPr>
          </w:p>
          <w:p w14:paraId="09A2228E" w14:textId="77777777" w:rsidR="00B56172" w:rsidRDefault="00B56172" w:rsidP="0096656A">
            <w:pPr>
              <w:rPr>
                <w:rFonts w:ascii="Times New Roman" w:eastAsia="Times New Roman" w:hAnsi="Times New Roman"/>
                <w:b/>
                <w:noProof/>
                <w:color w:val="000000"/>
                <w:lang w:val="ro-MD"/>
              </w:rPr>
            </w:pPr>
          </w:p>
          <w:p w14:paraId="2C14634D" w14:textId="77777777" w:rsidR="00B56172" w:rsidRDefault="00B56172" w:rsidP="0096656A">
            <w:pPr>
              <w:rPr>
                <w:rFonts w:ascii="Times New Roman" w:eastAsia="Times New Roman" w:hAnsi="Times New Roman"/>
                <w:b/>
                <w:noProof/>
                <w:color w:val="000000"/>
                <w:lang w:val="ro-MD"/>
              </w:rPr>
            </w:pPr>
          </w:p>
          <w:p w14:paraId="25323FEA" w14:textId="77777777" w:rsidR="00B56172" w:rsidRDefault="00B56172" w:rsidP="0096656A">
            <w:pPr>
              <w:rPr>
                <w:rFonts w:ascii="Times New Roman" w:eastAsia="Times New Roman" w:hAnsi="Times New Roman"/>
                <w:b/>
                <w:noProof/>
                <w:color w:val="000000"/>
                <w:lang w:val="ro-MD"/>
              </w:rPr>
            </w:pPr>
          </w:p>
          <w:p w14:paraId="13CABDAA" w14:textId="77777777" w:rsidR="00B56172" w:rsidRDefault="00B56172" w:rsidP="0096656A">
            <w:pPr>
              <w:rPr>
                <w:rFonts w:ascii="Times New Roman" w:eastAsia="Times New Roman" w:hAnsi="Times New Roman"/>
                <w:b/>
                <w:noProof/>
                <w:color w:val="000000"/>
                <w:lang w:val="ro-MD"/>
              </w:rPr>
            </w:pPr>
          </w:p>
          <w:p w14:paraId="63DAEB70" w14:textId="77777777" w:rsidR="00B56172" w:rsidRDefault="00B56172" w:rsidP="0096656A">
            <w:pPr>
              <w:rPr>
                <w:rFonts w:ascii="Times New Roman" w:eastAsia="Times New Roman" w:hAnsi="Times New Roman"/>
                <w:b/>
                <w:noProof/>
                <w:color w:val="000000"/>
                <w:lang w:val="ro-MD"/>
              </w:rPr>
            </w:pPr>
          </w:p>
          <w:p w14:paraId="608708DE" w14:textId="77777777" w:rsidR="00B56172" w:rsidRDefault="00B56172" w:rsidP="0096656A">
            <w:pPr>
              <w:rPr>
                <w:rFonts w:ascii="Times New Roman" w:eastAsia="Times New Roman" w:hAnsi="Times New Roman"/>
                <w:b/>
                <w:noProof/>
                <w:color w:val="000000"/>
                <w:lang w:val="ro-MD"/>
              </w:rPr>
            </w:pPr>
          </w:p>
          <w:p w14:paraId="376C1D0B" w14:textId="77777777" w:rsidR="00B56172" w:rsidRDefault="00B56172" w:rsidP="0096656A">
            <w:pPr>
              <w:rPr>
                <w:rFonts w:ascii="Times New Roman" w:eastAsia="Times New Roman" w:hAnsi="Times New Roman"/>
                <w:b/>
                <w:noProof/>
                <w:color w:val="000000"/>
                <w:lang w:val="ro-MD"/>
              </w:rPr>
            </w:pPr>
          </w:p>
          <w:p w14:paraId="49A2F428" w14:textId="77777777" w:rsidR="00B56172" w:rsidRDefault="00B56172" w:rsidP="0096656A">
            <w:pPr>
              <w:rPr>
                <w:rFonts w:ascii="Times New Roman" w:eastAsia="Times New Roman" w:hAnsi="Times New Roman"/>
                <w:b/>
                <w:noProof/>
                <w:color w:val="000000"/>
                <w:lang w:val="ro-MD"/>
              </w:rPr>
            </w:pPr>
          </w:p>
          <w:p w14:paraId="0B7D6F1D" w14:textId="77777777" w:rsidR="00B56172" w:rsidRDefault="00B56172" w:rsidP="0096656A">
            <w:pPr>
              <w:rPr>
                <w:rFonts w:ascii="Times New Roman" w:eastAsia="Times New Roman" w:hAnsi="Times New Roman"/>
                <w:b/>
                <w:noProof/>
                <w:color w:val="000000"/>
                <w:lang w:val="ro-MD"/>
              </w:rPr>
            </w:pPr>
          </w:p>
          <w:p w14:paraId="661C5112" w14:textId="77777777" w:rsidR="00B56172" w:rsidRDefault="00B56172" w:rsidP="0096656A">
            <w:pPr>
              <w:rPr>
                <w:rFonts w:ascii="Times New Roman" w:eastAsia="Times New Roman" w:hAnsi="Times New Roman"/>
                <w:b/>
                <w:noProof/>
                <w:color w:val="000000"/>
                <w:lang w:val="ro-MD"/>
              </w:rPr>
            </w:pPr>
          </w:p>
          <w:p w14:paraId="675F1FD0" w14:textId="77777777" w:rsidR="00B56172" w:rsidRDefault="00B56172" w:rsidP="0096656A">
            <w:pPr>
              <w:rPr>
                <w:rFonts w:ascii="Times New Roman" w:eastAsia="Times New Roman" w:hAnsi="Times New Roman"/>
                <w:b/>
                <w:noProof/>
                <w:color w:val="000000"/>
                <w:lang w:val="ro-MD"/>
              </w:rPr>
            </w:pPr>
          </w:p>
          <w:p w14:paraId="47546D91" w14:textId="77777777" w:rsidR="00B56172" w:rsidRDefault="00B56172" w:rsidP="0096656A">
            <w:pPr>
              <w:rPr>
                <w:rFonts w:ascii="Times New Roman" w:eastAsia="Times New Roman" w:hAnsi="Times New Roman"/>
                <w:b/>
                <w:noProof/>
                <w:color w:val="000000"/>
                <w:lang w:val="ro-MD"/>
              </w:rPr>
            </w:pPr>
          </w:p>
          <w:p w14:paraId="0CFC28F3" w14:textId="77777777" w:rsidR="00B56172" w:rsidRDefault="00B56172" w:rsidP="0096656A">
            <w:pPr>
              <w:rPr>
                <w:rFonts w:ascii="Times New Roman" w:eastAsia="Times New Roman" w:hAnsi="Times New Roman"/>
                <w:b/>
                <w:noProof/>
                <w:color w:val="000000"/>
                <w:lang w:val="ro-MD"/>
              </w:rPr>
            </w:pPr>
          </w:p>
          <w:p w14:paraId="40BB9A84" w14:textId="77777777" w:rsidR="00B56172" w:rsidRPr="00B300E0" w:rsidRDefault="00B56172" w:rsidP="0096656A">
            <w:pPr>
              <w:rPr>
                <w:rFonts w:ascii="Times New Roman" w:eastAsia="Times New Roman" w:hAnsi="Times New Roman"/>
                <w:b/>
                <w:noProof/>
                <w:color w:val="000000"/>
                <w:lang w:val="ro-MD"/>
              </w:rPr>
            </w:pPr>
            <w:r w:rsidRPr="00B56172">
              <w:rPr>
                <w:rFonts w:ascii="Times New Roman" w:eastAsia="Times New Roman" w:hAnsi="Times New Roman"/>
                <w:b/>
                <w:noProof/>
                <w:color w:val="000000"/>
                <w:lang w:val="ro-MD"/>
              </w:rPr>
              <w:t>Compatibil</w:t>
            </w:r>
          </w:p>
        </w:tc>
        <w:tc>
          <w:tcPr>
            <w:tcW w:w="2835" w:type="dxa"/>
          </w:tcPr>
          <w:p w14:paraId="7823822E" w14:textId="77777777" w:rsidR="00940AE8" w:rsidRPr="00BB3A8D" w:rsidRDefault="00940AE8" w:rsidP="009A53B5">
            <w:pPr>
              <w:jc w:val="center"/>
              <w:rPr>
                <w:rFonts w:ascii="Times New Roman" w:eastAsia="Times New Roman" w:hAnsi="Times New Roman"/>
                <w:b/>
                <w:lang w:val="ro-MD"/>
              </w:rPr>
            </w:pPr>
          </w:p>
        </w:tc>
      </w:tr>
      <w:tr w:rsidR="00940AE8" w:rsidRPr="001D45F6" w14:paraId="300CF316" w14:textId="77777777" w:rsidTr="00C23E6D">
        <w:tblPrEx>
          <w:jc w:val="left"/>
        </w:tblPrEx>
        <w:trPr>
          <w:trHeight w:val="1995"/>
        </w:trPr>
        <w:tc>
          <w:tcPr>
            <w:tcW w:w="5382" w:type="dxa"/>
          </w:tcPr>
          <w:p w14:paraId="6EB24207" w14:textId="77777777" w:rsidR="00940AE8" w:rsidRPr="00940AE8" w:rsidRDefault="00940AE8" w:rsidP="00940AE8">
            <w:pPr>
              <w:jc w:val="both"/>
              <w:rPr>
                <w:rFonts w:ascii="Times New Roman" w:eastAsia="Times New Roman" w:hAnsi="Times New Roman"/>
                <w:i/>
                <w:iCs/>
                <w:lang w:val="ro-MD"/>
              </w:rPr>
            </w:pPr>
            <w:r w:rsidRPr="00940AE8">
              <w:rPr>
                <w:rFonts w:ascii="Times New Roman" w:eastAsia="Times New Roman" w:hAnsi="Times New Roman"/>
                <w:i/>
                <w:iCs/>
                <w:lang w:val="ro-MD"/>
              </w:rPr>
              <w:lastRenderedPageBreak/>
              <w:t>ANEXA VIII</w:t>
            </w:r>
          </w:p>
          <w:p w14:paraId="479BF6C9" w14:textId="77777777" w:rsidR="00940AE8" w:rsidRPr="00940AE8" w:rsidRDefault="00940AE8" w:rsidP="00940AE8">
            <w:pPr>
              <w:jc w:val="both"/>
              <w:rPr>
                <w:rFonts w:ascii="Times New Roman" w:eastAsia="Times New Roman" w:hAnsi="Times New Roman"/>
                <w:b/>
                <w:bCs/>
                <w:iCs/>
                <w:lang w:val="ro-MD"/>
              </w:rPr>
            </w:pPr>
            <w:r w:rsidRPr="00940AE8">
              <w:rPr>
                <w:rFonts w:ascii="Times New Roman" w:eastAsia="Times New Roman" w:hAnsi="Times New Roman"/>
                <w:b/>
                <w:bCs/>
                <w:iCs/>
                <w:lang w:val="ro-MD"/>
              </w:rPr>
              <w:t>MODIFICĂRI ALE REGULAMENTULUI (CE) NR. 854/2004</w:t>
            </w:r>
          </w:p>
          <w:p w14:paraId="45575AC1"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Anexele I, II și III la Regulamentul (CE) nr. 854/2004 se modifică după cum urmează:</w:t>
            </w:r>
          </w:p>
          <w:p w14:paraId="434180DE"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1. Anexa I secțiunea I capitolul III punctul 3 se modifică după cum urmează:</w:t>
            </w:r>
          </w:p>
          <w:p w14:paraId="42F9ADEC"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(a) la litera (a), al doilea paragraf se înlocuiește cu următorul text:</w:t>
            </w:r>
          </w:p>
          <w:p w14:paraId="7F921870"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„BE, CZ, DK, DE, EE, GR, ES, FR, IE, IT, CY, LV, LT, LU, HU, MT, NL, AT, PL, PT, SI, SK, FI, SE și UK;”;</w:t>
            </w:r>
          </w:p>
          <w:p w14:paraId="22C07B7F"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(b) litera (c) se înlocuiește cu următorul text:</w:t>
            </w:r>
          </w:p>
          <w:p w14:paraId="4D4E85E3"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„(c) atunci când se aplică într-un abator situat pe teritoriul Comunității, marca trebuie să cuprindă abrevierea CE, EC, EF, EG, EK, EY, ES, EÜ, EK, EB sau WE.”</w:t>
            </w:r>
          </w:p>
          <w:p w14:paraId="58732BA2"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2. La litera A din anexa II capitolul II, punctele 4 și 5 se înlocuiesc cu următorul text:</w:t>
            </w:r>
          </w:p>
          <w:p w14:paraId="555DBB58"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lastRenderedPageBreak/>
              <w:t>„4. Autoritatea competentă poate clasifica în zonele de clasă B zonele în care moluștele bivalve vii pot fi recoltate, dar nu pot fi introduse pe piață pentru consumul uman decât după ce au fost supuse un tratament într-un centru de purificare sau după relocare, pentru a respecta standardele de sănătate menționate la punctul 3. Moluștele bivalve vii care provin din aceste zone nu pot să depășească limita de 4 600 </w:t>
            </w:r>
            <w:r w:rsidRPr="00940AE8">
              <w:rPr>
                <w:rFonts w:ascii="Times New Roman" w:eastAsia="Times New Roman" w:hAnsi="Times New Roman"/>
                <w:i/>
                <w:iCs/>
                <w:lang w:val="ro-MD"/>
              </w:rPr>
              <w:t>E. coli</w:t>
            </w:r>
            <w:r w:rsidRPr="00940AE8">
              <w:rPr>
                <w:rFonts w:ascii="Times New Roman" w:eastAsia="Times New Roman" w:hAnsi="Times New Roman"/>
                <w:iCs/>
                <w:lang w:val="ro-MD"/>
              </w:rPr>
              <w:t xml:space="preserve"> la 100 g de carne și lichid </w:t>
            </w:r>
            <w:proofErr w:type="spellStart"/>
            <w:r w:rsidRPr="00940AE8">
              <w:rPr>
                <w:rFonts w:ascii="Times New Roman" w:eastAsia="Times New Roman" w:hAnsi="Times New Roman"/>
                <w:iCs/>
                <w:lang w:val="ro-MD"/>
              </w:rPr>
              <w:t>intravalvar</w:t>
            </w:r>
            <w:proofErr w:type="spellEnd"/>
            <w:r w:rsidRPr="00940AE8">
              <w:rPr>
                <w:rFonts w:ascii="Times New Roman" w:eastAsia="Times New Roman" w:hAnsi="Times New Roman"/>
                <w:iCs/>
                <w:lang w:val="ro-MD"/>
              </w:rPr>
              <w:t>. Metoda de referință pentru această analiză este testul numărului celui mai probabil (NCP) la cinci tuburi și trei diluări specificat de standardul ISO 16649-3. Alte metode pot fi utilizate în cazul în care sunt validate în ceea ce privește metoda de referință, în conformitate cu criteriile stabilite prin standardul EN/ISO 16140.</w:t>
            </w:r>
          </w:p>
          <w:p w14:paraId="07E9027A"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5. Autoritatea competentă poate clasifica în zonele de clasă C zonele în care moluștele bivalve vii pot fi recoltate, dar nu pot fi introduse pe piață decât după o relocare de lungă durată pentru a respecta standardele de sănătate menționate la punctul 3. Moluștele bivalve vii care provin din aceste zone nu pot să depășească limita de 46 000 </w:t>
            </w:r>
            <w:r w:rsidRPr="00940AE8">
              <w:rPr>
                <w:rFonts w:ascii="Times New Roman" w:eastAsia="Times New Roman" w:hAnsi="Times New Roman"/>
                <w:i/>
                <w:iCs/>
                <w:lang w:val="ro-MD"/>
              </w:rPr>
              <w:t>E. coli</w:t>
            </w:r>
            <w:r w:rsidRPr="00940AE8">
              <w:rPr>
                <w:rFonts w:ascii="Times New Roman" w:eastAsia="Times New Roman" w:hAnsi="Times New Roman"/>
                <w:iCs/>
                <w:lang w:val="ro-MD"/>
              </w:rPr>
              <w:t xml:space="preserve"> la 100 g de carne și lichid </w:t>
            </w:r>
            <w:proofErr w:type="spellStart"/>
            <w:r w:rsidRPr="00940AE8">
              <w:rPr>
                <w:rFonts w:ascii="Times New Roman" w:eastAsia="Times New Roman" w:hAnsi="Times New Roman"/>
                <w:iCs/>
                <w:lang w:val="ro-MD"/>
              </w:rPr>
              <w:t>intravalvar</w:t>
            </w:r>
            <w:proofErr w:type="spellEnd"/>
            <w:r w:rsidRPr="00940AE8">
              <w:rPr>
                <w:rFonts w:ascii="Times New Roman" w:eastAsia="Times New Roman" w:hAnsi="Times New Roman"/>
                <w:iCs/>
                <w:lang w:val="ro-MD"/>
              </w:rPr>
              <w:t>. Metoda de referință pentru această analiză este testul NCP la cinci tuburi și trei diluări specificat de standardul ISO 16649-3. Alte metode pot fi utilizate în cazul în care sunt validate în ceea ce privește metoda de referință, în conformitate cu criteriile stabilite prin standardul EN/ISO 16140.”</w:t>
            </w:r>
          </w:p>
          <w:p w14:paraId="1110BE31"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3. La litera G din anexa III capitolul II, punctul 1 se înlocuiește cu următorul text:</w:t>
            </w:r>
          </w:p>
          <w:p w14:paraId="4A5D164C" w14:textId="77777777" w:rsidR="00940AE8" w:rsidRPr="00940AE8" w:rsidRDefault="00940AE8" w:rsidP="00940AE8">
            <w:pPr>
              <w:jc w:val="both"/>
              <w:rPr>
                <w:rFonts w:ascii="Times New Roman" w:eastAsia="Times New Roman" w:hAnsi="Times New Roman"/>
                <w:iCs/>
                <w:lang w:val="ro-MD"/>
              </w:rPr>
            </w:pPr>
            <w:r w:rsidRPr="00940AE8">
              <w:rPr>
                <w:rFonts w:ascii="Times New Roman" w:eastAsia="Times New Roman" w:hAnsi="Times New Roman"/>
                <w:iCs/>
                <w:lang w:val="ro-MD"/>
              </w:rPr>
              <w:t>„1. produsele pescărești derivate din pești toxici din următoarele familii nu trebuie introduse pe piață: </w:t>
            </w:r>
            <w:proofErr w:type="spellStart"/>
            <w:r w:rsidRPr="00940AE8">
              <w:rPr>
                <w:rFonts w:ascii="Times New Roman" w:eastAsia="Times New Roman" w:hAnsi="Times New Roman"/>
                <w:i/>
                <w:iCs/>
                <w:lang w:val="ro-MD"/>
              </w:rPr>
              <w:t>Tetraodontidae</w:t>
            </w:r>
            <w:proofErr w:type="spellEnd"/>
            <w:r w:rsidRPr="00940AE8">
              <w:rPr>
                <w:rFonts w:ascii="Times New Roman" w:eastAsia="Times New Roman" w:hAnsi="Times New Roman"/>
                <w:i/>
                <w:iCs/>
                <w:lang w:val="ro-MD"/>
              </w:rPr>
              <w:t xml:space="preserve">, </w:t>
            </w:r>
            <w:proofErr w:type="spellStart"/>
            <w:r w:rsidRPr="00940AE8">
              <w:rPr>
                <w:rFonts w:ascii="Times New Roman" w:eastAsia="Times New Roman" w:hAnsi="Times New Roman"/>
                <w:i/>
                <w:iCs/>
                <w:lang w:val="ro-MD"/>
              </w:rPr>
              <w:t>Molidae</w:t>
            </w:r>
            <w:proofErr w:type="spellEnd"/>
            <w:r w:rsidRPr="00940AE8">
              <w:rPr>
                <w:rFonts w:ascii="Times New Roman" w:eastAsia="Times New Roman" w:hAnsi="Times New Roman"/>
                <w:i/>
                <w:iCs/>
                <w:lang w:val="ro-MD"/>
              </w:rPr>
              <w:t xml:space="preserve">, </w:t>
            </w:r>
            <w:proofErr w:type="spellStart"/>
            <w:r w:rsidRPr="00940AE8">
              <w:rPr>
                <w:rFonts w:ascii="Times New Roman" w:eastAsia="Times New Roman" w:hAnsi="Times New Roman"/>
                <w:i/>
                <w:iCs/>
                <w:lang w:val="ro-MD"/>
              </w:rPr>
              <w:t>Diodontidae</w:t>
            </w:r>
            <w:r w:rsidRPr="00940AE8">
              <w:rPr>
                <w:rFonts w:ascii="Times New Roman" w:eastAsia="Times New Roman" w:hAnsi="Times New Roman"/>
                <w:iCs/>
                <w:lang w:val="ro-MD"/>
              </w:rPr>
              <w:t>și</w:t>
            </w:r>
            <w:proofErr w:type="spellEnd"/>
            <w:r w:rsidRPr="00940AE8">
              <w:rPr>
                <w:rFonts w:ascii="Times New Roman" w:eastAsia="Times New Roman" w:hAnsi="Times New Roman"/>
                <w:iCs/>
                <w:lang w:val="ro-MD"/>
              </w:rPr>
              <w:t> </w:t>
            </w:r>
            <w:proofErr w:type="spellStart"/>
            <w:r w:rsidRPr="00940AE8">
              <w:rPr>
                <w:rFonts w:ascii="Times New Roman" w:eastAsia="Times New Roman" w:hAnsi="Times New Roman"/>
                <w:i/>
                <w:iCs/>
                <w:lang w:val="ro-MD"/>
              </w:rPr>
              <w:t>Canthigasteridae</w:t>
            </w:r>
            <w:proofErr w:type="spellEnd"/>
            <w:r w:rsidRPr="00940AE8">
              <w:rPr>
                <w:rFonts w:ascii="Times New Roman" w:eastAsia="Times New Roman" w:hAnsi="Times New Roman"/>
                <w:iCs/>
                <w:lang w:val="ro-MD"/>
              </w:rPr>
              <w:t>. Produsele pescărești proaspete, preparate și prelucrate din familia </w:t>
            </w:r>
            <w:proofErr w:type="spellStart"/>
            <w:r w:rsidRPr="00940AE8">
              <w:rPr>
                <w:rFonts w:ascii="Times New Roman" w:eastAsia="Times New Roman" w:hAnsi="Times New Roman"/>
                <w:i/>
                <w:iCs/>
                <w:lang w:val="ro-MD"/>
              </w:rPr>
              <w:t>Gempylidae</w:t>
            </w:r>
            <w:proofErr w:type="spellEnd"/>
            <w:r w:rsidRPr="00940AE8">
              <w:rPr>
                <w:rFonts w:ascii="Times New Roman" w:eastAsia="Times New Roman" w:hAnsi="Times New Roman"/>
                <w:iCs/>
                <w:lang w:val="ro-MD"/>
              </w:rPr>
              <w:t>, în special </w:t>
            </w:r>
            <w:proofErr w:type="spellStart"/>
            <w:r w:rsidRPr="00940AE8">
              <w:rPr>
                <w:rFonts w:ascii="Times New Roman" w:eastAsia="Times New Roman" w:hAnsi="Times New Roman"/>
                <w:i/>
                <w:iCs/>
                <w:lang w:val="ro-MD"/>
              </w:rPr>
              <w:t>Ruvettus</w:t>
            </w:r>
            <w:proofErr w:type="spellEnd"/>
            <w:r w:rsidRPr="00940AE8">
              <w:rPr>
                <w:rFonts w:ascii="Times New Roman" w:eastAsia="Times New Roman" w:hAnsi="Times New Roman"/>
                <w:i/>
                <w:iCs/>
                <w:lang w:val="ro-MD"/>
              </w:rPr>
              <w:t xml:space="preserve"> </w:t>
            </w:r>
            <w:proofErr w:type="spellStart"/>
            <w:r w:rsidRPr="00940AE8">
              <w:rPr>
                <w:rFonts w:ascii="Times New Roman" w:eastAsia="Times New Roman" w:hAnsi="Times New Roman"/>
                <w:i/>
                <w:iCs/>
                <w:lang w:val="ro-MD"/>
              </w:rPr>
              <w:t>pretiosus</w:t>
            </w:r>
            <w:r w:rsidRPr="00940AE8">
              <w:rPr>
                <w:rFonts w:ascii="Times New Roman" w:eastAsia="Times New Roman" w:hAnsi="Times New Roman"/>
                <w:iCs/>
                <w:lang w:val="ro-MD"/>
              </w:rPr>
              <w:t>și</w:t>
            </w:r>
            <w:proofErr w:type="spellEnd"/>
            <w:r w:rsidRPr="00940AE8">
              <w:rPr>
                <w:rFonts w:ascii="Times New Roman" w:eastAsia="Times New Roman" w:hAnsi="Times New Roman"/>
                <w:iCs/>
                <w:lang w:val="ro-MD"/>
              </w:rPr>
              <w:t> </w:t>
            </w:r>
            <w:proofErr w:type="spellStart"/>
            <w:r w:rsidRPr="00940AE8">
              <w:rPr>
                <w:rFonts w:ascii="Times New Roman" w:eastAsia="Times New Roman" w:hAnsi="Times New Roman"/>
                <w:i/>
                <w:iCs/>
                <w:lang w:val="ro-MD"/>
              </w:rPr>
              <w:t>Lepidocybium</w:t>
            </w:r>
            <w:proofErr w:type="spellEnd"/>
            <w:r w:rsidRPr="00940AE8">
              <w:rPr>
                <w:rFonts w:ascii="Times New Roman" w:eastAsia="Times New Roman" w:hAnsi="Times New Roman"/>
                <w:i/>
                <w:iCs/>
                <w:lang w:val="ro-MD"/>
              </w:rPr>
              <w:t xml:space="preserve"> </w:t>
            </w:r>
            <w:proofErr w:type="spellStart"/>
            <w:r w:rsidRPr="00940AE8">
              <w:rPr>
                <w:rFonts w:ascii="Times New Roman" w:eastAsia="Times New Roman" w:hAnsi="Times New Roman"/>
                <w:i/>
                <w:iCs/>
                <w:lang w:val="ro-MD"/>
              </w:rPr>
              <w:t>flavobrunneum</w:t>
            </w:r>
            <w:proofErr w:type="spellEnd"/>
            <w:r w:rsidRPr="00940AE8">
              <w:rPr>
                <w:rFonts w:ascii="Times New Roman" w:eastAsia="Times New Roman" w:hAnsi="Times New Roman"/>
                <w:i/>
                <w:iCs/>
                <w:lang w:val="ro-MD"/>
              </w:rPr>
              <w:t>,</w:t>
            </w:r>
            <w:r w:rsidRPr="00940AE8">
              <w:rPr>
                <w:rFonts w:ascii="Times New Roman" w:eastAsia="Times New Roman" w:hAnsi="Times New Roman"/>
                <w:iCs/>
                <w:lang w:val="ro-MD"/>
              </w:rPr>
              <w:t> nu pot fi introduse pe piață decât ambalate sau împachetate și trebuie să fie etichetate în mod corespunzător pentru a informa consumatorul cu privire la metodele de preparare și/sau de fierbere, precum cu privire la prezența substanțelor care pot provoca tulburări gastrointestinale. Pe etichetă, lângă denumirea comună trebuie să figureze numele științific.”</w:t>
            </w:r>
          </w:p>
          <w:p w14:paraId="702D39CC" w14:textId="77777777" w:rsidR="00940AE8" w:rsidRPr="00940AE8" w:rsidRDefault="00940AE8" w:rsidP="00940AE8">
            <w:pPr>
              <w:jc w:val="both"/>
              <w:rPr>
                <w:rFonts w:ascii="Times New Roman" w:eastAsia="Times New Roman" w:hAnsi="Times New Roman"/>
                <w:iCs/>
                <w:lang w:val="ro-MD"/>
              </w:rPr>
            </w:pPr>
          </w:p>
          <w:p w14:paraId="120F3F4C" w14:textId="77777777" w:rsidR="00940AE8" w:rsidRPr="00940AE8" w:rsidRDefault="00940AE8" w:rsidP="001D45F6">
            <w:pPr>
              <w:jc w:val="both"/>
              <w:rPr>
                <w:rFonts w:ascii="Times New Roman" w:eastAsia="Times New Roman" w:hAnsi="Times New Roman"/>
                <w:iCs/>
                <w:lang w:val="ro-MD"/>
              </w:rPr>
            </w:pPr>
          </w:p>
        </w:tc>
        <w:tc>
          <w:tcPr>
            <w:tcW w:w="5386" w:type="dxa"/>
          </w:tcPr>
          <w:p w14:paraId="6DFC0792" w14:textId="77777777" w:rsidR="00071C02" w:rsidRDefault="00071C02" w:rsidP="00071C02">
            <w:pPr>
              <w:jc w:val="both"/>
              <w:rPr>
                <w:rFonts w:ascii="Times New Roman" w:eastAsia="Times New Roman" w:hAnsi="Times New Roman"/>
                <w:bCs/>
                <w:lang w:val="ro-MD"/>
              </w:rPr>
            </w:pPr>
          </w:p>
          <w:p w14:paraId="78BB5862" w14:textId="77777777" w:rsidR="00071C02" w:rsidRDefault="00071C02" w:rsidP="00071C02">
            <w:pPr>
              <w:jc w:val="both"/>
              <w:rPr>
                <w:rFonts w:ascii="Times New Roman" w:eastAsia="Times New Roman" w:hAnsi="Times New Roman"/>
                <w:bCs/>
                <w:lang w:val="ro-MD"/>
              </w:rPr>
            </w:pPr>
          </w:p>
          <w:p w14:paraId="463A9A9E" w14:textId="77777777" w:rsidR="00071C02" w:rsidRDefault="00071C02" w:rsidP="00071C02">
            <w:pPr>
              <w:jc w:val="both"/>
              <w:rPr>
                <w:rFonts w:ascii="Times New Roman" w:eastAsia="Times New Roman" w:hAnsi="Times New Roman"/>
                <w:bCs/>
                <w:lang w:val="ro-MD"/>
              </w:rPr>
            </w:pPr>
          </w:p>
          <w:p w14:paraId="514A7258" w14:textId="77777777" w:rsidR="00071C02" w:rsidRPr="00071C02" w:rsidRDefault="00071C02" w:rsidP="00071C02">
            <w:pPr>
              <w:jc w:val="both"/>
              <w:rPr>
                <w:rFonts w:ascii="Times New Roman" w:eastAsia="Times New Roman" w:hAnsi="Times New Roman"/>
                <w:bCs/>
                <w:lang w:val="ro-MD"/>
              </w:rPr>
            </w:pPr>
            <w:r w:rsidRPr="00071C02">
              <w:rPr>
                <w:rFonts w:ascii="Times New Roman" w:eastAsia="Times New Roman" w:hAnsi="Times New Roman"/>
                <w:bCs/>
                <w:lang w:val="ro-MD"/>
              </w:rPr>
              <w:t>Preluat prin HG nr. 1112/2010.</w:t>
            </w:r>
          </w:p>
          <w:p w14:paraId="301176BB" w14:textId="77777777" w:rsidR="00940AE8" w:rsidRPr="00BB3A8D" w:rsidRDefault="00940AE8" w:rsidP="009A53B5">
            <w:pPr>
              <w:jc w:val="both"/>
              <w:rPr>
                <w:rFonts w:ascii="Times New Roman" w:eastAsia="Times New Roman" w:hAnsi="Times New Roman"/>
                <w:bCs/>
                <w:lang w:val="ro-MD"/>
              </w:rPr>
            </w:pPr>
          </w:p>
        </w:tc>
        <w:tc>
          <w:tcPr>
            <w:tcW w:w="1560" w:type="dxa"/>
          </w:tcPr>
          <w:p w14:paraId="2904B8D4" w14:textId="77777777" w:rsidR="00AB79E3" w:rsidRDefault="00AB79E3" w:rsidP="00AB79E3">
            <w:pPr>
              <w:jc w:val="center"/>
              <w:rPr>
                <w:rFonts w:ascii="Times New Roman" w:eastAsia="Times New Roman" w:hAnsi="Times New Roman"/>
                <w:b/>
                <w:noProof/>
                <w:color w:val="000000"/>
                <w:lang w:val="ro-MD"/>
              </w:rPr>
            </w:pPr>
          </w:p>
          <w:p w14:paraId="35336F23" w14:textId="77777777" w:rsidR="00940AE8" w:rsidRPr="00B300E0" w:rsidRDefault="00071C02" w:rsidP="00071C02">
            <w:pPr>
              <w:jc w:val="center"/>
              <w:rPr>
                <w:rFonts w:ascii="Times New Roman" w:eastAsia="Times New Roman" w:hAnsi="Times New Roman"/>
                <w:b/>
                <w:noProof/>
                <w:color w:val="000000"/>
                <w:lang w:val="ro-MD"/>
              </w:rPr>
            </w:pPr>
            <w:r>
              <w:rPr>
                <w:rFonts w:ascii="Times New Roman" w:eastAsia="Times New Roman" w:hAnsi="Times New Roman"/>
                <w:b/>
                <w:noProof/>
                <w:color w:val="000000"/>
                <w:lang w:val="ro-MD"/>
              </w:rPr>
              <w:t>Compatibil</w:t>
            </w:r>
          </w:p>
        </w:tc>
        <w:tc>
          <w:tcPr>
            <w:tcW w:w="2835" w:type="dxa"/>
          </w:tcPr>
          <w:p w14:paraId="113B6E8E" w14:textId="77777777" w:rsidR="00940AE8" w:rsidRPr="00BB3A8D" w:rsidRDefault="00940AE8" w:rsidP="009A53B5">
            <w:pPr>
              <w:jc w:val="center"/>
              <w:rPr>
                <w:rFonts w:ascii="Times New Roman" w:eastAsia="Times New Roman" w:hAnsi="Times New Roman"/>
                <w:b/>
                <w:lang w:val="ro-MD"/>
              </w:rPr>
            </w:pPr>
          </w:p>
        </w:tc>
      </w:tr>
    </w:tbl>
    <w:p w14:paraId="7BD660FD" w14:textId="77777777" w:rsidR="0068320C" w:rsidRDefault="0068320C"/>
    <w:sectPr w:rsidR="0068320C" w:rsidSect="00663F6D">
      <w:pgSz w:w="15840" w:h="1224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FE"/>
    <w:rsid w:val="000000CA"/>
    <w:rsid w:val="00014BED"/>
    <w:rsid w:val="00070DA0"/>
    <w:rsid w:val="00071C02"/>
    <w:rsid w:val="000D2B06"/>
    <w:rsid w:val="000E7037"/>
    <w:rsid w:val="001237C6"/>
    <w:rsid w:val="001854D6"/>
    <w:rsid w:val="001D45F6"/>
    <w:rsid w:val="0020090B"/>
    <w:rsid w:val="00212C99"/>
    <w:rsid w:val="00296B25"/>
    <w:rsid w:val="00307606"/>
    <w:rsid w:val="00421619"/>
    <w:rsid w:val="00481D20"/>
    <w:rsid w:val="00491B6B"/>
    <w:rsid w:val="004C0949"/>
    <w:rsid w:val="004E01AD"/>
    <w:rsid w:val="0052231F"/>
    <w:rsid w:val="005547A3"/>
    <w:rsid w:val="0058181C"/>
    <w:rsid w:val="00621ADF"/>
    <w:rsid w:val="00623121"/>
    <w:rsid w:val="00633813"/>
    <w:rsid w:val="00677439"/>
    <w:rsid w:val="0068320C"/>
    <w:rsid w:val="00732020"/>
    <w:rsid w:val="007B6484"/>
    <w:rsid w:val="00904DED"/>
    <w:rsid w:val="00940AE8"/>
    <w:rsid w:val="0096656A"/>
    <w:rsid w:val="009C03FE"/>
    <w:rsid w:val="009F09DE"/>
    <w:rsid w:val="00AA3454"/>
    <w:rsid w:val="00AB79E3"/>
    <w:rsid w:val="00B56172"/>
    <w:rsid w:val="00BF3271"/>
    <w:rsid w:val="00C23E6D"/>
    <w:rsid w:val="00C5064F"/>
    <w:rsid w:val="00C65AAA"/>
    <w:rsid w:val="00D227B5"/>
    <w:rsid w:val="00D30575"/>
    <w:rsid w:val="00E10565"/>
    <w:rsid w:val="00E32D15"/>
    <w:rsid w:val="00E34FA4"/>
    <w:rsid w:val="00EC1044"/>
    <w:rsid w:val="00ED5D6A"/>
    <w:rsid w:val="00EF2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7EF4A"/>
  <w15:chartTrackingRefBased/>
  <w15:docId w15:val="{5E5B7795-9BDB-432F-82AB-0AF7844A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F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1">
    <w:name w:val="Table Grid1"/>
    <w:basedOn w:val="TabelNormal"/>
    <w:next w:val="Tabelgril"/>
    <w:rsid w:val="009C03F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9C0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940A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7482">
      <w:bodyDiv w:val="1"/>
      <w:marLeft w:val="0"/>
      <w:marRight w:val="0"/>
      <w:marTop w:val="0"/>
      <w:marBottom w:val="0"/>
      <w:divBdr>
        <w:top w:val="none" w:sz="0" w:space="0" w:color="auto"/>
        <w:left w:val="none" w:sz="0" w:space="0" w:color="auto"/>
        <w:bottom w:val="none" w:sz="0" w:space="0" w:color="auto"/>
        <w:right w:val="none" w:sz="0" w:space="0" w:color="auto"/>
      </w:divBdr>
    </w:div>
    <w:div w:id="183134915">
      <w:bodyDiv w:val="1"/>
      <w:marLeft w:val="0"/>
      <w:marRight w:val="0"/>
      <w:marTop w:val="0"/>
      <w:marBottom w:val="0"/>
      <w:divBdr>
        <w:top w:val="none" w:sz="0" w:space="0" w:color="auto"/>
        <w:left w:val="none" w:sz="0" w:space="0" w:color="auto"/>
        <w:bottom w:val="none" w:sz="0" w:space="0" w:color="auto"/>
        <w:right w:val="none" w:sz="0" w:space="0" w:color="auto"/>
      </w:divBdr>
      <w:divsChild>
        <w:div w:id="466363813">
          <w:marLeft w:val="480"/>
          <w:marRight w:val="0"/>
          <w:marTop w:val="0"/>
          <w:marBottom w:val="0"/>
          <w:divBdr>
            <w:top w:val="none" w:sz="0" w:space="0" w:color="auto"/>
            <w:left w:val="none" w:sz="0" w:space="0" w:color="auto"/>
            <w:bottom w:val="none" w:sz="0" w:space="0" w:color="auto"/>
            <w:right w:val="none" w:sz="0" w:space="0" w:color="auto"/>
          </w:divBdr>
        </w:div>
        <w:div w:id="1133138780">
          <w:marLeft w:val="480"/>
          <w:marRight w:val="0"/>
          <w:marTop w:val="0"/>
          <w:marBottom w:val="0"/>
          <w:divBdr>
            <w:top w:val="none" w:sz="0" w:space="0" w:color="auto"/>
            <w:left w:val="none" w:sz="0" w:space="0" w:color="auto"/>
            <w:bottom w:val="none" w:sz="0" w:space="0" w:color="auto"/>
            <w:right w:val="none" w:sz="0" w:space="0" w:color="auto"/>
          </w:divBdr>
        </w:div>
      </w:divsChild>
    </w:div>
    <w:div w:id="189687412">
      <w:bodyDiv w:val="1"/>
      <w:marLeft w:val="0"/>
      <w:marRight w:val="0"/>
      <w:marTop w:val="0"/>
      <w:marBottom w:val="0"/>
      <w:divBdr>
        <w:top w:val="none" w:sz="0" w:space="0" w:color="auto"/>
        <w:left w:val="none" w:sz="0" w:space="0" w:color="auto"/>
        <w:bottom w:val="none" w:sz="0" w:space="0" w:color="auto"/>
        <w:right w:val="none" w:sz="0" w:space="0" w:color="auto"/>
      </w:divBdr>
    </w:div>
    <w:div w:id="233592905">
      <w:bodyDiv w:val="1"/>
      <w:marLeft w:val="0"/>
      <w:marRight w:val="0"/>
      <w:marTop w:val="0"/>
      <w:marBottom w:val="0"/>
      <w:divBdr>
        <w:top w:val="none" w:sz="0" w:space="0" w:color="auto"/>
        <w:left w:val="none" w:sz="0" w:space="0" w:color="auto"/>
        <w:bottom w:val="none" w:sz="0" w:space="0" w:color="auto"/>
        <w:right w:val="none" w:sz="0" w:space="0" w:color="auto"/>
      </w:divBdr>
      <w:divsChild>
        <w:div w:id="2043170783">
          <w:marLeft w:val="600"/>
          <w:marRight w:val="0"/>
          <w:marTop w:val="0"/>
          <w:marBottom w:val="0"/>
          <w:divBdr>
            <w:top w:val="none" w:sz="0" w:space="0" w:color="auto"/>
            <w:left w:val="none" w:sz="0" w:space="0" w:color="auto"/>
            <w:bottom w:val="none" w:sz="0" w:space="0" w:color="auto"/>
            <w:right w:val="none" w:sz="0" w:space="0" w:color="auto"/>
          </w:divBdr>
        </w:div>
        <w:div w:id="838541816">
          <w:marLeft w:val="600"/>
          <w:marRight w:val="0"/>
          <w:marTop w:val="0"/>
          <w:marBottom w:val="0"/>
          <w:divBdr>
            <w:top w:val="none" w:sz="0" w:space="0" w:color="auto"/>
            <w:left w:val="none" w:sz="0" w:space="0" w:color="auto"/>
            <w:bottom w:val="none" w:sz="0" w:space="0" w:color="auto"/>
            <w:right w:val="none" w:sz="0" w:space="0" w:color="auto"/>
          </w:divBdr>
        </w:div>
        <w:div w:id="1141580867">
          <w:marLeft w:val="600"/>
          <w:marRight w:val="0"/>
          <w:marTop w:val="0"/>
          <w:marBottom w:val="0"/>
          <w:divBdr>
            <w:top w:val="none" w:sz="0" w:space="0" w:color="auto"/>
            <w:left w:val="none" w:sz="0" w:space="0" w:color="auto"/>
            <w:bottom w:val="none" w:sz="0" w:space="0" w:color="auto"/>
            <w:right w:val="none" w:sz="0" w:space="0" w:color="auto"/>
          </w:divBdr>
        </w:div>
        <w:div w:id="901671434">
          <w:marLeft w:val="600"/>
          <w:marRight w:val="0"/>
          <w:marTop w:val="0"/>
          <w:marBottom w:val="0"/>
          <w:divBdr>
            <w:top w:val="none" w:sz="0" w:space="0" w:color="auto"/>
            <w:left w:val="none" w:sz="0" w:space="0" w:color="auto"/>
            <w:bottom w:val="none" w:sz="0" w:space="0" w:color="auto"/>
            <w:right w:val="none" w:sz="0" w:space="0" w:color="auto"/>
          </w:divBdr>
        </w:div>
        <w:div w:id="963384203">
          <w:marLeft w:val="600"/>
          <w:marRight w:val="0"/>
          <w:marTop w:val="0"/>
          <w:marBottom w:val="0"/>
          <w:divBdr>
            <w:top w:val="none" w:sz="0" w:space="0" w:color="auto"/>
            <w:left w:val="none" w:sz="0" w:space="0" w:color="auto"/>
            <w:bottom w:val="none" w:sz="0" w:space="0" w:color="auto"/>
            <w:right w:val="none" w:sz="0" w:space="0" w:color="auto"/>
          </w:divBdr>
        </w:div>
        <w:div w:id="1004017072">
          <w:marLeft w:val="600"/>
          <w:marRight w:val="0"/>
          <w:marTop w:val="0"/>
          <w:marBottom w:val="0"/>
          <w:divBdr>
            <w:top w:val="none" w:sz="0" w:space="0" w:color="auto"/>
            <w:left w:val="none" w:sz="0" w:space="0" w:color="auto"/>
            <w:bottom w:val="none" w:sz="0" w:space="0" w:color="auto"/>
            <w:right w:val="none" w:sz="0" w:space="0" w:color="auto"/>
          </w:divBdr>
        </w:div>
        <w:div w:id="459693197">
          <w:marLeft w:val="600"/>
          <w:marRight w:val="0"/>
          <w:marTop w:val="0"/>
          <w:marBottom w:val="0"/>
          <w:divBdr>
            <w:top w:val="none" w:sz="0" w:space="0" w:color="auto"/>
            <w:left w:val="none" w:sz="0" w:space="0" w:color="auto"/>
            <w:bottom w:val="none" w:sz="0" w:space="0" w:color="auto"/>
            <w:right w:val="none" w:sz="0" w:space="0" w:color="auto"/>
          </w:divBdr>
        </w:div>
        <w:div w:id="1076896657">
          <w:marLeft w:val="600"/>
          <w:marRight w:val="0"/>
          <w:marTop w:val="0"/>
          <w:marBottom w:val="0"/>
          <w:divBdr>
            <w:top w:val="none" w:sz="0" w:space="0" w:color="auto"/>
            <w:left w:val="none" w:sz="0" w:space="0" w:color="auto"/>
            <w:bottom w:val="none" w:sz="0" w:space="0" w:color="auto"/>
            <w:right w:val="none" w:sz="0" w:space="0" w:color="auto"/>
          </w:divBdr>
        </w:div>
      </w:divsChild>
    </w:div>
    <w:div w:id="375936955">
      <w:bodyDiv w:val="1"/>
      <w:marLeft w:val="0"/>
      <w:marRight w:val="0"/>
      <w:marTop w:val="0"/>
      <w:marBottom w:val="0"/>
      <w:divBdr>
        <w:top w:val="none" w:sz="0" w:space="0" w:color="auto"/>
        <w:left w:val="none" w:sz="0" w:space="0" w:color="auto"/>
        <w:bottom w:val="none" w:sz="0" w:space="0" w:color="auto"/>
        <w:right w:val="none" w:sz="0" w:space="0" w:color="auto"/>
      </w:divBdr>
      <w:divsChild>
        <w:div w:id="1907645499">
          <w:marLeft w:val="480"/>
          <w:marRight w:val="0"/>
          <w:marTop w:val="0"/>
          <w:marBottom w:val="0"/>
          <w:divBdr>
            <w:top w:val="none" w:sz="0" w:space="0" w:color="auto"/>
            <w:left w:val="none" w:sz="0" w:space="0" w:color="auto"/>
            <w:bottom w:val="none" w:sz="0" w:space="0" w:color="auto"/>
            <w:right w:val="none" w:sz="0" w:space="0" w:color="auto"/>
          </w:divBdr>
        </w:div>
        <w:div w:id="1547333911">
          <w:marLeft w:val="600"/>
          <w:marRight w:val="0"/>
          <w:marTop w:val="0"/>
          <w:marBottom w:val="0"/>
          <w:divBdr>
            <w:top w:val="none" w:sz="0" w:space="0" w:color="auto"/>
            <w:left w:val="none" w:sz="0" w:space="0" w:color="auto"/>
            <w:bottom w:val="none" w:sz="0" w:space="0" w:color="auto"/>
            <w:right w:val="none" w:sz="0" w:space="0" w:color="auto"/>
          </w:divBdr>
        </w:div>
        <w:div w:id="555700547">
          <w:marLeft w:val="600"/>
          <w:marRight w:val="0"/>
          <w:marTop w:val="0"/>
          <w:marBottom w:val="0"/>
          <w:divBdr>
            <w:top w:val="none" w:sz="0" w:space="0" w:color="auto"/>
            <w:left w:val="none" w:sz="0" w:space="0" w:color="auto"/>
            <w:bottom w:val="none" w:sz="0" w:space="0" w:color="auto"/>
            <w:right w:val="none" w:sz="0" w:space="0" w:color="auto"/>
          </w:divBdr>
        </w:div>
        <w:div w:id="295453979">
          <w:marLeft w:val="600"/>
          <w:marRight w:val="0"/>
          <w:marTop w:val="0"/>
          <w:marBottom w:val="0"/>
          <w:divBdr>
            <w:top w:val="none" w:sz="0" w:space="0" w:color="auto"/>
            <w:left w:val="none" w:sz="0" w:space="0" w:color="auto"/>
            <w:bottom w:val="none" w:sz="0" w:space="0" w:color="auto"/>
            <w:right w:val="none" w:sz="0" w:space="0" w:color="auto"/>
          </w:divBdr>
        </w:div>
        <w:div w:id="879172602">
          <w:marLeft w:val="480"/>
          <w:marRight w:val="0"/>
          <w:marTop w:val="0"/>
          <w:marBottom w:val="0"/>
          <w:divBdr>
            <w:top w:val="none" w:sz="0" w:space="0" w:color="auto"/>
            <w:left w:val="none" w:sz="0" w:space="0" w:color="auto"/>
            <w:bottom w:val="none" w:sz="0" w:space="0" w:color="auto"/>
            <w:right w:val="none" w:sz="0" w:space="0" w:color="auto"/>
          </w:divBdr>
        </w:div>
        <w:div w:id="1751467556">
          <w:marLeft w:val="480"/>
          <w:marRight w:val="0"/>
          <w:marTop w:val="0"/>
          <w:marBottom w:val="0"/>
          <w:divBdr>
            <w:top w:val="none" w:sz="0" w:space="0" w:color="auto"/>
            <w:left w:val="none" w:sz="0" w:space="0" w:color="auto"/>
            <w:bottom w:val="none" w:sz="0" w:space="0" w:color="auto"/>
            <w:right w:val="none" w:sz="0" w:space="0" w:color="auto"/>
          </w:divBdr>
        </w:div>
        <w:div w:id="2055808647">
          <w:marLeft w:val="480"/>
          <w:marRight w:val="0"/>
          <w:marTop w:val="0"/>
          <w:marBottom w:val="0"/>
          <w:divBdr>
            <w:top w:val="none" w:sz="0" w:space="0" w:color="auto"/>
            <w:left w:val="none" w:sz="0" w:space="0" w:color="auto"/>
            <w:bottom w:val="none" w:sz="0" w:space="0" w:color="auto"/>
            <w:right w:val="none" w:sz="0" w:space="0" w:color="auto"/>
          </w:divBdr>
        </w:div>
        <w:div w:id="760220251">
          <w:marLeft w:val="480"/>
          <w:marRight w:val="0"/>
          <w:marTop w:val="0"/>
          <w:marBottom w:val="0"/>
          <w:divBdr>
            <w:top w:val="none" w:sz="0" w:space="0" w:color="auto"/>
            <w:left w:val="none" w:sz="0" w:space="0" w:color="auto"/>
            <w:bottom w:val="none" w:sz="0" w:space="0" w:color="auto"/>
            <w:right w:val="none" w:sz="0" w:space="0" w:color="auto"/>
          </w:divBdr>
        </w:div>
        <w:div w:id="1212306498">
          <w:marLeft w:val="480"/>
          <w:marRight w:val="0"/>
          <w:marTop w:val="0"/>
          <w:marBottom w:val="0"/>
          <w:divBdr>
            <w:top w:val="none" w:sz="0" w:space="0" w:color="auto"/>
            <w:left w:val="none" w:sz="0" w:space="0" w:color="auto"/>
            <w:bottom w:val="none" w:sz="0" w:space="0" w:color="auto"/>
            <w:right w:val="none" w:sz="0" w:space="0" w:color="auto"/>
          </w:divBdr>
        </w:div>
      </w:divsChild>
    </w:div>
    <w:div w:id="431583573">
      <w:bodyDiv w:val="1"/>
      <w:marLeft w:val="0"/>
      <w:marRight w:val="0"/>
      <w:marTop w:val="0"/>
      <w:marBottom w:val="0"/>
      <w:divBdr>
        <w:top w:val="none" w:sz="0" w:space="0" w:color="auto"/>
        <w:left w:val="none" w:sz="0" w:space="0" w:color="auto"/>
        <w:bottom w:val="none" w:sz="0" w:space="0" w:color="auto"/>
        <w:right w:val="none" w:sz="0" w:space="0" w:color="auto"/>
      </w:divBdr>
      <w:divsChild>
        <w:div w:id="1400010720">
          <w:marLeft w:val="480"/>
          <w:marRight w:val="0"/>
          <w:marTop w:val="0"/>
          <w:marBottom w:val="0"/>
          <w:divBdr>
            <w:top w:val="none" w:sz="0" w:space="0" w:color="auto"/>
            <w:left w:val="none" w:sz="0" w:space="0" w:color="auto"/>
            <w:bottom w:val="none" w:sz="0" w:space="0" w:color="auto"/>
            <w:right w:val="none" w:sz="0" w:space="0" w:color="auto"/>
          </w:divBdr>
        </w:div>
        <w:div w:id="1919092627">
          <w:marLeft w:val="480"/>
          <w:marRight w:val="0"/>
          <w:marTop w:val="0"/>
          <w:marBottom w:val="0"/>
          <w:divBdr>
            <w:top w:val="none" w:sz="0" w:space="0" w:color="auto"/>
            <w:left w:val="none" w:sz="0" w:space="0" w:color="auto"/>
            <w:bottom w:val="none" w:sz="0" w:space="0" w:color="auto"/>
            <w:right w:val="none" w:sz="0" w:space="0" w:color="auto"/>
          </w:divBdr>
        </w:div>
        <w:div w:id="257760276">
          <w:marLeft w:val="480"/>
          <w:marRight w:val="0"/>
          <w:marTop w:val="0"/>
          <w:marBottom w:val="0"/>
          <w:divBdr>
            <w:top w:val="none" w:sz="0" w:space="0" w:color="auto"/>
            <w:left w:val="none" w:sz="0" w:space="0" w:color="auto"/>
            <w:bottom w:val="none" w:sz="0" w:space="0" w:color="auto"/>
            <w:right w:val="none" w:sz="0" w:space="0" w:color="auto"/>
          </w:divBdr>
        </w:div>
        <w:div w:id="757672638">
          <w:marLeft w:val="480"/>
          <w:marRight w:val="0"/>
          <w:marTop w:val="0"/>
          <w:marBottom w:val="0"/>
          <w:divBdr>
            <w:top w:val="none" w:sz="0" w:space="0" w:color="auto"/>
            <w:left w:val="none" w:sz="0" w:space="0" w:color="auto"/>
            <w:bottom w:val="none" w:sz="0" w:space="0" w:color="auto"/>
            <w:right w:val="none" w:sz="0" w:space="0" w:color="auto"/>
          </w:divBdr>
        </w:div>
        <w:div w:id="1265118351">
          <w:marLeft w:val="600"/>
          <w:marRight w:val="0"/>
          <w:marTop w:val="0"/>
          <w:marBottom w:val="0"/>
          <w:divBdr>
            <w:top w:val="none" w:sz="0" w:space="0" w:color="auto"/>
            <w:left w:val="none" w:sz="0" w:space="0" w:color="auto"/>
            <w:bottom w:val="none" w:sz="0" w:space="0" w:color="auto"/>
            <w:right w:val="none" w:sz="0" w:space="0" w:color="auto"/>
          </w:divBdr>
        </w:div>
        <w:div w:id="2118018025">
          <w:marLeft w:val="600"/>
          <w:marRight w:val="0"/>
          <w:marTop w:val="0"/>
          <w:marBottom w:val="0"/>
          <w:divBdr>
            <w:top w:val="none" w:sz="0" w:space="0" w:color="auto"/>
            <w:left w:val="none" w:sz="0" w:space="0" w:color="auto"/>
            <w:bottom w:val="none" w:sz="0" w:space="0" w:color="auto"/>
            <w:right w:val="none" w:sz="0" w:space="0" w:color="auto"/>
          </w:divBdr>
        </w:div>
        <w:div w:id="2124230390">
          <w:marLeft w:val="480"/>
          <w:marRight w:val="0"/>
          <w:marTop w:val="0"/>
          <w:marBottom w:val="0"/>
          <w:divBdr>
            <w:top w:val="none" w:sz="0" w:space="0" w:color="auto"/>
            <w:left w:val="none" w:sz="0" w:space="0" w:color="auto"/>
            <w:bottom w:val="none" w:sz="0" w:space="0" w:color="auto"/>
            <w:right w:val="none" w:sz="0" w:space="0" w:color="auto"/>
          </w:divBdr>
        </w:div>
      </w:divsChild>
    </w:div>
    <w:div w:id="535392000">
      <w:bodyDiv w:val="1"/>
      <w:marLeft w:val="0"/>
      <w:marRight w:val="0"/>
      <w:marTop w:val="0"/>
      <w:marBottom w:val="0"/>
      <w:divBdr>
        <w:top w:val="none" w:sz="0" w:space="0" w:color="auto"/>
        <w:left w:val="none" w:sz="0" w:space="0" w:color="auto"/>
        <w:bottom w:val="none" w:sz="0" w:space="0" w:color="auto"/>
        <w:right w:val="none" w:sz="0" w:space="0" w:color="auto"/>
      </w:divBdr>
      <w:divsChild>
        <w:div w:id="716780383">
          <w:marLeft w:val="480"/>
          <w:marRight w:val="0"/>
          <w:marTop w:val="0"/>
          <w:marBottom w:val="0"/>
          <w:divBdr>
            <w:top w:val="none" w:sz="0" w:space="0" w:color="auto"/>
            <w:left w:val="none" w:sz="0" w:space="0" w:color="auto"/>
            <w:bottom w:val="none" w:sz="0" w:space="0" w:color="auto"/>
            <w:right w:val="none" w:sz="0" w:space="0" w:color="auto"/>
          </w:divBdr>
        </w:div>
        <w:div w:id="1362895463">
          <w:marLeft w:val="600"/>
          <w:marRight w:val="0"/>
          <w:marTop w:val="0"/>
          <w:marBottom w:val="0"/>
          <w:divBdr>
            <w:top w:val="none" w:sz="0" w:space="0" w:color="auto"/>
            <w:left w:val="none" w:sz="0" w:space="0" w:color="auto"/>
            <w:bottom w:val="none" w:sz="0" w:space="0" w:color="auto"/>
            <w:right w:val="none" w:sz="0" w:space="0" w:color="auto"/>
          </w:divBdr>
        </w:div>
        <w:div w:id="1636787798">
          <w:marLeft w:val="600"/>
          <w:marRight w:val="0"/>
          <w:marTop w:val="0"/>
          <w:marBottom w:val="0"/>
          <w:divBdr>
            <w:top w:val="none" w:sz="0" w:space="0" w:color="auto"/>
            <w:left w:val="none" w:sz="0" w:space="0" w:color="auto"/>
            <w:bottom w:val="none" w:sz="0" w:space="0" w:color="auto"/>
            <w:right w:val="none" w:sz="0" w:space="0" w:color="auto"/>
          </w:divBdr>
        </w:div>
        <w:div w:id="382943316">
          <w:marLeft w:val="480"/>
          <w:marRight w:val="0"/>
          <w:marTop w:val="0"/>
          <w:marBottom w:val="0"/>
          <w:divBdr>
            <w:top w:val="none" w:sz="0" w:space="0" w:color="auto"/>
            <w:left w:val="none" w:sz="0" w:space="0" w:color="auto"/>
            <w:bottom w:val="none" w:sz="0" w:space="0" w:color="auto"/>
            <w:right w:val="none" w:sz="0" w:space="0" w:color="auto"/>
          </w:divBdr>
        </w:div>
        <w:div w:id="1867597038">
          <w:marLeft w:val="480"/>
          <w:marRight w:val="0"/>
          <w:marTop w:val="0"/>
          <w:marBottom w:val="0"/>
          <w:divBdr>
            <w:top w:val="none" w:sz="0" w:space="0" w:color="auto"/>
            <w:left w:val="none" w:sz="0" w:space="0" w:color="auto"/>
            <w:bottom w:val="none" w:sz="0" w:space="0" w:color="auto"/>
            <w:right w:val="none" w:sz="0" w:space="0" w:color="auto"/>
          </w:divBdr>
        </w:div>
        <w:div w:id="33508663">
          <w:marLeft w:val="600"/>
          <w:marRight w:val="0"/>
          <w:marTop w:val="0"/>
          <w:marBottom w:val="0"/>
          <w:divBdr>
            <w:top w:val="none" w:sz="0" w:space="0" w:color="auto"/>
            <w:left w:val="none" w:sz="0" w:space="0" w:color="auto"/>
            <w:bottom w:val="none" w:sz="0" w:space="0" w:color="auto"/>
            <w:right w:val="none" w:sz="0" w:space="0" w:color="auto"/>
          </w:divBdr>
        </w:div>
        <w:div w:id="1297416868">
          <w:marLeft w:val="480"/>
          <w:marRight w:val="0"/>
          <w:marTop w:val="0"/>
          <w:marBottom w:val="0"/>
          <w:divBdr>
            <w:top w:val="none" w:sz="0" w:space="0" w:color="auto"/>
            <w:left w:val="none" w:sz="0" w:space="0" w:color="auto"/>
            <w:bottom w:val="none" w:sz="0" w:space="0" w:color="auto"/>
            <w:right w:val="none" w:sz="0" w:space="0" w:color="auto"/>
          </w:divBdr>
        </w:div>
        <w:div w:id="1168860633">
          <w:marLeft w:val="600"/>
          <w:marRight w:val="0"/>
          <w:marTop w:val="0"/>
          <w:marBottom w:val="0"/>
          <w:divBdr>
            <w:top w:val="none" w:sz="0" w:space="0" w:color="auto"/>
            <w:left w:val="none" w:sz="0" w:space="0" w:color="auto"/>
            <w:bottom w:val="none" w:sz="0" w:space="0" w:color="auto"/>
            <w:right w:val="none" w:sz="0" w:space="0" w:color="auto"/>
          </w:divBdr>
        </w:div>
        <w:div w:id="1511875025">
          <w:marLeft w:val="600"/>
          <w:marRight w:val="0"/>
          <w:marTop w:val="0"/>
          <w:marBottom w:val="0"/>
          <w:divBdr>
            <w:top w:val="none" w:sz="0" w:space="0" w:color="auto"/>
            <w:left w:val="none" w:sz="0" w:space="0" w:color="auto"/>
            <w:bottom w:val="none" w:sz="0" w:space="0" w:color="auto"/>
            <w:right w:val="none" w:sz="0" w:space="0" w:color="auto"/>
          </w:divBdr>
        </w:div>
        <w:div w:id="624506520">
          <w:marLeft w:val="480"/>
          <w:marRight w:val="0"/>
          <w:marTop w:val="0"/>
          <w:marBottom w:val="0"/>
          <w:divBdr>
            <w:top w:val="none" w:sz="0" w:space="0" w:color="auto"/>
            <w:left w:val="none" w:sz="0" w:space="0" w:color="auto"/>
            <w:bottom w:val="none" w:sz="0" w:space="0" w:color="auto"/>
            <w:right w:val="none" w:sz="0" w:space="0" w:color="auto"/>
          </w:divBdr>
        </w:div>
        <w:div w:id="2130588134">
          <w:marLeft w:val="600"/>
          <w:marRight w:val="0"/>
          <w:marTop w:val="0"/>
          <w:marBottom w:val="0"/>
          <w:divBdr>
            <w:top w:val="none" w:sz="0" w:space="0" w:color="auto"/>
            <w:left w:val="none" w:sz="0" w:space="0" w:color="auto"/>
            <w:bottom w:val="none" w:sz="0" w:space="0" w:color="auto"/>
            <w:right w:val="none" w:sz="0" w:space="0" w:color="auto"/>
          </w:divBdr>
        </w:div>
        <w:div w:id="1673490358">
          <w:marLeft w:val="600"/>
          <w:marRight w:val="0"/>
          <w:marTop w:val="0"/>
          <w:marBottom w:val="0"/>
          <w:divBdr>
            <w:top w:val="none" w:sz="0" w:space="0" w:color="auto"/>
            <w:left w:val="none" w:sz="0" w:space="0" w:color="auto"/>
            <w:bottom w:val="none" w:sz="0" w:space="0" w:color="auto"/>
            <w:right w:val="none" w:sz="0" w:space="0" w:color="auto"/>
          </w:divBdr>
        </w:div>
        <w:div w:id="1361711435">
          <w:marLeft w:val="600"/>
          <w:marRight w:val="0"/>
          <w:marTop w:val="0"/>
          <w:marBottom w:val="0"/>
          <w:divBdr>
            <w:top w:val="none" w:sz="0" w:space="0" w:color="auto"/>
            <w:left w:val="none" w:sz="0" w:space="0" w:color="auto"/>
            <w:bottom w:val="none" w:sz="0" w:space="0" w:color="auto"/>
            <w:right w:val="none" w:sz="0" w:space="0" w:color="auto"/>
          </w:divBdr>
        </w:div>
        <w:div w:id="96097589">
          <w:marLeft w:val="720"/>
          <w:marRight w:val="0"/>
          <w:marTop w:val="0"/>
          <w:marBottom w:val="0"/>
          <w:divBdr>
            <w:top w:val="none" w:sz="0" w:space="0" w:color="auto"/>
            <w:left w:val="none" w:sz="0" w:space="0" w:color="auto"/>
            <w:bottom w:val="none" w:sz="0" w:space="0" w:color="auto"/>
            <w:right w:val="none" w:sz="0" w:space="0" w:color="auto"/>
          </w:divBdr>
        </w:div>
        <w:div w:id="1638873508">
          <w:marLeft w:val="480"/>
          <w:marRight w:val="0"/>
          <w:marTop w:val="0"/>
          <w:marBottom w:val="0"/>
          <w:divBdr>
            <w:top w:val="none" w:sz="0" w:space="0" w:color="auto"/>
            <w:left w:val="none" w:sz="0" w:space="0" w:color="auto"/>
            <w:bottom w:val="none" w:sz="0" w:space="0" w:color="auto"/>
            <w:right w:val="none" w:sz="0" w:space="0" w:color="auto"/>
          </w:divBdr>
        </w:div>
        <w:div w:id="1525749506">
          <w:marLeft w:val="600"/>
          <w:marRight w:val="0"/>
          <w:marTop w:val="0"/>
          <w:marBottom w:val="0"/>
          <w:divBdr>
            <w:top w:val="none" w:sz="0" w:space="0" w:color="auto"/>
            <w:left w:val="none" w:sz="0" w:space="0" w:color="auto"/>
            <w:bottom w:val="none" w:sz="0" w:space="0" w:color="auto"/>
            <w:right w:val="none" w:sz="0" w:space="0" w:color="auto"/>
          </w:divBdr>
        </w:div>
        <w:div w:id="1186945805">
          <w:marLeft w:val="600"/>
          <w:marRight w:val="0"/>
          <w:marTop w:val="0"/>
          <w:marBottom w:val="0"/>
          <w:divBdr>
            <w:top w:val="none" w:sz="0" w:space="0" w:color="auto"/>
            <w:left w:val="none" w:sz="0" w:space="0" w:color="auto"/>
            <w:bottom w:val="none" w:sz="0" w:space="0" w:color="auto"/>
            <w:right w:val="none" w:sz="0" w:space="0" w:color="auto"/>
          </w:divBdr>
        </w:div>
        <w:div w:id="707609404">
          <w:marLeft w:val="720"/>
          <w:marRight w:val="0"/>
          <w:marTop w:val="0"/>
          <w:marBottom w:val="0"/>
          <w:divBdr>
            <w:top w:val="none" w:sz="0" w:space="0" w:color="auto"/>
            <w:left w:val="none" w:sz="0" w:space="0" w:color="auto"/>
            <w:bottom w:val="none" w:sz="0" w:space="0" w:color="auto"/>
            <w:right w:val="none" w:sz="0" w:space="0" w:color="auto"/>
          </w:divBdr>
        </w:div>
        <w:div w:id="2073120011">
          <w:marLeft w:val="840"/>
          <w:marRight w:val="0"/>
          <w:marTop w:val="0"/>
          <w:marBottom w:val="0"/>
          <w:divBdr>
            <w:top w:val="none" w:sz="0" w:space="0" w:color="auto"/>
            <w:left w:val="none" w:sz="0" w:space="0" w:color="auto"/>
            <w:bottom w:val="none" w:sz="0" w:space="0" w:color="auto"/>
            <w:right w:val="none" w:sz="0" w:space="0" w:color="auto"/>
          </w:divBdr>
        </w:div>
        <w:div w:id="1294553588">
          <w:marLeft w:val="600"/>
          <w:marRight w:val="0"/>
          <w:marTop w:val="0"/>
          <w:marBottom w:val="0"/>
          <w:divBdr>
            <w:top w:val="none" w:sz="0" w:space="0" w:color="auto"/>
            <w:left w:val="none" w:sz="0" w:space="0" w:color="auto"/>
            <w:bottom w:val="none" w:sz="0" w:space="0" w:color="auto"/>
            <w:right w:val="none" w:sz="0" w:space="0" w:color="auto"/>
          </w:divBdr>
        </w:div>
        <w:div w:id="377357564">
          <w:marLeft w:val="600"/>
          <w:marRight w:val="0"/>
          <w:marTop w:val="0"/>
          <w:marBottom w:val="0"/>
          <w:divBdr>
            <w:top w:val="none" w:sz="0" w:space="0" w:color="auto"/>
            <w:left w:val="none" w:sz="0" w:space="0" w:color="auto"/>
            <w:bottom w:val="none" w:sz="0" w:space="0" w:color="auto"/>
            <w:right w:val="none" w:sz="0" w:space="0" w:color="auto"/>
          </w:divBdr>
        </w:div>
        <w:div w:id="993945289">
          <w:marLeft w:val="720"/>
          <w:marRight w:val="0"/>
          <w:marTop w:val="0"/>
          <w:marBottom w:val="0"/>
          <w:divBdr>
            <w:top w:val="none" w:sz="0" w:space="0" w:color="auto"/>
            <w:left w:val="none" w:sz="0" w:space="0" w:color="auto"/>
            <w:bottom w:val="none" w:sz="0" w:space="0" w:color="auto"/>
            <w:right w:val="none" w:sz="0" w:space="0" w:color="auto"/>
          </w:divBdr>
        </w:div>
        <w:div w:id="1704287334">
          <w:marLeft w:val="600"/>
          <w:marRight w:val="0"/>
          <w:marTop w:val="0"/>
          <w:marBottom w:val="0"/>
          <w:divBdr>
            <w:top w:val="none" w:sz="0" w:space="0" w:color="auto"/>
            <w:left w:val="none" w:sz="0" w:space="0" w:color="auto"/>
            <w:bottom w:val="none" w:sz="0" w:space="0" w:color="auto"/>
            <w:right w:val="none" w:sz="0" w:space="0" w:color="auto"/>
          </w:divBdr>
        </w:div>
        <w:div w:id="1349677444">
          <w:marLeft w:val="600"/>
          <w:marRight w:val="0"/>
          <w:marTop w:val="0"/>
          <w:marBottom w:val="0"/>
          <w:divBdr>
            <w:top w:val="none" w:sz="0" w:space="0" w:color="auto"/>
            <w:left w:val="none" w:sz="0" w:space="0" w:color="auto"/>
            <w:bottom w:val="none" w:sz="0" w:space="0" w:color="auto"/>
            <w:right w:val="none" w:sz="0" w:space="0" w:color="auto"/>
          </w:divBdr>
        </w:div>
        <w:div w:id="1875463501">
          <w:marLeft w:val="480"/>
          <w:marRight w:val="0"/>
          <w:marTop w:val="0"/>
          <w:marBottom w:val="0"/>
          <w:divBdr>
            <w:top w:val="none" w:sz="0" w:space="0" w:color="auto"/>
            <w:left w:val="none" w:sz="0" w:space="0" w:color="auto"/>
            <w:bottom w:val="none" w:sz="0" w:space="0" w:color="auto"/>
            <w:right w:val="none" w:sz="0" w:space="0" w:color="auto"/>
          </w:divBdr>
        </w:div>
        <w:div w:id="425922762">
          <w:marLeft w:val="720"/>
          <w:marRight w:val="0"/>
          <w:marTop w:val="0"/>
          <w:marBottom w:val="0"/>
          <w:divBdr>
            <w:top w:val="none" w:sz="0" w:space="0" w:color="auto"/>
            <w:left w:val="none" w:sz="0" w:space="0" w:color="auto"/>
            <w:bottom w:val="none" w:sz="0" w:space="0" w:color="auto"/>
            <w:right w:val="none" w:sz="0" w:space="0" w:color="auto"/>
          </w:divBdr>
        </w:div>
        <w:div w:id="416557934">
          <w:marLeft w:val="480"/>
          <w:marRight w:val="0"/>
          <w:marTop w:val="0"/>
          <w:marBottom w:val="0"/>
          <w:divBdr>
            <w:top w:val="none" w:sz="0" w:space="0" w:color="auto"/>
            <w:left w:val="none" w:sz="0" w:space="0" w:color="auto"/>
            <w:bottom w:val="none" w:sz="0" w:space="0" w:color="auto"/>
            <w:right w:val="none" w:sz="0" w:space="0" w:color="auto"/>
          </w:divBdr>
        </w:div>
        <w:div w:id="1022828827">
          <w:marLeft w:val="600"/>
          <w:marRight w:val="0"/>
          <w:marTop w:val="0"/>
          <w:marBottom w:val="0"/>
          <w:divBdr>
            <w:top w:val="none" w:sz="0" w:space="0" w:color="auto"/>
            <w:left w:val="none" w:sz="0" w:space="0" w:color="auto"/>
            <w:bottom w:val="none" w:sz="0" w:space="0" w:color="auto"/>
            <w:right w:val="none" w:sz="0" w:space="0" w:color="auto"/>
          </w:divBdr>
        </w:div>
      </w:divsChild>
    </w:div>
    <w:div w:id="727922880">
      <w:bodyDiv w:val="1"/>
      <w:marLeft w:val="0"/>
      <w:marRight w:val="0"/>
      <w:marTop w:val="0"/>
      <w:marBottom w:val="0"/>
      <w:divBdr>
        <w:top w:val="none" w:sz="0" w:space="0" w:color="auto"/>
        <w:left w:val="none" w:sz="0" w:space="0" w:color="auto"/>
        <w:bottom w:val="none" w:sz="0" w:space="0" w:color="auto"/>
        <w:right w:val="none" w:sz="0" w:space="0" w:color="auto"/>
      </w:divBdr>
    </w:div>
    <w:div w:id="738332132">
      <w:bodyDiv w:val="1"/>
      <w:marLeft w:val="0"/>
      <w:marRight w:val="0"/>
      <w:marTop w:val="0"/>
      <w:marBottom w:val="0"/>
      <w:divBdr>
        <w:top w:val="none" w:sz="0" w:space="0" w:color="auto"/>
        <w:left w:val="none" w:sz="0" w:space="0" w:color="auto"/>
        <w:bottom w:val="none" w:sz="0" w:space="0" w:color="auto"/>
        <w:right w:val="none" w:sz="0" w:space="0" w:color="auto"/>
      </w:divBdr>
    </w:div>
    <w:div w:id="785271175">
      <w:bodyDiv w:val="1"/>
      <w:marLeft w:val="0"/>
      <w:marRight w:val="0"/>
      <w:marTop w:val="0"/>
      <w:marBottom w:val="0"/>
      <w:divBdr>
        <w:top w:val="none" w:sz="0" w:space="0" w:color="auto"/>
        <w:left w:val="none" w:sz="0" w:space="0" w:color="auto"/>
        <w:bottom w:val="none" w:sz="0" w:space="0" w:color="auto"/>
        <w:right w:val="none" w:sz="0" w:space="0" w:color="auto"/>
      </w:divBdr>
    </w:div>
    <w:div w:id="938290445">
      <w:bodyDiv w:val="1"/>
      <w:marLeft w:val="0"/>
      <w:marRight w:val="0"/>
      <w:marTop w:val="0"/>
      <w:marBottom w:val="0"/>
      <w:divBdr>
        <w:top w:val="none" w:sz="0" w:space="0" w:color="auto"/>
        <w:left w:val="none" w:sz="0" w:space="0" w:color="auto"/>
        <w:bottom w:val="none" w:sz="0" w:space="0" w:color="auto"/>
        <w:right w:val="none" w:sz="0" w:space="0" w:color="auto"/>
      </w:divBdr>
    </w:div>
    <w:div w:id="1300186602">
      <w:bodyDiv w:val="1"/>
      <w:marLeft w:val="0"/>
      <w:marRight w:val="0"/>
      <w:marTop w:val="0"/>
      <w:marBottom w:val="0"/>
      <w:divBdr>
        <w:top w:val="none" w:sz="0" w:space="0" w:color="auto"/>
        <w:left w:val="none" w:sz="0" w:space="0" w:color="auto"/>
        <w:bottom w:val="none" w:sz="0" w:space="0" w:color="auto"/>
        <w:right w:val="none" w:sz="0" w:space="0" w:color="auto"/>
      </w:divBdr>
    </w:div>
    <w:div w:id="1798832524">
      <w:bodyDiv w:val="1"/>
      <w:marLeft w:val="0"/>
      <w:marRight w:val="0"/>
      <w:marTop w:val="0"/>
      <w:marBottom w:val="0"/>
      <w:divBdr>
        <w:top w:val="none" w:sz="0" w:space="0" w:color="auto"/>
        <w:left w:val="none" w:sz="0" w:space="0" w:color="auto"/>
        <w:bottom w:val="none" w:sz="0" w:space="0" w:color="auto"/>
        <w:right w:val="none" w:sz="0" w:space="0" w:color="auto"/>
      </w:divBdr>
    </w:div>
    <w:div w:id="1818454483">
      <w:bodyDiv w:val="1"/>
      <w:marLeft w:val="0"/>
      <w:marRight w:val="0"/>
      <w:marTop w:val="0"/>
      <w:marBottom w:val="0"/>
      <w:divBdr>
        <w:top w:val="none" w:sz="0" w:space="0" w:color="auto"/>
        <w:left w:val="none" w:sz="0" w:space="0" w:color="auto"/>
        <w:bottom w:val="none" w:sz="0" w:space="0" w:color="auto"/>
        <w:right w:val="none" w:sz="0" w:space="0" w:color="auto"/>
      </w:divBdr>
    </w:div>
    <w:div w:id="197633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lex.europa.eu/legal-content/RO/TXT/?uri=CELEX:02005R2074-2019121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3012</Words>
  <Characters>17473</Characters>
  <Application>Microsoft Office Word</Application>
  <DocSecurity>0</DocSecurity>
  <Lines>145</Lines>
  <Paragraphs>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FOTESCU</dc:creator>
  <cp:keywords/>
  <dc:description/>
  <cp:lastModifiedBy>Rodica Fotescu</cp:lastModifiedBy>
  <cp:revision>2</cp:revision>
  <dcterms:created xsi:type="dcterms:W3CDTF">2025-08-08T11:47:00Z</dcterms:created>
  <dcterms:modified xsi:type="dcterms:W3CDTF">2025-08-08T11:47:00Z</dcterms:modified>
</cp:coreProperties>
</file>