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B062" w14:textId="77777777" w:rsidR="004F50B5" w:rsidRPr="00340AF1" w:rsidRDefault="00340AF1" w:rsidP="00340AF1">
      <w:pPr>
        <w:pStyle w:val="a3"/>
        <w:jc w:val="center"/>
        <w:rPr>
          <w:rFonts w:ascii="Times New Roman" w:hAnsi="Times New Roman" w:cs="Times New Roman"/>
          <w:b/>
          <w:sz w:val="24"/>
          <w:szCs w:val="24"/>
        </w:rPr>
      </w:pPr>
      <w:r w:rsidRPr="00340AF1">
        <w:rPr>
          <w:rFonts w:ascii="Times New Roman" w:hAnsi="Times New Roman" w:cs="Times New Roman"/>
          <w:b/>
          <w:sz w:val="24"/>
          <w:szCs w:val="24"/>
        </w:rPr>
        <w:t>TABEL COMPARATIV</w:t>
      </w:r>
    </w:p>
    <w:p w14:paraId="0E0561DE" w14:textId="18D278CA" w:rsidR="00340AF1" w:rsidRPr="00340AF1" w:rsidRDefault="00340AF1" w:rsidP="00237AFE">
      <w:pPr>
        <w:pStyle w:val="a3"/>
        <w:jc w:val="center"/>
        <w:rPr>
          <w:rFonts w:ascii="Times New Roman" w:hAnsi="Times New Roman" w:cs="Times New Roman"/>
          <w:iCs/>
          <w:sz w:val="24"/>
          <w:szCs w:val="24"/>
        </w:rPr>
      </w:pPr>
      <w:r w:rsidRPr="00340AF1">
        <w:rPr>
          <w:rFonts w:ascii="Times New Roman" w:hAnsi="Times New Roman" w:cs="Times New Roman"/>
          <w:iCs/>
          <w:sz w:val="24"/>
          <w:szCs w:val="24"/>
          <w:lang w:val="ro-RO"/>
        </w:rPr>
        <w:t xml:space="preserve">la proiectul hotărârii Guvernului </w:t>
      </w:r>
      <w:r w:rsidR="00933CB6" w:rsidRPr="00933CB6">
        <w:rPr>
          <w:rFonts w:ascii="Times New Roman" w:hAnsi="Times New Roman" w:cs="Times New Roman"/>
          <w:iCs/>
          <w:sz w:val="24"/>
          <w:szCs w:val="24"/>
        </w:rPr>
        <w:t xml:space="preserve">cu privire la </w:t>
      </w:r>
      <w:r w:rsidR="00237AFE" w:rsidRPr="00237AFE">
        <w:rPr>
          <w:rFonts w:ascii="Times New Roman" w:hAnsi="Times New Roman" w:cs="Times New Roman"/>
          <w:iCs/>
          <w:sz w:val="24"/>
          <w:szCs w:val="24"/>
        </w:rPr>
        <w:t xml:space="preserve"> modificarea Hotăr</w:t>
      </w:r>
      <w:r w:rsidR="00EC1ED4">
        <w:rPr>
          <w:rFonts w:ascii="Times New Roman" w:hAnsi="Times New Roman" w:cs="Times New Roman"/>
          <w:iCs/>
          <w:sz w:val="24"/>
          <w:szCs w:val="24"/>
        </w:rPr>
        <w:t>â</w:t>
      </w:r>
      <w:r w:rsidR="00237AFE" w:rsidRPr="00237AFE">
        <w:rPr>
          <w:rFonts w:ascii="Times New Roman" w:hAnsi="Times New Roman" w:cs="Times New Roman"/>
          <w:iCs/>
          <w:sz w:val="24"/>
          <w:szCs w:val="24"/>
        </w:rPr>
        <w:t>rii Guvernului nr. 326/2022 pentru aprobarea Regulamentului cu privire la efectuarea pe drumurile publice a transporturilor rutiere cu depășirea masei totale, a maselor pe axe și/sau a dimensiunilor maxime admise</w:t>
      </w:r>
    </w:p>
    <w:p w14:paraId="7F8831C0" w14:textId="77777777" w:rsidR="00340AF1" w:rsidRDefault="00340AF1" w:rsidP="00340AF1">
      <w:pPr>
        <w:jc w:val="center"/>
      </w:pPr>
    </w:p>
    <w:tbl>
      <w:tblPr>
        <w:tblStyle w:val="a5"/>
        <w:tblW w:w="1343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220"/>
        <w:gridCol w:w="4590"/>
        <w:gridCol w:w="4627"/>
      </w:tblGrid>
      <w:tr w:rsidR="00340AF1" w:rsidRPr="00340AF1" w14:paraId="03E81C1D" w14:textId="77777777" w:rsidTr="00662851">
        <w:tc>
          <w:tcPr>
            <w:tcW w:w="4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E9841E"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în vigoare</w:t>
            </w:r>
          </w:p>
        </w:tc>
        <w:tc>
          <w:tcPr>
            <w:tcW w:w="459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77E45FE"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Modificarea propusă</w:t>
            </w:r>
          </w:p>
        </w:tc>
        <w:tc>
          <w:tcPr>
            <w:tcW w:w="46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2500BF8"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după modificare</w:t>
            </w:r>
          </w:p>
        </w:tc>
      </w:tr>
      <w:tr w:rsidR="00340AF1" w:rsidRPr="008026D6" w14:paraId="10499112" w14:textId="77777777" w:rsidTr="00DF4575">
        <w:tc>
          <w:tcPr>
            <w:tcW w:w="422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D6CB071" w14:textId="0F98A48B" w:rsidR="00340AF1" w:rsidRPr="008026D6" w:rsidRDefault="00340AF1" w:rsidP="008026D6">
            <w:pPr>
              <w:ind w:firstLine="0"/>
              <w:rPr>
                <w:rFonts w:ascii="Times New Roman" w:hAnsi="Times New Roman"/>
              </w:rPr>
            </w:pPr>
          </w:p>
        </w:tc>
        <w:tc>
          <w:tcPr>
            <w:tcW w:w="459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425ABFA" w14:textId="54C586F7" w:rsidR="00340AF1" w:rsidRPr="008026D6" w:rsidRDefault="00DF4575" w:rsidP="00DF4575">
            <w:pPr>
              <w:ind w:firstLine="52"/>
              <w:rPr>
                <w:rFonts w:ascii="Times New Roman" w:hAnsi="Times New Roman"/>
              </w:rPr>
            </w:pPr>
            <w:r w:rsidRPr="00DF4575">
              <w:rPr>
                <w:rFonts w:ascii="Times New Roman" w:hAnsi="Times New Roman"/>
              </w:rPr>
              <w:t>1.1.</w:t>
            </w:r>
            <w:r w:rsidRPr="00DF4575">
              <w:rPr>
                <w:rFonts w:ascii="Times New Roman" w:hAnsi="Times New Roman"/>
              </w:rPr>
              <w:tab/>
            </w:r>
            <w:r w:rsidR="00EC1ED4" w:rsidRPr="00EC1ED4">
              <w:rPr>
                <w:rFonts w:ascii="Times New Roman" w:hAnsi="Times New Roman"/>
              </w:rPr>
              <w:t>în denumire și în tot textul hotărârii și Regulamentului, cuvântul „axă” la orice formă gramaticală, se substituire cu cuvântul „osie”, la forma gramaticală corespunzătoare, cu excepția punctului 3 litera c), a punctului 5 subpunctul 4) și a punctului 9 din Regulament;</w:t>
            </w:r>
          </w:p>
        </w:tc>
        <w:tc>
          <w:tcPr>
            <w:tcW w:w="462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44398CB" w14:textId="1B601575" w:rsidR="00340AF1" w:rsidRPr="008026D6" w:rsidRDefault="00340AF1" w:rsidP="008026D6">
            <w:pPr>
              <w:ind w:firstLine="0"/>
              <w:rPr>
                <w:rFonts w:ascii="Times New Roman" w:hAnsi="Times New Roman"/>
              </w:rPr>
            </w:pPr>
          </w:p>
        </w:tc>
      </w:tr>
      <w:tr w:rsidR="008026D6" w:rsidRPr="008026D6" w14:paraId="118244D6" w14:textId="77777777" w:rsidTr="00DF4575">
        <w:tc>
          <w:tcPr>
            <w:tcW w:w="4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D47C3" w14:textId="272E74DD" w:rsidR="008026D6" w:rsidRPr="00DF4575" w:rsidRDefault="00DF4575" w:rsidP="008026D6">
            <w:pPr>
              <w:ind w:firstLine="0"/>
              <w:rPr>
                <w:rFonts w:ascii="Times New Roman" w:eastAsia="Times New Roman" w:hAnsi="Times New Roman"/>
                <w:bCs/>
                <w:lang w:val="ro-RO"/>
              </w:rPr>
            </w:pPr>
            <w:r w:rsidRPr="00DF4575">
              <w:rPr>
                <w:rFonts w:ascii="Times New Roman" w:eastAsia="Times New Roman" w:hAnsi="Times New Roman"/>
                <w:bCs/>
                <w:lang w:val="ro-RO"/>
              </w:rPr>
              <w:t>În cazul măsurării efective a dimensiunilor autovehiculelor, se admit următoarele devieri peste limitele maxime admise:</w:t>
            </w:r>
            <w:r>
              <w:rPr>
                <w:rFonts w:ascii="Times New Roman" w:eastAsia="Times New Roman" w:hAnsi="Times New Roman"/>
                <w:bCs/>
                <w:lang w:val="ro-RO"/>
              </w:rPr>
              <w:t xml:space="preserve"> </w:t>
            </w:r>
            <w:r w:rsidRPr="00DF4575">
              <w:rPr>
                <w:rFonts w:ascii="Times New Roman" w:eastAsia="Times New Roman" w:hAnsi="Times New Roman"/>
                <w:bCs/>
                <w:lang w:val="ro-RO"/>
              </w:rPr>
              <w:t>lățimea        + 10 cm</w:t>
            </w:r>
            <w:r>
              <w:rPr>
                <w:rFonts w:ascii="Times New Roman" w:eastAsia="Times New Roman" w:hAnsi="Times New Roman"/>
                <w:bCs/>
                <w:lang w:val="ro-RO"/>
              </w:rPr>
              <w:t>;</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984B" w14:textId="2E9E3A07" w:rsidR="008026D6" w:rsidRPr="00DF4575" w:rsidRDefault="00DF4575" w:rsidP="00DF4575">
            <w:pPr>
              <w:ind w:firstLine="0"/>
              <w:rPr>
                <w:rFonts w:ascii="Times New Roman" w:hAnsi="Times New Roman"/>
              </w:rPr>
            </w:pPr>
            <w:r w:rsidRPr="00DF4575">
              <w:rPr>
                <w:rFonts w:ascii="Times New Roman" w:hAnsi="Times New Roman"/>
              </w:rPr>
              <w:t>În Regulament, la punctul 8 subpunctul 2), cifra „10” se substituie cu cifra „20”;</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05F3C" w14:textId="76D2B0AB" w:rsidR="008026D6" w:rsidRPr="00DF4575" w:rsidRDefault="00DF4575" w:rsidP="008026D6">
            <w:pPr>
              <w:ind w:firstLine="0"/>
              <w:rPr>
                <w:rFonts w:ascii="Times New Roman" w:hAnsi="Times New Roman"/>
                <w:lang w:val="ro-RO"/>
              </w:rPr>
            </w:pPr>
            <w:r w:rsidRPr="00DF4575">
              <w:rPr>
                <w:rFonts w:ascii="Times New Roman" w:hAnsi="Times New Roman"/>
                <w:lang w:val="ro-RO"/>
              </w:rPr>
              <w:t xml:space="preserve">În cazul măsurării efective a dimensiunilor autovehiculelor, se admit următoarele devieri peste limitele maxime admise: lățimea        + </w:t>
            </w:r>
            <w:r>
              <w:rPr>
                <w:rFonts w:ascii="Times New Roman" w:hAnsi="Times New Roman"/>
                <w:lang w:val="ro-RO"/>
              </w:rPr>
              <w:t>2</w:t>
            </w:r>
            <w:r w:rsidRPr="00DF4575">
              <w:rPr>
                <w:rFonts w:ascii="Times New Roman" w:hAnsi="Times New Roman"/>
                <w:lang w:val="ro-RO"/>
              </w:rPr>
              <w:t>0 cm;</w:t>
            </w:r>
          </w:p>
        </w:tc>
      </w:tr>
      <w:tr w:rsidR="00DF4575" w:rsidRPr="008026D6" w14:paraId="4568254F" w14:textId="77777777" w:rsidTr="00DF4575">
        <w:tc>
          <w:tcPr>
            <w:tcW w:w="4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23AFC" w14:textId="74FAC5DB" w:rsidR="00DF4575" w:rsidRPr="00DF4575" w:rsidRDefault="00DF4575" w:rsidP="00DF4575">
            <w:pPr>
              <w:ind w:firstLine="0"/>
              <w:rPr>
                <w:rFonts w:ascii="Times New Roman" w:eastAsia="Times New Roman" w:hAnsi="Times New Roman"/>
                <w:bCs/>
              </w:rPr>
            </w:pPr>
            <w:r w:rsidRPr="00DF4575">
              <w:rPr>
                <w:rFonts w:ascii="Times New Roman" w:eastAsia="Times New Roman" w:hAnsi="Times New Roman"/>
                <w:bCs/>
              </w:rPr>
              <w:t>viteza de circulație a transportului cu încărcătură ce se solicită a fi autorizat nu va depăși 60 km/h (respectând prevederile Regulamentului circulației rutiere, aprobat prin Hotărârea Guvernului nr. 713/1999, precum și restricțiile provizorii impuse pe drumurile publice naționale).</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CD0F" w14:textId="37636375" w:rsidR="00DF4575" w:rsidRPr="00DF4575" w:rsidRDefault="00DF4575" w:rsidP="00DF4575">
            <w:pPr>
              <w:ind w:firstLine="0"/>
              <w:rPr>
                <w:rFonts w:ascii="Times New Roman" w:hAnsi="Times New Roman"/>
              </w:rPr>
            </w:pPr>
            <w:r w:rsidRPr="00DF4575">
              <w:rPr>
                <w:rFonts w:ascii="Times New Roman" w:hAnsi="Times New Roman"/>
              </w:rPr>
              <w:t>În Regulament, la punctul 35 subpunctul 3), textul „713/199” se substituie cu textul „357/2009”;</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0876C" w14:textId="4E5D8EAE" w:rsidR="00DF4575" w:rsidRPr="00DF4575" w:rsidRDefault="00DF4575" w:rsidP="00DF4575">
            <w:pPr>
              <w:ind w:firstLine="2"/>
              <w:rPr>
                <w:rFonts w:ascii="Times New Roman" w:hAnsi="Times New Roman"/>
                <w:lang w:val="ro-RO"/>
              </w:rPr>
            </w:pPr>
            <w:r w:rsidRPr="00DF4575">
              <w:rPr>
                <w:rFonts w:ascii="Times New Roman" w:hAnsi="Times New Roman"/>
                <w:lang w:val="ro-RO"/>
              </w:rPr>
              <w:t>viteza de circulație a transportului cu încărcătură ce se solicită a fi autorizat nu va depăși 60 km/h (respectând prevederile Regulamentului circulației rutiere, aprobat prin Hotărârea Guvernului nr. 357/2009, precum și restricțiile provizorii impuse pe drumurile publice naționale).</w:t>
            </w:r>
          </w:p>
        </w:tc>
      </w:tr>
      <w:tr w:rsidR="00DF4575" w:rsidRPr="008026D6" w14:paraId="2958AC4E" w14:textId="77777777" w:rsidTr="00DF4575">
        <w:tc>
          <w:tcPr>
            <w:tcW w:w="4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647" w14:textId="3AF896F5" w:rsidR="00DF4575" w:rsidRPr="00DF4575" w:rsidRDefault="00DF4575" w:rsidP="00DF4575">
            <w:pPr>
              <w:ind w:firstLine="0"/>
              <w:rPr>
                <w:rFonts w:ascii="Times New Roman" w:eastAsia="Times New Roman" w:hAnsi="Times New Roman"/>
                <w:bCs/>
              </w:rPr>
            </w:pPr>
            <w:r w:rsidRPr="00DF4575">
              <w:rPr>
                <w:rFonts w:ascii="Times New Roman" w:eastAsia="Times New Roman" w:hAnsi="Times New Roman"/>
                <w:bCs/>
              </w:rPr>
              <w:t>Autorizația specială de transport se eliberează operatorului de transport rutier rezident, la cerere, pentru perioade de 30 de zile și 90 de zile, cu valabilitate pentru întreaga rețea de drumuri naționale, pentru transporturile cu vehicule care, prin construcție, depășesc masele și/sau dimensiunile maxime admise fără încărcătură, tarifele fiind calculate pentru un rulaj mediu de 1000 km/lună, din care 700 km/lună pe drumurile cu îmbrăcămintea permanentă E, A, M și 300 km/lună pe drumurile cu îmbrăcămintea permanentă R, G, L.</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F7273" w14:textId="4A36AED6" w:rsidR="00DF4575" w:rsidRPr="00DF4575" w:rsidRDefault="00DF4575" w:rsidP="00DF4575">
            <w:pPr>
              <w:ind w:firstLine="0"/>
              <w:rPr>
                <w:rFonts w:ascii="Times New Roman" w:hAnsi="Times New Roman"/>
              </w:rPr>
            </w:pPr>
            <w:r w:rsidRPr="00DF4575">
              <w:rPr>
                <w:rFonts w:ascii="Times New Roman" w:hAnsi="Times New Roman"/>
              </w:rPr>
              <w:t>În Regulament, la punctul 58, textul „și 90 de zile” se substituie cu textul „</w:t>
            </w:r>
            <w:r w:rsidR="00EC1ED4">
              <w:rPr>
                <w:rFonts w:ascii="Times New Roman" w:hAnsi="Times New Roman"/>
              </w:rPr>
              <w:t xml:space="preserve"> </w:t>
            </w:r>
            <w:r w:rsidRPr="00DF4575">
              <w:rPr>
                <w:rFonts w:ascii="Times New Roman" w:hAnsi="Times New Roman"/>
              </w:rPr>
              <w:t>, 90 de zile și 180 de zile”;</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6549B" w14:textId="5B957A2E" w:rsidR="00DF4575" w:rsidRPr="00DF4575" w:rsidRDefault="00DF4575" w:rsidP="00DF4575">
            <w:pPr>
              <w:ind w:firstLine="0"/>
              <w:rPr>
                <w:rFonts w:ascii="Times New Roman" w:hAnsi="Times New Roman"/>
                <w:lang w:val="ro-RO"/>
              </w:rPr>
            </w:pPr>
            <w:r w:rsidRPr="00DF4575">
              <w:rPr>
                <w:rFonts w:ascii="Times New Roman" w:eastAsia="Times New Roman" w:hAnsi="Times New Roman"/>
                <w:bCs/>
              </w:rPr>
              <w:t>Autorizația specială de transport se eliberează operatorului de transport rutier rezident, la cerere, pentru perioade de 30 de zile, 90 de zile și 180 de zile, cu valabilitate pentru întreaga rețea de drumuri naționale, pentru transporturile cu vehicule care, prin construcție, depășesc masele și/sau dimensiunile maxime admise fără încărcătură, tarifele fiind calculate pentru un rulaj mediu de 1000 km/lună, din care 700 km/lună pe drumurile cu îmbrăcămintea permanentă E, A, M și 300 km/lună pe drumurile cu îmbrăcămintea permanentă R, G, L.</w:t>
            </w:r>
          </w:p>
        </w:tc>
      </w:tr>
      <w:tr w:rsidR="00DF4575" w:rsidRPr="008026D6" w14:paraId="21138F23" w14:textId="77777777" w:rsidTr="00DF4575">
        <w:trPr>
          <w:trHeight w:val="66"/>
        </w:trPr>
        <w:tc>
          <w:tcPr>
            <w:tcW w:w="4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230C3" w14:textId="77777777" w:rsidR="00DF4575" w:rsidRPr="00DF4575" w:rsidRDefault="00DF4575" w:rsidP="00DF4575">
            <w:pPr>
              <w:ind w:firstLine="0"/>
              <w:rPr>
                <w:rFonts w:ascii="Times New Roman" w:eastAsia="Times New Roman" w:hAnsi="Times New Roman"/>
                <w:bCs/>
              </w:rPr>
            </w:pPr>
            <w:r w:rsidRPr="00DF4575">
              <w:rPr>
                <w:rFonts w:ascii="Times New Roman" w:eastAsia="Times New Roman" w:hAnsi="Times New Roman"/>
                <w:b/>
              </w:rPr>
              <w:t>78.</w:t>
            </w:r>
            <w:r w:rsidRPr="00DF4575">
              <w:rPr>
                <w:rFonts w:ascii="Times New Roman" w:eastAsia="Times New Roman" w:hAnsi="Times New Roman"/>
                <w:bCs/>
              </w:rPr>
              <w:t xml:space="preserve"> În cazul în care unul dintre locurile prevăzute nu permite efectuarea controlului, în </w:t>
            </w:r>
            <w:proofErr w:type="spellStart"/>
            <w:r w:rsidRPr="00DF4575">
              <w:rPr>
                <w:rFonts w:ascii="Times New Roman" w:eastAsia="Times New Roman" w:hAnsi="Times New Roman"/>
                <w:bCs/>
              </w:rPr>
              <w:t>condiţii</w:t>
            </w:r>
            <w:proofErr w:type="spellEnd"/>
            <w:r w:rsidRPr="00DF4575">
              <w:rPr>
                <w:rFonts w:ascii="Times New Roman" w:eastAsia="Times New Roman" w:hAnsi="Times New Roman"/>
                <w:bCs/>
              </w:rPr>
              <w:t xml:space="preserve"> impuse de echipamentele de control sau de </w:t>
            </w:r>
            <w:proofErr w:type="spellStart"/>
            <w:r w:rsidRPr="00DF4575">
              <w:rPr>
                <w:rFonts w:ascii="Times New Roman" w:eastAsia="Times New Roman" w:hAnsi="Times New Roman"/>
                <w:bCs/>
              </w:rPr>
              <w:t>siguranţă</w:t>
            </w:r>
            <w:proofErr w:type="spellEnd"/>
            <w:r w:rsidRPr="00DF4575">
              <w:rPr>
                <w:rFonts w:ascii="Times New Roman" w:eastAsia="Times New Roman" w:hAnsi="Times New Roman"/>
                <w:bCs/>
              </w:rPr>
              <w:t xml:space="preserve"> rutieră, vehiculul supus controlului va fi deplasat în </w:t>
            </w:r>
            <w:proofErr w:type="spellStart"/>
            <w:r w:rsidRPr="00DF4575">
              <w:rPr>
                <w:rFonts w:ascii="Times New Roman" w:eastAsia="Times New Roman" w:hAnsi="Times New Roman"/>
                <w:bCs/>
              </w:rPr>
              <w:t>prezenţa</w:t>
            </w:r>
            <w:proofErr w:type="spellEnd"/>
            <w:r w:rsidRPr="00DF4575">
              <w:rPr>
                <w:rFonts w:ascii="Times New Roman" w:eastAsia="Times New Roman" w:hAnsi="Times New Roman"/>
                <w:bCs/>
              </w:rPr>
              <w:t xml:space="preserve"> personalului cu </w:t>
            </w:r>
            <w:proofErr w:type="spellStart"/>
            <w:r w:rsidRPr="00DF4575">
              <w:rPr>
                <w:rFonts w:ascii="Times New Roman" w:eastAsia="Times New Roman" w:hAnsi="Times New Roman"/>
                <w:bCs/>
              </w:rPr>
              <w:t>atribuţii</w:t>
            </w:r>
            <w:proofErr w:type="spellEnd"/>
            <w:r w:rsidRPr="00DF4575">
              <w:rPr>
                <w:rFonts w:ascii="Times New Roman" w:eastAsia="Times New Roman" w:hAnsi="Times New Roman"/>
                <w:bCs/>
              </w:rPr>
              <w:t xml:space="preserve"> de control, din contul persoanei responsabile </w:t>
            </w:r>
            <w:r w:rsidRPr="00DF4575">
              <w:rPr>
                <w:rFonts w:ascii="Times New Roman" w:eastAsia="Times New Roman" w:hAnsi="Times New Roman"/>
                <w:bCs/>
              </w:rPr>
              <w:lastRenderedPageBreak/>
              <w:t xml:space="preserve">prevăzute la punctul 88, până în cel mai apropiat </w:t>
            </w:r>
            <w:proofErr w:type="spellStart"/>
            <w:r w:rsidRPr="00DF4575">
              <w:rPr>
                <w:rFonts w:ascii="Times New Roman" w:eastAsia="Times New Roman" w:hAnsi="Times New Roman"/>
                <w:bCs/>
              </w:rPr>
              <w:t>spaţiu</w:t>
            </w:r>
            <w:proofErr w:type="spellEnd"/>
            <w:r w:rsidRPr="00DF4575">
              <w:rPr>
                <w:rFonts w:ascii="Times New Roman" w:eastAsia="Times New Roman" w:hAnsi="Times New Roman"/>
                <w:bCs/>
              </w:rPr>
              <w:t xml:space="preserve"> care permite efectuarea verificărilor.</w:t>
            </w:r>
          </w:p>
          <w:p w14:paraId="25A21DFC" w14:textId="2692BD76" w:rsidR="00DF4575" w:rsidRPr="00DF4575" w:rsidRDefault="00DF4575" w:rsidP="00DF4575">
            <w:pPr>
              <w:ind w:firstLine="0"/>
              <w:rPr>
                <w:rFonts w:ascii="Times New Roman" w:eastAsia="Times New Roman" w:hAnsi="Times New Roman"/>
                <w:bCs/>
              </w:rPr>
            </w:pPr>
            <w:r w:rsidRPr="00DF4575">
              <w:rPr>
                <w:rFonts w:ascii="Times New Roman" w:eastAsia="Times New Roman" w:hAnsi="Times New Roman"/>
                <w:b/>
              </w:rPr>
              <w:t>79.</w:t>
            </w:r>
            <w:r w:rsidRPr="00DF4575">
              <w:rPr>
                <w:rFonts w:ascii="Times New Roman" w:eastAsia="Times New Roman" w:hAnsi="Times New Roman"/>
                <w:bCs/>
              </w:rPr>
              <w:t xml:space="preserve"> Conducătorul auto, la solicitarea agentului constatator, este obligat să asigure deplasarea vehiculului supus controlului la cel mai apropiat cântar autorizat și/sau loc special amenajat pentru cântărire.</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50605" w14:textId="1C05C535" w:rsidR="00DF4575" w:rsidRPr="00DF4575" w:rsidRDefault="00DF4575" w:rsidP="00DF4575">
            <w:pPr>
              <w:ind w:firstLine="0"/>
              <w:rPr>
                <w:rFonts w:ascii="Times New Roman" w:hAnsi="Times New Roman"/>
              </w:rPr>
            </w:pPr>
            <w:r w:rsidRPr="00DF4575">
              <w:rPr>
                <w:rFonts w:ascii="Times New Roman" w:hAnsi="Times New Roman"/>
              </w:rPr>
              <w:lastRenderedPageBreak/>
              <w:t>În Regulament, punctele 78 și 79 se abrogă;</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63AC" w14:textId="77777777" w:rsidR="00DF4575" w:rsidRDefault="00DF4575" w:rsidP="00DF4575">
            <w:pPr>
              <w:ind w:firstLine="2"/>
              <w:jc w:val="center"/>
              <w:rPr>
                <w:rFonts w:ascii="Times New Roman" w:hAnsi="Times New Roman"/>
                <w:lang w:val="ro-RO"/>
              </w:rPr>
            </w:pPr>
          </w:p>
          <w:p w14:paraId="59A4C482" w14:textId="2B043FE8" w:rsidR="00DF4575" w:rsidRPr="00DF4575" w:rsidRDefault="00DF4575" w:rsidP="00DF4575">
            <w:pPr>
              <w:ind w:firstLine="2"/>
              <w:jc w:val="center"/>
              <w:rPr>
                <w:rFonts w:ascii="Times New Roman" w:hAnsi="Times New Roman"/>
                <w:lang w:val="ro-RO"/>
              </w:rPr>
            </w:pPr>
            <w:r>
              <w:rPr>
                <w:rFonts w:ascii="Times New Roman" w:hAnsi="Times New Roman"/>
                <w:lang w:val="ro-RO"/>
              </w:rPr>
              <w:t>-</w:t>
            </w:r>
          </w:p>
        </w:tc>
      </w:tr>
    </w:tbl>
    <w:p w14:paraId="21594C21" w14:textId="77777777" w:rsidR="00340AF1" w:rsidRDefault="00340AF1" w:rsidP="00340AF1">
      <w:pPr>
        <w:tabs>
          <w:tab w:val="left" w:pos="13410"/>
        </w:tabs>
        <w:jc w:val="center"/>
      </w:pPr>
    </w:p>
    <w:sectPr w:rsidR="00340AF1" w:rsidSect="000D708C">
      <w:footerReference w:type="default" r:id="rId6"/>
      <w:pgSz w:w="15840" w:h="12240" w:orient="landscape" w:code="1"/>
      <w:pgMar w:top="1701" w:right="1138" w:bottom="8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4CC4" w14:textId="77777777" w:rsidR="006E0D9C" w:rsidRDefault="006E0D9C" w:rsidP="000D708C">
      <w:pPr>
        <w:spacing w:after="0" w:line="240" w:lineRule="auto"/>
      </w:pPr>
      <w:r>
        <w:separator/>
      </w:r>
    </w:p>
  </w:endnote>
  <w:endnote w:type="continuationSeparator" w:id="0">
    <w:p w14:paraId="649FFCE1" w14:textId="77777777" w:rsidR="006E0D9C" w:rsidRDefault="006E0D9C" w:rsidP="000D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67363"/>
      <w:docPartObj>
        <w:docPartGallery w:val="Page Numbers (Bottom of Page)"/>
        <w:docPartUnique/>
      </w:docPartObj>
    </w:sdtPr>
    <w:sdtEndPr/>
    <w:sdtContent>
      <w:p w14:paraId="76CFDD5B" w14:textId="77777777" w:rsidR="000D708C" w:rsidRDefault="000D708C">
        <w:pPr>
          <w:pStyle w:val="a9"/>
          <w:jc w:val="center"/>
        </w:pPr>
        <w:r>
          <w:fldChar w:fldCharType="begin"/>
        </w:r>
        <w:r>
          <w:instrText>PAGE   \* MERGEFORMAT</w:instrText>
        </w:r>
        <w:r>
          <w:fldChar w:fldCharType="separate"/>
        </w:r>
        <w:r w:rsidR="00E9303A" w:rsidRPr="00E9303A">
          <w:rPr>
            <w:noProof/>
            <w:lang w:val="ro-RO"/>
          </w:rPr>
          <w:t>8</w:t>
        </w:r>
        <w:r>
          <w:fldChar w:fldCharType="end"/>
        </w:r>
      </w:p>
    </w:sdtContent>
  </w:sdt>
  <w:p w14:paraId="1F6BEA77" w14:textId="77777777" w:rsidR="000D708C" w:rsidRDefault="000D70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E15F" w14:textId="77777777" w:rsidR="006E0D9C" w:rsidRDefault="006E0D9C" w:rsidP="000D708C">
      <w:pPr>
        <w:spacing w:after="0" w:line="240" w:lineRule="auto"/>
      </w:pPr>
      <w:r>
        <w:separator/>
      </w:r>
    </w:p>
  </w:footnote>
  <w:footnote w:type="continuationSeparator" w:id="0">
    <w:p w14:paraId="5E4AB51B" w14:textId="77777777" w:rsidR="006E0D9C" w:rsidRDefault="006E0D9C" w:rsidP="000D70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2B"/>
    <w:rsid w:val="00067A5C"/>
    <w:rsid w:val="000D708C"/>
    <w:rsid w:val="002120E6"/>
    <w:rsid w:val="00237AFE"/>
    <w:rsid w:val="00290157"/>
    <w:rsid w:val="002B571A"/>
    <w:rsid w:val="002F230A"/>
    <w:rsid w:val="00312C8F"/>
    <w:rsid w:val="00340AF1"/>
    <w:rsid w:val="00473BC2"/>
    <w:rsid w:val="0048278D"/>
    <w:rsid w:val="005A350F"/>
    <w:rsid w:val="006619C2"/>
    <w:rsid w:val="00662851"/>
    <w:rsid w:val="006E0D9C"/>
    <w:rsid w:val="00765019"/>
    <w:rsid w:val="00790986"/>
    <w:rsid w:val="007D10BA"/>
    <w:rsid w:val="008026D6"/>
    <w:rsid w:val="009215F6"/>
    <w:rsid w:val="00933CB6"/>
    <w:rsid w:val="009E7B22"/>
    <w:rsid w:val="00A24602"/>
    <w:rsid w:val="00A758A1"/>
    <w:rsid w:val="00AC4601"/>
    <w:rsid w:val="00AD0A2B"/>
    <w:rsid w:val="00BB4B2B"/>
    <w:rsid w:val="00C10A4C"/>
    <w:rsid w:val="00C4667B"/>
    <w:rsid w:val="00C919E3"/>
    <w:rsid w:val="00DF4575"/>
    <w:rsid w:val="00E9303A"/>
    <w:rsid w:val="00EC1ED4"/>
    <w:rsid w:val="00F7247C"/>
    <w:rsid w:val="00FB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45D3"/>
  <w15:chartTrackingRefBased/>
  <w15:docId w15:val="{CE498F62-2163-4C91-AC01-941AC7D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0AF1"/>
    <w:pPr>
      <w:spacing w:after="0" w:line="240" w:lineRule="auto"/>
    </w:pPr>
    <w:rPr>
      <w:lang w:val="ro-MD"/>
    </w:rPr>
  </w:style>
  <w:style w:type="table" w:styleId="a5">
    <w:name w:val="Table Grid"/>
    <w:basedOn w:val="a1"/>
    <w:uiPriority w:val="39"/>
    <w:rsid w:val="00340AF1"/>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1"/>
    <w:locked/>
    <w:rsid w:val="002120E6"/>
    <w:rPr>
      <w:lang w:val="ro-MD"/>
    </w:rPr>
  </w:style>
  <w:style w:type="paragraph" w:styleId="a6">
    <w:name w:val="Normal (Web)"/>
    <w:basedOn w:val="a"/>
    <w:uiPriority w:val="99"/>
    <w:semiHidden/>
    <w:unhideWhenUsed/>
    <w:rsid w:val="002120E6"/>
    <w:rPr>
      <w:rFonts w:ascii="Times New Roman" w:hAnsi="Times New Roman" w:cs="Times New Roman"/>
      <w:sz w:val="24"/>
      <w:szCs w:val="24"/>
    </w:rPr>
  </w:style>
  <w:style w:type="paragraph" w:styleId="a7">
    <w:name w:val="header"/>
    <w:basedOn w:val="a"/>
    <w:link w:val="a8"/>
    <w:uiPriority w:val="99"/>
    <w:unhideWhenUsed/>
    <w:rsid w:val="000D708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0D708C"/>
    <w:rPr>
      <w:lang w:val="ro-MD"/>
    </w:rPr>
  </w:style>
  <w:style w:type="paragraph" w:styleId="a9">
    <w:name w:val="footer"/>
    <w:basedOn w:val="a"/>
    <w:link w:val="aa"/>
    <w:uiPriority w:val="99"/>
    <w:unhideWhenUsed/>
    <w:rsid w:val="000D708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0D708C"/>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5181">
      <w:bodyDiv w:val="1"/>
      <w:marLeft w:val="0"/>
      <w:marRight w:val="0"/>
      <w:marTop w:val="0"/>
      <w:marBottom w:val="0"/>
      <w:divBdr>
        <w:top w:val="none" w:sz="0" w:space="0" w:color="auto"/>
        <w:left w:val="none" w:sz="0" w:space="0" w:color="auto"/>
        <w:bottom w:val="none" w:sz="0" w:space="0" w:color="auto"/>
        <w:right w:val="none" w:sz="0" w:space="0" w:color="auto"/>
      </w:divBdr>
    </w:div>
    <w:div w:id="165098849">
      <w:bodyDiv w:val="1"/>
      <w:marLeft w:val="0"/>
      <w:marRight w:val="0"/>
      <w:marTop w:val="0"/>
      <w:marBottom w:val="0"/>
      <w:divBdr>
        <w:top w:val="none" w:sz="0" w:space="0" w:color="auto"/>
        <w:left w:val="none" w:sz="0" w:space="0" w:color="auto"/>
        <w:bottom w:val="none" w:sz="0" w:space="0" w:color="auto"/>
        <w:right w:val="none" w:sz="0" w:space="0" w:color="auto"/>
      </w:divBdr>
    </w:div>
    <w:div w:id="334460236">
      <w:bodyDiv w:val="1"/>
      <w:marLeft w:val="0"/>
      <w:marRight w:val="0"/>
      <w:marTop w:val="0"/>
      <w:marBottom w:val="0"/>
      <w:divBdr>
        <w:top w:val="none" w:sz="0" w:space="0" w:color="auto"/>
        <w:left w:val="none" w:sz="0" w:space="0" w:color="auto"/>
        <w:bottom w:val="none" w:sz="0" w:space="0" w:color="auto"/>
        <w:right w:val="none" w:sz="0" w:space="0" w:color="auto"/>
      </w:divBdr>
    </w:div>
    <w:div w:id="449319009">
      <w:bodyDiv w:val="1"/>
      <w:marLeft w:val="0"/>
      <w:marRight w:val="0"/>
      <w:marTop w:val="0"/>
      <w:marBottom w:val="0"/>
      <w:divBdr>
        <w:top w:val="none" w:sz="0" w:space="0" w:color="auto"/>
        <w:left w:val="none" w:sz="0" w:space="0" w:color="auto"/>
        <w:bottom w:val="none" w:sz="0" w:space="0" w:color="auto"/>
        <w:right w:val="none" w:sz="0" w:space="0" w:color="auto"/>
      </w:divBdr>
    </w:div>
    <w:div w:id="514224320">
      <w:bodyDiv w:val="1"/>
      <w:marLeft w:val="0"/>
      <w:marRight w:val="0"/>
      <w:marTop w:val="0"/>
      <w:marBottom w:val="0"/>
      <w:divBdr>
        <w:top w:val="none" w:sz="0" w:space="0" w:color="auto"/>
        <w:left w:val="none" w:sz="0" w:space="0" w:color="auto"/>
        <w:bottom w:val="none" w:sz="0" w:space="0" w:color="auto"/>
        <w:right w:val="none" w:sz="0" w:space="0" w:color="auto"/>
      </w:divBdr>
    </w:div>
    <w:div w:id="848715164">
      <w:bodyDiv w:val="1"/>
      <w:marLeft w:val="0"/>
      <w:marRight w:val="0"/>
      <w:marTop w:val="0"/>
      <w:marBottom w:val="0"/>
      <w:divBdr>
        <w:top w:val="none" w:sz="0" w:space="0" w:color="auto"/>
        <w:left w:val="none" w:sz="0" w:space="0" w:color="auto"/>
        <w:bottom w:val="none" w:sz="0" w:space="0" w:color="auto"/>
        <w:right w:val="none" w:sz="0" w:space="0" w:color="auto"/>
      </w:divBdr>
    </w:div>
    <w:div w:id="1039629700">
      <w:bodyDiv w:val="1"/>
      <w:marLeft w:val="0"/>
      <w:marRight w:val="0"/>
      <w:marTop w:val="0"/>
      <w:marBottom w:val="0"/>
      <w:divBdr>
        <w:top w:val="none" w:sz="0" w:space="0" w:color="auto"/>
        <w:left w:val="none" w:sz="0" w:space="0" w:color="auto"/>
        <w:bottom w:val="none" w:sz="0" w:space="0" w:color="auto"/>
        <w:right w:val="none" w:sz="0" w:space="0" w:color="auto"/>
      </w:divBdr>
    </w:div>
    <w:div w:id="1114060668">
      <w:bodyDiv w:val="1"/>
      <w:marLeft w:val="0"/>
      <w:marRight w:val="0"/>
      <w:marTop w:val="0"/>
      <w:marBottom w:val="0"/>
      <w:divBdr>
        <w:top w:val="none" w:sz="0" w:space="0" w:color="auto"/>
        <w:left w:val="none" w:sz="0" w:space="0" w:color="auto"/>
        <w:bottom w:val="none" w:sz="0" w:space="0" w:color="auto"/>
        <w:right w:val="none" w:sz="0" w:space="0" w:color="auto"/>
      </w:divBdr>
    </w:div>
    <w:div w:id="1196652962">
      <w:bodyDiv w:val="1"/>
      <w:marLeft w:val="0"/>
      <w:marRight w:val="0"/>
      <w:marTop w:val="0"/>
      <w:marBottom w:val="0"/>
      <w:divBdr>
        <w:top w:val="none" w:sz="0" w:space="0" w:color="auto"/>
        <w:left w:val="none" w:sz="0" w:space="0" w:color="auto"/>
        <w:bottom w:val="none" w:sz="0" w:space="0" w:color="auto"/>
        <w:right w:val="none" w:sz="0" w:space="0" w:color="auto"/>
      </w:divBdr>
    </w:div>
    <w:div w:id="1356887454">
      <w:bodyDiv w:val="1"/>
      <w:marLeft w:val="0"/>
      <w:marRight w:val="0"/>
      <w:marTop w:val="0"/>
      <w:marBottom w:val="0"/>
      <w:divBdr>
        <w:top w:val="none" w:sz="0" w:space="0" w:color="auto"/>
        <w:left w:val="none" w:sz="0" w:space="0" w:color="auto"/>
        <w:bottom w:val="none" w:sz="0" w:space="0" w:color="auto"/>
        <w:right w:val="none" w:sz="0" w:space="0" w:color="auto"/>
      </w:divBdr>
    </w:div>
    <w:div w:id="1761095331">
      <w:bodyDiv w:val="1"/>
      <w:marLeft w:val="0"/>
      <w:marRight w:val="0"/>
      <w:marTop w:val="0"/>
      <w:marBottom w:val="0"/>
      <w:divBdr>
        <w:top w:val="none" w:sz="0" w:space="0" w:color="auto"/>
        <w:left w:val="none" w:sz="0" w:space="0" w:color="auto"/>
        <w:bottom w:val="none" w:sz="0" w:space="0" w:color="auto"/>
        <w:right w:val="none" w:sz="0" w:space="0" w:color="auto"/>
      </w:divBdr>
    </w:div>
    <w:div w:id="1781683941">
      <w:bodyDiv w:val="1"/>
      <w:marLeft w:val="0"/>
      <w:marRight w:val="0"/>
      <w:marTop w:val="0"/>
      <w:marBottom w:val="0"/>
      <w:divBdr>
        <w:top w:val="none" w:sz="0" w:space="0" w:color="auto"/>
        <w:left w:val="none" w:sz="0" w:space="0" w:color="auto"/>
        <w:bottom w:val="none" w:sz="0" w:space="0" w:color="auto"/>
        <w:right w:val="none" w:sz="0" w:space="0" w:color="auto"/>
      </w:divBdr>
    </w:div>
    <w:div w:id="1893081198">
      <w:bodyDiv w:val="1"/>
      <w:marLeft w:val="0"/>
      <w:marRight w:val="0"/>
      <w:marTop w:val="0"/>
      <w:marBottom w:val="0"/>
      <w:divBdr>
        <w:top w:val="none" w:sz="0" w:space="0" w:color="auto"/>
        <w:left w:val="none" w:sz="0" w:space="0" w:color="auto"/>
        <w:bottom w:val="none" w:sz="0" w:space="0" w:color="auto"/>
        <w:right w:val="none" w:sz="0" w:space="0" w:color="auto"/>
      </w:divBdr>
    </w:div>
    <w:div w:id="190860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526</Words>
  <Characters>3002</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Marin Gutu</cp:lastModifiedBy>
  <cp:revision>21</cp:revision>
  <dcterms:created xsi:type="dcterms:W3CDTF">2025-04-24T12:37:00Z</dcterms:created>
  <dcterms:modified xsi:type="dcterms:W3CDTF">2025-06-11T07:05:00Z</dcterms:modified>
</cp:coreProperties>
</file>