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9DA" w:rsidRPr="00430045" w:rsidRDefault="00AB4056" w:rsidP="005E0679">
      <w:pPr>
        <w:tabs>
          <w:tab w:val="center" w:pos="4680"/>
          <w:tab w:val="left" w:pos="6390"/>
        </w:tabs>
        <w:spacing w:after="0"/>
        <w:ind w:firstLine="851"/>
        <w:jc w:val="center"/>
        <w:rPr>
          <w:rFonts w:ascii="Times New Roman" w:hAnsi="Times New Roman"/>
          <w:b/>
          <w:bCs/>
          <w:sz w:val="23"/>
          <w:szCs w:val="23"/>
          <w:lang w:val="ro-MD"/>
        </w:rPr>
      </w:pPr>
      <w:r w:rsidRPr="00430045">
        <w:rPr>
          <w:rFonts w:ascii="Times New Roman" w:hAnsi="Times New Roman"/>
          <w:b/>
          <w:bCs/>
          <w:sz w:val="23"/>
          <w:szCs w:val="23"/>
          <w:lang w:val="ro-MD"/>
        </w:rPr>
        <w:t>NOT</w:t>
      </w:r>
      <w:r w:rsidR="00434AE5" w:rsidRPr="00430045">
        <w:rPr>
          <w:rFonts w:ascii="Times New Roman" w:hAnsi="Times New Roman"/>
          <w:b/>
          <w:bCs/>
          <w:sz w:val="23"/>
          <w:szCs w:val="23"/>
          <w:lang w:val="ro-MD"/>
        </w:rPr>
        <w:t>Ă</w:t>
      </w:r>
      <w:r w:rsidRPr="00430045">
        <w:rPr>
          <w:rFonts w:ascii="Times New Roman" w:hAnsi="Times New Roman"/>
          <w:b/>
          <w:bCs/>
          <w:sz w:val="23"/>
          <w:szCs w:val="23"/>
          <w:lang w:val="ro-MD"/>
        </w:rPr>
        <w:t xml:space="preserve"> </w:t>
      </w:r>
      <w:r w:rsidR="00434AE5" w:rsidRPr="00430045">
        <w:rPr>
          <w:rFonts w:ascii="Times New Roman" w:hAnsi="Times New Roman"/>
          <w:b/>
          <w:bCs/>
          <w:sz w:val="23"/>
          <w:szCs w:val="23"/>
          <w:lang w:val="ro-MD"/>
        </w:rPr>
        <w:t>DE FUNDAMENTARE</w:t>
      </w:r>
    </w:p>
    <w:p w:rsidR="002E16BA" w:rsidRPr="00430045" w:rsidRDefault="00322634" w:rsidP="00E1134A">
      <w:pPr>
        <w:spacing w:after="0"/>
        <w:ind w:firstLine="851"/>
        <w:jc w:val="center"/>
        <w:rPr>
          <w:rFonts w:ascii="Times New Roman" w:hAnsi="Times New Roman"/>
          <w:b/>
          <w:sz w:val="23"/>
          <w:szCs w:val="23"/>
          <w:lang w:val="ro-MD"/>
        </w:rPr>
      </w:pPr>
      <w:r w:rsidRPr="00430045">
        <w:rPr>
          <w:rFonts w:ascii="Times New Roman" w:hAnsi="Times New Roman"/>
          <w:b/>
          <w:sz w:val="23"/>
          <w:szCs w:val="23"/>
          <w:lang w:val="ro-MD"/>
        </w:rPr>
        <w:t xml:space="preserve">la </w:t>
      </w:r>
      <w:bookmarkStart w:id="0" w:name="_Hlk199403846"/>
      <w:r w:rsidRPr="00430045">
        <w:rPr>
          <w:rFonts w:ascii="Times New Roman" w:hAnsi="Times New Roman"/>
          <w:b/>
          <w:sz w:val="23"/>
          <w:szCs w:val="23"/>
          <w:lang w:val="ro-MD"/>
        </w:rPr>
        <w:t xml:space="preserve">proiectul </w:t>
      </w:r>
      <w:r w:rsidR="00D46DAF" w:rsidRPr="00430045">
        <w:rPr>
          <w:rFonts w:ascii="Times New Roman" w:hAnsi="Times New Roman"/>
          <w:b/>
          <w:sz w:val="23"/>
          <w:szCs w:val="23"/>
          <w:lang w:val="ro-MD"/>
        </w:rPr>
        <w:t xml:space="preserve">de </w:t>
      </w:r>
      <w:r w:rsidR="0009110E" w:rsidRPr="00430045">
        <w:rPr>
          <w:rFonts w:ascii="Times New Roman" w:hAnsi="Times New Roman"/>
          <w:b/>
          <w:sz w:val="23"/>
          <w:szCs w:val="23"/>
          <w:lang w:val="ro-MD"/>
        </w:rPr>
        <w:t xml:space="preserve">hotărâre de Guvern cu privire la modificarea </w:t>
      </w:r>
    </w:p>
    <w:p w:rsidR="005105A3" w:rsidRPr="00430045" w:rsidRDefault="00E1134A" w:rsidP="0028070A">
      <w:pPr>
        <w:spacing w:after="0"/>
        <w:ind w:firstLine="851"/>
        <w:jc w:val="center"/>
        <w:rPr>
          <w:rFonts w:ascii="Times New Roman" w:hAnsi="Times New Roman"/>
          <w:b/>
          <w:sz w:val="23"/>
          <w:szCs w:val="23"/>
          <w:lang w:val="ro-MD"/>
        </w:rPr>
      </w:pPr>
      <w:r w:rsidRPr="00430045">
        <w:rPr>
          <w:rFonts w:ascii="Times New Roman" w:hAnsi="Times New Roman"/>
          <w:b/>
          <w:sz w:val="23"/>
          <w:szCs w:val="23"/>
          <w:lang w:val="ro-MD"/>
        </w:rPr>
        <w:t>Hotărârii Guvernului nr.1009/2006</w:t>
      </w:r>
      <w:bookmarkEnd w:id="0"/>
      <w:r w:rsidR="005105A3" w:rsidRPr="00430045">
        <w:rPr>
          <w:rFonts w:ascii="Times New Roman" w:hAnsi="Times New Roman"/>
          <w:b/>
          <w:sz w:val="23"/>
          <w:szCs w:val="23"/>
          <w:lang w:val="ro-MD"/>
        </w:rPr>
        <w:t xml:space="preserve"> „Cu privire la cuantumurile burselor, soldele lunare, altor forme de ajutoare sociale pentru studenții din instituțiile de învățământ superior, elevii din instituțiile de învățământ profesional tehnic </w:t>
      </w:r>
      <w:proofErr w:type="spellStart"/>
      <w:r w:rsidR="005105A3" w:rsidRPr="00430045">
        <w:rPr>
          <w:rFonts w:ascii="Times New Roman" w:hAnsi="Times New Roman"/>
          <w:b/>
          <w:sz w:val="23"/>
          <w:szCs w:val="23"/>
          <w:lang w:val="ro-MD"/>
        </w:rPr>
        <w:t>postsecundar</w:t>
      </w:r>
      <w:proofErr w:type="spellEnd"/>
      <w:r w:rsidR="005105A3" w:rsidRPr="00430045">
        <w:rPr>
          <w:rFonts w:ascii="Times New Roman" w:hAnsi="Times New Roman"/>
          <w:b/>
          <w:sz w:val="23"/>
          <w:szCs w:val="23"/>
          <w:lang w:val="ro-MD"/>
        </w:rPr>
        <w:t xml:space="preserve"> </w:t>
      </w:r>
      <w:proofErr w:type="spellStart"/>
      <w:r w:rsidR="005105A3" w:rsidRPr="00430045">
        <w:rPr>
          <w:rFonts w:ascii="Times New Roman" w:hAnsi="Times New Roman"/>
          <w:b/>
          <w:sz w:val="23"/>
          <w:szCs w:val="23"/>
          <w:lang w:val="ro-MD"/>
        </w:rPr>
        <w:t>şi</w:t>
      </w:r>
      <w:proofErr w:type="spellEnd"/>
      <w:r w:rsidR="005105A3" w:rsidRPr="00430045">
        <w:rPr>
          <w:rFonts w:ascii="Times New Roman" w:hAnsi="Times New Roman"/>
          <w:b/>
          <w:sz w:val="23"/>
          <w:szCs w:val="23"/>
          <w:lang w:val="ro-MD"/>
        </w:rPr>
        <w:t xml:space="preserve"> </w:t>
      </w:r>
      <w:proofErr w:type="spellStart"/>
      <w:r w:rsidR="005105A3" w:rsidRPr="00430045">
        <w:rPr>
          <w:rFonts w:ascii="Times New Roman" w:hAnsi="Times New Roman"/>
          <w:b/>
          <w:sz w:val="23"/>
          <w:szCs w:val="23"/>
          <w:lang w:val="ro-MD"/>
        </w:rPr>
        <w:t>postsecundar</w:t>
      </w:r>
      <w:proofErr w:type="spellEnd"/>
      <w:r w:rsidR="005105A3" w:rsidRPr="00430045">
        <w:rPr>
          <w:rFonts w:ascii="Times New Roman" w:hAnsi="Times New Roman"/>
          <w:b/>
          <w:sz w:val="23"/>
          <w:szCs w:val="23"/>
          <w:lang w:val="ro-MD"/>
        </w:rPr>
        <w:t xml:space="preserve"> </w:t>
      </w:r>
      <w:proofErr w:type="spellStart"/>
      <w:r w:rsidR="005105A3" w:rsidRPr="00430045">
        <w:rPr>
          <w:rFonts w:ascii="Times New Roman" w:hAnsi="Times New Roman"/>
          <w:b/>
          <w:sz w:val="23"/>
          <w:szCs w:val="23"/>
          <w:lang w:val="ro-MD"/>
        </w:rPr>
        <w:t>nonterţiar</w:t>
      </w:r>
      <w:proofErr w:type="spellEnd"/>
      <w:r w:rsidR="005105A3" w:rsidRPr="00430045">
        <w:rPr>
          <w:rFonts w:ascii="Times New Roman" w:hAnsi="Times New Roman"/>
          <w:b/>
          <w:sz w:val="23"/>
          <w:szCs w:val="23"/>
          <w:lang w:val="ro-MD"/>
        </w:rPr>
        <w:t>, profesional tehnic secundar și persoanele care studiază</w:t>
      </w:r>
    </w:p>
    <w:p w:rsidR="00655FCF" w:rsidRPr="00430045" w:rsidRDefault="005105A3" w:rsidP="0028070A">
      <w:pPr>
        <w:spacing w:after="0"/>
        <w:ind w:firstLine="851"/>
        <w:jc w:val="center"/>
        <w:rPr>
          <w:rFonts w:ascii="Times New Roman" w:hAnsi="Times New Roman"/>
          <w:b/>
          <w:sz w:val="23"/>
          <w:szCs w:val="23"/>
          <w:lang w:val="ro-MD"/>
        </w:rPr>
      </w:pPr>
      <w:r w:rsidRPr="00430045">
        <w:rPr>
          <w:rFonts w:ascii="Times New Roman" w:hAnsi="Times New Roman"/>
          <w:b/>
          <w:sz w:val="23"/>
          <w:szCs w:val="23"/>
          <w:lang w:val="ro-MD"/>
        </w:rPr>
        <w:t xml:space="preserve"> în învățământul postuniversitar”</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AB4056" w:rsidRPr="00F21FAC" w:rsidTr="00A35E04">
        <w:trPr>
          <w:trHeight w:val="311"/>
        </w:trPr>
        <w:tc>
          <w:tcPr>
            <w:tcW w:w="5000" w:type="pct"/>
            <w:shd w:val="clear" w:color="auto" w:fill="D0CECE" w:themeFill="background2" w:themeFillShade="E6"/>
          </w:tcPr>
          <w:p w:rsidR="00AB4056" w:rsidRPr="00430045" w:rsidRDefault="00A35E04" w:rsidP="005E0679">
            <w:pPr>
              <w:tabs>
                <w:tab w:val="left" w:pos="284"/>
                <w:tab w:val="left" w:pos="1196"/>
              </w:tabs>
              <w:spacing w:after="0"/>
              <w:ind w:firstLine="851"/>
              <w:jc w:val="both"/>
              <w:rPr>
                <w:rFonts w:ascii="Times New Roman" w:hAnsi="Times New Roman"/>
                <w:b/>
                <w:sz w:val="23"/>
                <w:szCs w:val="23"/>
                <w:lang w:val="ro-RO"/>
              </w:rPr>
            </w:pPr>
            <w:r w:rsidRPr="00430045">
              <w:rPr>
                <w:rFonts w:ascii="Times New Roman" w:hAnsi="Times New Roman"/>
                <w:b/>
                <w:sz w:val="23"/>
                <w:szCs w:val="23"/>
                <w:lang w:val="ro-RO"/>
              </w:rPr>
              <w:t>1. Denumirea sau numele autorului și, după caz, a/al participanților la elaborarea proiectului actului normativ</w:t>
            </w:r>
          </w:p>
        </w:tc>
      </w:tr>
      <w:tr w:rsidR="00AB4056" w:rsidRPr="00F21FAC" w:rsidTr="00E77121">
        <w:trPr>
          <w:trHeight w:val="588"/>
        </w:trPr>
        <w:tc>
          <w:tcPr>
            <w:tcW w:w="5000" w:type="pct"/>
          </w:tcPr>
          <w:p w:rsidR="00434AE5" w:rsidRPr="00430045" w:rsidRDefault="00123F5E" w:rsidP="00123F5E">
            <w:pPr>
              <w:spacing w:after="0"/>
              <w:jc w:val="both"/>
              <w:rPr>
                <w:rFonts w:ascii="Times New Roman" w:hAnsi="Times New Roman"/>
                <w:sz w:val="23"/>
                <w:szCs w:val="23"/>
                <w:lang w:val="ro-MD"/>
              </w:rPr>
            </w:pPr>
            <w:r w:rsidRPr="00430045">
              <w:rPr>
                <w:rFonts w:ascii="Times New Roman" w:hAnsi="Times New Roman"/>
                <w:sz w:val="23"/>
                <w:szCs w:val="23"/>
                <w:lang w:val="ro-RO"/>
              </w:rPr>
              <w:t xml:space="preserve">   </w:t>
            </w:r>
            <w:r w:rsidR="0009110E" w:rsidRPr="00430045">
              <w:rPr>
                <w:rFonts w:ascii="Times New Roman" w:hAnsi="Times New Roman"/>
                <w:sz w:val="23"/>
                <w:szCs w:val="23"/>
                <w:lang w:val="ro-RO"/>
              </w:rPr>
              <w:t>Proiectul de hotărâre de Guvern este elaborat de Ministerul Educației și Cercetării</w:t>
            </w:r>
            <w:r w:rsidR="005B2A50" w:rsidRPr="00430045">
              <w:rPr>
                <w:rFonts w:ascii="Times New Roman" w:hAnsi="Times New Roman"/>
                <w:sz w:val="23"/>
                <w:szCs w:val="23"/>
                <w:lang w:val="ro-RO"/>
              </w:rPr>
              <w:t>, urmare a analizei calitative a procesului de acordare a burelor de studii.</w:t>
            </w:r>
          </w:p>
        </w:tc>
      </w:tr>
      <w:tr w:rsidR="00AB4056" w:rsidRPr="00F21FAC" w:rsidTr="00C65DE8">
        <w:trPr>
          <w:trHeight w:val="422"/>
        </w:trPr>
        <w:tc>
          <w:tcPr>
            <w:tcW w:w="5000" w:type="pct"/>
            <w:shd w:val="clear" w:color="auto" w:fill="D0CECE" w:themeFill="background2" w:themeFillShade="E6"/>
          </w:tcPr>
          <w:p w:rsidR="00AB4056" w:rsidRPr="00430045" w:rsidRDefault="00C65DE8" w:rsidP="005E0679">
            <w:pPr>
              <w:tabs>
                <w:tab w:val="left" w:pos="884"/>
                <w:tab w:val="left" w:pos="1196"/>
              </w:tabs>
              <w:spacing w:after="0"/>
              <w:ind w:firstLine="851"/>
              <w:jc w:val="both"/>
              <w:rPr>
                <w:rFonts w:ascii="Times New Roman" w:hAnsi="Times New Roman"/>
                <w:sz w:val="23"/>
                <w:szCs w:val="23"/>
                <w:lang w:val="ro-RO"/>
              </w:rPr>
            </w:pPr>
            <w:r w:rsidRPr="00430045">
              <w:rPr>
                <w:rFonts w:ascii="Times New Roman" w:hAnsi="Times New Roman"/>
                <w:b/>
                <w:iCs/>
                <w:sz w:val="23"/>
                <w:szCs w:val="23"/>
                <w:lang w:val="ro-RO"/>
              </w:rPr>
              <w:t>2. Condițiile ce au impus elaborarea proiectului actului normativ</w:t>
            </w:r>
          </w:p>
        </w:tc>
      </w:tr>
      <w:tr w:rsidR="00AB4056" w:rsidRPr="00F21FAC" w:rsidTr="00C65DE8">
        <w:trPr>
          <w:trHeight w:val="240"/>
        </w:trPr>
        <w:tc>
          <w:tcPr>
            <w:tcW w:w="5000" w:type="pct"/>
          </w:tcPr>
          <w:p w:rsidR="00AB4056" w:rsidRPr="00430045" w:rsidRDefault="00C65DE8" w:rsidP="005E0679">
            <w:pPr>
              <w:spacing w:after="0"/>
              <w:ind w:firstLine="851"/>
              <w:jc w:val="both"/>
              <w:rPr>
                <w:rFonts w:ascii="Times New Roman" w:hAnsi="Times New Roman"/>
                <w:color w:val="000000"/>
                <w:sz w:val="23"/>
                <w:szCs w:val="23"/>
                <w:lang w:val="ro-MD"/>
              </w:rPr>
            </w:pPr>
            <w:r w:rsidRPr="00430045">
              <w:rPr>
                <w:rFonts w:ascii="Times New Roman" w:hAnsi="Times New Roman"/>
                <w:b/>
                <w:iCs/>
                <w:sz w:val="23"/>
                <w:szCs w:val="23"/>
                <w:lang w:val="ro-RO"/>
              </w:rPr>
              <w:t>2.1</w:t>
            </w:r>
            <w:r w:rsidR="006A7826" w:rsidRPr="00430045">
              <w:rPr>
                <w:rFonts w:ascii="Times New Roman" w:hAnsi="Times New Roman"/>
                <w:b/>
                <w:iCs/>
                <w:sz w:val="23"/>
                <w:szCs w:val="23"/>
                <w:lang w:val="ro-RO"/>
              </w:rPr>
              <w:t>.</w:t>
            </w:r>
            <w:r w:rsidRPr="00430045">
              <w:rPr>
                <w:rFonts w:ascii="Times New Roman" w:hAnsi="Times New Roman"/>
                <w:b/>
                <w:iCs/>
                <w:sz w:val="23"/>
                <w:szCs w:val="23"/>
                <w:lang w:val="ro-RO"/>
              </w:rPr>
              <w:t xml:space="preserve"> </w:t>
            </w:r>
            <w:r w:rsidRPr="00430045">
              <w:rPr>
                <w:rFonts w:ascii="Times New Roman" w:hAnsi="Times New Roman"/>
                <w:sz w:val="23"/>
                <w:szCs w:val="23"/>
                <w:lang w:val="ro-RO"/>
              </w:rPr>
              <w:t>Temeiul legal sau, după caz, sursa proiectului actului normativ</w:t>
            </w:r>
          </w:p>
        </w:tc>
      </w:tr>
      <w:tr w:rsidR="00C65DE8" w:rsidRPr="00430045" w:rsidTr="00655FCF">
        <w:trPr>
          <w:trHeight w:val="3461"/>
        </w:trPr>
        <w:tc>
          <w:tcPr>
            <w:tcW w:w="5000" w:type="pct"/>
          </w:tcPr>
          <w:p w:rsidR="009462FA" w:rsidRPr="00430045" w:rsidRDefault="00123F5E" w:rsidP="00123F5E">
            <w:pPr>
              <w:spacing w:after="0"/>
              <w:jc w:val="both"/>
              <w:rPr>
                <w:rFonts w:ascii="Times New Roman" w:hAnsi="Times New Roman"/>
                <w:color w:val="000000"/>
                <w:sz w:val="23"/>
                <w:szCs w:val="23"/>
                <w:lang w:val="ro-MD"/>
              </w:rPr>
            </w:pPr>
            <w:r w:rsidRPr="00430045">
              <w:rPr>
                <w:rFonts w:ascii="Times New Roman" w:hAnsi="Times New Roman"/>
                <w:color w:val="000000"/>
                <w:sz w:val="23"/>
                <w:szCs w:val="23"/>
                <w:lang w:val="ro-MD"/>
              </w:rPr>
              <w:t xml:space="preserve">   </w:t>
            </w:r>
            <w:r w:rsidR="0009110E" w:rsidRPr="00430045">
              <w:rPr>
                <w:rFonts w:ascii="Times New Roman" w:hAnsi="Times New Roman"/>
                <w:color w:val="000000"/>
                <w:sz w:val="23"/>
                <w:szCs w:val="23"/>
                <w:lang w:val="ro-MD"/>
              </w:rPr>
              <w:t xml:space="preserve">Proiectul este elaborat în temeiul </w:t>
            </w:r>
            <w:r w:rsidR="002D329A" w:rsidRPr="00430045">
              <w:rPr>
                <w:rFonts w:ascii="Times New Roman" w:hAnsi="Times New Roman"/>
                <w:color w:val="000000"/>
                <w:sz w:val="23"/>
                <w:szCs w:val="23"/>
                <w:lang w:val="ro-MD"/>
              </w:rPr>
              <w:t>ar</w:t>
            </w:r>
            <w:r w:rsidR="009462FA" w:rsidRPr="00430045">
              <w:rPr>
                <w:rFonts w:ascii="Times New Roman" w:hAnsi="Times New Roman"/>
                <w:color w:val="000000"/>
                <w:sz w:val="23"/>
                <w:szCs w:val="23"/>
                <w:lang w:val="ro-MD"/>
              </w:rPr>
              <w:t xml:space="preserve">t. </w:t>
            </w:r>
            <w:r w:rsidR="002D329A" w:rsidRPr="00430045">
              <w:rPr>
                <w:rFonts w:ascii="Times New Roman" w:hAnsi="Times New Roman"/>
                <w:color w:val="000000"/>
                <w:sz w:val="23"/>
                <w:szCs w:val="23"/>
                <w:lang w:val="ro-MD"/>
              </w:rPr>
              <w:t>136 alin. (1) lit. c) din Codul educației al Republicii Moldova nr.152/2014 (Monitorul Oficial al Republicii Moldova, 2014, nr. 319-324, art. 634), cu modificările ulterioare</w:t>
            </w:r>
            <w:r w:rsidR="0009110E" w:rsidRPr="00430045">
              <w:rPr>
                <w:rFonts w:ascii="Times New Roman" w:hAnsi="Times New Roman"/>
                <w:color w:val="000000"/>
                <w:sz w:val="23"/>
                <w:szCs w:val="23"/>
                <w:lang w:val="ro-MD"/>
              </w:rPr>
              <w:t xml:space="preserve">, care statuează că </w:t>
            </w:r>
            <w:r w:rsidR="009462FA" w:rsidRPr="00430045">
              <w:rPr>
                <w:rFonts w:ascii="Times New Roman" w:hAnsi="Times New Roman"/>
                <w:color w:val="000000"/>
                <w:sz w:val="23"/>
                <w:szCs w:val="23"/>
                <w:lang w:val="ro-MD"/>
              </w:rPr>
              <w:t>studenții au dreptul să beneficieze, în condițiile legii, de bursă, al cărei cuantum se stabilește de Guvern.</w:t>
            </w:r>
          </w:p>
          <w:p w:rsidR="006A7826" w:rsidRPr="00430045" w:rsidRDefault="00123F5E" w:rsidP="00123F5E">
            <w:pPr>
              <w:spacing w:after="0"/>
              <w:jc w:val="both"/>
              <w:rPr>
                <w:rFonts w:ascii="Times New Roman" w:hAnsi="Times New Roman"/>
                <w:color w:val="000000"/>
                <w:sz w:val="23"/>
                <w:szCs w:val="23"/>
                <w:lang w:val="ro-MD"/>
              </w:rPr>
            </w:pPr>
            <w:r w:rsidRPr="00430045">
              <w:rPr>
                <w:rFonts w:ascii="Times New Roman" w:hAnsi="Times New Roman"/>
                <w:color w:val="000000"/>
                <w:sz w:val="23"/>
                <w:szCs w:val="23"/>
                <w:lang w:val="ro-MD"/>
              </w:rPr>
              <w:t xml:space="preserve">   </w:t>
            </w:r>
            <w:r w:rsidR="0009110E" w:rsidRPr="00430045">
              <w:rPr>
                <w:rFonts w:ascii="Times New Roman" w:hAnsi="Times New Roman"/>
                <w:color w:val="000000"/>
                <w:sz w:val="23"/>
                <w:szCs w:val="23"/>
                <w:lang w:val="ro-MD"/>
              </w:rPr>
              <w:t xml:space="preserve">În conformitate cu Strategia de dezvoltare „Educația 2030” și Programul de implementare a acesteia pentru anii 2023-2025, aprobată prin HG nr. 114/2023, Ministerul Educației și Cercetării este responsabil de </w:t>
            </w:r>
            <w:r w:rsidR="00AA3B2E" w:rsidRPr="00430045">
              <w:rPr>
                <w:rFonts w:ascii="Times New Roman" w:hAnsi="Times New Roman"/>
                <w:color w:val="000000"/>
                <w:sz w:val="23"/>
                <w:szCs w:val="23"/>
                <w:lang w:val="ro-MD"/>
              </w:rPr>
              <w:t>reconceptualizarea evaluării rezultatelor învățării în cadrul învățământului superior în condițiile autonomiei instituționale din perspectiva finalităților prevăzute de Cadrul național al calificărilor, standardelor de calificare, prin acumularea de credite transferabile pe parcursul studiilor de licență, masterat și doctorat, precum și prin evaluarea produsului final</w:t>
            </w:r>
            <w:r w:rsidR="00655FCF" w:rsidRPr="00430045">
              <w:rPr>
                <w:rFonts w:ascii="Times New Roman" w:hAnsi="Times New Roman"/>
                <w:color w:val="000000"/>
                <w:sz w:val="23"/>
                <w:szCs w:val="23"/>
                <w:lang w:val="ro-MD"/>
              </w:rPr>
              <w:t>...</w:t>
            </w:r>
            <w:r w:rsidR="00AA3B2E" w:rsidRPr="00430045">
              <w:rPr>
                <w:rFonts w:ascii="Times New Roman" w:hAnsi="Times New Roman"/>
                <w:color w:val="000000"/>
                <w:sz w:val="23"/>
                <w:szCs w:val="23"/>
                <w:lang w:val="ro-MD"/>
              </w:rPr>
              <w:t xml:space="preserve">, astfel încât până în anul 2025 rezultatele evaluării să se îmbunătățească cu cel puțin 20%. </w:t>
            </w:r>
            <w:r w:rsidR="0009110E" w:rsidRPr="00430045">
              <w:rPr>
                <w:rFonts w:ascii="Times New Roman" w:hAnsi="Times New Roman"/>
                <w:color w:val="000000"/>
                <w:sz w:val="23"/>
                <w:szCs w:val="23"/>
                <w:lang w:val="ro-MD"/>
              </w:rPr>
              <w:t>(</w:t>
            </w:r>
            <w:r w:rsidR="00AA3B2E" w:rsidRPr="00430045">
              <w:rPr>
                <w:rFonts w:ascii="Times New Roman" w:hAnsi="Times New Roman"/>
                <w:color w:val="000000"/>
                <w:sz w:val="23"/>
                <w:szCs w:val="23"/>
                <w:lang w:val="ro-MD"/>
              </w:rPr>
              <w:t>Obiectivul specific 5.10.</w:t>
            </w:r>
            <w:r w:rsidR="0009110E" w:rsidRPr="00430045">
              <w:rPr>
                <w:rFonts w:ascii="Times New Roman" w:hAnsi="Times New Roman"/>
                <w:color w:val="000000"/>
                <w:sz w:val="23"/>
                <w:szCs w:val="23"/>
                <w:lang w:val="ro-MD"/>
              </w:rPr>
              <w:t>).</w:t>
            </w:r>
          </w:p>
        </w:tc>
      </w:tr>
      <w:tr w:rsidR="006A7826" w:rsidRPr="00F21FAC" w:rsidTr="00E77121">
        <w:trPr>
          <w:trHeight w:val="272"/>
        </w:trPr>
        <w:tc>
          <w:tcPr>
            <w:tcW w:w="5000" w:type="pct"/>
          </w:tcPr>
          <w:p w:rsidR="006A7826" w:rsidRPr="00430045" w:rsidRDefault="006A7826" w:rsidP="005E0679">
            <w:pPr>
              <w:spacing w:after="0"/>
              <w:ind w:firstLine="851"/>
              <w:jc w:val="both"/>
              <w:rPr>
                <w:rFonts w:ascii="Times New Roman" w:hAnsi="Times New Roman"/>
                <w:color w:val="000000"/>
                <w:sz w:val="23"/>
                <w:szCs w:val="23"/>
                <w:lang w:val="ro-MD"/>
              </w:rPr>
            </w:pPr>
            <w:r w:rsidRPr="00430045">
              <w:rPr>
                <w:rFonts w:ascii="Times New Roman" w:hAnsi="Times New Roman"/>
                <w:b/>
                <w:bCs/>
                <w:color w:val="000000"/>
                <w:sz w:val="23"/>
                <w:szCs w:val="23"/>
                <w:lang w:val="ro-MD"/>
              </w:rPr>
              <w:t>2.2.</w:t>
            </w:r>
            <w:r w:rsidRPr="00430045">
              <w:rPr>
                <w:rFonts w:ascii="Times New Roman" w:hAnsi="Times New Roman"/>
                <w:color w:val="000000"/>
                <w:sz w:val="23"/>
                <w:szCs w:val="23"/>
                <w:lang w:val="ro-MD"/>
              </w:rPr>
              <w:t xml:space="preserve"> Descrierea situației actuale și a problemelor care impun intervenția, inclusiv a cadrului normativ aplicabil și a deficiențelor/lacunelor normative.</w:t>
            </w:r>
          </w:p>
        </w:tc>
      </w:tr>
      <w:tr w:rsidR="00AB4056" w:rsidRPr="00F21FAC" w:rsidTr="00E77121">
        <w:tc>
          <w:tcPr>
            <w:tcW w:w="5000" w:type="pct"/>
          </w:tcPr>
          <w:p w:rsidR="00AA3B2E" w:rsidRPr="00430045" w:rsidRDefault="00AA3B2E" w:rsidP="00AA3B2E">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Actualmente, bursele reprezentă un sprijin financiar acordat elevilor și studenților și au un rol esențial în asigurarea accesului echitabil la învățământ. Studenții din universitățile din Republica Moldova pot beneficia de mai multe tipuri de burse, în funcție de rezultatele academice sau situația lor socială. Acestea sunt menite să ofere un sprijin financiar lunar.</w:t>
            </w:r>
            <w:r w:rsidRPr="00430045">
              <w:rPr>
                <w:sz w:val="23"/>
                <w:szCs w:val="23"/>
                <w:lang w:val="en-US"/>
              </w:rPr>
              <w:t xml:space="preserve"> </w:t>
            </w:r>
            <w:r w:rsidRPr="00430045">
              <w:rPr>
                <w:rFonts w:ascii="Times New Roman" w:hAnsi="Times New Roman"/>
                <w:sz w:val="23"/>
                <w:szCs w:val="23"/>
                <w:lang w:val="ro-MD"/>
              </w:rPr>
              <w:t>Principalele categorii de burse sunt:</w:t>
            </w:r>
          </w:p>
          <w:p w:rsidR="00AA3B2E" w:rsidRPr="00430045" w:rsidRDefault="00AA3B2E" w:rsidP="00AA3B2E">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Burse de studii: Acordate în funcție de rezultatele obținute în sesiunea de examinare.</w:t>
            </w:r>
          </w:p>
          <w:p w:rsidR="00AA3B2E" w:rsidRPr="00430045" w:rsidRDefault="00AA3B2E" w:rsidP="00AA3B2E">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Burse sociale: Destinate studenților care provin din familii social-vulnerabile.</w:t>
            </w:r>
          </w:p>
          <w:p w:rsidR="00AA3B2E" w:rsidRPr="00430045" w:rsidRDefault="00AA3B2E" w:rsidP="00AA3B2E">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 xml:space="preserve">Burse de merit: Acordate pentru performanțe academice excepționale și implicare în activități </w:t>
            </w:r>
            <w:proofErr w:type="spellStart"/>
            <w:r w:rsidR="00210ECD" w:rsidRPr="00430045">
              <w:rPr>
                <w:rFonts w:ascii="Times New Roman" w:hAnsi="Times New Roman"/>
                <w:sz w:val="23"/>
                <w:szCs w:val="23"/>
                <w:lang w:val="ro-MD"/>
              </w:rPr>
              <w:t>extracurriculare</w:t>
            </w:r>
            <w:proofErr w:type="spellEnd"/>
            <w:r w:rsidRPr="00430045">
              <w:rPr>
                <w:rFonts w:ascii="Times New Roman" w:hAnsi="Times New Roman"/>
                <w:sz w:val="23"/>
                <w:szCs w:val="23"/>
                <w:lang w:val="ro-MD"/>
              </w:rPr>
              <w:t>.</w:t>
            </w:r>
          </w:p>
          <w:p w:rsidR="00210ECD" w:rsidRPr="00430045" w:rsidRDefault="00B80130" w:rsidP="00AA3B2E">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 xml:space="preserve">În </w:t>
            </w:r>
            <w:r w:rsidR="003150E0" w:rsidRPr="00430045">
              <w:rPr>
                <w:rFonts w:ascii="Times New Roman" w:hAnsi="Times New Roman"/>
                <w:sz w:val="23"/>
                <w:szCs w:val="23"/>
                <w:lang w:val="ro-MD"/>
              </w:rPr>
              <w:t>scopul stabilirii corectitudini acordării burselor de studii</w:t>
            </w:r>
            <w:r w:rsidRPr="00430045">
              <w:rPr>
                <w:rFonts w:ascii="Times New Roman" w:hAnsi="Times New Roman"/>
                <w:sz w:val="23"/>
                <w:szCs w:val="23"/>
                <w:lang w:val="ro-MD"/>
              </w:rPr>
              <w:t xml:space="preserve">, </w:t>
            </w:r>
            <w:r w:rsidR="003150E0" w:rsidRPr="00430045">
              <w:rPr>
                <w:rFonts w:ascii="Times New Roman" w:hAnsi="Times New Roman"/>
                <w:sz w:val="23"/>
                <w:szCs w:val="23"/>
                <w:lang w:val="ro-MD"/>
              </w:rPr>
              <w:t xml:space="preserve">având la bază rezultatele academice, </w:t>
            </w:r>
            <w:r w:rsidRPr="00430045">
              <w:rPr>
                <w:rFonts w:ascii="Times New Roman" w:hAnsi="Times New Roman"/>
                <w:sz w:val="23"/>
                <w:szCs w:val="23"/>
                <w:lang w:val="ro-MD"/>
              </w:rPr>
              <w:t xml:space="preserve">Ministerul Educației și Cercetării </w:t>
            </w:r>
            <w:r w:rsidR="00AA3B2E" w:rsidRPr="00430045">
              <w:rPr>
                <w:rFonts w:ascii="Times New Roman" w:hAnsi="Times New Roman"/>
                <w:sz w:val="23"/>
                <w:szCs w:val="23"/>
                <w:lang w:val="ro-MD"/>
              </w:rPr>
              <w:t>a examinat</w:t>
            </w:r>
            <w:r w:rsidR="003150E0" w:rsidRPr="00430045">
              <w:rPr>
                <w:rFonts w:ascii="Times New Roman" w:hAnsi="Times New Roman"/>
                <w:sz w:val="23"/>
                <w:szCs w:val="23"/>
                <w:lang w:val="ro-MD"/>
              </w:rPr>
              <w:t xml:space="preserve">, pe un eșantion de </w:t>
            </w:r>
            <w:r w:rsidR="004A37CF" w:rsidRPr="00430045">
              <w:rPr>
                <w:rFonts w:ascii="Times New Roman" w:hAnsi="Times New Roman"/>
                <w:sz w:val="23"/>
                <w:szCs w:val="23"/>
                <w:lang w:val="ro-MD"/>
              </w:rPr>
              <w:t>4702 studenți admiși la buget in anul de studii 2024/25 și a stabilit ca un număr impunător de studenți</w:t>
            </w:r>
            <w:r w:rsidR="00D83027" w:rsidRPr="00430045">
              <w:rPr>
                <w:rFonts w:ascii="Times New Roman" w:hAnsi="Times New Roman"/>
                <w:sz w:val="23"/>
                <w:szCs w:val="23"/>
                <w:lang w:val="ro-MD"/>
              </w:rPr>
              <w:t>, cca 700</w:t>
            </w:r>
            <w:r w:rsidR="00EF12A7" w:rsidRPr="00430045">
              <w:rPr>
                <w:rFonts w:ascii="Times New Roman" w:hAnsi="Times New Roman"/>
                <w:sz w:val="23"/>
                <w:szCs w:val="23"/>
                <w:lang w:val="ro-MD"/>
              </w:rPr>
              <w:t xml:space="preserve"> (15%)</w:t>
            </w:r>
            <w:r w:rsidR="00D83027" w:rsidRPr="00430045">
              <w:rPr>
                <w:rFonts w:ascii="Times New Roman" w:hAnsi="Times New Roman"/>
                <w:sz w:val="23"/>
                <w:szCs w:val="23"/>
                <w:lang w:val="ro-MD"/>
              </w:rPr>
              <w:t>, care primesc burse cu o medie academică de la 5,5 la 7,00.</w:t>
            </w:r>
            <w:r w:rsidR="00210ECD" w:rsidRPr="00430045">
              <w:rPr>
                <w:rFonts w:ascii="Times New Roman" w:hAnsi="Times New Roman"/>
                <w:sz w:val="23"/>
                <w:szCs w:val="23"/>
                <w:lang w:val="ro-MD"/>
              </w:rPr>
              <w:t xml:space="preserve"> </w:t>
            </w:r>
          </w:p>
          <w:p w:rsidR="00AA3B2E" w:rsidRPr="00430045" w:rsidRDefault="00210ECD" w:rsidP="00AA3B2E">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Totodată, în anul universitar 2024</w:t>
            </w:r>
            <w:r w:rsidR="00EF12A7" w:rsidRPr="00430045">
              <w:rPr>
                <w:rFonts w:ascii="Times New Roman" w:hAnsi="Times New Roman"/>
                <w:sz w:val="23"/>
                <w:szCs w:val="23"/>
                <w:lang w:val="ro-MD"/>
              </w:rPr>
              <w:t>/</w:t>
            </w:r>
            <w:r w:rsidRPr="00430045">
              <w:rPr>
                <w:rFonts w:ascii="Times New Roman" w:hAnsi="Times New Roman"/>
                <w:sz w:val="23"/>
                <w:szCs w:val="23"/>
                <w:lang w:val="ro-MD"/>
              </w:rPr>
              <w:t xml:space="preserve">25, în cadrul celor 9 </w:t>
            </w:r>
            <w:r w:rsidR="00EF12A7" w:rsidRPr="00430045">
              <w:rPr>
                <w:rFonts w:ascii="Times New Roman" w:hAnsi="Times New Roman"/>
                <w:sz w:val="23"/>
                <w:szCs w:val="23"/>
                <w:lang w:val="ro-MD"/>
              </w:rPr>
              <w:t>instituții de învățământ</w:t>
            </w:r>
            <w:r w:rsidRPr="00430045">
              <w:rPr>
                <w:rFonts w:ascii="Times New Roman" w:hAnsi="Times New Roman"/>
                <w:sz w:val="23"/>
                <w:szCs w:val="23"/>
                <w:lang w:val="ro-MD"/>
              </w:rPr>
              <w:t xml:space="preserve"> analizate la ciclul I-licență, învățământ cu frecvență, își fac studiile 24.792 de studenți, dintre care </w:t>
            </w:r>
            <w:r w:rsidRPr="00430045">
              <w:rPr>
                <w:rFonts w:ascii="Times New Roman" w:hAnsi="Times New Roman"/>
                <w:b/>
                <w:bCs/>
                <w:sz w:val="23"/>
                <w:szCs w:val="23"/>
                <w:lang w:val="ro-MD"/>
              </w:rPr>
              <w:t>2.374</w:t>
            </w:r>
            <w:r w:rsidRPr="00430045">
              <w:rPr>
                <w:rFonts w:ascii="Times New Roman" w:hAnsi="Times New Roman"/>
                <w:sz w:val="23"/>
                <w:szCs w:val="23"/>
                <w:lang w:val="ro-MD"/>
              </w:rPr>
              <w:t xml:space="preserve"> sunt restanțieri, ceea ce constituie </w:t>
            </w:r>
            <w:r w:rsidRPr="00430045">
              <w:rPr>
                <w:rFonts w:ascii="Times New Roman" w:hAnsi="Times New Roman"/>
                <w:b/>
                <w:bCs/>
                <w:sz w:val="23"/>
                <w:szCs w:val="23"/>
                <w:lang w:val="ro-MD"/>
              </w:rPr>
              <w:t>9,58%</w:t>
            </w:r>
            <w:r w:rsidRPr="00430045">
              <w:rPr>
                <w:rFonts w:ascii="Times New Roman" w:hAnsi="Times New Roman"/>
                <w:sz w:val="23"/>
                <w:szCs w:val="23"/>
                <w:lang w:val="ro-MD"/>
              </w:rPr>
              <w:t xml:space="preserve"> din număr</w:t>
            </w:r>
            <w:r w:rsidR="00655FCF" w:rsidRPr="00430045">
              <w:rPr>
                <w:rFonts w:ascii="Times New Roman" w:hAnsi="Times New Roman"/>
                <w:sz w:val="23"/>
                <w:szCs w:val="23"/>
                <w:lang w:val="ro-MD"/>
              </w:rPr>
              <w:t>ul</w:t>
            </w:r>
            <w:r w:rsidRPr="00430045">
              <w:rPr>
                <w:rFonts w:ascii="Times New Roman" w:hAnsi="Times New Roman"/>
                <w:sz w:val="23"/>
                <w:szCs w:val="23"/>
                <w:lang w:val="ro-MD"/>
              </w:rPr>
              <w:t xml:space="preserve"> </w:t>
            </w:r>
            <w:r w:rsidR="00655FCF" w:rsidRPr="00430045">
              <w:rPr>
                <w:rFonts w:ascii="Times New Roman" w:hAnsi="Times New Roman"/>
                <w:sz w:val="23"/>
                <w:szCs w:val="23"/>
                <w:lang w:val="ro-MD"/>
              </w:rPr>
              <w:t xml:space="preserve">total </w:t>
            </w:r>
            <w:r w:rsidRPr="00430045">
              <w:rPr>
                <w:rFonts w:ascii="Times New Roman" w:hAnsi="Times New Roman"/>
                <w:sz w:val="23"/>
                <w:szCs w:val="23"/>
                <w:lang w:val="ro-MD"/>
              </w:rPr>
              <w:t xml:space="preserve">de studenți.  </w:t>
            </w:r>
          </w:p>
          <w:p w:rsidR="00CD55F6" w:rsidRPr="00430045" w:rsidRDefault="00EF12A7" w:rsidP="00154302">
            <w:pPr>
              <w:tabs>
                <w:tab w:val="left" w:pos="884"/>
                <w:tab w:val="left" w:pos="1196"/>
              </w:tabs>
              <w:spacing w:after="0"/>
              <w:ind w:firstLine="885"/>
              <w:jc w:val="both"/>
              <w:rPr>
                <w:rFonts w:ascii="Times New Roman" w:hAnsi="Times New Roman"/>
                <w:sz w:val="23"/>
                <w:szCs w:val="23"/>
                <w:lang w:val="ro-MD"/>
              </w:rPr>
            </w:pPr>
            <w:r w:rsidRPr="00430045">
              <w:rPr>
                <w:rFonts w:ascii="Times New Roman" w:hAnsi="Times New Roman"/>
                <w:sz w:val="23"/>
                <w:szCs w:val="23"/>
                <w:lang w:val="ro-MD"/>
              </w:rPr>
              <w:t xml:space="preserve">În acest context, Ministerul Educației și Cercetării vine cu propunerea de actualizare/completare/modificare a Hotărârii Guvernului nr. 1009/2006 „Cu privire la cuantumurile burselor, soldele lunare, altor forme de ajutoare sociale pentru studenții din instituțiile de învățământ superior, elevii din instituțiile de învățământ profesional tehnic </w:t>
            </w:r>
            <w:proofErr w:type="spellStart"/>
            <w:r w:rsidRPr="00430045">
              <w:rPr>
                <w:rFonts w:ascii="Times New Roman" w:hAnsi="Times New Roman"/>
                <w:sz w:val="23"/>
                <w:szCs w:val="23"/>
                <w:lang w:val="ro-MD"/>
              </w:rPr>
              <w:t>postsecundar</w:t>
            </w:r>
            <w:proofErr w:type="spellEnd"/>
            <w:r w:rsidRPr="00430045">
              <w:rPr>
                <w:rFonts w:ascii="Times New Roman" w:hAnsi="Times New Roman"/>
                <w:sz w:val="23"/>
                <w:szCs w:val="23"/>
                <w:lang w:val="ro-MD"/>
              </w:rPr>
              <w:t xml:space="preserve"> </w:t>
            </w:r>
            <w:proofErr w:type="spellStart"/>
            <w:r w:rsidRPr="00430045">
              <w:rPr>
                <w:rFonts w:ascii="Times New Roman" w:hAnsi="Times New Roman"/>
                <w:sz w:val="23"/>
                <w:szCs w:val="23"/>
                <w:lang w:val="ro-MD"/>
              </w:rPr>
              <w:t>şi</w:t>
            </w:r>
            <w:proofErr w:type="spellEnd"/>
            <w:r w:rsidRPr="00430045">
              <w:rPr>
                <w:rFonts w:ascii="Times New Roman" w:hAnsi="Times New Roman"/>
                <w:sz w:val="23"/>
                <w:szCs w:val="23"/>
                <w:lang w:val="ro-MD"/>
              </w:rPr>
              <w:t xml:space="preserve"> </w:t>
            </w:r>
            <w:proofErr w:type="spellStart"/>
            <w:r w:rsidRPr="00430045">
              <w:rPr>
                <w:rFonts w:ascii="Times New Roman" w:hAnsi="Times New Roman"/>
                <w:sz w:val="23"/>
                <w:szCs w:val="23"/>
                <w:lang w:val="ro-MD"/>
              </w:rPr>
              <w:t>postsecundar</w:t>
            </w:r>
            <w:proofErr w:type="spellEnd"/>
            <w:r w:rsidRPr="00430045">
              <w:rPr>
                <w:rFonts w:ascii="Times New Roman" w:hAnsi="Times New Roman"/>
                <w:sz w:val="23"/>
                <w:szCs w:val="23"/>
                <w:lang w:val="ro-MD"/>
              </w:rPr>
              <w:t xml:space="preserve"> </w:t>
            </w:r>
            <w:proofErr w:type="spellStart"/>
            <w:r w:rsidRPr="00430045">
              <w:rPr>
                <w:rFonts w:ascii="Times New Roman" w:hAnsi="Times New Roman"/>
                <w:sz w:val="23"/>
                <w:szCs w:val="23"/>
                <w:lang w:val="ro-MD"/>
              </w:rPr>
              <w:t>nonterţiar</w:t>
            </w:r>
            <w:proofErr w:type="spellEnd"/>
            <w:r w:rsidRPr="00430045">
              <w:rPr>
                <w:rFonts w:ascii="Times New Roman" w:hAnsi="Times New Roman"/>
                <w:sz w:val="23"/>
                <w:szCs w:val="23"/>
                <w:lang w:val="ro-MD"/>
              </w:rPr>
              <w:t xml:space="preserve">, profesional tehnic secundar și persoanele care studiază în învățământul postuniversitar” (Monitorul Oficial al </w:t>
            </w:r>
            <w:r w:rsidRPr="00430045">
              <w:rPr>
                <w:rFonts w:ascii="Times New Roman" w:hAnsi="Times New Roman"/>
                <w:sz w:val="23"/>
                <w:szCs w:val="23"/>
                <w:lang w:val="ro-MD"/>
              </w:rPr>
              <w:lastRenderedPageBreak/>
              <w:t>Republicii Moldova, 2006, nr.142-145, art.1092).</w:t>
            </w:r>
          </w:p>
        </w:tc>
      </w:tr>
      <w:tr w:rsidR="00AB4056" w:rsidRPr="00F21FAC" w:rsidTr="00435CE6">
        <w:tc>
          <w:tcPr>
            <w:tcW w:w="5000" w:type="pct"/>
            <w:shd w:val="clear" w:color="auto" w:fill="D0CECE" w:themeFill="background2" w:themeFillShade="E6"/>
          </w:tcPr>
          <w:p w:rsidR="00434AE5" w:rsidRPr="00430045" w:rsidRDefault="00435CE6" w:rsidP="005E0679">
            <w:pPr>
              <w:tabs>
                <w:tab w:val="left" w:pos="884"/>
                <w:tab w:val="left" w:pos="1196"/>
              </w:tabs>
              <w:spacing w:after="0"/>
              <w:ind w:firstLine="851"/>
              <w:jc w:val="both"/>
              <w:rPr>
                <w:rFonts w:ascii="Times New Roman" w:hAnsi="Times New Roman"/>
                <w:b/>
                <w:bCs/>
                <w:sz w:val="23"/>
                <w:szCs w:val="23"/>
                <w:lang w:val="ro-RO"/>
              </w:rPr>
            </w:pPr>
            <w:r w:rsidRPr="00430045">
              <w:rPr>
                <w:rFonts w:ascii="Times New Roman" w:hAnsi="Times New Roman"/>
                <w:b/>
                <w:bCs/>
                <w:sz w:val="23"/>
                <w:szCs w:val="23"/>
                <w:lang w:val="ro-RO"/>
              </w:rPr>
              <w:lastRenderedPageBreak/>
              <w:t>3. Obiectivele urmărite și soluțiile propuse</w:t>
            </w:r>
          </w:p>
        </w:tc>
      </w:tr>
      <w:tr w:rsidR="00AB4056" w:rsidRPr="00F21FAC" w:rsidTr="00E77121">
        <w:tc>
          <w:tcPr>
            <w:tcW w:w="5000" w:type="pct"/>
          </w:tcPr>
          <w:p w:rsidR="00BD2E66" w:rsidRPr="00430045" w:rsidRDefault="00435CE6" w:rsidP="00123F5E">
            <w:pPr>
              <w:pStyle w:val="Listparagraf"/>
              <w:numPr>
                <w:ilvl w:val="1"/>
                <w:numId w:val="10"/>
              </w:numPr>
              <w:tabs>
                <w:tab w:val="left" w:pos="884"/>
                <w:tab w:val="left" w:pos="1196"/>
              </w:tabs>
              <w:spacing w:after="0"/>
              <w:jc w:val="both"/>
              <w:rPr>
                <w:rFonts w:ascii="Times New Roman" w:hAnsi="Times New Roman"/>
                <w:sz w:val="23"/>
                <w:szCs w:val="23"/>
                <w:lang w:val="ro-RO"/>
              </w:rPr>
            </w:pPr>
            <w:r w:rsidRPr="00430045">
              <w:rPr>
                <w:rFonts w:ascii="Times New Roman" w:hAnsi="Times New Roman"/>
                <w:sz w:val="23"/>
                <w:szCs w:val="23"/>
                <w:lang w:val="ro-RO"/>
              </w:rPr>
              <w:t xml:space="preserve">Principalele prevederi ale proiectului și </w:t>
            </w:r>
            <w:r w:rsidRPr="00430045">
              <w:rPr>
                <w:rFonts w:ascii="Times New Roman" w:hAnsi="Times New Roman"/>
                <w:b/>
                <w:bCs/>
                <w:sz w:val="23"/>
                <w:szCs w:val="23"/>
                <w:lang w:val="ro-RO"/>
              </w:rPr>
              <w:t>evidențierea elementelor noi</w:t>
            </w:r>
            <w:r w:rsidR="00BD2E66" w:rsidRPr="00430045">
              <w:rPr>
                <w:rFonts w:ascii="Times New Roman" w:hAnsi="Times New Roman"/>
                <w:b/>
                <w:bCs/>
                <w:sz w:val="23"/>
                <w:szCs w:val="23"/>
                <w:lang w:val="ro-RO"/>
              </w:rPr>
              <w:t>:</w:t>
            </w:r>
          </w:p>
        </w:tc>
      </w:tr>
      <w:tr w:rsidR="00AB4056" w:rsidRPr="00F21FAC" w:rsidTr="005268CE">
        <w:trPr>
          <w:trHeight w:val="274"/>
        </w:trPr>
        <w:tc>
          <w:tcPr>
            <w:tcW w:w="5000" w:type="pct"/>
          </w:tcPr>
          <w:p w:rsidR="00A23C41" w:rsidRPr="00430045" w:rsidRDefault="0041384B" w:rsidP="00A23C41">
            <w:pPr>
              <w:spacing w:after="0"/>
              <w:ind w:firstLine="851"/>
              <w:jc w:val="both"/>
              <w:rPr>
                <w:rFonts w:ascii="Times New Roman" w:eastAsiaTheme="minorEastAsia" w:hAnsi="Times New Roman"/>
                <w:color w:val="000000"/>
                <w:sz w:val="23"/>
                <w:szCs w:val="23"/>
                <w:shd w:val="clear" w:color="auto" w:fill="FFFFFF"/>
                <w:lang w:val="ro-MD"/>
              </w:rPr>
            </w:pPr>
            <w:r w:rsidRPr="00430045">
              <w:rPr>
                <w:rFonts w:ascii="Times New Roman" w:eastAsiaTheme="minorEastAsia" w:hAnsi="Times New Roman"/>
                <w:color w:val="000000"/>
                <w:sz w:val="23"/>
                <w:szCs w:val="23"/>
                <w:shd w:val="clear" w:color="auto" w:fill="FFFFFF"/>
                <w:lang w:val="ro-MD"/>
              </w:rPr>
              <w:t>Astfel</w:t>
            </w:r>
            <w:r w:rsidR="005E0679" w:rsidRPr="00430045">
              <w:rPr>
                <w:rFonts w:ascii="Times New Roman" w:eastAsiaTheme="minorEastAsia" w:hAnsi="Times New Roman"/>
                <w:color w:val="000000"/>
                <w:sz w:val="23"/>
                <w:szCs w:val="23"/>
                <w:shd w:val="clear" w:color="auto" w:fill="FFFFFF"/>
                <w:lang w:val="ro-MD"/>
              </w:rPr>
              <w:t xml:space="preserve">, propunem </w:t>
            </w:r>
            <w:r w:rsidR="00E01AA4" w:rsidRPr="00430045">
              <w:rPr>
                <w:rFonts w:ascii="Times New Roman" w:eastAsiaTheme="minorEastAsia" w:hAnsi="Times New Roman"/>
                <w:color w:val="000000"/>
                <w:sz w:val="23"/>
                <w:szCs w:val="23"/>
                <w:shd w:val="clear" w:color="auto" w:fill="FFFFFF"/>
                <w:lang w:val="ro-MD"/>
              </w:rPr>
              <w:t>modificarea</w:t>
            </w:r>
            <w:r w:rsidR="005E0679" w:rsidRPr="00430045">
              <w:rPr>
                <w:rFonts w:ascii="Times New Roman" w:eastAsiaTheme="minorEastAsia" w:hAnsi="Times New Roman"/>
                <w:color w:val="000000"/>
                <w:sz w:val="23"/>
                <w:szCs w:val="23"/>
                <w:shd w:val="clear" w:color="auto" w:fill="FFFFFF"/>
                <w:lang w:val="ro-MD"/>
              </w:rPr>
              <w:t xml:space="preserve"> </w:t>
            </w:r>
            <w:r w:rsidR="00154302" w:rsidRPr="00430045">
              <w:rPr>
                <w:rFonts w:ascii="Times New Roman" w:hAnsi="Times New Roman"/>
                <w:bCs/>
                <w:sz w:val="23"/>
                <w:szCs w:val="23"/>
                <w:lang w:val="ro-MD"/>
              </w:rPr>
              <w:t>Hotărârii Guvernului nr.1009/2006</w:t>
            </w:r>
            <w:r w:rsidR="00E01AA4" w:rsidRPr="00430045">
              <w:rPr>
                <w:rFonts w:ascii="Times New Roman" w:eastAsiaTheme="minorEastAsia" w:hAnsi="Times New Roman"/>
                <w:bCs/>
                <w:color w:val="000000"/>
                <w:sz w:val="23"/>
                <w:szCs w:val="23"/>
                <w:shd w:val="clear" w:color="auto" w:fill="FFFFFF"/>
                <w:lang w:val="ro-MD"/>
              </w:rPr>
              <w:t>,</w:t>
            </w:r>
            <w:r w:rsidR="00E01AA4" w:rsidRPr="00430045">
              <w:rPr>
                <w:rFonts w:ascii="Times New Roman" w:eastAsiaTheme="minorEastAsia" w:hAnsi="Times New Roman"/>
                <w:color w:val="000000"/>
                <w:sz w:val="23"/>
                <w:szCs w:val="23"/>
                <w:shd w:val="clear" w:color="auto" w:fill="FFFFFF"/>
                <w:lang w:val="ro-MD"/>
              </w:rPr>
              <w:t xml:space="preserve"> </w:t>
            </w:r>
            <w:r w:rsidR="00154302" w:rsidRPr="00430045">
              <w:rPr>
                <w:rFonts w:ascii="Times New Roman" w:eastAsiaTheme="minorEastAsia" w:hAnsi="Times New Roman"/>
                <w:color w:val="000000"/>
                <w:sz w:val="23"/>
                <w:szCs w:val="23"/>
                <w:shd w:val="clear" w:color="auto" w:fill="FFFFFF"/>
                <w:lang w:val="ro-MD"/>
              </w:rPr>
              <w:t xml:space="preserve">implicit a Regulamentului-cadru cu privire la modul și condițiile de acordare a burselor pentru studenții de la ciclul I, ciclul II, studii superioare integrate, elevii din instituțiile de învățământ profesional tehnic și persoanele care studiază în învățământul postuniversitar </w:t>
            </w:r>
            <w:r w:rsidR="00E01AA4" w:rsidRPr="00430045">
              <w:rPr>
                <w:rFonts w:ascii="Times New Roman" w:eastAsiaTheme="minorEastAsia" w:hAnsi="Times New Roman"/>
                <w:color w:val="000000"/>
                <w:sz w:val="23"/>
                <w:szCs w:val="23"/>
                <w:shd w:val="clear" w:color="auto" w:fill="FFFFFF"/>
                <w:lang w:val="ro-MD"/>
              </w:rPr>
              <w:t>, având în vedere următoarele raționamente.</w:t>
            </w:r>
          </w:p>
          <w:p w:rsidR="00BB7717" w:rsidRPr="00430045" w:rsidRDefault="0041384B" w:rsidP="00BB7717">
            <w:pPr>
              <w:spacing w:after="0"/>
              <w:ind w:firstLine="851"/>
              <w:jc w:val="both"/>
              <w:rPr>
                <w:rFonts w:ascii="Times New Roman" w:eastAsiaTheme="minorEastAsia" w:hAnsi="Times New Roman"/>
                <w:color w:val="000000"/>
                <w:sz w:val="23"/>
                <w:szCs w:val="23"/>
                <w:shd w:val="clear" w:color="auto" w:fill="FFFFFF"/>
                <w:lang w:val="ro-MD"/>
              </w:rPr>
            </w:pPr>
            <w:r w:rsidRPr="00430045">
              <w:rPr>
                <w:rFonts w:ascii="Times New Roman" w:eastAsiaTheme="minorEastAsia" w:hAnsi="Times New Roman"/>
                <w:color w:val="000000"/>
                <w:sz w:val="23"/>
                <w:szCs w:val="23"/>
                <w:shd w:val="clear" w:color="auto" w:fill="FFFFFF"/>
                <w:lang w:val="ro-MD"/>
              </w:rPr>
              <w:t>1.</w:t>
            </w:r>
            <w:r w:rsidR="00BB7717" w:rsidRPr="00430045">
              <w:rPr>
                <w:rFonts w:ascii="Times New Roman" w:eastAsiaTheme="minorEastAsia" w:hAnsi="Times New Roman"/>
                <w:color w:val="000000"/>
                <w:sz w:val="23"/>
                <w:szCs w:val="23"/>
                <w:shd w:val="clear" w:color="auto" w:fill="FFFFFF"/>
                <w:lang w:val="ro-MD"/>
              </w:rPr>
              <w:t xml:space="preserve"> Plafona</w:t>
            </w:r>
            <w:r w:rsidR="005F11F1" w:rsidRPr="00430045">
              <w:rPr>
                <w:rFonts w:ascii="Times New Roman" w:eastAsiaTheme="minorEastAsia" w:hAnsi="Times New Roman"/>
                <w:color w:val="000000"/>
                <w:sz w:val="23"/>
                <w:szCs w:val="23"/>
                <w:shd w:val="clear" w:color="auto" w:fill="FFFFFF"/>
                <w:lang w:val="ro-MD"/>
              </w:rPr>
              <w:t>rea</w:t>
            </w:r>
            <w:r w:rsidR="00BB7717" w:rsidRPr="00430045">
              <w:rPr>
                <w:rFonts w:ascii="Times New Roman" w:eastAsiaTheme="minorEastAsia" w:hAnsi="Times New Roman"/>
                <w:color w:val="000000"/>
                <w:sz w:val="23"/>
                <w:szCs w:val="23"/>
                <w:shd w:val="clear" w:color="auto" w:fill="FFFFFF"/>
                <w:lang w:val="ro-MD"/>
              </w:rPr>
              <w:t xml:space="preserve"> acord</w:t>
            </w:r>
            <w:r w:rsidR="005F11F1" w:rsidRPr="00430045">
              <w:rPr>
                <w:rFonts w:ascii="Times New Roman" w:eastAsiaTheme="minorEastAsia" w:hAnsi="Times New Roman"/>
                <w:color w:val="000000"/>
                <w:sz w:val="23"/>
                <w:szCs w:val="23"/>
                <w:shd w:val="clear" w:color="auto" w:fill="FFFFFF"/>
                <w:lang w:val="ro-MD"/>
              </w:rPr>
              <w:t>ării</w:t>
            </w:r>
            <w:r w:rsidR="00BB7717" w:rsidRPr="00430045">
              <w:rPr>
                <w:rFonts w:ascii="Times New Roman" w:eastAsiaTheme="minorEastAsia" w:hAnsi="Times New Roman"/>
                <w:color w:val="000000"/>
                <w:sz w:val="23"/>
                <w:szCs w:val="23"/>
                <w:shd w:val="clear" w:color="auto" w:fill="FFFFFF"/>
                <w:lang w:val="ro-MD"/>
              </w:rPr>
              <w:t xml:space="preserve"> burselor pe cele </w:t>
            </w:r>
            <w:r w:rsidR="00BB7717" w:rsidRPr="00430045">
              <w:rPr>
                <w:rFonts w:ascii="Times New Roman" w:eastAsiaTheme="minorEastAsia" w:hAnsi="Times New Roman"/>
                <w:b/>
                <w:bCs/>
                <w:color w:val="000000"/>
                <w:sz w:val="23"/>
                <w:szCs w:val="23"/>
                <w:shd w:val="clear" w:color="auto" w:fill="FFFFFF"/>
                <w:lang w:val="ro-MD"/>
              </w:rPr>
              <w:t>trei categorii distincte</w:t>
            </w:r>
            <w:r w:rsidR="00BB7717" w:rsidRPr="00430045">
              <w:rPr>
                <w:rFonts w:ascii="Times New Roman" w:eastAsiaTheme="minorEastAsia" w:hAnsi="Times New Roman"/>
                <w:color w:val="000000"/>
                <w:sz w:val="23"/>
                <w:szCs w:val="23"/>
                <w:shd w:val="clear" w:color="auto" w:fill="FFFFFF"/>
                <w:lang w:val="ro-MD"/>
              </w:rPr>
              <w:t xml:space="preserve">, finanțate diferit, în baza performanțelor academice, are ca scop principal motivarea studenților cu rezultate academice înalte. Această abordare vizează </w:t>
            </w:r>
            <w:bookmarkStart w:id="1" w:name="_Hlk199403722"/>
            <w:r w:rsidR="00BB7717" w:rsidRPr="00430045">
              <w:rPr>
                <w:rFonts w:ascii="Times New Roman" w:eastAsiaTheme="minorEastAsia" w:hAnsi="Times New Roman"/>
                <w:b/>
                <w:bCs/>
                <w:color w:val="000000"/>
                <w:sz w:val="23"/>
                <w:szCs w:val="23"/>
                <w:shd w:val="clear" w:color="auto" w:fill="FFFFFF"/>
                <w:lang w:val="ro-MD"/>
              </w:rPr>
              <w:t>crearea unui sistem de burse mai echitabil și transparent</w:t>
            </w:r>
            <w:r w:rsidR="00BB7717" w:rsidRPr="00430045">
              <w:rPr>
                <w:rFonts w:ascii="Times New Roman" w:eastAsiaTheme="minorEastAsia" w:hAnsi="Times New Roman"/>
                <w:color w:val="000000"/>
                <w:sz w:val="23"/>
                <w:szCs w:val="23"/>
                <w:shd w:val="clear" w:color="auto" w:fill="FFFFFF"/>
                <w:lang w:val="ro-MD"/>
              </w:rPr>
              <w:t>, care să recompenseze excelența și să stimuleze competiția academică.</w:t>
            </w:r>
          </w:p>
          <w:bookmarkEnd w:id="1"/>
          <w:p w:rsidR="00BB7717" w:rsidRPr="00430045" w:rsidRDefault="00E01AA4" w:rsidP="00BB7717">
            <w:pPr>
              <w:spacing w:after="0"/>
              <w:ind w:firstLine="851"/>
              <w:jc w:val="both"/>
              <w:rPr>
                <w:rFonts w:ascii="Times New Roman" w:eastAsiaTheme="minorEastAsia" w:hAnsi="Times New Roman"/>
                <w:color w:val="000000"/>
                <w:sz w:val="23"/>
                <w:szCs w:val="23"/>
                <w:shd w:val="clear" w:color="auto" w:fill="FFFFFF"/>
                <w:lang w:val="ro-MD"/>
              </w:rPr>
            </w:pPr>
            <w:r w:rsidRPr="00430045">
              <w:rPr>
                <w:rFonts w:ascii="Times New Roman" w:eastAsiaTheme="minorEastAsia" w:hAnsi="Times New Roman"/>
                <w:color w:val="000000"/>
                <w:sz w:val="23"/>
                <w:szCs w:val="23"/>
                <w:shd w:val="clear" w:color="auto" w:fill="FFFFFF"/>
                <w:lang w:val="ro-MD"/>
              </w:rPr>
              <w:t xml:space="preserve">2. </w:t>
            </w:r>
            <w:r w:rsidR="00BB7717" w:rsidRPr="00430045">
              <w:rPr>
                <w:rFonts w:ascii="Times New Roman" w:eastAsiaTheme="minorEastAsia" w:hAnsi="Times New Roman"/>
                <w:color w:val="000000"/>
                <w:sz w:val="23"/>
                <w:szCs w:val="23"/>
                <w:shd w:val="clear" w:color="auto" w:fill="FFFFFF"/>
                <w:lang w:val="ro-MD"/>
              </w:rPr>
              <w:t>Totodată, luând în considerare dublarea cuantumului de burse pentru pedagogi</w:t>
            </w:r>
            <w:r w:rsidR="00B32387" w:rsidRPr="00430045">
              <w:rPr>
                <w:rFonts w:ascii="Times New Roman" w:eastAsiaTheme="minorEastAsia" w:hAnsi="Times New Roman"/>
                <w:color w:val="000000"/>
                <w:sz w:val="23"/>
                <w:szCs w:val="23"/>
                <w:shd w:val="clear" w:color="auto" w:fill="FFFFFF"/>
                <w:lang w:val="ro-MD"/>
              </w:rPr>
              <w:t>,</w:t>
            </w:r>
            <w:r w:rsidR="00BB7717" w:rsidRPr="00430045">
              <w:rPr>
                <w:rFonts w:ascii="Times New Roman" w:eastAsiaTheme="minorEastAsia" w:hAnsi="Times New Roman"/>
                <w:color w:val="000000"/>
                <w:sz w:val="23"/>
                <w:szCs w:val="23"/>
                <w:shd w:val="clear" w:color="auto" w:fill="FFFFFF"/>
                <w:lang w:val="ro-MD"/>
              </w:rPr>
              <w:t xml:space="preserve"> care ajung la </w:t>
            </w:r>
          </w:p>
          <w:p w:rsidR="002E4985" w:rsidRPr="00430045" w:rsidRDefault="00BB7717" w:rsidP="00BB7717">
            <w:pPr>
              <w:spacing w:after="0"/>
              <w:jc w:val="both"/>
              <w:rPr>
                <w:rFonts w:ascii="Times New Roman" w:eastAsiaTheme="minorEastAsia" w:hAnsi="Times New Roman"/>
                <w:color w:val="000000"/>
                <w:sz w:val="23"/>
                <w:szCs w:val="23"/>
                <w:shd w:val="clear" w:color="auto" w:fill="FFFFFF"/>
                <w:lang w:val="en-US"/>
              </w:rPr>
            </w:pPr>
            <w:r w:rsidRPr="00430045">
              <w:rPr>
                <w:rFonts w:ascii="Times New Roman" w:eastAsiaTheme="minorEastAsia" w:hAnsi="Times New Roman"/>
                <w:color w:val="000000"/>
                <w:sz w:val="23"/>
                <w:szCs w:val="23"/>
                <w:shd w:val="clear" w:color="auto" w:fill="FFFFFF"/>
                <w:lang w:val="ro-MD"/>
              </w:rPr>
              <w:t xml:space="preserve">3620 lei </w:t>
            </w:r>
            <w:r w:rsidR="00655FCF" w:rsidRPr="00430045">
              <w:rPr>
                <w:rFonts w:ascii="Times New Roman" w:eastAsiaTheme="minorEastAsia" w:hAnsi="Times New Roman"/>
                <w:color w:val="000000"/>
                <w:sz w:val="23"/>
                <w:szCs w:val="23"/>
                <w:shd w:val="clear" w:color="auto" w:fill="FFFFFF"/>
                <w:lang w:val="ro-MD"/>
              </w:rPr>
              <w:t xml:space="preserve">lunar </w:t>
            </w:r>
            <w:r w:rsidRPr="00430045">
              <w:rPr>
                <w:rFonts w:ascii="Times New Roman" w:eastAsiaTheme="minorEastAsia" w:hAnsi="Times New Roman"/>
                <w:color w:val="000000"/>
                <w:sz w:val="23"/>
                <w:szCs w:val="23"/>
                <w:shd w:val="clear" w:color="auto" w:fill="FFFFFF"/>
                <w:lang w:val="ro-MD"/>
              </w:rPr>
              <w:t>pentru categoria I în anul terminal</w:t>
            </w:r>
            <w:r w:rsidR="00B32387" w:rsidRPr="00430045">
              <w:rPr>
                <w:rFonts w:ascii="Times New Roman" w:eastAsiaTheme="minorEastAsia" w:hAnsi="Times New Roman"/>
                <w:color w:val="000000"/>
                <w:sz w:val="23"/>
                <w:szCs w:val="23"/>
                <w:shd w:val="clear" w:color="auto" w:fill="FFFFFF"/>
                <w:lang w:val="ro-MD"/>
              </w:rPr>
              <w:t xml:space="preserve">, prin modificările din prezentul proiect se urmărește și </w:t>
            </w:r>
            <w:r w:rsidR="00B32387" w:rsidRPr="00430045">
              <w:rPr>
                <w:rFonts w:ascii="Times New Roman" w:eastAsiaTheme="minorEastAsia" w:hAnsi="Times New Roman"/>
                <w:b/>
                <w:bCs/>
                <w:color w:val="000000"/>
                <w:sz w:val="23"/>
                <w:szCs w:val="23"/>
                <w:shd w:val="clear" w:color="auto" w:fill="FFFFFF"/>
                <w:lang w:val="ro-MD"/>
              </w:rPr>
              <w:t>utilizarea eficientă a fondurilor,</w:t>
            </w:r>
            <w:r w:rsidR="00B32387" w:rsidRPr="00430045">
              <w:rPr>
                <w:rFonts w:ascii="Times New Roman" w:eastAsiaTheme="minorEastAsia" w:hAnsi="Times New Roman"/>
                <w:color w:val="000000"/>
                <w:sz w:val="23"/>
                <w:szCs w:val="23"/>
                <w:shd w:val="clear" w:color="auto" w:fill="FFFFFF"/>
                <w:lang w:val="ro-MD"/>
              </w:rPr>
              <w:t xml:space="preserve"> prin direcționarea burselor către studenții cu cele mai bune performanțe, se asigură că </w:t>
            </w:r>
            <w:r w:rsidR="00B32387" w:rsidRPr="00430045">
              <w:rPr>
                <w:rFonts w:ascii="Times New Roman" w:eastAsiaTheme="minorEastAsia" w:hAnsi="Times New Roman"/>
                <w:b/>
                <w:bCs/>
                <w:color w:val="000000"/>
                <w:sz w:val="23"/>
                <w:szCs w:val="23"/>
                <w:shd w:val="clear" w:color="auto" w:fill="FFFFFF"/>
                <w:lang w:val="ro-MD"/>
              </w:rPr>
              <w:t>fondurile alocate pentru burse sunt utilizate în cel mai eficient mod posibil</w:t>
            </w:r>
            <w:r w:rsidR="00B32387" w:rsidRPr="00430045">
              <w:rPr>
                <w:rFonts w:ascii="Times New Roman" w:eastAsiaTheme="minorEastAsia" w:hAnsi="Times New Roman"/>
                <w:color w:val="000000"/>
                <w:sz w:val="23"/>
                <w:szCs w:val="23"/>
                <w:shd w:val="clear" w:color="auto" w:fill="FFFFFF"/>
                <w:lang w:val="ro-MD"/>
              </w:rPr>
              <w:t>, maximizând impactul investiției în educație.</w:t>
            </w:r>
          </w:p>
          <w:p w:rsidR="00530667" w:rsidRPr="00430045" w:rsidRDefault="002E4985" w:rsidP="0028070A">
            <w:pPr>
              <w:spacing w:after="0"/>
              <w:ind w:firstLine="851"/>
              <w:jc w:val="both"/>
              <w:rPr>
                <w:rFonts w:ascii="Times New Roman" w:hAnsi="Times New Roman"/>
                <w:bCs/>
                <w:sz w:val="23"/>
                <w:szCs w:val="23"/>
                <w:lang w:val="ro-RO" w:bidi="en-US"/>
              </w:rPr>
            </w:pPr>
            <w:r w:rsidRPr="00430045">
              <w:rPr>
                <w:rFonts w:ascii="Times New Roman" w:eastAsiaTheme="minorEastAsia" w:hAnsi="Times New Roman"/>
                <w:color w:val="000000"/>
                <w:sz w:val="23"/>
                <w:szCs w:val="23"/>
                <w:shd w:val="clear" w:color="auto" w:fill="FFFFFF"/>
                <w:lang w:val="ro-MD"/>
              </w:rPr>
              <w:t>3</w:t>
            </w:r>
            <w:r w:rsidR="0041384B" w:rsidRPr="00430045">
              <w:rPr>
                <w:rFonts w:ascii="Times New Roman" w:eastAsiaTheme="minorEastAsia" w:hAnsi="Times New Roman"/>
                <w:color w:val="000000"/>
                <w:sz w:val="23"/>
                <w:szCs w:val="23"/>
                <w:shd w:val="clear" w:color="auto" w:fill="FFFFFF"/>
                <w:lang w:val="ro-MD"/>
              </w:rPr>
              <w:t>.</w:t>
            </w:r>
            <w:r w:rsidR="00530667" w:rsidRPr="00430045">
              <w:rPr>
                <w:rFonts w:ascii="Times New Roman" w:eastAsiaTheme="minorEastAsia" w:hAnsi="Times New Roman"/>
                <w:color w:val="000000"/>
                <w:sz w:val="23"/>
                <w:szCs w:val="23"/>
                <w:shd w:val="clear" w:color="auto" w:fill="FFFFFF"/>
                <w:lang w:val="ro-MD"/>
              </w:rPr>
              <w:t xml:space="preserve"> </w:t>
            </w:r>
            <w:r w:rsidR="00530667" w:rsidRPr="00430045">
              <w:rPr>
                <w:rFonts w:ascii="Times New Roman" w:hAnsi="Times New Roman"/>
                <w:bCs/>
                <w:sz w:val="23"/>
                <w:szCs w:val="23"/>
                <w:lang w:val="ro-RO" w:bidi="en-US"/>
              </w:rPr>
              <w:t xml:space="preserve">Având în vedere anumite disfuncționalități identificate în procesul de alocare a burselor de merit, manifestate prin acordarea repetată a acestora acelorași studenți pe parcursul anilor universitari și, implicit, prin neglijarea nemotivată a altor studenți, se propune </w:t>
            </w:r>
            <w:r w:rsidR="00F07624" w:rsidRPr="00430045">
              <w:rPr>
                <w:rFonts w:ascii="Times New Roman" w:hAnsi="Times New Roman"/>
                <w:bCs/>
                <w:sz w:val="23"/>
                <w:szCs w:val="23"/>
                <w:lang w:val="ro-RO" w:bidi="en-US"/>
              </w:rPr>
              <w:t>ca studenții/elevii să poată beneficia de bursa de merit finanțată de la bugetul de stat o singură dată pe parcursul fiecărui nivel/ciclu de studii.</w:t>
            </w:r>
          </w:p>
          <w:p w:rsidR="0028070A" w:rsidRPr="00430045" w:rsidRDefault="0028070A" w:rsidP="0028070A">
            <w:pPr>
              <w:spacing w:after="0"/>
              <w:ind w:firstLine="851"/>
              <w:jc w:val="both"/>
              <w:rPr>
                <w:rFonts w:ascii="Times New Roman" w:hAnsi="Times New Roman"/>
                <w:b/>
                <w:sz w:val="23"/>
                <w:szCs w:val="23"/>
                <w:lang w:val="ro-RO" w:bidi="en-US"/>
              </w:rPr>
            </w:pPr>
            <w:r w:rsidRPr="00430045">
              <w:rPr>
                <w:rFonts w:ascii="Times New Roman" w:hAnsi="Times New Roman"/>
                <w:bCs/>
                <w:sz w:val="23"/>
                <w:szCs w:val="23"/>
                <w:lang w:val="ro-RO" w:bidi="en-US"/>
              </w:rPr>
              <w:t xml:space="preserve">4. În scopul asigurării </w:t>
            </w:r>
            <w:r w:rsidRPr="00430045">
              <w:rPr>
                <w:rFonts w:ascii="Times New Roman" w:hAnsi="Times New Roman"/>
                <w:b/>
                <w:sz w:val="23"/>
                <w:szCs w:val="23"/>
                <w:lang w:val="ro-RO" w:bidi="en-US"/>
              </w:rPr>
              <w:t>transparenței procesului de acordare a burselor de studii</w:t>
            </w:r>
            <w:r w:rsidRPr="00430045">
              <w:rPr>
                <w:rFonts w:ascii="Times New Roman" w:hAnsi="Times New Roman"/>
                <w:bCs/>
                <w:sz w:val="23"/>
                <w:szCs w:val="23"/>
                <w:lang w:val="ro-RO" w:bidi="en-US"/>
              </w:rPr>
              <w:t xml:space="preserve">, se propune ca listele studenților și elevilor bursieri sa fie confirmate de senat/consiliul profesoral, aprobate prin ordinul rectorului/directorului, și </w:t>
            </w:r>
            <w:r w:rsidRPr="00430045">
              <w:rPr>
                <w:rFonts w:ascii="Times New Roman" w:hAnsi="Times New Roman"/>
                <w:b/>
                <w:sz w:val="23"/>
                <w:szCs w:val="23"/>
                <w:lang w:val="ro-RO" w:bidi="en-US"/>
              </w:rPr>
              <w:t>publicate pe pagina web a instituției în ordinea descrescătoare a mediei semestriale.</w:t>
            </w:r>
          </w:p>
          <w:p w:rsidR="00530667" w:rsidRPr="00430045" w:rsidRDefault="00547FD5" w:rsidP="001C7B1E">
            <w:pPr>
              <w:spacing w:after="0"/>
              <w:ind w:firstLine="851"/>
              <w:jc w:val="both"/>
              <w:rPr>
                <w:rFonts w:ascii="Times New Roman" w:hAnsi="Times New Roman"/>
                <w:bCs/>
                <w:sz w:val="23"/>
                <w:szCs w:val="23"/>
                <w:lang w:val="ro-RO" w:bidi="en-US"/>
              </w:rPr>
            </w:pPr>
            <w:r w:rsidRPr="00430045">
              <w:rPr>
                <w:rFonts w:ascii="Times New Roman" w:hAnsi="Times New Roman"/>
                <w:bCs/>
                <w:sz w:val="23"/>
                <w:szCs w:val="23"/>
                <w:lang w:val="ro-RO" w:bidi="en-US"/>
              </w:rPr>
              <w:t>5.</w:t>
            </w:r>
            <w:r w:rsidR="001C7B1E" w:rsidRPr="00430045">
              <w:rPr>
                <w:sz w:val="23"/>
                <w:szCs w:val="23"/>
                <w:lang w:val="en-US"/>
              </w:rPr>
              <w:t xml:space="preserve"> </w:t>
            </w:r>
            <w:r w:rsidR="001C7B1E" w:rsidRPr="00430045">
              <w:rPr>
                <w:rFonts w:ascii="Times New Roman" w:hAnsi="Times New Roman"/>
                <w:bCs/>
                <w:sz w:val="23"/>
                <w:szCs w:val="23"/>
                <w:lang w:val="ro-RO" w:bidi="en-US"/>
              </w:rPr>
              <w:t xml:space="preserve">Se statuează expres că </w:t>
            </w:r>
            <w:r w:rsidR="001C7B1E" w:rsidRPr="00430045">
              <w:rPr>
                <w:rFonts w:ascii="Times New Roman" w:hAnsi="Times New Roman"/>
                <w:b/>
                <w:sz w:val="23"/>
                <w:szCs w:val="23"/>
                <w:lang w:val="ro-RO" w:bidi="en-US"/>
              </w:rPr>
              <w:t>nu pot candida</w:t>
            </w:r>
            <w:r w:rsidR="001C7B1E" w:rsidRPr="00430045">
              <w:rPr>
                <w:rFonts w:ascii="Times New Roman" w:hAnsi="Times New Roman"/>
                <w:bCs/>
                <w:sz w:val="23"/>
                <w:szCs w:val="23"/>
                <w:lang w:val="ro-RO" w:bidi="en-US"/>
              </w:rPr>
              <w:t xml:space="preserve"> la burse din bugetul de stat studenții/elevii care nu au realizat integral, în termenele stabilite, planul de învățământ pentru fiecare semestru precedent; nu au acumulat numărul stabilit de credite; sunt </w:t>
            </w:r>
            <w:r w:rsidR="001C7B1E" w:rsidRPr="00430045">
              <w:rPr>
                <w:rFonts w:ascii="Times New Roman" w:hAnsi="Times New Roman"/>
                <w:b/>
                <w:sz w:val="23"/>
                <w:szCs w:val="23"/>
                <w:lang w:val="ro-RO" w:bidi="en-US"/>
              </w:rPr>
              <w:t>restanțieri</w:t>
            </w:r>
            <w:r w:rsidR="001C7B1E" w:rsidRPr="00430045">
              <w:rPr>
                <w:rFonts w:ascii="Times New Roman" w:hAnsi="Times New Roman"/>
                <w:bCs/>
                <w:sz w:val="23"/>
                <w:szCs w:val="23"/>
                <w:lang w:val="ro-RO" w:bidi="en-US"/>
              </w:rPr>
              <w:t>. Excepție fac studenții/elevii care nu au promovat sesiunea de examinare în termenele stabilite din motive întemeiate, confirmate prin documente justificative.</w:t>
            </w:r>
          </w:p>
          <w:p w:rsidR="00547FD5" w:rsidRPr="00430045" w:rsidRDefault="00547FD5" w:rsidP="00154302">
            <w:pPr>
              <w:spacing w:after="0"/>
              <w:ind w:firstLine="851"/>
              <w:jc w:val="both"/>
              <w:rPr>
                <w:rFonts w:ascii="Times New Roman" w:hAnsi="Times New Roman"/>
                <w:bCs/>
                <w:sz w:val="23"/>
                <w:szCs w:val="23"/>
                <w:lang w:val="ro-RO" w:bidi="en-US"/>
              </w:rPr>
            </w:pPr>
            <w:r w:rsidRPr="00430045">
              <w:rPr>
                <w:rFonts w:ascii="Times New Roman" w:hAnsi="Times New Roman"/>
                <w:bCs/>
                <w:sz w:val="23"/>
                <w:szCs w:val="23"/>
                <w:lang w:val="ro-RO" w:bidi="en-US"/>
              </w:rPr>
              <w:t>6.</w:t>
            </w:r>
            <w:r w:rsidR="0050411C" w:rsidRPr="00430045">
              <w:rPr>
                <w:rFonts w:ascii="Times New Roman" w:hAnsi="Times New Roman"/>
                <w:bCs/>
                <w:sz w:val="23"/>
                <w:szCs w:val="23"/>
                <w:lang w:val="ro-RO" w:bidi="en-US"/>
              </w:rPr>
              <w:t xml:space="preserve"> Regulamentul stabilește în mod explicit că bursele de merit se acordă pe baza reușitei academice </w:t>
            </w:r>
            <w:r w:rsidR="0050411C" w:rsidRPr="00430045">
              <w:rPr>
                <w:rFonts w:ascii="Times New Roman" w:hAnsi="Times New Roman"/>
                <w:b/>
                <w:sz w:val="23"/>
                <w:szCs w:val="23"/>
                <w:lang w:val="ro-RO" w:bidi="en-US"/>
              </w:rPr>
              <w:t>anuale,</w:t>
            </w:r>
            <w:r w:rsidR="0050411C" w:rsidRPr="00430045">
              <w:rPr>
                <w:rFonts w:ascii="Times New Roman" w:hAnsi="Times New Roman"/>
                <w:bCs/>
                <w:sz w:val="23"/>
                <w:szCs w:val="23"/>
                <w:lang w:val="ro-RO" w:bidi="en-US"/>
              </w:rPr>
              <w:t xml:space="preserve"> calculată ca medie aritmetică a mediilor semestriale. Această modalitate de evaluare asigură o apreciere corectă și echitabilă a performanțelor tuturor studenților</w:t>
            </w:r>
            <w:r w:rsidR="00994587" w:rsidRPr="00430045">
              <w:rPr>
                <w:rFonts w:ascii="Times New Roman" w:hAnsi="Times New Roman"/>
                <w:bCs/>
                <w:sz w:val="23"/>
                <w:szCs w:val="23"/>
                <w:lang w:val="ro-RO" w:bidi="en-US"/>
              </w:rPr>
              <w:t>,</w:t>
            </w:r>
            <w:r w:rsidR="00994587" w:rsidRPr="00430045">
              <w:rPr>
                <w:sz w:val="23"/>
                <w:szCs w:val="23"/>
                <w:lang w:val="en-US"/>
              </w:rPr>
              <w:t xml:space="preserve"> </w:t>
            </w:r>
            <w:r w:rsidR="00994587" w:rsidRPr="00430045">
              <w:rPr>
                <w:rFonts w:ascii="Times New Roman" w:hAnsi="Times New Roman"/>
                <w:bCs/>
                <w:sz w:val="23"/>
                <w:szCs w:val="23"/>
                <w:lang w:val="ro-RO" w:bidi="en-US"/>
              </w:rPr>
              <w:t>garantând astfel o evaluare mai obiectivă și imparțială a performanțelor individuale.</w:t>
            </w:r>
          </w:p>
          <w:p w:rsidR="00AB7474" w:rsidRPr="00430045" w:rsidRDefault="001D5BFB" w:rsidP="00AB7474">
            <w:pPr>
              <w:spacing w:after="0"/>
              <w:ind w:firstLine="851"/>
              <w:jc w:val="both"/>
              <w:rPr>
                <w:rFonts w:ascii="Times New Roman" w:hAnsi="Times New Roman"/>
                <w:bCs/>
                <w:sz w:val="23"/>
                <w:szCs w:val="23"/>
                <w:lang w:val="ro-RO" w:bidi="en-US"/>
              </w:rPr>
            </w:pPr>
            <w:r w:rsidRPr="00430045">
              <w:rPr>
                <w:rFonts w:ascii="Times New Roman" w:hAnsi="Times New Roman"/>
                <w:bCs/>
                <w:sz w:val="23"/>
                <w:szCs w:val="23"/>
                <w:lang w:val="ro-RO" w:bidi="en-US"/>
              </w:rPr>
              <w:t xml:space="preserve">7. </w:t>
            </w:r>
            <w:r w:rsidR="00AB7474" w:rsidRPr="00430045">
              <w:rPr>
                <w:rFonts w:ascii="Times New Roman" w:hAnsi="Times New Roman"/>
                <w:bCs/>
                <w:sz w:val="23"/>
                <w:szCs w:val="23"/>
                <w:lang w:val="ro-RO" w:bidi="en-US"/>
              </w:rPr>
              <w:t>Luând în considerare faptul că listele candidaților la bursele de merit, cu excepția Bursei Președintelui Republicii Moldova, se aprobă anual, prin ordinul ministrului educației și cercetării, a fost stabilit, corespunzător, că si anularea acestora sa fie efectuată, la necesitate, prin ordinul ministrului educației și cercetării.</w:t>
            </w:r>
          </w:p>
          <w:p w:rsidR="0050411C" w:rsidRPr="00430045" w:rsidRDefault="00AB7474" w:rsidP="001D5BFB">
            <w:pPr>
              <w:spacing w:after="0"/>
              <w:ind w:firstLine="851"/>
              <w:jc w:val="both"/>
              <w:rPr>
                <w:rFonts w:ascii="Times New Roman" w:hAnsi="Times New Roman"/>
                <w:bCs/>
                <w:sz w:val="23"/>
                <w:szCs w:val="23"/>
                <w:lang w:val="ro-MD" w:bidi="en-US"/>
              </w:rPr>
            </w:pPr>
            <w:r w:rsidRPr="00430045">
              <w:rPr>
                <w:rFonts w:ascii="Times New Roman" w:hAnsi="Times New Roman"/>
                <w:bCs/>
                <w:sz w:val="23"/>
                <w:szCs w:val="23"/>
                <w:lang w:val="ro-RO" w:bidi="en-US"/>
              </w:rPr>
              <w:t xml:space="preserve">8. </w:t>
            </w:r>
            <w:r w:rsidR="001D5BFB" w:rsidRPr="00430045">
              <w:rPr>
                <w:rFonts w:ascii="Times New Roman" w:hAnsi="Times New Roman"/>
                <w:bCs/>
                <w:sz w:val="23"/>
                <w:szCs w:val="23"/>
                <w:lang w:val="ro-RO" w:bidi="en-US"/>
              </w:rPr>
              <w:t xml:space="preserve">Pentru corelarea termenilor din domeniu cu rigorile Codului educației, au for modificate, pe tot parcursul textului Hotărârii de Guvern și al anexelor la aceasta, anumite sintagme, ca, de exemplu: excluderea sintagmei „învățământ medical și farmaceutic”, or, acest tip de formare </w:t>
            </w:r>
            <w:r w:rsidR="003F1844" w:rsidRPr="00430045">
              <w:rPr>
                <w:rFonts w:ascii="Times New Roman" w:hAnsi="Times New Roman"/>
                <w:bCs/>
                <w:sz w:val="23"/>
                <w:szCs w:val="23"/>
                <w:lang w:val="ro-RO" w:bidi="en-US"/>
              </w:rPr>
              <w:t>face parte din</w:t>
            </w:r>
            <w:r w:rsidR="001D5BFB" w:rsidRPr="00430045">
              <w:rPr>
                <w:rFonts w:ascii="Times New Roman" w:hAnsi="Times New Roman"/>
                <w:bCs/>
                <w:sz w:val="23"/>
                <w:szCs w:val="23"/>
                <w:lang w:val="ro-RO" w:bidi="en-US"/>
              </w:rPr>
              <w:t xml:space="preserve"> </w:t>
            </w:r>
            <w:r w:rsidR="003F1844" w:rsidRPr="00430045">
              <w:rPr>
                <w:rFonts w:ascii="Times New Roman" w:hAnsi="Times New Roman"/>
                <w:bCs/>
                <w:sz w:val="23"/>
                <w:szCs w:val="23"/>
                <w:lang w:val="ro-RO" w:bidi="en-US"/>
              </w:rPr>
              <w:t>studiile</w:t>
            </w:r>
            <w:r w:rsidR="001D5BFB" w:rsidRPr="00430045">
              <w:rPr>
                <w:rFonts w:ascii="Times New Roman" w:hAnsi="Times New Roman"/>
                <w:bCs/>
                <w:sz w:val="23"/>
                <w:szCs w:val="23"/>
                <w:lang w:val="ro-RO" w:bidi="en-US"/>
              </w:rPr>
              <w:t xml:space="preserve"> superioare integrate; actualizarea sintagmele „Ministerul Educației”, ”învățământ (-</w:t>
            </w:r>
            <w:proofErr w:type="spellStart"/>
            <w:r w:rsidR="001D5BFB" w:rsidRPr="00430045">
              <w:rPr>
                <w:rFonts w:ascii="Times New Roman" w:hAnsi="Times New Roman"/>
                <w:bCs/>
                <w:sz w:val="23"/>
                <w:szCs w:val="23"/>
                <w:lang w:val="ro-RO" w:bidi="en-US"/>
              </w:rPr>
              <w:t>ul</w:t>
            </w:r>
            <w:proofErr w:type="spellEnd"/>
            <w:r w:rsidR="001D5BFB" w:rsidRPr="00430045">
              <w:rPr>
                <w:rFonts w:ascii="Times New Roman" w:hAnsi="Times New Roman"/>
                <w:bCs/>
                <w:sz w:val="23"/>
                <w:szCs w:val="23"/>
                <w:lang w:val="ro-RO" w:bidi="en-US"/>
              </w:rPr>
              <w:t>) la/de zi” și „învățământul fără frecvență</w:t>
            </w:r>
            <w:r w:rsidR="00DE1563" w:rsidRPr="00430045">
              <w:rPr>
                <w:rFonts w:ascii="Times New Roman" w:hAnsi="Times New Roman"/>
                <w:bCs/>
                <w:sz w:val="23"/>
                <w:szCs w:val="23"/>
                <w:lang w:val="ro-RO" w:bidi="en-US"/>
              </w:rPr>
              <w:t>”</w:t>
            </w:r>
            <w:r w:rsidR="005F1167" w:rsidRPr="00430045">
              <w:rPr>
                <w:rFonts w:ascii="Times New Roman" w:hAnsi="Times New Roman"/>
                <w:bCs/>
                <w:sz w:val="23"/>
                <w:szCs w:val="23"/>
                <w:lang w:val="ro-RO" w:bidi="en-US"/>
              </w:rPr>
              <w:t>;</w:t>
            </w:r>
            <w:r w:rsidR="00DE1563" w:rsidRPr="00430045">
              <w:rPr>
                <w:rFonts w:ascii="Times New Roman" w:hAnsi="Times New Roman"/>
                <w:bCs/>
                <w:sz w:val="23"/>
                <w:szCs w:val="23"/>
                <w:lang w:val="ro-RO" w:bidi="en-US"/>
              </w:rPr>
              <w:t xml:space="preserve"> din prevederile care vizează învățământul postuniversitar au fost excluși masteranzii, o</w:t>
            </w:r>
            <w:r w:rsidR="005F1167" w:rsidRPr="00430045">
              <w:rPr>
                <w:rFonts w:ascii="Times New Roman" w:hAnsi="Times New Roman"/>
                <w:bCs/>
                <w:sz w:val="23"/>
                <w:szCs w:val="23"/>
                <w:lang w:val="ro-RO" w:bidi="en-US"/>
              </w:rPr>
              <w:t>r</w:t>
            </w:r>
            <w:r w:rsidR="00DE1563" w:rsidRPr="00430045">
              <w:rPr>
                <w:rFonts w:ascii="Times New Roman" w:hAnsi="Times New Roman"/>
                <w:bCs/>
                <w:sz w:val="23"/>
                <w:szCs w:val="23"/>
                <w:lang w:val="ro-RO" w:bidi="en-US"/>
              </w:rPr>
              <w:t xml:space="preserve">, conform legislației, masterul reprezintă </w:t>
            </w:r>
            <w:r w:rsidR="001D5BFB" w:rsidRPr="00430045">
              <w:rPr>
                <w:rFonts w:ascii="Times New Roman" w:hAnsi="Times New Roman"/>
                <w:bCs/>
                <w:sz w:val="23"/>
                <w:szCs w:val="23"/>
                <w:lang w:val="ro-RO" w:bidi="en-US"/>
              </w:rPr>
              <w:t xml:space="preserve"> </w:t>
            </w:r>
            <w:r w:rsidR="00DE1563" w:rsidRPr="00430045">
              <w:rPr>
                <w:rFonts w:ascii="Times New Roman" w:hAnsi="Times New Roman"/>
                <w:bCs/>
                <w:sz w:val="23"/>
                <w:szCs w:val="23"/>
                <w:lang w:val="ro-RO" w:bidi="en-US"/>
              </w:rPr>
              <w:t>ciclul II al studiilor superioare</w:t>
            </w:r>
            <w:r w:rsidR="001D5BFB" w:rsidRPr="00430045">
              <w:rPr>
                <w:rFonts w:ascii="Times New Roman" w:hAnsi="Times New Roman"/>
                <w:bCs/>
                <w:sz w:val="23"/>
                <w:szCs w:val="23"/>
                <w:lang w:val="ro-RO" w:bidi="en-US"/>
              </w:rPr>
              <w:t xml:space="preserve">. </w:t>
            </w:r>
          </w:p>
          <w:p w:rsidR="00BD2E66" w:rsidRPr="00430045" w:rsidRDefault="00623AF7" w:rsidP="0028070A">
            <w:pPr>
              <w:spacing w:after="0"/>
              <w:ind w:firstLine="851"/>
              <w:jc w:val="both"/>
              <w:rPr>
                <w:rFonts w:ascii="Times New Roman" w:hAnsi="Times New Roman"/>
                <w:bCs/>
                <w:sz w:val="23"/>
                <w:szCs w:val="23"/>
                <w:lang w:val="ro-RO" w:bidi="en-US"/>
              </w:rPr>
            </w:pPr>
            <w:r w:rsidRPr="00430045">
              <w:rPr>
                <w:rFonts w:ascii="Times New Roman" w:hAnsi="Times New Roman"/>
                <w:bCs/>
                <w:sz w:val="23"/>
                <w:szCs w:val="23"/>
                <w:lang w:val="ro-RO" w:bidi="en-US"/>
              </w:rPr>
              <w:t>9</w:t>
            </w:r>
            <w:r w:rsidR="001D5BFB" w:rsidRPr="00430045">
              <w:rPr>
                <w:rFonts w:ascii="Times New Roman" w:hAnsi="Times New Roman"/>
                <w:bCs/>
                <w:sz w:val="23"/>
                <w:szCs w:val="23"/>
                <w:lang w:val="ro-RO" w:bidi="en-US"/>
              </w:rPr>
              <w:t xml:space="preserve">. </w:t>
            </w:r>
            <w:r w:rsidR="00123F5E" w:rsidRPr="00430045">
              <w:rPr>
                <w:rFonts w:ascii="Times New Roman" w:hAnsi="Times New Roman"/>
                <w:bCs/>
                <w:sz w:val="23"/>
                <w:szCs w:val="23"/>
                <w:lang w:val="ro-RO" w:bidi="en-US"/>
              </w:rPr>
              <w:t xml:space="preserve">Proiectul de hotărâre de Guvern sus-numit </w:t>
            </w:r>
            <w:r w:rsidR="00680FE4" w:rsidRPr="00430045">
              <w:rPr>
                <w:rFonts w:ascii="Times New Roman" w:hAnsi="Times New Roman"/>
                <w:bCs/>
                <w:sz w:val="23"/>
                <w:szCs w:val="23"/>
                <w:lang w:val="ro-RO" w:bidi="en-US"/>
              </w:rPr>
              <w:t>se solicită</w:t>
            </w:r>
            <w:r w:rsidR="00123F5E" w:rsidRPr="00430045">
              <w:rPr>
                <w:rFonts w:ascii="Times New Roman" w:hAnsi="Times New Roman"/>
                <w:b/>
                <w:sz w:val="23"/>
                <w:szCs w:val="23"/>
                <w:lang w:val="ro-RO" w:bidi="en-US"/>
              </w:rPr>
              <w:t xml:space="preserve"> să intre în vigoare la data publicării în Monitorul Oficial al Republicii Moldova</w:t>
            </w:r>
            <w:r w:rsidR="00123F5E" w:rsidRPr="00430045">
              <w:rPr>
                <w:rFonts w:ascii="Times New Roman" w:hAnsi="Times New Roman"/>
                <w:bCs/>
                <w:sz w:val="23"/>
                <w:szCs w:val="23"/>
                <w:lang w:val="ro-RO" w:bidi="en-US"/>
              </w:rPr>
              <w:t xml:space="preserve">, în condițiile statuate de art. 56, alin.(1), din Legea nr. 100/2017, potrivit căreia, actele normative intră în vigoare peste o lună de la data publicării în Monitorul Oficial al Republicii Moldova sau </w:t>
            </w:r>
            <w:r w:rsidR="00123F5E" w:rsidRPr="00430045">
              <w:rPr>
                <w:rFonts w:ascii="Times New Roman" w:hAnsi="Times New Roman"/>
                <w:b/>
                <w:sz w:val="23"/>
                <w:szCs w:val="23"/>
                <w:lang w:val="ro-RO" w:bidi="en-US"/>
              </w:rPr>
              <w:t>la data indicată în textul actului normativ,</w:t>
            </w:r>
            <w:r w:rsidR="00123F5E" w:rsidRPr="00430045">
              <w:rPr>
                <w:rFonts w:ascii="Times New Roman" w:hAnsi="Times New Roman"/>
                <w:bCs/>
                <w:sz w:val="23"/>
                <w:szCs w:val="23"/>
                <w:lang w:val="ro-RO" w:bidi="en-US"/>
              </w:rPr>
              <w:t xml:space="preserve"> care nu poate fi anterioară datei publicării. </w:t>
            </w:r>
            <w:r w:rsidR="00680FE4" w:rsidRPr="00430045">
              <w:rPr>
                <w:rFonts w:ascii="Times New Roman" w:hAnsi="Times New Roman"/>
                <w:bCs/>
                <w:sz w:val="23"/>
                <w:szCs w:val="23"/>
                <w:lang w:val="ro-RO" w:bidi="en-US"/>
              </w:rPr>
              <w:t>Această urgență este</w:t>
            </w:r>
            <w:r w:rsidR="00123F5E" w:rsidRPr="00430045">
              <w:rPr>
                <w:rFonts w:ascii="Times New Roman" w:hAnsi="Times New Roman"/>
                <w:bCs/>
                <w:sz w:val="23"/>
                <w:szCs w:val="23"/>
                <w:lang w:val="ro-RO" w:bidi="en-US"/>
              </w:rPr>
              <w:t xml:space="preserve"> justificată de circumstanțe obiective</w:t>
            </w:r>
            <w:r w:rsidR="00680FE4" w:rsidRPr="00430045">
              <w:rPr>
                <w:rFonts w:ascii="Times New Roman" w:hAnsi="Times New Roman"/>
                <w:bCs/>
                <w:sz w:val="23"/>
                <w:szCs w:val="23"/>
                <w:lang w:val="ro-RO" w:bidi="en-US"/>
              </w:rPr>
              <w:t>:</w:t>
            </w:r>
            <w:r w:rsidR="00123F5E" w:rsidRPr="00430045">
              <w:rPr>
                <w:rFonts w:ascii="Times New Roman" w:hAnsi="Times New Roman"/>
                <w:bCs/>
                <w:sz w:val="23"/>
                <w:szCs w:val="23"/>
                <w:lang w:val="ro-RO" w:bidi="en-US"/>
              </w:rPr>
              <w:t xml:space="preserve"> necesitatea imperativă </w:t>
            </w:r>
            <w:r w:rsidR="001D5BFB" w:rsidRPr="00430045">
              <w:rPr>
                <w:rFonts w:ascii="Times New Roman" w:hAnsi="Times New Roman"/>
                <w:bCs/>
                <w:sz w:val="23"/>
                <w:szCs w:val="23"/>
                <w:lang w:val="ro-RO" w:bidi="en-US"/>
              </w:rPr>
              <w:t xml:space="preserve">pentru </w:t>
            </w:r>
            <w:r w:rsidR="001D5BFB" w:rsidRPr="00430045">
              <w:rPr>
                <w:rFonts w:ascii="Times New Roman" w:hAnsi="Times New Roman"/>
                <w:bCs/>
                <w:sz w:val="23"/>
                <w:szCs w:val="23"/>
                <w:lang w:val="ro-RO" w:bidi="en-US"/>
              </w:rPr>
              <w:lastRenderedPageBreak/>
              <w:t>universități de a elabora regulamente instituționale</w:t>
            </w:r>
            <w:r w:rsidR="003F1844" w:rsidRPr="00430045">
              <w:rPr>
                <w:rFonts w:ascii="Times New Roman" w:hAnsi="Times New Roman"/>
                <w:bCs/>
                <w:sz w:val="23"/>
                <w:szCs w:val="23"/>
                <w:lang w:val="ro-RO" w:bidi="en-US"/>
              </w:rPr>
              <w:t xml:space="preserve"> pentru acordarea burselor cu stabilirea anumitor detalii. Totodată,</w:t>
            </w:r>
            <w:r w:rsidR="001D5BFB" w:rsidRPr="00430045">
              <w:rPr>
                <w:rFonts w:ascii="Times New Roman" w:hAnsi="Times New Roman"/>
                <w:bCs/>
                <w:sz w:val="23"/>
                <w:szCs w:val="23"/>
                <w:lang w:val="ro-RO" w:bidi="en-US"/>
              </w:rPr>
              <w:t xml:space="preserve"> după desfășurarea admiterii, începând cu noul an de studii de la 01 septembrie 2025, </w:t>
            </w:r>
            <w:r w:rsidR="003F1844" w:rsidRPr="00430045">
              <w:rPr>
                <w:rFonts w:ascii="Times New Roman" w:hAnsi="Times New Roman"/>
                <w:bCs/>
                <w:sz w:val="23"/>
                <w:szCs w:val="23"/>
                <w:lang w:val="ro-RO" w:bidi="en-US"/>
              </w:rPr>
              <w:t xml:space="preserve">este nevoie de a stabili </w:t>
            </w:r>
            <w:r w:rsidR="000C5CDF" w:rsidRPr="00430045">
              <w:rPr>
                <w:rFonts w:ascii="Times New Roman" w:hAnsi="Times New Roman"/>
                <w:bCs/>
                <w:sz w:val="23"/>
                <w:szCs w:val="23"/>
                <w:lang w:val="ro-RO" w:bidi="en-US"/>
              </w:rPr>
              <w:t>plafonul de acordare a burselor de studii conform planului de înmatriculare cu finanțare bugetară la fiecare specialitate/domeniu de formare profesională din fiecare instituție de învățământ superior și profesional tehnic.</w:t>
            </w:r>
          </w:p>
        </w:tc>
      </w:tr>
      <w:tr w:rsidR="00FB7AF5" w:rsidRPr="00F21FAC" w:rsidTr="00D0578E">
        <w:trPr>
          <w:trHeight w:val="210"/>
        </w:trPr>
        <w:tc>
          <w:tcPr>
            <w:tcW w:w="5000" w:type="pct"/>
            <w:shd w:val="clear" w:color="auto" w:fill="F2F2F2" w:themeFill="background1" w:themeFillShade="F2"/>
          </w:tcPr>
          <w:p w:rsidR="00FB7AF5" w:rsidRPr="00430045" w:rsidRDefault="00FB7AF5"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lastRenderedPageBreak/>
              <w:t>3.2.</w:t>
            </w:r>
            <w:r w:rsidRPr="00430045">
              <w:rPr>
                <w:rFonts w:ascii="Times New Roman" w:hAnsi="Times New Roman"/>
                <w:sz w:val="23"/>
                <w:szCs w:val="23"/>
                <w:lang w:val="ro-MD"/>
              </w:rPr>
              <w:t xml:space="preserve"> Opțiunile alternative analizate și motivele pentru care acestea nu au fost luate în considerare</w:t>
            </w:r>
          </w:p>
        </w:tc>
      </w:tr>
      <w:tr w:rsidR="00FB7AF5" w:rsidRPr="00430045" w:rsidTr="00FB7AF5">
        <w:trPr>
          <w:trHeight w:val="285"/>
        </w:trPr>
        <w:tc>
          <w:tcPr>
            <w:tcW w:w="5000" w:type="pct"/>
          </w:tcPr>
          <w:p w:rsidR="00FB7AF5" w:rsidRPr="00430045" w:rsidRDefault="00FB7AF5" w:rsidP="005E0679">
            <w:pPr>
              <w:spacing w:after="0"/>
              <w:ind w:firstLine="851"/>
              <w:jc w:val="both"/>
              <w:rPr>
                <w:rFonts w:ascii="Times New Roman" w:hAnsi="Times New Roman"/>
                <w:sz w:val="23"/>
                <w:szCs w:val="23"/>
                <w:lang w:val="en-US"/>
              </w:rPr>
            </w:pPr>
            <w:r w:rsidRPr="00430045">
              <w:rPr>
                <w:rFonts w:ascii="Times New Roman" w:hAnsi="Times New Roman"/>
                <w:sz w:val="23"/>
                <w:szCs w:val="23"/>
                <w:lang w:val="ro-RO"/>
              </w:rPr>
              <w:t>Opțiuni alternative nu există.</w:t>
            </w:r>
          </w:p>
        </w:tc>
      </w:tr>
      <w:tr w:rsidR="00FB7AF5" w:rsidRPr="00430045" w:rsidTr="00BF6007">
        <w:trPr>
          <w:trHeight w:val="150"/>
        </w:trPr>
        <w:tc>
          <w:tcPr>
            <w:tcW w:w="5000" w:type="pct"/>
            <w:shd w:val="clear" w:color="auto" w:fill="BFBFBF" w:themeFill="background1" w:themeFillShade="BF"/>
          </w:tcPr>
          <w:p w:rsidR="00434AE5" w:rsidRPr="00430045" w:rsidRDefault="00FB7AF5" w:rsidP="00993C73">
            <w:pPr>
              <w:tabs>
                <w:tab w:val="left" w:pos="884"/>
                <w:tab w:val="left" w:pos="1196"/>
              </w:tabs>
              <w:spacing w:after="0"/>
              <w:ind w:firstLine="851"/>
              <w:jc w:val="both"/>
              <w:rPr>
                <w:rFonts w:ascii="Times New Roman" w:hAnsi="Times New Roman"/>
                <w:b/>
                <w:iCs/>
                <w:sz w:val="23"/>
                <w:szCs w:val="23"/>
                <w:lang w:val="ro-RO"/>
              </w:rPr>
            </w:pPr>
            <w:r w:rsidRPr="00430045">
              <w:rPr>
                <w:rFonts w:ascii="Times New Roman" w:hAnsi="Times New Roman"/>
                <w:b/>
                <w:iCs/>
                <w:sz w:val="23"/>
                <w:szCs w:val="23"/>
                <w:lang w:val="ro-RO"/>
              </w:rPr>
              <w:t>4. Analiza impactului de reglementare</w:t>
            </w:r>
          </w:p>
        </w:tc>
      </w:tr>
      <w:tr w:rsidR="00FB7AF5" w:rsidRPr="00430045" w:rsidTr="00BF6007">
        <w:trPr>
          <w:trHeight w:val="180"/>
        </w:trPr>
        <w:tc>
          <w:tcPr>
            <w:tcW w:w="5000" w:type="pct"/>
            <w:shd w:val="clear" w:color="auto" w:fill="F2F2F2" w:themeFill="background1" w:themeFillShade="F2"/>
          </w:tcPr>
          <w:p w:rsidR="00FB7AF5" w:rsidRPr="00430045" w:rsidRDefault="00FB7AF5" w:rsidP="005E0679">
            <w:pPr>
              <w:tabs>
                <w:tab w:val="left" w:pos="884"/>
                <w:tab w:val="left" w:pos="1196"/>
              </w:tabs>
              <w:spacing w:after="0"/>
              <w:ind w:firstLine="851"/>
              <w:jc w:val="both"/>
              <w:rPr>
                <w:rFonts w:ascii="Times New Roman" w:hAnsi="Times New Roman"/>
                <w:bCs/>
                <w:iCs/>
                <w:sz w:val="23"/>
                <w:szCs w:val="23"/>
                <w:lang w:val="ro-RO"/>
              </w:rPr>
            </w:pPr>
            <w:r w:rsidRPr="00430045">
              <w:rPr>
                <w:rFonts w:ascii="Times New Roman" w:hAnsi="Times New Roman"/>
                <w:b/>
                <w:iCs/>
                <w:sz w:val="23"/>
                <w:szCs w:val="23"/>
                <w:lang w:val="ro-RO"/>
              </w:rPr>
              <w:t>4.1.</w:t>
            </w:r>
            <w:r w:rsidRPr="00430045">
              <w:rPr>
                <w:rFonts w:ascii="Times New Roman" w:hAnsi="Times New Roman"/>
                <w:bCs/>
                <w:iCs/>
                <w:sz w:val="23"/>
                <w:szCs w:val="23"/>
                <w:lang w:val="ro-RO"/>
              </w:rPr>
              <w:t xml:space="preserve"> Impactul asupra sectorului public</w:t>
            </w:r>
          </w:p>
        </w:tc>
      </w:tr>
      <w:tr w:rsidR="00FB7AF5" w:rsidRPr="00F21FAC" w:rsidTr="002D7D59">
        <w:trPr>
          <w:trHeight w:val="1230"/>
        </w:trPr>
        <w:tc>
          <w:tcPr>
            <w:tcW w:w="5000" w:type="pct"/>
          </w:tcPr>
          <w:p w:rsidR="002D7D59" w:rsidRPr="00430045" w:rsidRDefault="005800CD" w:rsidP="005E0679">
            <w:pPr>
              <w:spacing w:after="0"/>
              <w:ind w:firstLine="851"/>
              <w:jc w:val="both"/>
              <w:rPr>
                <w:rFonts w:ascii="Times New Roman" w:hAnsi="Times New Roman"/>
                <w:sz w:val="23"/>
                <w:szCs w:val="23"/>
                <w:lang w:val="en-US"/>
              </w:rPr>
            </w:pPr>
            <w:r w:rsidRPr="00430045">
              <w:rPr>
                <w:rFonts w:ascii="Times New Roman" w:hAnsi="Times New Roman"/>
                <w:sz w:val="23"/>
                <w:szCs w:val="23"/>
                <w:lang w:val="ro-MD"/>
              </w:rPr>
              <w:t>Pe termen lung, plafonarea acordării burselor pe categorii și acordarea acestora în baza performanțelor academice ar contribui la crearea unui mediu academic mai competitiv și mai dinamic. Acest lucru ar putea atrage și reține talentele în sistemul de învățământ superior, contribuind la formarea unei forțe de muncă înalt calificate și la dezvoltarea societății în ansamblul său.</w:t>
            </w:r>
          </w:p>
        </w:tc>
      </w:tr>
      <w:tr w:rsidR="00043F21" w:rsidRPr="00F21FAC" w:rsidTr="00577F02">
        <w:trPr>
          <w:trHeight w:val="105"/>
        </w:trPr>
        <w:tc>
          <w:tcPr>
            <w:tcW w:w="5000" w:type="pct"/>
          </w:tcPr>
          <w:p w:rsidR="00043F21" w:rsidRPr="00430045" w:rsidRDefault="00043F21" w:rsidP="005E0679">
            <w:pPr>
              <w:spacing w:after="0"/>
              <w:ind w:firstLine="851"/>
              <w:jc w:val="both"/>
              <w:rPr>
                <w:rFonts w:ascii="Times New Roman" w:hAnsi="Times New Roman"/>
                <w:sz w:val="23"/>
                <w:szCs w:val="23"/>
                <w:lang w:val="ro-RO"/>
              </w:rPr>
            </w:pPr>
            <w:r w:rsidRPr="00430045">
              <w:rPr>
                <w:rFonts w:ascii="Times New Roman" w:eastAsia="Times New Roman" w:hAnsi="Times New Roman"/>
                <w:b/>
                <w:bCs/>
                <w:sz w:val="23"/>
                <w:szCs w:val="23"/>
                <w:lang w:val="ro-RO" w:eastAsia="en-US"/>
              </w:rPr>
              <w:t>4.2.</w:t>
            </w:r>
            <w:r w:rsidRPr="00430045">
              <w:rPr>
                <w:rFonts w:ascii="Times New Roman" w:eastAsia="Times New Roman" w:hAnsi="Times New Roman"/>
                <w:sz w:val="23"/>
                <w:szCs w:val="23"/>
                <w:lang w:val="ro-RO" w:eastAsia="en-US"/>
              </w:rPr>
              <w:t xml:space="preserve"> Impactul financiar și argumentarea costurilor estimative</w:t>
            </w:r>
          </w:p>
        </w:tc>
      </w:tr>
      <w:tr w:rsidR="00043F21" w:rsidRPr="00F21FAC" w:rsidTr="002D7D59">
        <w:trPr>
          <w:trHeight w:val="255"/>
        </w:trPr>
        <w:tc>
          <w:tcPr>
            <w:tcW w:w="5000" w:type="pct"/>
          </w:tcPr>
          <w:p w:rsidR="00985F81" w:rsidRPr="00430045" w:rsidRDefault="00EF344C" w:rsidP="00F74E1A">
            <w:pPr>
              <w:spacing w:after="0"/>
              <w:ind w:firstLine="851"/>
              <w:jc w:val="both"/>
              <w:rPr>
                <w:rFonts w:ascii="Times New Roman" w:hAnsi="Times New Roman"/>
                <w:bCs/>
                <w:sz w:val="23"/>
                <w:szCs w:val="23"/>
                <w:lang w:val="ro-RO"/>
              </w:rPr>
            </w:pPr>
            <w:r w:rsidRPr="00430045">
              <w:rPr>
                <w:rFonts w:ascii="Times New Roman" w:hAnsi="Times New Roman"/>
                <w:bCs/>
                <w:sz w:val="23"/>
                <w:szCs w:val="23"/>
                <w:lang w:val="ro-MD"/>
              </w:rPr>
              <w:t>Toate tipurile de burse</w:t>
            </w:r>
            <w:r w:rsidR="008452EB" w:rsidRPr="00430045">
              <w:rPr>
                <w:rFonts w:ascii="Times New Roman" w:hAnsi="Times New Roman"/>
                <w:bCs/>
                <w:sz w:val="23"/>
                <w:szCs w:val="23"/>
                <w:lang w:val="ro-MD"/>
              </w:rPr>
              <w:t>, inclusiv, acele de merit,</w:t>
            </w:r>
            <w:r w:rsidRPr="00430045">
              <w:rPr>
                <w:rFonts w:ascii="Times New Roman" w:hAnsi="Times New Roman"/>
                <w:bCs/>
                <w:sz w:val="23"/>
                <w:szCs w:val="23"/>
                <w:lang w:val="ro-MD"/>
              </w:rPr>
              <w:t xml:space="preserve"> </w:t>
            </w:r>
            <w:r w:rsidR="00260BFE" w:rsidRPr="00430045">
              <w:rPr>
                <w:rFonts w:ascii="Times New Roman" w:hAnsi="Times New Roman"/>
                <w:bCs/>
                <w:sz w:val="23"/>
                <w:szCs w:val="23"/>
                <w:lang w:val="ro-RO"/>
              </w:rPr>
              <w:t>sunt</w:t>
            </w:r>
            <w:r w:rsidR="0014200A" w:rsidRPr="00430045">
              <w:rPr>
                <w:rFonts w:ascii="Times New Roman" w:hAnsi="Times New Roman"/>
                <w:bCs/>
                <w:sz w:val="23"/>
                <w:szCs w:val="23"/>
                <w:lang w:val="ro-RO"/>
              </w:rPr>
              <w:t xml:space="preserve"> </w:t>
            </w:r>
            <w:r w:rsidR="005F11F1" w:rsidRPr="00430045">
              <w:rPr>
                <w:rFonts w:ascii="Times New Roman" w:hAnsi="Times New Roman"/>
                <w:bCs/>
                <w:sz w:val="23"/>
                <w:szCs w:val="23"/>
                <w:lang w:val="ro-RO"/>
              </w:rPr>
              <w:t>finanțate</w:t>
            </w:r>
            <w:r w:rsidR="0014200A" w:rsidRPr="00430045">
              <w:rPr>
                <w:rFonts w:ascii="Times New Roman" w:hAnsi="Times New Roman"/>
                <w:bCs/>
                <w:sz w:val="23"/>
                <w:szCs w:val="23"/>
                <w:lang w:val="ro-RO"/>
              </w:rPr>
              <w:t xml:space="preserve"> în limita bugetelor aprobate anual, </w:t>
            </w:r>
            <w:r w:rsidR="008452EB" w:rsidRPr="00430045">
              <w:rPr>
                <w:rFonts w:ascii="Times New Roman" w:hAnsi="Times New Roman"/>
                <w:bCs/>
                <w:sz w:val="23"/>
                <w:szCs w:val="23"/>
                <w:lang w:val="ro-RO"/>
              </w:rPr>
              <w:t xml:space="preserve">la </w:t>
            </w:r>
            <w:r w:rsidR="0014200A" w:rsidRPr="00430045">
              <w:rPr>
                <w:rFonts w:ascii="Times New Roman" w:hAnsi="Times New Roman"/>
                <w:bCs/>
                <w:i/>
                <w:sz w:val="23"/>
                <w:szCs w:val="23"/>
                <w:lang w:val="ro-RO"/>
              </w:rPr>
              <w:t>Program</w:t>
            </w:r>
            <w:r w:rsidR="008452EB" w:rsidRPr="00430045">
              <w:rPr>
                <w:rFonts w:ascii="Times New Roman" w:hAnsi="Times New Roman"/>
                <w:bCs/>
                <w:i/>
                <w:sz w:val="23"/>
                <w:szCs w:val="23"/>
                <w:lang w:val="ro-RO"/>
              </w:rPr>
              <w:t>ul</w:t>
            </w:r>
            <w:r w:rsidR="0014200A" w:rsidRPr="00430045">
              <w:rPr>
                <w:rFonts w:ascii="Times New Roman" w:hAnsi="Times New Roman"/>
                <w:bCs/>
                <w:i/>
                <w:sz w:val="23"/>
                <w:szCs w:val="23"/>
                <w:lang w:val="ro-RO"/>
              </w:rPr>
              <w:t>/Subprogram</w:t>
            </w:r>
            <w:r w:rsidR="008452EB" w:rsidRPr="00430045">
              <w:rPr>
                <w:rFonts w:ascii="Times New Roman" w:hAnsi="Times New Roman"/>
                <w:bCs/>
                <w:i/>
                <w:sz w:val="23"/>
                <w:szCs w:val="23"/>
                <w:lang w:val="ro-RO"/>
              </w:rPr>
              <w:t>ul</w:t>
            </w:r>
            <w:r w:rsidR="0014200A" w:rsidRPr="00430045">
              <w:rPr>
                <w:rFonts w:ascii="Times New Roman" w:hAnsi="Times New Roman"/>
                <w:bCs/>
                <w:i/>
                <w:sz w:val="23"/>
                <w:szCs w:val="23"/>
                <w:lang w:val="ro-RO"/>
              </w:rPr>
              <w:t xml:space="preserve"> 8810 Învățământ superior</w:t>
            </w:r>
            <w:r w:rsidR="008452EB" w:rsidRPr="00430045">
              <w:rPr>
                <w:rFonts w:ascii="Times New Roman" w:hAnsi="Times New Roman"/>
                <w:bCs/>
                <w:i/>
                <w:sz w:val="23"/>
                <w:szCs w:val="23"/>
                <w:lang w:val="ro-RO"/>
              </w:rPr>
              <w:t xml:space="preserve">, </w:t>
            </w:r>
            <w:r w:rsidR="00F74E1A" w:rsidRPr="00430045">
              <w:rPr>
                <w:rFonts w:ascii="Times New Roman" w:hAnsi="Times New Roman"/>
                <w:bCs/>
                <w:i/>
                <w:sz w:val="23"/>
                <w:szCs w:val="23"/>
                <w:lang w:val="ro-RO"/>
              </w:rPr>
              <w:t xml:space="preserve">Programul/Subprogramul 8808 Învățământ profesional tehnic secundar, </w:t>
            </w:r>
            <w:r w:rsidR="008452EB" w:rsidRPr="00430045">
              <w:rPr>
                <w:rFonts w:ascii="Times New Roman" w:hAnsi="Times New Roman"/>
                <w:bCs/>
                <w:i/>
                <w:sz w:val="23"/>
                <w:szCs w:val="23"/>
                <w:lang w:val="ro-RO"/>
              </w:rPr>
              <w:t xml:space="preserve">Programul/Subprogramul 8809 Învățământ profesional tehnic </w:t>
            </w:r>
            <w:proofErr w:type="spellStart"/>
            <w:r w:rsidR="008452EB" w:rsidRPr="00430045">
              <w:rPr>
                <w:rFonts w:ascii="Times New Roman" w:hAnsi="Times New Roman"/>
                <w:bCs/>
                <w:i/>
                <w:sz w:val="23"/>
                <w:szCs w:val="23"/>
                <w:lang w:val="ro-RO"/>
              </w:rPr>
              <w:t>postsecundar</w:t>
            </w:r>
            <w:proofErr w:type="spellEnd"/>
            <w:r w:rsidR="008452EB" w:rsidRPr="00430045">
              <w:rPr>
                <w:rFonts w:ascii="Times New Roman" w:hAnsi="Times New Roman"/>
                <w:bCs/>
                <w:i/>
                <w:sz w:val="23"/>
                <w:szCs w:val="23"/>
                <w:lang w:val="ro-RO"/>
              </w:rPr>
              <w:t>, Programul/Subprogramul 8811 Învățământ superior postuniversitar,</w:t>
            </w:r>
            <w:r w:rsidR="008452EB" w:rsidRPr="00430045">
              <w:rPr>
                <w:rFonts w:ascii="Times New Roman" w:hAnsi="Times New Roman"/>
                <w:bCs/>
                <w:iCs/>
                <w:sz w:val="23"/>
                <w:szCs w:val="23"/>
                <w:lang w:val="ro-RO"/>
              </w:rPr>
              <w:t xml:space="preserve"> conform bugetelor aprobate</w:t>
            </w:r>
            <w:r w:rsidR="00655FCF" w:rsidRPr="00430045">
              <w:rPr>
                <w:rFonts w:ascii="Times New Roman" w:hAnsi="Times New Roman"/>
                <w:bCs/>
                <w:iCs/>
                <w:sz w:val="23"/>
                <w:szCs w:val="23"/>
                <w:lang w:val="ro-RO"/>
              </w:rPr>
              <w:t xml:space="preserve"> în acest scop</w:t>
            </w:r>
            <w:r w:rsidR="008452EB" w:rsidRPr="00430045">
              <w:rPr>
                <w:rFonts w:ascii="Times New Roman" w:hAnsi="Times New Roman"/>
                <w:bCs/>
                <w:iCs/>
                <w:sz w:val="23"/>
                <w:szCs w:val="23"/>
                <w:lang w:val="ro-RO"/>
              </w:rPr>
              <w:t xml:space="preserve"> pentru</w:t>
            </w:r>
            <w:r w:rsidR="008452EB" w:rsidRPr="00430045">
              <w:rPr>
                <w:rFonts w:ascii="Times New Roman" w:hAnsi="Times New Roman"/>
                <w:bCs/>
                <w:i/>
                <w:sz w:val="23"/>
                <w:szCs w:val="23"/>
                <w:lang w:val="ro-RO"/>
              </w:rPr>
              <w:t xml:space="preserve"> </w:t>
            </w:r>
            <w:r w:rsidR="0014200A" w:rsidRPr="00430045">
              <w:rPr>
                <w:rFonts w:ascii="Times New Roman" w:hAnsi="Times New Roman"/>
                <w:bCs/>
                <w:sz w:val="23"/>
                <w:szCs w:val="23"/>
                <w:lang w:val="ro-RO"/>
              </w:rPr>
              <w:t>anul financiar</w:t>
            </w:r>
            <w:r w:rsidR="008452EB" w:rsidRPr="00430045">
              <w:rPr>
                <w:rFonts w:ascii="Times New Roman" w:hAnsi="Times New Roman"/>
                <w:bCs/>
                <w:sz w:val="23"/>
                <w:szCs w:val="23"/>
                <w:lang w:val="ro-RO"/>
              </w:rPr>
              <w:t xml:space="preserve"> respectiv</w:t>
            </w:r>
            <w:r w:rsidR="00F74E1A" w:rsidRPr="00430045">
              <w:rPr>
                <w:rFonts w:ascii="Times New Roman" w:hAnsi="Times New Roman"/>
                <w:bCs/>
                <w:sz w:val="23"/>
                <w:szCs w:val="23"/>
                <w:lang w:val="ro-RO"/>
              </w:rPr>
              <w:t xml:space="preserve">. </w:t>
            </w:r>
          </w:p>
          <w:p w:rsidR="00043F21" w:rsidRPr="00430045" w:rsidRDefault="00F74E1A" w:rsidP="00F74E1A">
            <w:pPr>
              <w:spacing w:after="0"/>
              <w:ind w:firstLine="851"/>
              <w:jc w:val="both"/>
              <w:rPr>
                <w:rFonts w:ascii="Times New Roman" w:eastAsia="Times New Roman" w:hAnsi="Times New Roman"/>
                <w:sz w:val="23"/>
                <w:szCs w:val="23"/>
                <w:lang w:val="ro-RO" w:eastAsia="en-US"/>
              </w:rPr>
            </w:pPr>
            <w:r w:rsidRPr="00430045">
              <w:rPr>
                <w:rFonts w:ascii="Times New Roman" w:hAnsi="Times New Roman"/>
                <w:bCs/>
                <w:sz w:val="23"/>
                <w:szCs w:val="23"/>
                <w:lang w:val="ro-RO"/>
              </w:rPr>
              <w:t>Astfel, pentru anul 2026, sunt planificate în bugetul de stat</w:t>
            </w:r>
            <w:r w:rsidR="0019057B" w:rsidRPr="00430045">
              <w:rPr>
                <w:rFonts w:ascii="Times New Roman" w:hAnsi="Times New Roman"/>
                <w:bCs/>
                <w:sz w:val="23"/>
                <w:szCs w:val="23"/>
                <w:lang w:val="ro-RO"/>
              </w:rPr>
              <w:t xml:space="preserve">, </w:t>
            </w:r>
            <w:r w:rsidR="00985F81" w:rsidRPr="00430045">
              <w:rPr>
                <w:rFonts w:ascii="Times New Roman" w:hAnsi="Times New Roman"/>
                <w:bCs/>
                <w:sz w:val="23"/>
                <w:szCs w:val="23"/>
                <w:lang w:val="ro-RO"/>
              </w:rPr>
              <w:t xml:space="preserve">pentru </w:t>
            </w:r>
            <w:r w:rsidR="00985F81" w:rsidRPr="00430045">
              <w:rPr>
                <w:rFonts w:ascii="Times New Roman" w:hAnsi="Times New Roman"/>
                <w:b/>
                <w:sz w:val="23"/>
                <w:szCs w:val="23"/>
                <w:lang w:val="ro-RO"/>
              </w:rPr>
              <w:t xml:space="preserve">asigurarea cu burse, </w:t>
            </w:r>
            <w:r w:rsidR="00985F81" w:rsidRPr="00430045">
              <w:rPr>
                <w:rFonts w:ascii="Times New Roman" w:hAnsi="Times New Roman"/>
                <w:bCs/>
                <w:sz w:val="23"/>
                <w:szCs w:val="23"/>
                <w:lang w:val="ro-RO"/>
              </w:rPr>
              <w:t xml:space="preserve">inclusiv, burse de merit, a elevilor din învățământul profesional tehnic secundar – 76 765,9 mii lei; a elevilor din instituțiile profesional tehnic </w:t>
            </w:r>
            <w:proofErr w:type="spellStart"/>
            <w:r w:rsidR="00985F81" w:rsidRPr="00430045">
              <w:rPr>
                <w:rFonts w:ascii="Times New Roman" w:hAnsi="Times New Roman"/>
                <w:bCs/>
                <w:sz w:val="23"/>
                <w:szCs w:val="23"/>
                <w:lang w:val="ro-RO"/>
              </w:rPr>
              <w:t>postsecundar</w:t>
            </w:r>
            <w:proofErr w:type="spellEnd"/>
            <w:r w:rsidR="00985F81" w:rsidRPr="00430045">
              <w:rPr>
                <w:rFonts w:ascii="Times New Roman" w:hAnsi="Times New Roman"/>
                <w:bCs/>
                <w:sz w:val="23"/>
                <w:szCs w:val="23"/>
                <w:lang w:val="ro-RO"/>
              </w:rPr>
              <w:t xml:space="preserve"> </w:t>
            </w:r>
            <w:r w:rsidR="00802302" w:rsidRPr="00430045">
              <w:rPr>
                <w:rFonts w:ascii="Times New Roman" w:hAnsi="Times New Roman"/>
                <w:bCs/>
                <w:sz w:val="23"/>
                <w:szCs w:val="23"/>
                <w:lang w:val="ro-RO"/>
              </w:rPr>
              <w:t>–</w:t>
            </w:r>
            <w:r w:rsidR="00985F81" w:rsidRPr="00430045">
              <w:rPr>
                <w:rFonts w:ascii="Times New Roman" w:hAnsi="Times New Roman"/>
                <w:bCs/>
                <w:sz w:val="23"/>
                <w:szCs w:val="23"/>
                <w:lang w:val="ro-RO"/>
              </w:rPr>
              <w:t xml:space="preserve"> </w:t>
            </w:r>
            <w:r w:rsidR="00802302" w:rsidRPr="00430045">
              <w:rPr>
                <w:rFonts w:ascii="Times New Roman" w:hAnsi="Times New Roman"/>
                <w:bCs/>
                <w:sz w:val="23"/>
                <w:szCs w:val="23"/>
                <w:lang w:val="ro-RO"/>
              </w:rPr>
              <w:t>101 507,1 mii lei; a studenților din instituțiile de învățământ superior(ciclu</w:t>
            </w:r>
            <w:r w:rsidR="00F21FAC">
              <w:rPr>
                <w:rFonts w:ascii="Times New Roman" w:hAnsi="Times New Roman"/>
                <w:bCs/>
                <w:sz w:val="23"/>
                <w:szCs w:val="23"/>
                <w:lang w:val="ro-RO"/>
              </w:rPr>
              <w:t>l</w:t>
            </w:r>
            <w:r w:rsidR="00802302" w:rsidRPr="00430045">
              <w:rPr>
                <w:rFonts w:ascii="Times New Roman" w:hAnsi="Times New Roman"/>
                <w:bCs/>
                <w:sz w:val="23"/>
                <w:szCs w:val="23"/>
                <w:lang w:val="ro-RO"/>
              </w:rPr>
              <w:t xml:space="preserve"> I, II,III) – 215 408,0 mii lei; a rezidenților și medicilor secundari clinici din instituțiile de învățământ superior postuniversitar – 36 750,9 mii lei.</w:t>
            </w:r>
          </w:p>
        </w:tc>
      </w:tr>
      <w:tr w:rsidR="002D7D59" w:rsidRPr="00430045" w:rsidTr="00E77121">
        <w:trPr>
          <w:trHeight w:val="270"/>
        </w:trPr>
        <w:tc>
          <w:tcPr>
            <w:tcW w:w="5000" w:type="pct"/>
          </w:tcPr>
          <w:p w:rsidR="002D7D59" w:rsidRPr="00430045" w:rsidRDefault="00043F21" w:rsidP="005E0679">
            <w:pPr>
              <w:spacing w:after="0"/>
              <w:ind w:firstLine="851"/>
              <w:jc w:val="both"/>
              <w:rPr>
                <w:rFonts w:ascii="Times New Roman" w:hAnsi="Times New Roman"/>
                <w:sz w:val="23"/>
                <w:szCs w:val="23"/>
                <w:lang w:val="ro-RO"/>
              </w:rPr>
            </w:pPr>
            <w:r w:rsidRPr="00430045">
              <w:rPr>
                <w:rFonts w:ascii="Times New Roman" w:hAnsi="Times New Roman"/>
                <w:b/>
                <w:bCs/>
                <w:sz w:val="23"/>
                <w:szCs w:val="23"/>
                <w:lang w:val="ro-RO"/>
              </w:rPr>
              <w:t>4.3.</w:t>
            </w:r>
            <w:r w:rsidRPr="00430045">
              <w:rPr>
                <w:rFonts w:ascii="Times New Roman" w:hAnsi="Times New Roman"/>
                <w:sz w:val="23"/>
                <w:szCs w:val="23"/>
                <w:lang w:val="ro-RO"/>
              </w:rPr>
              <w:t xml:space="preserve"> Impactul asupra sectorului privat</w:t>
            </w:r>
          </w:p>
        </w:tc>
      </w:tr>
      <w:tr w:rsidR="002D7D59" w:rsidRPr="00F21FAC" w:rsidTr="00E77121">
        <w:tc>
          <w:tcPr>
            <w:tcW w:w="5000" w:type="pct"/>
          </w:tcPr>
          <w:p w:rsidR="002D7D59" w:rsidRPr="00430045" w:rsidRDefault="00043F21" w:rsidP="005E0679">
            <w:pPr>
              <w:tabs>
                <w:tab w:val="left" w:pos="884"/>
                <w:tab w:val="left" w:pos="1196"/>
              </w:tabs>
              <w:spacing w:after="0"/>
              <w:ind w:firstLine="851"/>
              <w:jc w:val="both"/>
              <w:rPr>
                <w:rFonts w:ascii="Times New Roman" w:hAnsi="Times New Roman"/>
                <w:sz w:val="23"/>
                <w:szCs w:val="23"/>
                <w:lang w:val="ro-MD"/>
              </w:rPr>
            </w:pPr>
            <w:r w:rsidRPr="00430045">
              <w:rPr>
                <w:rFonts w:ascii="Times New Roman" w:hAnsi="Times New Roman"/>
                <w:sz w:val="23"/>
                <w:szCs w:val="23"/>
                <w:lang w:val="ro-MD"/>
              </w:rPr>
              <w:t xml:space="preserve"> Acțiuni de impact suplimentare nu există.</w:t>
            </w:r>
          </w:p>
        </w:tc>
      </w:tr>
      <w:tr w:rsidR="00B660FD" w:rsidRPr="00430045" w:rsidTr="005263C2">
        <w:trPr>
          <w:trHeight w:val="165"/>
        </w:trPr>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4.4.</w:t>
            </w:r>
            <w:r w:rsidRPr="00430045">
              <w:rPr>
                <w:rFonts w:ascii="Times New Roman" w:hAnsi="Times New Roman"/>
                <w:sz w:val="23"/>
                <w:szCs w:val="23"/>
                <w:lang w:val="ro-MD"/>
              </w:rPr>
              <w:t xml:space="preserve"> Impactul social</w:t>
            </w:r>
          </w:p>
        </w:tc>
      </w:tr>
      <w:tr w:rsidR="00B660FD" w:rsidRPr="00F21FAC" w:rsidTr="005263C2">
        <w:trPr>
          <w:trHeight w:val="180"/>
        </w:trPr>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4.4.1.</w:t>
            </w:r>
            <w:r w:rsidRPr="00430045">
              <w:rPr>
                <w:rFonts w:ascii="Times New Roman" w:hAnsi="Times New Roman"/>
                <w:sz w:val="23"/>
                <w:szCs w:val="23"/>
                <w:lang w:val="ro-MD"/>
              </w:rPr>
              <w:t xml:space="preserve"> Impactul asupra datelor cu caracter personal</w:t>
            </w:r>
          </w:p>
        </w:tc>
      </w:tr>
      <w:tr w:rsidR="00B660FD" w:rsidRPr="00F21FAC" w:rsidTr="005263C2">
        <w:trPr>
          <w:trHeight w:val="195"/>
        </w:trPr>
        <w:tc>
          <w:tcPr>
            <w:tcW w:w="5000" w:type="pct"/>
            <w:shd w:val="clear" w:color="auto" w:fill="FFFFFF" w:themeFill="background1"/>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sz w:val="23"/>
                <w:szCs w:val="23"/>
                <w:lang w:val="ro-MD"/>
              </w:rPr>
              <w:t>Proiectul asigură protecția datelor cu caracter personal.</w:t>
            </w:r>
          </w:p>
        </w:tc>
      </w:tr>
      <w:tr w:rsidR="00B660FD" w:rsidRPr="00F21FAC" w:rsidTr="005263C2">
        <w:trPr>
          <w:trHeight w:val="122"/>
        </w:trPr>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4.4.2.</w:t>
            </w:r>
            <w:r w:rsidRPr="00430045">
              <w:rPr>
                <w:rFonts w:ascii="Times New Roman" w:hAnsi="Times New Roman"/>
                <w:sz w:val="23"/>
                <w:szCs w:val="23"/>
                <w:lang w:val="ro-MD"/>
              </w:rPr>
              <w:t xml:space="preserve"> Impactul asupra echității și egalității de gen</w:t>
            </w:r>
          </w:p>
        </w:tc>
      </w:tr>
      <w:tr w:rsidR="00B660FD" w:rsidRPr="00F21FAC" w:rsidTr="00B660FD">
        <w:trPr>
          <w:trHeight w:val="150"/>
        </w:trPr>
        <w:tc>
          <w:tcPr>
            <w:tcW w:w="5000" w:type="pct"/>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sz w:val="23"/>
                <w:szCs w:val="23"/>
                <w:lang w:val="ro-MD"/>
              </w:rPr>
              <w:t xml:space="preserve">Proiectul nu prezintă riscuri de discriminare după criterii de gen, apartenență etnică etc. </w:t>
            </w:r>
          </w:p>
        </w:tc>
      </w:tr>
      <w:tr w:rsidR="00B660FD" w:rsidRPr="00430045" w:rsidTr="005263C2">
        <w:trPr>
          <w:trHeight w:val="165"/>
        </w:trPr>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4.5.</w:t>
            </w:r>
            <w:r w:rsidRPr="00430045">
              <w:rPr>
                <w:rFonts w:ascii="Times New Roman" w:hAnsi="Times New Roman"/>
                <w:sz w:val="23"/>
                <w:szCs w:val="23"/>
                <w:lang w:val="ro-MD"/>
              </w:rPr>
              <w:t xml:space="preserve"> Impactul asupra mediului</w:t>
            </w:r>
          </w:p>
        </w:tc>
      </w:tr>
      <w:tr w:rsidR="00B660FD" w:rsidRPr="00F21FAC" w:rsidTr="005263C2">
        <w:trPr>
          <w:trHeight w:val="137"/>
        </w:trPr>
        <w:tc>
          <w:tcPr>
            <w:tcW w:w="5000" w:type="pct"/>
            <w:shd w:val="clear" w:color="auto" w:fill="FFFFFF" w:themeFill="background1"/>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sz w:val="23"/>
                <w:szCs w:val="23"/>
                <w:lang w:val="ro-MD"/>
              </w:rPr>
              <w:t>Proiectul nu are impact asupra mediului.</w:t>
            </w:r>
          </w:p>
        </w:tc>
      </w:tr>
      <w:tr w:rsidR="00B660FD" w:rsidRPr="00F21FAC" w:rsidTr="005263C2">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4.6.</w:t>
            </w:r>
            <w:r w:rsidRPr="00430045">
              <w:rPr>
                <w:rFonts w:ascii="Times New Roman" w:hAnsi="Times New Roman"/>
                <w:sz w:val="23"/>
                <w:szCs w:val="23"/>
                <w:lang w:val="ro-MD"/>
              </w:rPr>
              <w:t xml:space="preserve"> Alte impacturi și informații relevante</w:t>
            </w:r>
          </w:p>
        </w:tc>
      </w:tr>
      <w:tr w:rsidR="00B660FD" w:rsidRPr="00F21FAC" w:rsidTr="005263C2">
        <w:tc>
          <w:tcPr>
            <w:tcW w:w="5000" w:type="pct"/>
            <w:shd w:val="clear" w:color="auto" w:fill="FFFFFF" w:themeFill="background1"/>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sz w:val="23"/>
                <w:szCs w:val="23"/>
                <w:lang w:val="ro-MD"/>
              </w:rPr>
              <w:t>Proiectul nu are impacturi și informații relevante.</w:t>
            </w:r>
          </w:p>
        </w:tc>
      </w:tr>
      <w:tr w:rsidR="00B660FD" w:rsidRPr="00F21FAC" w:rsidTr="005263C2">
        <w:tc>
          <w:tcPr>
            <w:tcW w:w="5000" w:type="pct"/>
            <w:shd w:val="clear" w:color="auto" w:fill="BFBFBF" w:themeFill="background1" w:themeFillShade="BF"/>
          </w:tcPr>
          <w:p w:rsidR="00B660FD" w:rsidRPr="00430045" w:rsidRDefault="00B660FD" w:rsidP="005E0679">
            <w:pPr>
              <w:tabs>
                <w:tab w:val="left" w:pos="884"/>
                <w:tab w:val="left" w:pos="1196"/>
              </w:tabs>
              <w:spacing w:after="0"/>
              <w:ind w:firstLine="851"/>
              <w:jc w:val="both"/>
              <w:rPr>
                <w:rFonts w:ascii="Times New Roman" w:hAnsi="Times New Roman"/>
                <w:b/>
                <w:iCs/>
                <w:sz w:val="23"/>
                <w:szCs w:val="23"/>
                <w:lang w:val="ro-MD"/>
              </w:rPr>
            </w:pPr>
            <w:r w:rsidRPr="00430045">
              <w:rPr>
                <w:rFonts w:ascii="Times New Roman" w:hAnsi="Times New Roman"/>
                <w:b/>
                <w:iCs/>
                <w:sz w:val="23"/>
                <w:szCs w:val="23"/>
                <w:lang w:val="ro-MD"/>
              </w:rPr>
              <w:t>5. Compatibilitatea proiectului actului normativ cu legislația UE</w:t>
            </w:r>
            <w:r w:rsidRPr="00430045" w:rsidDel="003F742C">
              <w:rPr>
                <w:rFonts w:ascii="Times New Roman" w:hAnsi="Times New Roman"/>
                <w:b/>
                <w:iCs/>
                <w:sz w:val="23"/>
                <w:szCs w:val="23"/>
                <w:lang w:val="ro-MD"/>
              </w:rPr>
              <w:t xml:space="preserve"> </w:t>
            </w:r>
          </w:p>
        </w:tc>
      </w:tr>
      <w:tr w:rsidR="00B660FD" w:rsidRPr="00F21FAC" w:rsidTr="005263C2">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5.1.</w:t>
            </w:r>
            <w:r w:rsidRPr="00430045">
              <w:rPr>
                <w:rFonts w:ascii="Times New Roman" w:hAnsi="Times New Roman"/>
                <w:sz w:val="23"/>
                <w:szCs w:val="23"/>
                <w:lang w:val="ro-MD"/>
              </w:rPr>
              <w:t xml:space="preserve"> Măsuri normative necesare pentru transpunerea actelor juridice ale UE în legislația națională</w:t>
            </w:r>
          </w:p>
        </w:tc>
      </w:tr>
      <w:tr w:rsidR="00B660FD" w:rsidRPr="00F21FAC" w:rsidTr="00043F21">
        <w:trPr>
          <w:trHeight w:val="285"/>
        </w:trPr>
        <w:tc>
          <w:tcPr>
            <w:tcW w:w="5000" w:type="pct"/>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sz w:val="23"/>
                <w:szCs w:val="23"/>
                <w:lang w:val="ro-MD"/>
              </w:rPr>
              <w:t xml:space="preserve">Nu </w:t>
            </w:r>
            <w:r w:rsidR="00C73D30" w:rsidRPr="00430045">
              <w:rPr>
                <w:rFonts w:ascii="Times New Roman" w:hAnsi="Times New Roman"/>
                <w:sz w:val="23"/>
                <w:szCs w:val="23"/>
                <w:lang w:val="ro-MD"/>
              </w:rPr>
              <w:t>sunt necesare masuri normative suplimentare.</w:t>
            </w:r>
          </w:p>
        </w:tc>
      </w:tr>
      <w:tr w:rsidR="00B660FD" w:rsidRPr="00F21FAC" w:rsidTr="005263C2">
        <w:trPr>
          <w:trHeight w:val="210"/>
        </w:trPr>
        <w:tc>
          <w:tcPr>
            <w:tcW w:w="5000" w:type="pct"/>
            <w:shd w:val="clear" w:color="auto" w:fill="F2F2F2" w:themeFill="background1" w:themeFillShade="F2"/>
          </w:tcPr>
          <w:p w:rsidR="00B660FD" w:rsidRPr="00430045" w:rsidRDefault="00B660FD" w:rsidP="005E0679">
            <w:pPr>
              <w:spacing w:after="0"/>
              <w:ind w:firstLine="851"/>
              <w:jc w:val="both"/>
              <w:rPr>
                <w:rFonts w:ascii="Times New Roman" w:hAnsi="Times New Roman"/>
                <w:sz w:val="23"/>
                <w:szCs w:val="23"/>
                <w:lang w:val="ro-MD"/>
              </w:rPr>
            </w:pPr>
            <w:r w:rsidRPr="00430045">
              <w:rPr>
                <w:rFonts w:ascii="Times New Roman" w:hAnsi="Times New Roman"/>
                <w:b/>
                <w:bCs/>
                <w:sz w:val="23"/>
                <w:szCs w:val="23"/>
                <w:lang w:val="ro-MD"/>
              </w:rPr>
              <w:t>5.2.</w:t>
            </w:r>
            <w:r w:rsidRPr="00430045">
              <w:rPr>
                <w:rFonts w:ascii="Times New Roman" w:hAnsi="Times New Roman"/>
                <w:sz w:val="23"/>
                <w:szCs w:val="23"/>
                <w:lang w:val="ro-MD"/>
              </w:rPr>
              <w:t xml:space="preserve"> Măsuri normative care urmăresc crearea cadrului juridic intern necesar pentru implementarea legislației UE</w:t>
            </w:r>
          </w:p>
        </w:tc>
      </w:tr>
      <w:tr w:rsidR="00B660FD" w:rsidRPr="00430045" w:rsidTr="00043F21">
        <w:trPr>
          <w:trHeight w:val="225"/>
        </w:trPr>
        <w:tc>
          <w:tcPr>
            <w:tcW w:w="5000" w:type="pct"/>
          </w:tcPr>
          <w:p w:rsidR="00B660FD" w:rsidRPr="00430045" w:rsidRDefault="00655FCF" w:rsidP="005E0679">
            <w:pPr>
              <w:spacing w:after="0"/>
              <w:ind w:firstLine="851"/>
              <w:jc w:val="both"/>
              <w:rPr>
                <w:rFonts w:ascii="Times New Roman" w:hAnsi="Times New Roman"/>
                <w:sz w:val="23"/>
                <w:szCs w:val="23"/>
                <w:lang w:val="ro-MD"/>
              </w:rPr>
            </w:pPr>
            <w:r w:rsidRPr="00430045">
              <w:rPr>
                <w:rFonts w:ascii="Times New Roman" w:hAnsi="Times New Roman"/>
                <w:sz w:val="23"/>
                <w:szCs w:val="23"/>
                <w:lang w:val="ro-MD"/>
              </w:rPr>
              <w:t>Nu este aplicabil.</w:t>
            </w:r>
          </w:p>
        </w:tc>
      </w:tr>
      <w:tr w:rsidR="00B660FD" w:rsidRPr="00F21FAC" w:rsidTr="005263C2">
        <w:trPr>
          <w:trHeight w:val="19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60FD" w:rsidRPr="00430045" w:rsidRDefault="00B660FD" w:rsidP="005E0679">
            <w:pPr>
              <w:pStyle w:val="NormalWeb"/>
              <w:spacing w:before="0" w:beforeAutospacing="0" w:after="0" w:afterAutospacing="0" w:line="276" w:lineRule="auto"/>
              <w:ind w:firstLine="851"/>
              <w:jc w:val="both"/>
              <w:textAlignment w:val="baseline"/>
              <w:rPr>
                <w:b/>
                <w:sz w:val="23"/>
                <w:szCs w:val="23"/>
                <w:lang w:val="ro-MD"/>
              </w:rPr>
            </w:pPr>
            <w:r w:rsidRPr="00430045">
              <w:rPr>
                <w:b/>
                <w:sz w:val="23"/>
                <w:szCs w:val="23"/>
                <w:lang w:val="ro-MD"/>
              </w:rPr>
              <w:t>6. Avizarea și consultarea publică a proiectului actului normativ</w:t>
            </w:r>
          </w:p>
        </w:tc>
      </w:tr>
      <w:tr w:rsidR="00B660FD" w:rsidRPr="00F21FAC" w:rsidTr="0028070A">
        <w:trPr>
          <w:trHeight w:val="274"/>
        </w:trPr>
        <w:tc>
          <w:tcPr>
            <w:tcW w:w="5000" w:type="pct"/>
            <w:tcBorders>
              <w:top w:val="single" w:sz="4" w:space="0" w:color="auto"/>
              <w:left w:val="single" w:sz="4" w:space="0" w:color="auto"/>
              <w:bottom w:val="single" w:sz="4" w:space="0" w:color="auto"/>
              <w:right w:val="single" w:sz="4" w:space="0" w:color="auto"/>
            </w:tcBorders>
          </w:tcPr>
          <w:p w:rsidR="003F1844" w:rsidRPr="00430045" w:rsidRDefault="00B660FD" w:rsidP="00430045">
            <w:pPr>
              <w:pStyle w:val="NormalWeb"/>
              <w:spacing w:before="0" w:beforeAutospacing="0" w:after="0" w:afterAutospacing="0" w:line="276" w:lineRule="auto"/>
              <w:textAlignment w:val="baseline"/>
              <w:rPr>
                <w:sz w:val="23"/>
                <w:szCs w:val="23"/>
              </w:rPr>
            </w:pPr>
            <w:r w:rsidRPr="00430045">
              <w:rPr>
                <w:sz w:val="23"/>
                <w:szCs w:val="23"/>
                <w:lang w:val="ro-MD"/>
              </w:rPr>
              <w:t>Conform prevederilor Legii 239/2008 privind transparența în procesul decizional și ale Legii nr. 100/2017 cu privire la actele normative, anunțul privind inițiativa de elaborare a actului normativ menționat a fost plasat pe pagina web a Ministerului Educației și Cercetării în rubrica: Transparența decizională/</w:t>
            </w:r>
            <w:hyperlink r:id="rId6" w:history="1">
              <w:r w:rsidRPr="00430045">
                <w:rPr>
                  <w:rStyle w:val="Hyperlink"/>
                  <w:rFonts w:eastAsia="Calibri"/>
                  <w:color w:val="000000" w:themeColor="text1"/>
                  <w:sz w:val="23"/>
                  <w:szCs w:val="23"/>
                  <w:lang w:val="ro-MD"/>
                </w:rPr>
                <w:t>Anunțuri privind inițierea elaborării deciziilor</w:t>
              </w:r>
            </w:hyperlink>
            <w:r w:rsidR="00C73D30" w:rsidRPr="00430045">
              <w:rPr>
                <w:sz w:val="23"/>
                <w:szCs w:val="23"/>
                <w:lang w:val="ro-MD"/>
              </w:rPr>
              <w:t>:</w:t>
            </w:r>
            <w:r w:rsidR="00BD2E66" w:rsidRPr="00430045">
              <w:rPr>
                <w:sz w:val="23"/>
                <w:szCs w:val="23"/>
                <w:lang w:val="ro-MD"/>
              </w:rPr>
              <w:t xml:space="preserve"> </w:t>
            </w:r>
            <w:hyperlink r:id="rId7" w:history="1">
              <w:r w:rsidR="00430045" w:rsidRPr="00DC70A5">
                <w:rPr>
                  <w:rStyle w:val="Hyperlink"/>
                  <w:sz w:val="23"/>
                  <w:szCs w:val="23"/>
                </w:rPr>
                <w:t>https://particip.gov.md/ro/document/stages/*/14556</w:t>
              </w:r>
            </w:hyperlink>
            <w:r w:rsidR="00AA58B6" w:rsidRPr="00430045">
              <w:rPr>
                <w:sz w:val="23"/>
                <w:szCs w:val="23"/>
              </w:rPr>
              <w:t xml:space="preserve"> </w:t>
            </w:r>
          </w:p>
        </w:tc>
      </w:tr>
      <w:tr w:rsidR="00B660FD" w:rsidRPr="00430045" w:rsidTr="005263C2">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60FD" w:rsidRPr="00430045" w:rsidRDefault="00B660FD" w:rsidP="005E0679">
            <w:pPr>
              <w:pStyle w:val="NormalWeb"/>
              <w:spacing w:before="0" w:beforeAutospacing="0" w:after="0" w:afterAutospacing="0" w:line="276" w:lineRule="auto"/>
              <w:ind w:firstLine="851"/>
              <w:jc w:val="both"/>
              <w:textAlignment w:val="baseline"/>
              <w:rPr>
                <w:iCs/>
                <w:sz w:val="23"/>
                <w:szCs w:val="23"/>
                <w:lang w:val="ro-RO"/>
              </w:rPr>
            </w:pPr>
            <w:r w:rsidRPr="00430045">
              <w:rPr>
                <w:b/>
                <w:iCs/>
                <w:sz w:val="23"/>
                <w:szCs w:val="23"/>
                <w:lang w:val="ro-RO"/>
              </w:rPr>
              <w:lastRenderedPageBreak/>
              <w:t>7. Concluziile expertizelor</w:t>
            </w:r>
          </w:p>
        </w:tc>
      </w:tr>
      <w:tr w:rsidR="00B660FD" w:rsidRPr="00F21FAC" w:rsidTr="005263C2">
        <w:trPr>
          <w:trHeight w:val="180"/>
        </w:trPr>
        <w:tc>
          <w:tcPr>
            <w:tcW w:w="5000" w:type="pct"/>
            <w:tcBorders>
              <w:top w:val="single" w:sz="4" w:space="0" w:color="auto"/>
              <w:left w:val="single" w:sz="4" w:space="0" w:color="auto"/>
              <w:bottom w:val="single" w:sz="4" w:space="0" w:color="auto"/>
              <w:right w:val="single" w:sz="4" w:space="0" w:color="auto"/>
            </w:tcBorders>
          </w:tcPr>
          <w:p w:rsidR="00B013D7" w:rsidRPr="00430045" w:rsidRDefault="00B660FD" w:rsidP="00AA58B6">
            <w:pPr>
              <w:pStyle w:val="NormalWeb"/>
              <w:spacing w:before="0" w:beforeAutospacing="0" w:after="0" w:afterAutospacing="0" w:line="276" w:lineRule="auto"/>
              <w:ind w:firstLine="851"/>
              <w:jc w:val="both"/>
              <w:textAlignment w:val="baseline"/>
              <w:rPr>
                <w:sz w:val="23"/>
                <w:szCs w:val="23"/>
                <w:lang w:val="ro-RO"/>
              </w:rPr>
            </w:pPr>
            <w:r w:rsidRPr="00430045">
              <w:rPr>
                <w:sz w:val="23"/>
                <w:szCs w:val="23"/>
                <w:lang w:val="ro-RO"/>
              </w:rPr>
              <w:t>Proiectul</w:t>
            </w:r>
            <w:r w:rsidR="00626C90" w:rsidRPr="00430045">
              <w:rPr>
                <w:sz w:val="23"/>
                <w:szCs w:val="23"/>
                <w:lang w:val="ro-RO"/>
              </w:rPr>
              <w:t xml:space="preserve"> </w:t>
            </w:r>
            <w:r w:rsidR="00AA58B6" w:rsidRPr="00430045">
              <w:rPr>
                <w:sz w:val="23"/>
                <w:szCs w:val="23"/>
                <w:lang w:val="ro-RO"/>
              </w:rPr>
              <w:t>v</w:t>
            </w:r>
            <w:r w:rsidR="00626C90" w:rsidRPr="00430045">
              <w:rPr>
                <w:sz w:val="23"/>
                <w:szCs w:val="23"/>
                <w:lang w:val="ro-RO"/>
              </w:rPr>
              <w:t>a</w:t>
            </w:r>
            <w:r w:rsidRPr="00430045">
              <w:rPr>
                <w:sz w:val="23"/>
                <w:szCs w:val="23"/>
                <w:lang w:val="ro-RO"/>
              </w:rPr>
              <w:t xml:space="preserve"> f</w:t>
            </w:r>
            <w:r w:rsidR="00AA58B6" w:rsidRPr="00430045">
              <w:rPr>
                <w:sz w:val="23"/>
                <w:szCs w:val="23"/>
                <w:lang w:val="ro-RO"/>
              </w:rPr>
              <w:t>i</w:t>
            </w:r>
            <w:r w:rsidRPr="00430045">
              <w:rPr>
                <w:sz w:val="23"/>
                <w:szCs w:val="23"/>
                <w:lang w:val="ro-RO"/>
              </w:rPr>
              <w:t xml:space="preserve"> supus expertizei anticorupție și expertizei juridice.</w:t>
            </w:r>
          </w:p>
        </w:tc>
      </w:tr>
      <w:tr w:rsidR="00B660FD" w:rsidRPr="00F21FAC" w:rsidTr="005263C2">
        <w:trPr>
          <w:trHeight w:val="210"/>
        </w:trPr>
        <w:tc>
          <w:tcPr>
            <w:tcW w:w="5000" w:type="pct"/>
            <w:shd w:val="clear" w:color="auto" w:fill="BFBFBF" w:themeFill="background1" w:themeFillShade="BF"/>
          </w:tcPr>
          <w:p w:rsidR="00B660FD" w:rsidRPr="00430045" w:rsidRDefault="00B660FD" w:rsidP="005E0679">
            <w:pPr>
              <w:tabs>
                <w:tab w:val="left" w:pos="884"/>
                <w:tab w:val="left" w:pos="1196"/>
              </w:tabs>
              <w:spacing w:after="0"/>
              <w:ind w:firstLine="851"/>
              <w:jc w:val="both"/>
              <w:rPr>
                <w:rFonts w:ascii="Times New Roman" w:hAnsi="Times New Roman"/>
                <w:b/>
                <w:iCs/>
                <w:sz w:val="23"/>
                <w:szCs w:val="23"/>
                <w:lang w:val="ro-RO"/>
              </w:rPr>
            </w:pPr>
            <w:r w:rsidRPr="00430045">
              <w:rPr>
                <w:rFonts w:ascii="Times New Roman" w:hAnsi="Times New Roman"/>
                <w:b/>
                <w:iCs/>
                <w:sz w:val="23"/>
                <w:szCs w:val="23"/>
                <w:lang w:val="ro-RO"/>
              </w:rPr>
              <w:t>8. Modul de încorporare a actului în cadrul normativ existent</w:t>
            </w:r>
          </w:p>
        </w:tc>
      </w:tr>
      <w:tr w:rsidR="00B660FD" w:rsidRPr="00F21FAC" w:rsidTr="00B660FD">
        <w:trPr>
          <w:trHeight w:val="120"/>
        </w:trPr>
        <w:tc>
          <w:tcPr>
            <w:tcW w:w="5000" w:type="pct"/>
          </w:tcPr>
          <w:p w:rsidR="00B660FD" w:rsidRPr="00430045" w:rsidRDefault="00BD2E66" w:rsidP="005E0679">
            <w:pPr>
              <w:tabs>
                <w:tab w:val="left" w:pos="884"/>
                <w:tab w:val="left" w:pos="1196"/>
              </w:tabs>
              <w:spacing w:after="0"/>
              <w:ind w:firstLine="851"/>
              <w:jc w:val="both"/>
              <w:rPr>
                <w:rFonts w:ascii="Times New Roman" w:hAnsi="Times New Roman"/>
                <w:sz w:val="23"/>
                <w:szCs w:val="23"/>
                <w:lang w:val="ro-RO"/>
              </w:rPr>
            </w:pPr>
            <w:r w:rsidRPr="00430045">
              <w:rPr>
                <w:rFonts w:ascii="Times New Roman" w:hAnsi="Times New Roman"/>
                <w:sz w:val="23"/>
                <w:szCs w:val="23"/>
                <w:lang w:val="ro-RO"/>
              </w:rPr>
              <w:t>Proiectul respectiv este compatibil și respectă cadrul normativ existent.</w:t>
            </w:r>
          </w:p>
        </w:tc>
      </w:tr>
      <w:tr w:rsidR="00B660FD" w:rsidRPr="00F21FAC" w:rsidTr="005263C2">
        <w:trPr>
          <w:trHeight w:val="133"/>
        </w:trPr>
        <w:tc>
          <w:tcPr>
            <w:tcW w:w="5000" w:type="pct"/>
            <w:shd w:val="clear" w:color="auto" w:fill="BFBFBF" w:themeFill="background1" w:themeFillShade="BF"/>
          </w:tcPr>
          <w:p w:rsidR="00B660FD" w:rsidRPr="00430045" w:rsidRDefault="00B660FD" w:rsidP="005E0679">
            <w:pPr>
              <w:tabs>
                <w:tab w:val="left" w:pos="884"/>
                <w:tab w:val="left" w:pos="1196"/>
              </w:tabs>
              <w:spacing w:after="0"/>
              <w:ind w:firstLine="851"/>
              <w:jc w:val="both"/>
              <w:rPr>
                <w:rFonts w:ascii="Times New Roman" w:hAnsi="Times New Roman"/>
                <w:b/>
                <w:iCs/>
                <w:sz w:val="23"/>
                <w:szCs w:val="23"/>
                <w:lang w:val="ro-RO"/>
              </w:rPr>
            </w:pPr>
            <w:r w:rsidRPr="00430045">
              <w:rPr>
                <w:rFonts w:ascii="Times New Roman" w:hAnsi="Times New Roman"/>
                <w:b/>
                <w:iCs/>
                <w:sz w:val="23"/>
                <w:szCs w:val="23"/>
                <w:lang w:val="ro-RO"/>
              </w:rPr>
              <w:t>9. Măsuri necesare pentru implementarea prevederilor proiectului actului normativ</w:t>
            </w:r>
          </w:p>
        </w:tc>
      </w:tr>
      <w:tr w:rsidR="00B660FD" w:rsidRPr="00F21FAC" w:rsidTr="00B660FD">
        <w:trPr>
          <w:trHeight w:val="150"/>
        </w:trPr>
        <w:tc>
          <w:tcPr>
            <w:tcW w:w="5000" w:type="pct"/>
          </w:tcPr>
          <w:p w:rsidR="00B660FD" w:rsidRPr="00430045" w:rsidRDefault="00B660FD" w:rsidP="005E0679">
            <w:pPr>
              <w:tabs>
                <w:tab w:val="left" w:pos="884"/>
                <w:tab w:val="left" w:pos="1196"/>
              </w:tabs>
              <w:spacing w:after="0"/>
              <w:ind w:firstLine="851"/>
              <w:jc w:val="both"/>
              <w:rPr>
                <w:rFonts w:ascii="Times New Roman" w:hAnsi="Times New Roman"/>
                <w:sz w:val="23"/>
                <w:szCs w:val="23"/>
                <w:lang w:val="ro-RO"/>
              </w:rPr>
            </w:pPr>
            <w:r w:rsidRPr="00430045">
              <w:rPr>
                <w:rFonts w:ascii="Times New Roman" w:hAnsi="Times New Roman"/>
                <w:sz w:val="23"/>
                <w:szCs w:val="23"/>
                <w:lang w:val="ro-RO"/>
              </w:rPr>
              <w:t xml:space="preserve">Proiectul nu necesită măsuri </w:t>
            </w:r>
            <w:r w:rsidR="00BD2E66" w:rsidRPr="00430045">
              <w:rPr>
                <w:rFonts w:ascii="Times New Roman" w:hAnsi="Times New Roman"/>
                <w:sz w:val="23"/>
                <w:szCs w:val="23"/>
                <w:lang w:val="ro-RO"/>
              </w:rPr>
              <w:t xml:space="preserve">speciale </w:t>
            </w:r>
            <w:r w:rsidRPr="00430045">
              <w:rPr>
                <w:rFonts w:ascii="Times New Roman" w:hAnsi="Times New Roman"/>
                <w:sz w:val="23"/>
                <w:szCs w:val="23"/>
                <w:lang w:val="ro-RO"/>
              </w:rPr>
              <w:t xml:space="preserve">pentru a fi implementat. </w:t>
            </w:r>
          </w:p>
        </w:tc>
      </w:tr>
    </w:tbl>
    <w:p w:rsidR="009336AD" w:rsidRPr="00430045" w:rsidRDefault="009336AD" w:rsidP="005E0679">
      <w:pPr>
        <w:spacing w:after="0"/>
        <w:ind w:firstLine="851"/>
        <w:jc w:val="both"/>
        <w:rPr>
          <w:rFonts w:ascii="Times New Roman" w:hAnsi="Times New Roman"/>
          <w:b/>
          <w:color w:val="000000" w:themeColor="text1"/>
          <w:sz w:val="23"/>
          <w:szCs w:val="23"/>
          <w:lang w:val="ro-RO"/>
        </w:rPr>
      </w:pPr>
    </w:p>
    <w:p w:rsidR="00315B2F" w:rsidRPr="00430045" w:rsidRDefault="00315B2F" w:rsidP="005E0679">
      <w:pPr>
        <w:spacing w:after="0"/>
        <w:ind w:firstLine="851"/>
        <w:jc w:val="both"/>
        <w:rPr>
          <w:rFonts w:ascii="Times New Roman" w:hAnsi="Times New Roman"/>
          <w:b/>
          <w:color w:val="000000" w:themeColor="text1"/>
          <w:sz w:val="23"/>
          <w:szCs w:val="23"/>
          <w:lang w:val="ro-RO"/>
        </w:rPr>
      </w:pPr>
    </w:p>
    <w:p w:rsidR="006A0337" w:rsidRPr="00430045" w:rsidRDefault="006A0337" w:rsidP="005E0679">
      <w:pPr>
        <w:spacing w:after="0"/>
        <w:ind w:firstLine="851"/>
        <w:jc w:val="both"/>
        <w:rPr>
          <w:rFonts w:ascii="Times New Roman" w:hAnsi="Times New Roman"/>
          <w:b/>
          <w:color w:val="000000" w:themeColor="text1"/>
          <w:sz w:val="23"/>
          <w:szCs w:val="23"/>
          <w:lang w:val="ro-RO"/>
        </w:rPr>
      </w:pPr>
    </w:p>
    <w:p w:rsidR="00825EC7" w:rsidRPr="00430045" w:rsidRDefault="00BC0BDD" w:rsidP="00BD2E66">
      <w:pPr>
        <w:spacing w:after="0"/>
        <w:ind w:firstLine="851"/>
        <w:jc w:val="center"/>
        <w:rPr>
          <w:rFonts w:ascii="Times New Roman" w:hAnsi="Times New Roman"/>
          <w:b/>
          <w:color w:val="000000" w:themeColor="text1"/>
          <w:sz w:val="23"/>
          <w:szCs w:val="23"/>
          <w:lang w:val="ro-RO"/>
        </w:rPr>
      </w:pPr>
      <w:r w:rsidRPr="00430045">
        <w:rPr>
          <w:rFonts w:ascii="Times New Roman" w:hAnsi="Times New Roman"/>
          <w:b/>
          <w:color w:val="000000" w:themeColor="text1"/>
          <w:sz w:val="23"/>
          <w:szCs w:val="23"/>
          <w:lang w:val="ro-RO"/>
        </w:rPr>
        <w:t>Ministru</w:t>
      </w:r>
      <w:r w:rsidRPr="00430045">
        <w:rPr>
          <w:rFonts w:ascii="Times New Roman" w:hAnsi="Times New Roman"/>
          <w:b/>
          <w:color w:val="000000" w:themeColor="text1"/>
          <w:sz w:val="23"/>
          <w:szCs w:val="23"/>
          <w:lang w:val="ro-RO"/>
        </w:rPr>
        <w:tab/>
      </w:r>
      <w:r w:rsidRPr="00430045">
        <w:rPr>
          <w:rFonts w:ascii="Times New Roman" w:hAnsi="Times New Roman"/>
          <w:b/>
          <w:color w:val="000000" w:themeColor="text1"/>
          <w:sz w:val="23"/>
          <w:szCs w:val="23"/>
          <w:lang w:val="ro-RO"/>
        </w:rPr>
        <w:tab/>
      </w:r>
      <w:r w:rsidRPr="00430045">
        <w:rPr>
          <w:rFonts w:ascii="Times New Roman" w:hAnsi="Times New Roman"/>
          <w:b/>
          <w:color w:val="000000" w:themeColor="text1"/>
          <w:sz w:val="23"/>
          <w:szCs w:val="23"/>
          <w:lang w:val="ro-RO"/>
        </w:rPr>
        <w:tab/>
      </w:r>
      <w:r w:rsidRPr="00430045">
        <w:rPr>
          <w:rFonts w:ascii="Times New Roman" w:hAnsi="Times New Roman"/>
          <w:b/>
          <w:color w:val="000000" w:themeColor="text1"/>
          <w:sz w:val="23"/>
          <w:szCs w:val="23"/>
          <w:lang w:val="ro-RO"/>
        </w:rPr>
        <w:tab/>
      </w:r>
      <w:r w:rsidR="006A0337" w:rsidRPr="00430045">
        <w:rPr>
          <w:rFonts w:ascii="Times New Roman" w:hAnsi="Times New Roman"/>
          <w:b/>
          <w:color w:val="000000" w:themeColor="text1"/>
          <w:sz w:val="23"/>
          <w:szCs w:val="23"/>
          <w:lang w:val="ro-RO"/>
        </w:rPr>
        <w:t>Dan PERCIUN</w:t>
      </w:r>
    </w:p>
    <w:p w:rsidR="00E77121" w:rsidRPr="00430045" w:rsidRDefault="00E77121"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605C12">
      <w:pPr>
        <w:spacing w:after="0"/>
        <w:jc w:val="both"/>
        <w:rPr>
          <w:rFonts w:ascii="Times New Roman" w:hAnsi="Times New Roman"/>
          <w:sz w:val="23"/>
          <w:szCs w:val="23"/>
          <w:lang w:val="ro-RO"/>
        </w:rPr>
      </w:pPr>
    </w:p>
    <w:p w:rsidR="00315B2F" w:rsidRPr="00430045" w:rsidRDefault="00315B2F" w:rsidP="00626C90">
      <w:pPr>
        <w:spacing w:after="0"/>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315B2F" w:rsidRPr="00430045" w:rsidRDefault="00315B2F"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bookmarkStart w:id="2" w:name="_Hlk191912029"/>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F73F11" w:rsidRPr="00430045" w:rsidRDefault="00F73F11" w:rsidP="005E0679">
      <w:pPr>
        <w:spacing w:after="0"/>
        <w:ind w:firstLine="851"/>
        <w:jc w:val="both"/>
        <w:rPr>
          <w:rFonts w:ascii="Times New Roman" w:hAnsi="Times New Roman"/>
          <w:sz w:val="23"/>
          <w:szCs w:val="23"/>
          <w:lang w:val="ro-RO"/>
        </w:rPr>
      </w:pPr>
    </w:p>
    <w:p w:rsidR="000A7E26" w:rsidRPr="00430045" w:rsidRDefault="001047B9" w:rsidP="005E0679">
      <w:pPr>
        <w:spacing w:after="0"/>
        <w:ind w:firstLine="851"/>
        <w:jc w:val="both"/>
        <w:rPr>
          <w:rFonts w:ascii="Times New Roman" w:hAnsi="Times New Roman"/>
          <w:sz w:val="16"/>
          <w:szCs w:val="16"/>
          <w:lang w:val="ro-RO"/>
        </w:rPr>
      </w:pPr>
      <w:r w:rsidRPr="00430045">
        <w:rPr>
          <w:rFonts w:ascii="Times New Roman" w:hAnsi="Times New Roman"/>
          <w:sz w:val="16"/>
          <w:szCs w:val="16"/>
          <w:lang w:val="ro-RO"/>
        </w:rPr>
        <w:t xml:space="preserve">Doina </w:t>
      </w:r>
      <w:proofErr w:type="spellStart"/>
      <w:r w:rsidRPr="00430045">
        <w:rPr>
          <w:rFonts w:ascii="Times New Roman" w:hAnsi="Times New Roman"/>
          <w:sz w:val="16"/>
          <w:szCs w:val="16"/>
          <w:lang w:val="ro-RO"/>
        </w:rPr>
        <w:t>Usaci</w:t>
      </w:r>
      <w:proofErr w:type="spellEnd"/>
      <w:r w:rsidRPr="00430045">
        <w:rPr>
          <w:rFonts w:ascii="Times New Roman" w:hAnsi="Times New Roman"/>
          <w:sz w:val="16"/>
          <w:szCs w:val="16"/>
          <w:lang w:val="ro-RO"/>
        </w:rPr>
        <w:t>, tel.: 022 233213</w:t>
      </w:r>
    </w:p>
    <w:p w:rsidR="00315B2F" w:rsidRPr="00430045" w:rsidRDefault="00315B2F" w:rsidP="005E0679">
      <w:pPr>
        <w:spacing w:after="0"/>
        <w:ind w:firstLine="851"/>
        <w:jc w:val="both"/>
        <w:rPr>
          <w:rFonts w:ascii="Times New Roman" w:hAnsi="Times New Roman"/>
          <w:sz w:val="16"/>
          <w:szCs w:val="16"/>
          <w:lang w:val="ro-RO"/>
        </w:rPr>
      </w:pPr>
      <w:r w:rsidRPr="00430045">
        <w:rPr>
          <w:rFonts w:ascii="Times New Roman" w:hAnsi="Times New Roman"/>
          <w:sz w:val="16"/>
          <w:szCs w:val="16"/>
          <w:lang w:val="ro-RO"/>
        </w:rPr>
        <w:t xml:space="preserve">Email: </w:t>
      </w:r>
      <w:hyperlink r:id="rId8" w:history="1">
        <w:r w:rsidRPr="00430045">
          <w:rPr>
            <w:rStyle w:val="Hyperlink"/>
            <w:rFonts w:ascii="Times New Roman" w:hAnsi="Times New Roman"/>
            <w:sz w:val="16"/>
            <w:szCs w:val="16"/>
            <w:lang w:val="ro-RO"/>
          </w:rPr>
          <w:t>doina.usaci@mec.gov.md</w:t>
        </w:r>
      </w:hyperlink>
      <w:r w:rsidRPr="00430045">
        <w:rPr>
          <w:rFonts w:ascii="Times New Roman" w:hAnsi="Times New Roman"/>
          <w:sz w:val="16"/>
          <w:szCs w:val="16"/>
          <w:lang w:val="ro-RO"/>
        </w:rPr>
        <w:t xml:space="preserve"> </w:t>
      </w:r>
      <w:bookmarkEnd w:id="2"/>
    </w:p>
    <w:sectPr w:rsidR="00315B2F" w:rsidRPr="00430045" w:rsidSect="009336AD">
      <w:pgSz w:w="12240" w:h="15840"/>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SerifCondensed">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29D"/>
    <w:multiLevelType w:val="multilevel"/>
    <w:tmpl w:val="AD622E92"/>
    <w:lvl w:ilvl="0">
      <w:start w:val="1"/>
      <w:numFmt w:val="decimal"/>
      <w:lvlText w:val="%1."/>
      <w:lvlJc w:val="left"/>
      <w:pPr>
        <w:ind w:left="360" w:hanging="360"/>
      </w:pPr>
      <w:rPr>
        <w:rFonts w:ascii="Times New Roman" w:eastAsiaTheme="minorHAnsi" w:hAnsi="Times New Roman" w:cs="Times New Roman"/>
        <w:b w:val="0"/>
        <w:color w:val="auto"/>
      </w:rPr>
    </w:lvl>
    <w:lvl w:ilvl="1">
      <w:start w:val="1"/>
      <w:numFmt w:val="decimal"/>
      <w:lvlText w:val="%1.%2."/>
      <w:lvlJc w:val="left"/>
      <w:pPr>
        <w:ind w:left="83" w:hanging="432"/>
      </w:pPr>
    </w:lvl>
    <w:lvl w:ilvl="2">
      <w:start w:val="1"/>
      <w:numFmt w:val="decimal"/>
      <w:lvlText w:val="%1.%2.%3."/>
      <w:lvlJc w:val="left"/>
      <w:pPr>
        <w:ind w:left="515" w:hanging="504"/>
      </w:pPr>
    </w:lvl>
    <w:lvl w:ilvl="3">
      <w:start w:val="1"/>
      <w:numFmt w:val="decimal"/>
      <w:lvlText w:val="%1.%2.%3.%4."/>
      <w:lvlJc w:val="left"/>
      <w:pPr>
        <w:ind w:left="1019" w:hanging="648"/>
      </w:pPr>
    </w:lvl>
    <w:lvl w:ilvl="4">
      <w:start w:val="1"/>
      <w:numFmt w:val="decimal"/>
      <w:lvlText w:val="%1.%2.%3.%4.%5."/>
      <w:lvlJc w:val="left"/>
      <w:pPr>
        <w:ind w:left="1523" w:hanging="792"/>
      </w:pPr>
    </w:lvl>
    <w:lvl w:ilvl="5">
      <w:start w:val="1"/>
      <w:numFmt w:val="decimal"/>
      <w:lvlText w:val="%1.%2.%3.%4.%5.%6."/>
      <w:lvlJc w:val="left"/>
      <w:pPr>
        <w:ind w:left="2027" w:hanging="936"/>
      </w:pPr>
    </w:lvl>
    <w:lvl w:ilvl="6">
      <w:start w:val="1"/>
      <w:numFmt w:val="decimal"/>
      <w:lvlText w:val="%1.%2.%3.%4.%5.%6.%7."/>
      <w:lvlJc w:val="left"/>
      <w:pPr>
        <w:ind w:left="2531" w:hanging="1080"/>
      </w:pPr>
    </w:lvl>
    <w:lvl w:ilvl="7">
      <w:start w:val="1"/>
      <w:numFmt w:val="decimal"/>
      <w:lvlText w:val="%1.%2.%3.%4.%5.%6.%7.%8."/>
      <w:lvlJc w:val="left"/>
      <w:pPr>
        <w:ind w:left="3035" w:hanging="1224"/>
      </w:pPr>
    </w:lvl>
    <w:lvl w:ilvl="8">
      <w:start w:val="1"/>
      <w:numFmt w:val="decimal"/>
      <w:lvlText w:val="%1.%2.%3.%4.%5.%6.%7.%8.%9."/>
      <w:lvlJc w:val="left"/>
      <w:pPr>
        <w:ind w:left="3611" w:hanging="1440"/>
      </w:pPr>
    </w:lvl>
  </w:abstractNum>
  <w:abstractNum w:abstractNumId="1" w15:restartNumberingAfterBreak="0">
    <w:nsid w:val="0A3679D9"/>
    <w:multiLevelType w:val="hybridMultilevel"/>
    <w:tmpl w:val="06B49244"/>
    <w:lvl w:ilvl="0" w:tplc="E7A0A89C">
      <w:start w:val="1"/>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2" w15:restartNumberingAfterBreak="0">
    <w:nsid w:val="0CAA192A"/>
    <w:multiLevelType w:val="multilevel"/>
    <w:tmpl w:val="2AAA11D0"/>
    <w:lvl w:ilvl="0">
      <w:start w:val="1"/>
      <w:numFmt w:val="decimal"/>
      <w:lvlText w:val="%1."/>
      <w:lvlJc w:val="left"/>
      <w:pPr>
        <w:ind w:left="1211" w:hanging="360"/>
      </w:pPr>
      <w:rPr>
        <w:rFonts w:ascii="Times New Roman" w:eastAsia="Calibri" w:hAnsi="Times New Roman" w:cs="Calibri"/>
      </w:rPr>
    </w:lvl>
    <w:lvl w:ilvl="1">
      <w:start w:val="1"/>
      <w:numFmt w:val="decimal"/>
      <w:isLgl/>
      <w:lvlText w:val="%1.%2."/>
      <w:lvlJc w:val="left"/>
      <w:pPr>
        <w:ind w:left="1271" w:hanging="4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 w15:restartNumberingAfterBreak="0">
    <w:nsid w:val="3EEA4B35"/>
    <w:multiLevelType w:val="hybridMultilevel"/>
    <w:tmpl w:val="FAAE9098"/>
    <w:lvl w:ilvl="0" w:tplc="0818000F">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4" w15:restartNumberingAfterBreak="0">
    <w:nsid w:val="40DF5E3F"/>
    <w:multiLevelType w:val="hybridMultilevel"/>
    <w:tmpl w:val="B3E4D586"/>
    <w:lvl w:ilvl="0" w:tplc="CFE41CEA">
      <w:start w:val="2"/>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43990E3C"/>
    <w:multiLevelType w:val="hybridMultilevel"/>
    <w:tmpl w:val="905CB70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503D78A1"/>
    <w:multiLevelType w:val="hybridMultilevel"/>
    <w:tmpl w:val="4F04B86E"/>
    <w:lvl w:ilvl="0" w:tplc="D2105B3E">
      <w:start w:val="1"/>
      <w:numFmt w:val="decimal"/>
      <w:lvlText w:val="%1."/>
      <w:lvlJc w:val="left"/>
      <w:pPr>
        <w:ind w:left="720"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DF1243D"/>
    <w:multiLevelType w:val="hybridMultilevel"/>
    <w:tmpl w:val="E2F458E2"/>
    <w:lvl w:ilvl="0" w:tplc="18D283FC">
      <w:start w:val="1"/>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71FC23B0"/>
    <w:multiLevelType w:val="hybridMultilevel"/>
    <w:tmpl w:val="941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34F82"/>
    <w:multiLevelType w:val="hybridMultilevel"/>
    <w:tmpl w:val="94DE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C6A55"/>
    <w:multiLevelType w:val="hybridMultilevel"/>
    <w:tmpl w:val="1BC48AA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A567C66"/>
    <w:multiLevelType w:val="hybridMultilevel"/>
    <w:tmpl w:val="15EEA506"/>
    <w:lvl w:ilvl="0" w:tplc="04190017">
      <w:start w:val="2"/>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660570223">
    <w:abstractNumId w:val="8"/>
  </w:num>
  <w:num w:numId="2" w16cid:durableId="1345209171">
    <w:abstractNumId w:val="5"/>
  </w:num>
  <w:num w:numId="3" w16cid:durableId="1574730260">
    <w:abstractNumId w:val="12"/>
  </w:num>
  <w:num w:numId="4" w16cid:durableId="214199977">
    <w:abstractNumId w:val="0"/>
  </w:num>
  <w:num w:numId="5" w16cid:durableId="888029089">
    <w:abstractNumId w:val="11"/>
  </w:num>
  <w:num w:numId="6" w16cid:durableId="525366964">
    <w:abstractNumId w:val="9"/>
  </w:num>
  <w:num w:numId="7" w16cid:durableId="2146312209">
    <w:abstractNumId w:val="4"/>
  </w:num>
  <w:num w:numId="8" w16cid:durableId="1730420475">
    <w:abstractNumId w:val="3"/>
  </w:num>
  <w:num w:numId="9" w16cid:durableId="75370417">
    <w:abstractNumId w:val="10"/>
  </w:num>
  <w:num w:numId="10" w16cid:durableId="1595282188">
    <w:abstractNumId w:val="2"/>
  </w:num>
  <w:num w:numId="11" w16cid:durableId="488449539">
    <w:abstractNumId w:val="7"/>
  </w:num>
  <w:num w:numId="12" w16cid:durableId="1546673571">
    <w:abstractNumId w:val="1"/>
  </w:num>
  <w:num w:numId="13" w16cid:durableId="1480464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4056"/>
    <w:rsid w:val="00005BD3"/>
    <w:rsid w:val="00022697"/>
    <w:rsid w:val="00043F21"/>
    <w:rsid w:val="00057BC9"/>
    <w:rsid w:val="00066020"/>
    <w:rsid w:val="000817A4"/>
    <w:rsid w:val="00082F4F"/>
    <w:rsid w:val="0009110E"/>
    <w:rsid w:val="00091E19"/>
    <w:rsid w:val="000A7E26"/>
    <w:rsid w:val="000B33BD"/>
    <w:rsid w:val="000C5CDF"/>
    <w:rsid w:val="000D33F6"/>
    <w:rsid w:val="001047B9"/>
    <w:rsid w:val="00107ECA"/>
    <w:rsid w:val="00123F5E"/>
    <w:rsid w:val="001309FA"/>
    <w:rsid w:val="0014200A"/>
    <w:rsid w:val="00154302"/>
    <w:rsid w:val="00170706"/>
    <w:rsid w:val="001865E8"/>
    <w:rsid w:val="0019057B"/>
    <w:rsid w:val="001C7B1E"/>
    <w:rsid w:val="001D5BFB"/>
    <w:rsid w:val="001D7285"/>
    <w:rsid w:val="001F2E8A"/>
    <w:rsid w:val="001F354C"/>
    <w:rsid w:val="001F4747"/>
    <w:rsid w:val="00210ECD"/>
    <w:rsid w:val="00237445"/>
    <w:rsid w:val="00252E71"/>
    <w:rsid w:val="00260BFE"/>
    <w:rsid w:val="0028070A"/>
    <w:rsid w:val="002B27E2"/>
    <w:rsid w:val="002D329A"/>
    <w:rsid w:val="002D5241"/>
    <w:rsid w:val="002D7D59"/>
    <w:rsid w:val="002E16BA"/>
    <w:rsid w:val="002E4985"/>
    <w:rsid w:val="00301710"/>
    <w:rsid w:val="0030434A"/>
    <w:rsid w:val="00314A48"/>
    <w:rsid w:val="003150E0"/>
    <w:rsid w:val="00315B2F"/>
    <w:rsid w:val="00322634"/>
    <w:rsid w:val="003348B2"/>
    <w:rsid w:val="0034424F"/>
    <w:rsid w:val="00373967"/>
    <w:rsid w:val="003A2D9B"/>
    <w:rsid w:val="003A4288"/>
    <w:rsid w:val="003A787A"/>
    <w:rsid w:val="003D07B5"/>
    <w:rsid w:val="003E05EB"/>
    <w:rsid w:val="003F1844"/>
    <w:rsid w:val="00400313"/>
    <w:rsid w:val="00404DEF"/>
    <w:rsid w:val="0041384B"/>
    <w:rsid w:val="00413CCF"/>
    <w:rsid w:val="00420136"/>
    <w:rsid w:val="00430045"/>
    <w:rsid w:val="00434AE5"/>
    <w:rsid w:val="00435CE6"/>
    <w:rsid w:val="00446EFF"/>
    <w:rsid w:val="004A37CF"/>
    <w:rsid w:val="004D77A2"/>
    <w:rsid w:val="0050411C"/>
    <w:rsid w:val="00505611"/>
    <w:rsid w:val="005105A3"/>
    <w:rsid w:val="005268CE"/>
    <w:rsid w:val="00530667"/>
    <w:rsid w:val="00547FD5"/>
    <w:rsid w:val="005551AE"/>
    <w:rsid w:val="0056360A"/>
    <w:rsid w:val="005800CD"/>
    <w:rsid w:val="005B2A50"/>
    <w:rsid w:val="005D02AE"/>
    <w:rsid w:val="005D66CB"/>
    <w:rsid w:val="005E0679"/>
    <w:rsid w:val="005E625E"/>
    <w:rsid w:val="005F1167"/>
    <w:rsid w:val="005F11F1"/>
    <w:rsid w:val="00605C12"/>
    <w:rsid w:val="00623AF7"/>
    <w:rsid w:val="00626761"/>
    <w:rsid w:val="00626C90"/>
    <w:rsid w:val="00650292"/>
    <w:rsid w:val="00655FCF"/>
    <w:rsid w:val="00656ED0"/>
    <w:rsid w:val="006705A3"/>
    <w:rsid w:val="006779BF"/>
    <w:rsid w:val="00680FE4"/>
    <w:rsid w:val="006A0337"/>
    <w:rsid w:val="006A7826"/>
    <w:rsid w:val="006E2A00"/>
    <w:rsid w:val="00706005"/>
    <w:rsid w:val="00743DF7"/>
    <w:rsid w:val="0076345E"/>
    <w:rsid w:val="00791CF5"/>
    <w:rsid w:val="00802302"/>
    <w:rsid w:val="00824185"/>
    <w:rsid w:val="00825EC7"/>
    <w:rsid w:val="008452EB"/>
    <w:rsid w:val="00860D00"/>
    <w:rsid w:val="0088157F"/>
    <w:rsid w:val="008A2827"/>
    <w:rsid w:val="008D4DD7"/>
    <w:rsid w:val="009206A5"/>
    <w:rsid w:val="009336AD"/>
    <w:rsid w:val="009462FA"/>
    <w:rsid w:val="00946DFC"/>
    <w:rsid w:val="00961A5F"/>
    <w:rsid w:val="00961AF7"/>
    <w:rsid w:val="00985F81"/>
    <w:rsid w:val="00993C73"/>
    <w:rsid w:val="00994033"/>
    <w:rsid w:val="00994587"/>
    <w:rsid w:val="009B0892"/>
    <w:rsid w:val="009E43F5"/>
    <w:rsid w:val="00A0068B"/>
    <w:rsid w:val="00A23C41"/>
    <w:rsid w:val="00A35E04"/>
    <w:rsid w:val="00A40E2D"/>
    <w:rsid w:val="00A430CD"/>
    <w:rsid w:val="00A707BD"/>
    <w:rsid w:val="00A75C09"/>
    <w:rsid w:val="00A8485C"/>
    <w:rsid w:val="00A86184"/>
    <w:rsid w:val="00A8671A"/>
    <w:rsid w:val="00A90820"/>
    <w:rsid w:val="00AA3B2E"/>
    <w:rsid w:val="00AA58B6"/>
    <w:rsid w:val="00AB4056"/>
    <w:rsid w:val="00AB7474"/>
    <w:rsid w:val="00AE2DDD"/>
    <w:rsid w:val="00B013D7"/>
    <w:rsid w:val="00B31952"/>
    <w:rsid w:val="00B32387"/>
    <w:rsid w:val="00B41978"/>
    <w:rsid w:val="00B619E7"/>
    <w:rsid w:val="00B660FD"/>
    <w:rsid w:val="00B80130"/>
    <w:rsid w:val="00B87E85"/>
    <w:rsid w:val="00BB7717"/>
    <w:rsid w:val="00BC0BDD"/>
    <w:rsid w:val="00BC1C33"/>
    <w:rsid w:val="00BD2E66"/>
    <w:rsid w:val="00BE1545"/>
    <w:rsid w:val="00BE64F5"/>
    <w:rsid w:val="00BE6B35"/>
    <w:rsid w:val="00C15AA9"/>
    <w:rsid w:val="00C65DE8"/>
    <w:rsid w:val="00C73D30"/>
    <w:rsid w:val="00CA5C3C"/>
    <w:rsid w:val="00CD3142"/>
    <w:rsid w:val="00CD55F6"/>
    <w:rsid w:val="00CE59D5"/>
    <w:rsid w:val="00D1205E"/>
    <w:rsid w:val="00D13C71"/>
    <w:rsid w:val="00D2447E"/>
    <w:rsid w:val="00D308B5"/>
    <w:rsid w:val="00D3460C"/>
    <w:rsid w:val="00D46DAF"/>
    <w:rsid w:val="00D52BEE"/>
    <w:rsid w:val="00D77DDD"/>
    <w:rsid w:val="00D82AFF"/>
    <w:rsid w:val="00D83027"/>
    <w:rsid w:val="00D91783"/>
    <w:rsid w:val="00DB2F7C"/>
    <w:rsid w:val="00DB59DA"/>
    <w:rsid w:val="00DB784C"/>
    <w:rsid w:val="00DE1563"/>
    <w:rsid w:val="00DE53C7"/>
    <w:rsid w:val="00DE6AB5"/>
    <w:rsid w:val="00E01028"/>
    <w:rsid w:val="00E01AA4"/>
    <w:rsid w:val="00E02514"/>
    <w:rsid w:val="00E029E8"/>
    <w:rsid w:val="00E1134A"/>
    <w:rsid w:val="00E14F16"/>
    <w:rsid w:val="00E3393F"/>
    <w:rsid w:val="00E6721F"/>
    <w:rsid w:val="00E77121"/>
    <w:rsid w:val="00E95489"/>
    <w:rsid w:val="00ED7FFD"/>
    <w:rsid w:val="00EF12A7"/>
    <w:rsid w:val="00EF344C"/>
    <w:rsid w:val="00F07624"/>
    <w:rsid w:val="00F148DF"/>
    <w:rsid w:val="00F21FAC"/>
    <w:rsid w:val="00F61476"/>
    <w:rsid w:val="00F72C90"/>
    <w:rsid w:val="00F73F11"/>
    <w:rsid w:val="00F74E1A"/>
    <w:rsid w:val="00FA05BB"/>
    <w:rsid w:val="00FB0688"/>
    <w:rsid w:val="00FB577C"/>
    <w:rsid w:val="00FB7AF5"/>
    <w:rsid w:val="00FE3833"/>
    <w:rsid w:val="00FF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10F5"/>
  <w15:docId w15:val="{655F1DB4-4055-4D2F-BC56-8C1D2FDB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56"/>
    <w:pPr>
      <w:spacing w:after="200" w:line="276" w:lineRule="auto"/>
    </w:pPr>
    <w:rPr>
      <w:rFonts w:ascii="Calibri" w:eastAsia="Calibri"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AB4056"/>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stparagraf">
    <w:name w:val="List Paragraph"/>
    <w:basedOn w:val="Normal"/>
    <w:uiPriority w:val="34"/>
    <w:qFormat/>
    <w:rsid w:val="00AB4056"/>
    <w:pPr>
      <w:spacing w:after="160" w:line="259" w:lineRule="auto"/>
      <w:ind w:left="720"/>
      <w:contextualSpacing/>
    </w:pPr>
    <w:rPr>
      <w:rFonts w:cs="Calibri"/>
      <w:lang w:val="en-US" w:eastAsia="en-US"/>
    </w:rPr>
  </w:style>
  <w:style w:type="paragraph" w:styleId="TextnBalon">
    <w:name w:val="Balloon Text"/>
    <w:basedOn w:val="Normal"/>
    <w:link w:val="TextnBalonCaracter"/>
    <w:uiPriority w:val="99"/>
    <w:semiHidden/>
    <w:unhideWhenUsed/>
    <w:rsid w:val="001F35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F354C"/>
    <w:rPr>
      <w:rFonts w:ascii="Segoe UI" w:eastAsia="Calibri" w:hAnsi="Segoe UI" w:cs="Segoe UI"/>
      <w:sz w:val="18"/>
      <w:szCs w:val="18"/>
      <w:lang w:eastAsia="ru-RU"/>
    </w:rPr>
  </w:style>
  <w:style w:type="character" w:customStyle="1" w:styleId="fontstyle01">
    <w:name w:val="fontstyle01"/>
    <w:basedOn w:val="Fontdeparagrafimplicit"/>
    <w:rsid w:val="00F148DF"/>
    <w:rPr>
      <w:rFonts w:ascii="DejaVuSerifCondensed" w:hAnsi="DejaVuSerifCondensed" w:hint="default"/>
      <w:b w:val="0"/>
      <w:bCs w:val="0"/>
      <w:i w:val="0"/>
      <w:iCs w:val="0"/>
      <w:color w:val="000000"/>
      <w:sz w:val="22"/>
      <w:szCs w:val="22"/>
    </w:rPr>
  </w:style>
  <w:style w:type="character" w:styleId="Hyperlink">
    <w:name w:val="Hyperlink"/>
    <w:basedOn w:val="Fontdeparagrafimplicit"/>
    <w:unhideWhenUsed/>
    <w:rsid w:val="00F148DF"/>
    <w:rPr>
      <w:color w:val="0563C1" w:themeColor="hyperlink"/>
      <w:u w:val="single"/>
    </w:rPr>
  </w:style>
  <w:style w:type="character" w:customStyle="1" w:styleId="fontstyle21">
    <w:name w:val="fontstyle21"/>
    <w:basedOn w:val="Fontdeparagrafimplicit"/>
    <w:rsid w:val="00F148DF"/>
    <w:rPr>
      <w:rFonts w:ascii="Tahoma" w:hAnsi="Tahoma" w:cs="Tahoma" w:hint="default"/>
      <w:b w:val="0"/>
      <w:bCs w:val="0"/>
      <w:i w:val="0"/>
      <w:iCs w:val="0"/>
      <w:color w:val="000000"/>
      <w:sz w:val="24"/>
      <w:szCs w:val="24"/>
    </w:rPr>
  </w:style>
  <w:style w:type="character" w:customStyle="1" w:styleId="fontstyle31">
    <w:name w:val="fontstyle31"/>
    <w:basedOn w:val="Fontdeparagrafimplicit"/>
    <w:rsid w:val="00F148DF"/>
    <w:rPr>
      <w:rFonts w:ascii="TimesNewRomanPS-ItalicMT" w:hAnsi="TimesNewRomanPS-ItalicMT" w:hint="default"/>
      <w:b w:val="0"/>
      <w:bCs w:val="0"/>
      <w:i/>
      <w:iCs/>
      <w:color w:val="000000"/>
      <w:sz w:val="24"/>
      <w:szCs w:val="24"/>
    </w:rPr>
  </w:style>
  <w:style w:type="character" w:styleId="MeniuneNerezolvat">
    <w:name w:val="Unresolved Mention"/>
    <w:basedOn w:val="Fontdeparagrafimplicit"/>
    <w:uiPriority w:val="99"/>
    <w:semiHidden/>
    <w:unhideWhenUsed/>
    <w:rsid w:val="00315B2F"/>
    <w:rPr>
      <w:color w:val="605E5C"/>
      <w:shd w:val="clear" w:color="auto" w:fill="E1DFDD"/>
    </w:rPr>
  </w:style>
  <w:style w:type="character" w:customStyle="1" w:styleId="docbody1">
    <w:name w:val="doc_body1"/>
    <w:uiPriority w:val="99"/>
    <w:rsid w:val="005268CE"/>
    <w:rPr>
      <w:rFonts w:ascii="Times New Roman" w:hAnsi="Times New Roman" w:cs="Times New Roman" w:hint="default"/>
      <w:color w:val="000000"/>
      <w:sz w:val="24"/>
      <w:szCs w:val="24"/>
    </w:rPr>
  </w:style>
  <w:style w:type="paragraph" w:styleId="Frspaiere">
    <w:name w:val="No Spacing"/>
    <w:uiPriority w:val="1"/>
    <w:qFormat/>
    <w:rsid w:val="00A23C41"/>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ina.usaci@mec.gov.md" TargetMode="External"/><Relationship Id="rId3" Type="http://schemas.openxmlformats.org/officeDocument/2006/relationships/styles" Target="styles.xml"/><Relationship Id="rId7" Type="http://schemas.openxmlformats.org/officeDocument/2006/relationships/hyperlink" Target="https://particip.gov.md/ro/document/stages/*/145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c.gov.md/ro/content/anunturi-privind-initierea-elaborarii-deciziil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4E42B-B381-48F7-862F-9EED8BAA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4</Pages>
  <Words>1813</Words>
  <Characters>10519</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Utilizator</cp:lastModifiedBy>
  <cp:revision>92</cp:revision>
  <cp:lastPrinted>2025-07-01T12:42:00Z</cp:lastPrinted>
  <dcterms:created xsi:type="dcterms:W3CDTF">2020-10-28T11:45:00Z</dcterms:created>
  <dcterms:modified xsi:type="dcterms:W3CDTF">2025-07-01T13:03:00Z</dcterms:modified>
</cp:coreProperties>
</file>