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BABE" w14:textId="77777777" w:rsidR="00FB55A2" w:rsidRPr="0001395C" w:rsidRDefault="005B5EE7">
      <w:pPr>
        <w:pStyle w:val="Corptext"/>
        <w:spacing w:before="64"/>
        <w:ind w:left="4516" w:right="4523"/>
        <w:jc w:val="center"/>
        <w:rPr>
          <w:sz w:val="26"/>
          <w:szCs w:val="26"/>
        </w:rPr>
      </w:pPr>
      <w:r w:rsidRPr="0001395C">
        <w:rPr>
          <w:sz w:val="26"/>
          <w:szCs w:val="26"/>
        </w:rPr>
        <w:t>SINTEZA</w:t>
      </w:r>
    </w:p>
    <w:p w14:paraId="56B75670" w14:textId="77777777" w:rsidR="0001395C" w:rsidRPr="0001395C" w:rsidRDefault="005B5EE7" w:rsidP="0001395C">
      <w:pPr>
        <w:pStyle w:val="Corptext"/>
        <w:spacing w:before="2"/>
        <w:ind w:left="3686" w:right="4525"/>
        <w:jc w:val="center"/>
        <w:rPr>
          <w:sz w:val="26"/>
          <w:szCs w:val="26"/>
        </w:rPr>
      </w:pPr>
      <w:r w:rsidRPr="0001395C">
        <w:rPr>
          <w:sz w:val="26"/>
          <w:szCs w:val="26"/>
        </w:rPr>
        <w:t>obiecțiilor</w:t>
      </w:r>
      <w:r w:rsidRPr="0001395C">
        <w:rPr>
          <w:spacing w:val="-6"/>
          <w:sz w:val="26"/>
          <w:szCs w:val="26"/>
        </w:rPr>
        <w:t xml:space="preserve"> </w:t>
      </w:r>
      <w:r w:rsidRPr="0001395C">
        <w:rPr>
          <w:sz w:val="26"/>
          <w:szCs w:val="26"/>
        </w:rPr>
        <w:t>și</w:t>
      </w:r>
      <w:r w:rsidRPr="0001395C">
        <w:rPr>
          <w:spacing w:val="-4"/>
          <w:sz w:val="26"/>
          <w:szCs w:val="26"/>
        </w:rPr>
        <w:t xml:space="preserve"> </w:t>
      </w:r>
      <w:r w:rsidRPr="0001395C">
        <w:rPr>
          <w:sz w:val="26"/>
          <w:szCs w:val="26"/>
        </w:rPr>
        <w:t>propunerilor</w:t>
      </w:r>
      <w:r w:rsidRPr="0001395C">
        <w:rPr>
          <w:spacing w:val="-6"/>
          <w:sz w:val="26"/>
          <w:szCs w:val="26"/>
        </w:rPr>
        <w:t xml:space="preserve"> </w:t>
      </w:r>
      <w:r w:rsidRPr="0001395C">
        <w:rPr>
          <w:i/>
          <w:iCs/>
          <w:sz w:val="26"/>
          <w:szCs w:val="26"/>
        </w:rPr>
        <w:t>(recomandărilor)</w:t>
      </w:r>
      <w:r w:rsidR="0035498B" w:rsidRPr="0001395C">
        <w:rPr>
          <w:i/>
          <w:iCs/>
          <w:sz w:val="26"/>
          <w:szCs w:val="26"/>
        </w:rPr>
        <w:t xml:space="preserve"> </w:t>
      </w:r>
      <w:r w:rsidR="0035498B" w:rsidRPr="0001395C">
        <w:rPr>
          <w:sz w:val="26"/>
          <w:szCs w:val="26"/>
        </w:rPr>
        <w:t xml:space="preserve">la </w:t>
      </w:r>
    </w:p>
    <w:p w14:paraId="240649B5" w14:textId="3FCBDF32" w:rsidR="00FB55A2" w:rsidRPr="0001395C" w:rsidRDefault="00AC0B27" w:rsidP="001A62A9">
      <w:pPr>
        <w:pStyle w:val="Corptext"/>
        <w:spacing w:before="2"/>
        <w:ind w:left="3686" w:right="4235"/>
        <w:jc w:val="center"/>
        <w:rPr>
          <w:b w:val="0"/>
          <w:sz w:val="26"/>
          <w:szCs w:val="26"/>
        </w:rPr>
      </w:pPr>
      <w:r>
        <w:rPr>
          <w:sz w:val="26"/>
          <w:szCs w:val="26"/>
        </w:rPr>
        <w:t>p</w:t>
      </w:r>
      <w:r w:rsidR="0001395C" w:rsidRPr="0001395C">
        <w:rPr>
          <w:sz w:val="26"/>
          <w:szCs w:val="26"/>
        </w:rPr>
        <w:t xml:space="preserve">roiectul </w:t>
      </w:r>
      <w:r>
        <w:rPr>
          <w:sz w:val="26"/>
          <w:szCs w:val="26"/>
        </w:rPr>
        <w:t xml:space="preserve">Ordinului </w:t>
      </w:r>
      <w:r w:rsidR="0001395C" w:rsidRPr="0001395C">
        <w:rPr>
          <w:sz w:val="26"/>
          <w:szCs w:val="26"/>
        </w:rPr>
        <w:t xml:space="preserve">privind aprobarea </w:t>
      </w:r>
      <w:r>
        <w:rPr>
          <w:sz w:val="26"/>
          <w:szCs w:val="26"/>
        </w:rPr>
        <w:t xml:space="preserve">Procedurii </w:t>
      </w:r>
      <w:r w:rsidRPr="00AC0B27">
        <w:rPr>
          <w:sz w:val="26"/>
          <w:szCs w:val="26"/>
        </w:rPr>
        <w:t>de organizare a licitației deschise</w:t>
      </w:r>
    </w:p>
    <w:tbl>
      <w:tblPr>
        <w:tblStyle w:val="TableNormal"/>
        <w:tblpPr w:leftFromText="180" w:rightFromText="180" w:vertAnchor="text" w:tblpX="124"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96"/>
        <w:gridCol w:w="5998"/>
        <w:gridCol w:w="4458"/>
      </w:tblGrid>
      <w:tr w:rsidR="00FB55A2" w:rsidRPr="00012195" w14:paraId="1BD52F9D" w14:textId="77777777" w:rsidTr="00012195">
        <w:trPr>
          <w:trHeight w:val="551"/>
        </w:trPr>
        <w:tc>
          <w:tcPr>
            <w:tcW w:w="3596" w:type="dxa"/>
          </w:tcPr>
          <w:p w14:paraId="20465F33" w14:textId="77777777" w:rsidR="00FB55A2" w:rsidRPr="00012195" w:rsidRDefault="005B5EE7" w:rsidP="00012195">
            <w:pPr>
              <w:pStyle w:val="TableParagraph"/>
              <w:spacing w:line="276" w:lineRule="exact"/>
              <w:ind w:left="158" w:right="144" w:firstLine="431"/>
              <w:jc w:val="center"/>
              <w:rPr>
                <w:b/>
                <w:sz w:val="24"/>
                <w:szCs w:val="24"/>
              </w:rPr>
            </w:pPr>
            <w:r w:rsidRPr="00012195">
              <w:rPr>
                <w:b/>
                <w:sz w:val="24"/>
                <w:szCs w:val="24"/>
              </w:rPr>
              <w:t>Participantul la avizare</w:t>
            </w:r>
            <w:r w:rsidRPr="00012195">
              <w:rPr>
                <w:b/>
                <w:spacing w:val="1"/>
                <w:sz w:val="24"/>
                <w:szCs w:val="24"/>
              </w:rPr>
              <w:t xml:space="preserve"> </w:t>
            </w:r>
            <w:r w:rsidRPr="00012195">
              <w:rPr>
                <w:b/>
                <w:sz w:val="24"/>
                <w:szCs w:val="24"/>
              </w:rPr>
              <w:t>(expertizare)/consultare</w:t>
            </w:r>
            <w:r w:rsidRPr="00012195">
              <w:rPr>
                <w:b/>
                <w:spacing w:val="-9"/>
                <w:sz w:val="24"/>
                <w:szCs w:val="24"/>
              </w:rPr>
              <w:t xml:space="preserve"> </w:t>
            </w:r>
            <w:r w:rsidRPr="00012195">
              <w:rPr>
                <w:b/>
                <w:sz w:val="24"/>
                <w:szCs w:val="24"/>
              </w:rPr>
              <w:t>publică</w:t>
            </w:r>
          </w:p>
        </w:tc>
        <w:tc>
          <w:tcPr>
            <w:tcW w:w="5998" w:type="dxa"/>
          </w:tcPr>
          <w:p w14:paraId="46BEF514" w14:textId="77777777" w:rsidR="00FB55A2" w:rsidRPr="00012195" w:rsidRDefault="005B5EE7" w:rsidP="00012195">
            <w:pPr>
              <w:pStyle w:val="TableParagraph"/>
              <w:spacing w:line="276" w:lineRule="exact"/>
              <w:ind w:left="1641" w:right="1632" w:firstLine="304"/>
              <w:jc w:val="center"/>
              <w:rPr>
                <w:b/>
                <w:sz w:val="24"/>
                <w:szCs w:val="24"/>
              </w:rPr>
            </w:pPr>
            <w:r w:rsidRPr="00012195">
              <w:rPr>
                <w:b/>
                <w:sz w:val="24"/>
                <w:szCs w:val="24"/>
              </w:rPr>
              <w:t>Conținutul obiecției/</w:t>
            </w:r>
            <w:r w:rsidRPr="00012195">
              <w:rPr>
                <w:b/>
                <w:spacing w:val="1"/>
                <w:sz w:val="24"/>
                <w:szCs w:val="24"/>
              </w:rPr>
              <w:t xml:space="preserve"> </w:t>
            </w:r>
            <w:r w:rsidRPr="00012195">
              <w:rPr>
                <w:b/>
                <w:spacing w:val="-1"/>
                <w:sz w:val="24"/>
                <w:szCs w:val="24"/>
              </w:rPr>
              <w:t>propunerii</w:t>
            </w:r>
            <w:r w:rsidRPr="00012195">
              <w:rPr>
                <w:b/>
                <w:spacing w:val="-8"/>
                <w:sz w:val="24"/>
                <w:szCs w:val="24"/>
              </w:rPr>
              <w:t xml:space="preserve"> </w:t>
            </w:r>
            <w:r w:rsidRPr="00012195">
              <w:rPr>
                <w:b/>
                <w:sz w:val="24"/>
                <w:szCs w:val="24"/>
              </w:rPr>
              <w:t>(recomandării)</w:t>
            </w:r>
          </w:p>
        </w:tc>
        <w:tc>
          <w:tcPr>
            <w:tcW w:w="4458" w:type="dxa"/>
          </w:tcPr>
          <w:p w14:paraId="26CCDA08" w14:textId="77777777" w:rsidR="00FB55A2" w:rsidRPr="00012195" w:rsidRDefault="005B5EE7" w:rsidP="00012195">
            <w:pPr>
              <w:pStyle w:val="TableParagraph"/>
              <w:spacing w:line="276" w:lineRule="exact"/>
              <w:ind w:left="1156" w:right="1143" w:firstLine="319"/>
              <w:jc w:val="center"/>
              <w:rPr>
                <w:b/>
                <w:sz w:val="24"/>
                <w:szCs w:val="24"/>
              </w:rPr>
            </w:pPr>
            <w:r w:rsidRPr="00012195">
              <w:rPr>
                <w:b/>
                <w:sz w:val="24"/>
                <w:szCs w:val="24"/>
              </w:rPr>
              <w:t>Argumentarea</w:t>
            </w:r>
            <w:r w:rsidRPr="00012195">
              <w:rPr>
                <w:b/>
                <w:spacing w:val="1"/>
                <w:sz w:val="24"/>
                <w:szCs w:val="24"/>
              </w:rPr>
              <w:t xml:space="preserve"> </w:t>
            </w:r>
            <w:r w:rsidRPr="00012195">
              <w:rPr>
                <w:b/>
                <w:sz w:val="24"/>
                <w:szCs w:val="24"/>
              </w:rPr>
              <w:t>autorului</w:t>
            </w:r>
            <w:r w:rsidRPr="00012195">
              <w:rPr>
                <w:b/>
                <w:spacing w:val="-12"/>
                <w:sz w:val="24"/>
                <w:szCs w:val="24"/>
              </w:rPr>
              <w:t xml:space="preserve"> </w:t>
            </w:r>
            <w:r w:rsidRPr="00012195">
              <w:rPr>
                <w:b/>
                <w:sz w:val="24"/>
                <w:szCs w:val="24"/>
              </w:rPr>
              <w:t>proiectului</w:t>
            </w:r>
          </w:p>
        </w:tc>
      </w:tr>
      <w:tr w:rsidR="00AC0B27" w:rsidRPr="00012195" w14:paraId="65630FC3" w14:textId="77777777" w:rsidTr="00F72902">
        <w:trPr>
          <w:trHeight w:val="4066"/>
        </w:trPr>
        <w:tc>
          <w:tcPr>
            <w:tcW w:w="3596" w:type="dxa"/>
          </w:tcPr>
          <w:p w14:paraId="02021BBC" w14:textId="77777777" w:rsidR="00AC0B27" w:rsidRDefault="00AC0B27" w:rsidP="008623C8">
            <w:pPr>
              <w:pStyle w:val="TableParagraph"/>
              <w:tabs>
                <w:tab w:val="left" w:pos="1515"/>
                <w:tab w:val="left" w:pos="2364"/>
              </w:tabs>
              <w:ind w:left="107" w:right="100"/>
              <w:rPr>
                <w:b/>
                <w:sz w:val="24"/>
                <w:szCs w:val="24"/>
              </w:rPr>
            </w:pPr>
            <w:r w:rsidRPr="00012195">
              <w:rPr>
                <w:b/>
                <w:sz w:val="24"/>
                <w:szCs w:val="24"/>
              </w:rPr>
              <w:t xml:space="preserve">Ministerul Justiției </w:t>
            </w:r>
          </w:p>
          <w:p w14:paraId="21286A0E" w14:textId="77777777" w:rsidR="00AC0B27" w:rsidRPr="00012195" w:rsidRDefault="00AC0B27" w:rsidP="008623C8">
            <w:pPr>
              <w:pStyle w:val="TableParagraph"/>
              <w:tabs>
                <w:tab w:val="left" w:pos="1515"/>
                <w:tab w:val="left" w:pos="2364"/>
              </w:tabs>
              <w:ind w:left="107" w:right="100"/>
              <w:rPr>
                <w:b/>
                <w:sz w:val="24"/>
                <w:szCs w:val="24"/>
              </w:rPr>
            </w:pPr>
            <w:r w:rsidRPr="00012195">
              <w:rPr>
                <w:b/>
                <w:sz w:val="24"/>
                <w:szCs w:val="24"/>
              </w:rPr>
              <w:t xml:space="preserve">Aviz </w:t>
            </w:r>
            <w:r w:rsidRPr="0001395C">
              <w:rPr>
                <w:b/>
                <w:sz w:val="24"/>
                <w:szCs w:val="24"/>
              </w:rPr>
              <w:t>nr. 04/2-</w:t>
            </w:r>
            <w:r>
              <w:rPr>
                <w:b/>
                <w:sz w:val="24"/>
                <w:szCs w:val="24"/>
              </w:rPr>
              <w:t>6106</w:t>
            </w:r>
            <w:r w:rsidRPr="0001395C">
              <w:rPr>
                <w:b/>
              </w:rPr>
              <w:t xml:space="preserve"> </w:t>
            </w:r>
            <w:r w:rsidRPr="008623C8">
              <w:rPr>
                <w:b/>
                <w:sz w:val="24"/>
                <w:szCs w:val="24"/>
              </w:rPr>
              <w:t xml:space="preserve">din </w:t>
            </w:r>
            <w:r>
              <w:rPr>
                <w:b/>
                <w:sz w:val="24"/>
                <w:szCs w:val="24"/>
              </w:rPr>
              <w:t>25</w:t>
            </w:r>
            <w:r w:rsidRPr="008623C8">
              <w:rPr>
                <w:b/>
                <w:sz w:val="24"/>
                <w:szCs w:val="24"/>
              </w:rPr>
              <w:t>.06.2025</w:t>
            </w:r>
          </w:p>
          <w:p w14:paraId="26795D2D" w14:textId="77777777" w:rsidR="00AC0B27" w:rsidRDefault="00AC0B27" w:rsidP="00012195">
            <w:pPr>
              <w:pStyle w:val="TableParagraph"/>
              <w:tabs>
                <w:tab w:val="left" w:pos="1515"/>
                <w:tab w:val="left" w:pos="2364"/>
              </w:tabs>
              <w:ind w:left="107" w:right="100"/>
              <w:rPr>
                <w:b/>
                <w:sz w:val="24"/>
                <w:szCs w:val="24"/>
              </w:rPr>
            </w:pPr>
          </w:p>
          <w:p w14:paraId="18F842C5" w14:textId="77777777" w:rsidR="00AC0B27" w:rsidRPr="008623C8" w:rsidRDefault="00AC0B27" w:rsidP="008623C8"/>
          <w:p w14:paraId="0726349F" w14:textId="77777777" w:rsidR="00AC0B27" w:rsidRPr="008623C8" w:rsidRDefault="00AC0B27" w:rsidP="008623C8"/>
          <w:p w14:paraId="5FBD5BF3" w14:textId="77777777" w:rsidR="00AC0B27" w:rsidRPr="008623C8" w:rsidRDefault="00AC0B27" w:rsidP="008623C8"/>
          <w:p w14:paraId="7E7D6F36" w14:textId="77777777" w:rsidR="00AC0B27" w:rsidRPr="008623C8" w:rsidRDefault="00AC0B27" w:rsidP="008623C8"/>
          <w:p w14:paraId="2D206713" w14:textId="77777777" w:rsidR="00AC0B27" w:rsidRPr="008623C8" w:rsidRDefault="00AC0B27" w:rsidP="008623C8"/>
          <w:p w14:paraId="4F1F1280" w14:textId="77777777" w:rsidR="00AC0B27" w:rsidRPr="008623C8" w:rsidRDefault="00AC0B27" w:rsidP="008623C8"/>
          <w:p w14:paraId="7615A717" w14:textId="77777777" w:rsidR="00AC0B27" w:rsidRPr="008623C8" w:rsidRDefault="00AC0B27" w:rsidP="008623C8"/>
          <w:p w14:paraId="37B82174" w14:textId="77777777" w:rsidR="00AC0B27" w:rsidRPr="008623C8" w:rsidRDefault="00AC0B27" w:rsidP="008623C8"/>
          <w:p w14:paraId="2DE841F9" w14:textId="77777777" w:rsidR="00AC0B27" w:rsidRPr="008623C8" w:rsidRDefault="00AC0B27" w:rsidP="008623C8"/>
          <w:p w14:paraId="4237B756" w14:textId="77777777" w:rsidR="00AC0B27" w:rsidRPr="008623C8" w:rsidRDefault="00AC0B27" w:rsidP="008623C8"/>
          <w:p w14:paraId="278745ED" w14:textId="7E3A87FF" w:rsidR="00AC0B27" w:rsidRPr="00012195" w:rsidRDefault="00AC0B27" w:rsidP="00F72902">
            <w:pPr>
              <w:rPr>
                <w:b/>
                <w:sz w:val="24"/>
                <w:szCs w:val="24"/>
              </w:rPr>
            </w:pPr>
          </w:p>
        </w:tc>
        <w:tc>
          <w:tcPr>
            <w:tcW w:w="5998" w:type="dxa"/>
          </w:tcPr>
          <w:p w14:paraId="774FBB8C" w14:textId="079E1A63" w:rsidR="00AC0B27" w:rsidRPr="00AC0B27" w:rsidRDefault="00AC0B27" w:rsidP="00AC0B27">
            <w:pPr>
              <w:tabs>
                <w:tab w:val="left" w:pos="4050"/>
              </w:tabs>
              <w:ind w:left="243" w:right="229"/>
              <w:jc w:val="both"/>
            </w:pPr>
            <w:r w:rsidRPr="00AC0B27">
              <w:t>Potrivit notei de fundamentare, proiectul ordinului este elaborat în temeiul art.</w:t>
            </w:r>
            <w:r>
              <w:t xml:space="preserve"> </w:t>
            </w:r>
            <w:r w:rsidRPr="00AC0B27">
              <w:t xml:space="preserve">5 alin. (1), art. 8 alin. (1) lit. b) și lit. l) din </w:t>
            </w:r>
            <w:r w:rsidRPr="00AC0B27">
              <w:rPr>
                <w:i/>
                <w:iCs/>
              </w:rPr>
              <w:t>Legea vânătorii și a protecției fondului</w:t>
            </w:r>
            <w:r>
              <w:rPr>
                <w:i/>
                <w:iCs/>
              </w:rPr>
              <w:t xml:space="preserve"> </w:t>
            </w:r>
            <w:r w:rsidRPr="00AC0B27">
              <w:rPr>
                <w:i/>
                <w:iCs/>
              </w:rPr>
              <w:t>cinegetic nr. 55/2024</w:t>
            </w:r>
            <w:r w:rsidRPr="00AC0B27">
              <w:t>, în scopul reglementării procedurii de organizare a licitațiilor</w:t>
            </w:r>
            <w:r>
              <w:t xml:space="preserve"> </w:t>
            </w:r>
            <w:r w:rsidRPr="00AC0B27">
              <w:t>deschise pentru transmiterea în folosință a fondurilor cinegetice.</w:t>
            </w:r>
          </w:p>
          <w:p w14:paraId="790277DD" w14:textId="3560F743" w:rsidR="00AC0B27" w:rsidRPr="00AC0B27" w:rsidRDefault="00AC0B27" w:rsidP="00AC0B27">
            <w:pPr>
              <w:tabs>
                <w:tab w:val="left" w:pos="4050"/>
              </w:tabs>
              <w:ind w:left="243" w:right="229"/>
              <w:jc w:val="both"/>
            </w:pPr>
            <w:r w:rsidRPr="00AC0B27">
              <w:t>Cu referire la temeiul legal de emitere a actului normativ semnalăm că, potrivit</w:t>
            </w:r>
            <w:r>
              <w:t xml:space="preserve"> </w:t>
            </w:r>
            <w:r w:rsidRPr="00AC0B27">
              <w:t xml:space="preserve">art. 16 alin. (2) al </w:t>
            </w:r>
            <w:r w:rsidRPr="00AC0B27">
              <w:rPr>
                <w:i/>
                <w:iCs/>
              </w:rPr>
              <w:t>Legii nr. 100/2017 cu privire la actele normative</w:t>
            </w:r>
            <w:r w:rsidRPr="00AC0B27">
              <w:t>, actele normative</w:t>
            </w:r>
            <w:r>
              <w:t xml:space="preserve"> </w:t>
            </w:r>
            <w:r w:rsidRPr="00AC0B27">
              <w:t>ale autorităților administrației publice centrale de specialitate și ale autorităților</w:t>
            </w:r>
            <w:r>
              <w:t xml:space="preserve"> </w:t>
            </w:r>
            <w:r w:rsidRPr="00AC0B27">
              <w:t>publice autonome sunt emise sau aprobate numai în temeiul și pentru executarea</w:t>
            </w:r>
            <w:r>
              <w:t xml:space="preserve"> </w:t>
            </w:r>
            <w:r w:rsidRPr="00AC0B27">
              <w:t>legilor și a hotărârilor Parlamentului, a decretelor Președintelui Republicii Moldova,</w:t>
            </w:r>
            <w:r>
              <w:t xml:space="preserve"> </w:t>
            </w:r>
            <w:r w:rsidRPr="00AC0B27">
              <w:t>a hotărârilor și ordonanțelor Guvernului. Actele</w:t>
            </w:r>
            <w:r>
              <w:t xml:space="preserve"> </w:t>
            </w:r>
            <w:r w:rsidRPr="00AC0B27">
              <w:t>normative respective se limitează</w:t>
            </w:r>
            <w:r>
              <w:t xml:space="preserve"> </w:t>
            </w:r>
            <w:r w:rsidRPr="00AC0B27">
              <w:t>strict la cadrul stabilit de actele normative de nivel superior pentru executarea cărora</w:t>
            </w:r>
            <w:r>
              <w:t xml:space="preserve"> </w:t>
            </w:r>
            <w:r w:rsidRPr="00AC0B27">
              <w:t>se emit sau se aprobă și nu pot contraveni prevederilor actelor respective. În clauza</w:t>
            </w:r>
            <w:r>
              <w:t xml:space="preserve"> </w:t>
            </w:r>
            <w:r w:rsidRPr="00AC0B27">
              <w:t>de adoptare a actelor normative ale autorităților administrației publice centrale de</w:t>
            </w:r>
            <w:r>
              <w:t xml:space="preserve"> </w:t>
            </w:r>
            <w:r w:rsidRPr="00AC0B27">
              <w:t>specialitate și ale autorităților publice autonome se indică expres actul normativ</w:t>
            </w:r>
            <w:r>
              <w:t xml:space="preserve"> </w:t>
            </w:r>
            <w:r w:rsidRPr="00AC0B27">
              <w:t>superior în temeiul căruia acestea sunt emise sau aprobate. În context, se atestă lipsa</w:t>
            </w:r>
            <w:r>
              <w:t xml:space="preserve"> </w:t>
            </w:r>
            <w:r w:rsidRPr="00AC0B27">
              <w:t>temeiului legal expres în vederea aprobării actului propus.</w:t>
            </w:r>
          </w:p>
        </w:tc>
        <w:tc>
          <w:tcPr>
            <w:tcW w:w="4458" w:type="dxa"/>
          </w:tcPr>
          <w:p w14:paraId="6965D76F" w14:textId="2C88E590" w:rsidR="00AC0B27" w:rsidRPr="00433DA5" w:rsidRDefault="00AC0B27" w:rsidP="005B75FF">
            <w:pPr>
              <w:pStyle w:val="TableParagraph"/>
              <w:ind w:left="187" w:right="152"/>
              <w:jc w:val="both"/>
              <w:rPr>
                <w:b/>
                <w:bCs/>
                <w:i/>
                <w:iCs/>
              </w:rPr>
            </w:pPr>
            <w:r w:rsidRPr="00012195">
              <w:rPr>
                <w:b/>
                <w:sz w:val="24"/>
                <w:szCs w:val="24"/>
              </w:rPr>
              <w:t xml:space="preserve"> </w:t>
            </w:r>
            <w:r w:rsidRPr="00433DA5">
              <w:rPr>
                <w:b/>
              </w:rPr>
              <w:t xml:space="preserve">Se acceptă, </w:t>
            </w:r>
            <w:r w:rsidRPr="00433DA5">
              <w:t xml:space="preserve"> proiectul Ordinului privind aprobarea Procedurii de organizare a licitației deschise a fost </w:t>
            </w:r>
            <w:r w:rsidR="005B75FF" w:rsidRPr="00433DA5">
              <w:t>redactat</w:t>
            </w:r>
            <w:r w:rsidRPr="00433DA5">
              <w:t xml:space="preserve"> sub formă de Ghid, </w:t>
            </w:r>
            <w:r w:rsidR="005B75FF" w:rsidRPr="00433DA5">
              <w:t xml:space="preserve">în conformitate cu prevederile pct. 9 sbp. 11) din Regulamentul cu privire la organizarea și funcționarea Ministerului Mediului, aprobat prin Hotărârea Guvernului nr. 145/2021 și întru realizarea prevederilor art. 5, alin. (1), art. 8 alin. (1) lit. b) și lit. l) din Legea vânătorii și a protecției fondului cinegetic nr. 55/2024, </w:t>
            </w:r>
            <w:r w:rsidR="005B75FF" w:rsidRPr="00433DA5">
              <w:rPr>
                <w:i/>
                <w:iCs/>
              </w:rPr>
              <w:t>(Monitorul Oficial al Republicii Moldova, 2024, nr. 148-150, art. 213)</w:t>
            </w:r>
          </w:p>
          <w:p w14:paraId="3223926D" w14:textId="77777777" w:rsidR="00AC0B27" w:rsidRPr="00433DA5" w:rsidRDefault="00AC0B27" w:rsidP="0001395C"/>
          <w:p w14:paraId="384C6247" w14:textId="679DA3E2" w:rsidR="00AC0B27" w:rsidRPr="008623C8" w:rsidRDefault="00AC0B27" w:rsidP="008623C8">
            <w:pPr>
              <w:tabs>
                <w:tab w:val="left" w:pos="999"/>
              </w:tabs>
              <w:rPr>
                <w:sz w:val="24"/>
                <w:szCs w:val="24"/>
              </w:rPr>
            </w:pPr>
          </w:p>
        </w:tc>
      </w:tr>
      <w:tr w:rsidR="008356B8" w:rsidRPr="00012195" w14:paraId="51942D56" w14:textId="77777777" w:rsidTr="00E70108">
        <w:trPr>
          <w:trHeight w:val="2826"/>
        </w:trPr>
        <w:tc>
          <w:tcPr>
            <w:tcW w:w="3596" w:type="dxa"/>
          </w:tcPr>
          <w:p w14:paraId="1E219055" w14:textId="168A4262" w:rsidR="008356B8" w:rsidRDefault="008356B8" w:rsidP="008623C8">
            <w:pPr>
              <w:pStyle w:val="TableParagraph"/>
              <w:tabs>
                <w:tab w:val="left" w:pos="1515"/>
                <w:tab w:val="left" w:pos="2364"/>
              </w:tabs>
              <w:ind w:left="107" w:right="100"/>
              <w:rPr>
                <w:b/>
                <w:sz w:val="24"/>
                <w:szCs w:val="24"/>
              </w:rPr>
            </w:pPr>
            <w:r>
              <w:rPr>
                <w:b/>
                <w:sz w:val="24"/>
                <w:szCs w:val="24"/>
              </w:rPr>
              <w:t xml:space="preserve">Aviz </w:t>
            </w:r>
            <w:r w:rsidRPr="008356B8">
              <w:rPr>
                <w:b/>
                <w:sz w:val="24"/>
                <w:szCs w:val="24"/>
              </w:rPr>
              <w:t>AO EcoContact</w:t>
            </w:r>
          </w:p>
          <w:p w14:paraId="79CCBBE2" w14:textId="20094179" w:rsidR="008356B8" w:rsidRPr="00012195" w:rsidRDefault="008356B8" w:rsidP="008623C8">
            <w:pPr>
              <w:pStyle w:val="TableParagraph"/>
              <w:tabs>
                <w:tab w:val="left" w:pos="1515"/>
                <w:tab w:val="left" w:pos="2364"/>
              </w:tabs>
              <w:ind w:left="107" w:right="100"/>
              <w:rPr>
                <w:b/>
                <w:sz w:val="24"/>
                <w:szCs w:val="24"/>
              </w:rPr>
            </w:pPr>
            <w:r w:rsidRPr="008356B8">
              <w:rPr>
                <w:b/>
                <w:sz w:val="24"/>
                <w:szCs w:val="24"/>
              </w:rPr>
              <w:t>nr. 15-EC/2025 din 04 iulie 2025</w:t>
            </w:r>
          </w:p>
        </w:tc>
        <w:tc>
          <w:tcPr>
            <w:tcW w:w="5998" w:type="dxa"/>
          </w:tcPr>
          <w:p w14:paraId="0F0F2CF7" w14:textId="31F0FFDC" w:rsidR="008356B8" w:rsidRDefault="008356B8" w:rsidP="008356B8">
            <w:pPr>
              <w:pStyle w:val="Listparagraf"/>
              <w:numPr>
                <w:ilvl w:val="0"/>
                <w:numId w:val="2"/>
              </w:numPr>
              <w:tabs>
                <w:tab w:val="left" w:pos="518"/>
              </w:tabs>
              <w:ind w:left="235" w:right="229" w:firstLine="0"/>
              <w:jc w:val="both"/>
            </w:pPr>
            <w:r>
              <w:t>Atragem atenția că, din analiza conținutului proiectului, reiese că acesta conține dispoziții</w:t>
            </w:r>
          </w:p>
          <w:p w14:paraId="543CAEDC" w14:textId="77777777" w:rsidR="008356B8" w:rsidRDefault="008356B8" w:rsidP="008356B8">
            <w:pPr>
              <w:tabs>
                <w:tab w:val="left" w:pos="4050"/>
              </w:tabs>
              <w:ind w:left="243" w:right="229"/>
              <w:jc w:val="both"/>
            </w:pPr>
            <w:r>
              <w:t>cu caracter obligatoriu privind procedura, termenele, cerințele și atribuțiile participanților.</w:t>
            </w:r>
          </w:p>
          <w:p w14:paraId="0B6264D5" w14:textId="0C9735E8" w:rsidR="008356B8" w:rsidRDefault="008356B8" w:rsidP="008356B8">
            <w:pPr>
              <w:tabs>
                <w:tab w:val="left" w:pos="4050"/>
              </w:tabs>
              <w:ind w:left="243" w:right="229"/>
              <w:jc w:val="both"/>
            </w:pPr>
            <w:r>
              <w:t>Prin aceasta, proiectul depășește sfera unui simplu ghid cu rol orientativ și dobândește, în fapt, natura unui regulament.</w:t>
            </w:r>
          </w:p>
          <w:p w14:paraId="52CD207B" w14:textId="55C1D8B1" w:rsidR="008356B8" w:rsidRDefault="008356B8" w:rsidP="008356B8">
            <w:pPr>
              <w:tabs>
                <w:tab w:val="left" w:pos="4050"/>
              </w:tabs>
              <w:ind w:left="243" w:right="229"/>
              <w:jc w:val="both"/>
            </w:pPr>
            <w:r>
              <w:t xml:space="preserve">De asemenea, ghidul prevede în anexă modele de documente necesare participării și desfășurării licitației, care, de altfel, sunt deja incluse în anexele Regulamentului aprobat prin Hotărârea Guvernului nr. 136/2009. Acest fapt reflectă o dublare a reglementărilor legale existente și demonstrează că </w:t>
            </w:r>
            <w:r>
              <w:lastRenderedPageBreak/>
              <w:t>nu este necesar un document suplimentar care să reglementeze aceleași proceduri.</w:t>
            </w:r>
          </w:p>
          <w:p w14:paraId="11016C9D" w14:textId="563B5FDD" w:rsidR="008356B8" w:rsidRDefault="008356B8" w:rsidP="008356B8">
            <w:pPr>
              <w:tabs>
                <w:tab w:val="left" w:pos="4050"/>
              </w:tabs>
              <w:ind w:left="243" w:right="229"/>
              <w:jc w:val="both"/>
            </w:pPr>
            <w:r>
              <w:t>Având în vedere cele menționate, considerăm că proiectul Ordinului privind aprobarea Ghidului de organizare a licitației deschise nu întrunește condițiile legale necesare pentru adoptare.</w:t>
            </w:r>
          </w:p>
          <w:p w14:paraId="2F995DD0" w14:textId="66970F6A" w:rsidR="008356B8" w:rsidRDefault="008356B8" w:rsidP="008356B8">
            <w:pPr>
              <w:tabs>
                <w:tab w:val="left" w:pos="4050"/>
              </w:tabs>
              <w:ind w:left="243" w:right="229"/>
              <w:jc w:val="both"/>
            </w:pPr>
            <w:r>
              <w:t>2) În continuare, urmează a se avea în vedere că, potrivit art. 16 alin. (2) din Legea nr. 100/2017 privind actele normative, actele normative emise de autoritățile administrației publice centrale de specialitate pot fi adoptate exclusiv în temeiul și pentru executarea legilor, hotărârilor Parlamentului, decretelor Președintelui Republicii Moldova sau actelor Guvernului. Totodată, aceste acte trebuie să fie strict limitate la cadrul stabilit de actele normative de nivel superior și să indice expres temeiul legal în baza căruia sunt emise.</w:t>
            </w:r>
          </w:p>
          <w:p w14:paraId="5D58BEDB" w14:textId="2C32336A" w:rsidR="008356B8" w:rsidRDefault="008356B8" w:rsidP="008356B8">
            <w:pPr>
              <w:tabs>
                <w:tab w:val="left" w:pos="4050"/>
              </w:tabs>
              <w:ind w:left="243" w:right="229"/>
              <w:jc w:val="both"/>
            </w:pPr>
            <w:r>
              <w:t>În acest sens, art. 5 alin. (1) și art. 8 alin. (1) lit. b) și lit. l) din Legea nr. 55/2024 stabilesc obligația administratorului de a transmite în folosință fondurile cinegetice, prin licitație deschisă, persoanelor juridice înregistrate în Republica Moldova. Totuși, aceste prevederi nu instituie în mod expres necesitatea sau obligația elaborării și aprobării unui ghid sau</w:t>
            </w:r>
          </w:p>
          <w:p w14:paraId="5510B051" w14:textId="0C7000EF" w:rsidR="008356B8" w:rsidRDefault="008356B8" w:rsidP="008356B8">
            <w:pPr>
              <w:tabs>
                <w:tab w:val="left" w:pos="4050"/>
              </w:tabs>
              <w:ind w:left="243" w:right="229"/>
              <w:jc w:val="both"/>
            </w:pPr>
            <w:r>
              <w:t>regulament distinct care să reglementeze suplimentar această procedură. Lipsa unui temei legal expres în acest sens contravine cerințelor art. 16 alin. (2) din Legea nr. 100/2017 și</w:t>
            </w:r>
          </w:p>
          <w:p w14:paraId="7C49022B" w14:textId="77777777" w:rsidR="008356B8" w:rsidRDefault="008356B8" w:rsidP="008356B8">
            <w:pPr>
              <w:tabs>
                <w:tab w:val="left" w:pos="4050"/>
              </w:tabs>
              <w:ind w:left="243" w:right="229"/>
              <w:jc w:val="both"/>
            </w:pPr>
            <w:r>
              <w:t>afectează legalitatea adoptării ordinului în discuție.</w:t>
            </w:r>
          </w:p>
          <w:p w14:paraId="4ABB72D6" w14:textId="5B5D892F" w:rsidR="008356B8" w:rsidRDefault="008356B8" w:rsidP="008356B8">
            <w:pPr>
              <w:tabs>
                <w:tab w:val="left" w:pos="4050"/>
              </w:tabs>
              <w:ind w:left="243" w:right="229"/>
              <w:jc w:val="both"/>
            </w:pPr>
            <w:r>
              <w:t>3) Aprobarea proiectului de Ordin fără a lua în considerare a prevederile legale menționate supra ar duce la emiterea unui act normativ cu încălcarea normelor de procedură și în lipsa</w:t>
            </w:r>
          </w:p>
          <w:p w14:paraId="3E50C0A4" w14:textId="180ED78D" w:rsidR="008356B8" w:rsidRPr="00AC0B27" w:rsidRDefault="008356B8" w:rsidP="008356B8">
            <w:pPr>
              <w:tabs>
                <w:tab w:val="left" w:pos="4050"/>
              </w:tabs>
              <w:ind w:left="243" w:right="229"/>
              <w:jc w:val="both"/>
            </w:pPr>
            <w:r>
              <w:t>unui temei juridic adecvat. Aceasta ar putea genera consecințe negative în aplicarea cadrului legal existent și riscuri de abuzuri atât din partea participanților la procedura de licitație, cât și din partea altor persoane interesate.</w:t>
            </w:r>
          </w:p>
        </w:tc>
        <w:tc>
          <w:tcPr>
            <w:tcW w:w="4458" w:type="dxa"/>
          </w:tcPr>
          <w:p w14:paraId="3F0EC530" w14:textId="686F7309" w:rsidR="008356B8" w:rsidRDefault="00544017" w:rsidP="00544017">
            <w:pPr>
              <w:pStyle w:val="TableParagraph"/>
              <w:ind w:right="152"/>
              <w:jc w:val="both"/>
              <w:rPr>
                <w:b/>
              </w:rPr>
            </w:pPr>
            <w:r>
              <w:rPr>
                <w:b/>
                <w:sz w:val="24"/>
                <w:szCs w:val="24"/>
              </w:rPr>
              <w:lastRenderedPageBreak/>
              <w:t xml:space="preserve">   </w:t>
            </w:r>
            <w:r w:rsidR="0096309C">
              <w:rPr>
                <w:b/>
              </w:rPr>
              <w:t>Se acceptă parțial,</w:t>
            </w:r>
          </w:p>
          <w:p w14:paraId="2460FA3A" w14:textId="75AF87DD" w:rsidR="0096309C" w:rsidRPr="00433DA5" w:rsidRDefault="0096309C" w:rsidP="0096309C">
            <w:pPr>
              <w:pStyle w:val="TableParagraph"/>
              <w:ind w:left="196" w:right="152" w:hanging="196"/>
              <w:jc w:val="both"/>
              <w:rPr>
                <w:bCs/>
              </w:rPr>
            </w:pPr>
            <w:r>
              <w:rPr>
                <w:b/>
              </w:rPr>
              <w:t xml:space="preserve">   </w:t>
            </w:r>
            <w:r>
              <w:t xml:space="preserve"> A fost modificat </w:t>
            </w:r>
            <w:r w:rsidRPr="0096309C">
              <w:rPr>
                <w:bCs/>
              </w:rPr>
              <w:t>t</w:t>
            </w:r>
            <w:r w:rsidRPr="0096309C">
              <w:rPr>
                <w:bCs/>
              </w:rPr>
              <w:t>emeiul legal</w:t>
            </w:r>
            <w:r w:rsidR="00CD3BA3">
              <w:rPr>
                <w:bCs/>
              </w:rPr>
              <w:t xml:space="preserve"> de aprobare a proiectului</w:t>
            </w:r>
            <w:r w:rsidRPr="0096309C">
              <w:rPr>
                <w:bCs/>
              </w:rPr>
              <w:t xml:space="preserve">, </w:t>
            </w:r>
            <w:r>
              <w:rPr>
                <w:bCs/>
              </w:rPr>
              <w:t xml:space="preserve">fiind inclus drept temei </w:t>
            </w:r>
            <w:r w:rsidRPr="0096309C">
              <w:rPr>
                <w:bCs/>
              </w:rPr>
              <w:t>pct. 9 sbp. 11) din Regulamentul cu privire la organizarea și funcționarea Ministerului Mediului, aprobat prin Hotărârea Guvernului nr. 145/2021</w:t>
            </w:r>
            <w:r>
              <w:rPr>
                <w:bCs/>
              </w:rPr>
              <w:t>.</w:t>
            </w:r>
          </w:p>
          <w:p w14:paraId="51CA0453" w14:textId="1B228663" w:rsidR="00433DA5" w:rsidRPr="00433DA5" w:rsidRDefault="0096309C" w:rsidP="00433DA5">
            <w:pPr>
              <w:pStyle w:val="TableParagraph"/>
              <w:ind w:left="187" w:right="152"/>
              <w:jc w:val="both"/>
              <w:rPr>
                <w:bCs/>
              </w:rPr>
            </w:pPr>
            <w:r>
              <w:rPr>
                <w:bCs/>
              </w:rPr>
              <w:t xml:space="preserve">În continuare, </w:t>
            </w:r>
            <w:r w:rsidR="007C3BA0" w:rsidRPr="00433DA5">
              <w:rPr>
                <w:bCs/>
              </w:rPr>
              <w:t>Hotărârea Guvernului nr. 136</w:t>
            </w:r>
            <w:r w:rsidR="00433DA5" w:rsidRPr="00433DA5">
              <w:rPr>
                <w:bCs/>
              </w:rPr>
              <w:t>/</w:t>
            </w:r>
            <w:r w:rsidR="007C3BA0" w:rsidRPr="00433DA5">
              <w:rPr>
                <w:bCs/>
              </w:rPr>
              <w:t xml:space="preserve">2009 privind aprobarea Regulamentului cu privire la licitațiile cu strigare și cu reducere poate fi aplicată subsidiar, doar în </w:t>
            </w:r>
            <w:r w:rsidR="007C3BA0" w:rsidRPr="00433DA5">
              <w:rPr>
                <w:bCs/>
              </w:rPr>
              <w:lastRenderedPageBreak/>
              <w:t>măsura în care nu contravine reglementărilor speciale din</w:t>
            </w:r>
            <w:r w:rsidR="00433DA5" w:rsidRPr="00433DA5">
              <w:rPr>
                <w:bCs/>
              </w:rPr>
              <w:t xml:space="preserve"> </w:t>
            </w:r>
            <w:r w:rsidR="007C3BA0" w:rsidRPr="00433DA5">
              <w:rPr>
                <w:bCs/>
              </w:rPr>
              <w:t xml:space="preserve">Legea vânătorii și a protecției fondului cinegetic nr. 55/2024, în acest sens, </w:t>
            </w:r>
            <w:r w:rsidR="00433DA5" w:rsidRPr="00433DA5">
              <w:rPr>
                <w:bCs/>
              </w:rPr>
              <w:t>potrivit prevederilor art. 4 din Hotărârii Guvernului sus menționată, care prevede că, decizia privind expunerea la licitație a bunurilor este luată de organele abilitate cu aceste atribuții prin lege:</w:t>
            </w:r>
          </w:p>
          <w:p w14:paraId="4E14D332" w14:textId="77777777" w:rsidR="00433DA5" w:rsidRPr="00433DA5" w:rsidRDefault="00433DA5" w:rsidP="00433DA5">
            <w:pPr>
              <w:pStyle w:val="TableParagraph"/>
              <w:ind w:left="187" w:right="152"/>
              <w:jc w:val="both"/>
              <w:rPr>
                <w:bCs/>
              </w:rPr>
            </w:pPr>
            <w:r w:rsidRPr="00433DA5">
              <w:rPr>
                <w:bCs/>
              </w:rPr>
              <w:t>a)</w:t>
            </w:r>
            <w:r w:rsidRPr="00433DA5">
              <w:rPr>
                <w:bCs/>
              </w:rPr>
              <w:tab/>
              <w:t xml:space="preserve">Agenția Proprietății Publice, în cazul privatizării, transmiterii în arendă/locațiune/superficie a bunurilor proprietate publică a statului;  </w:t>
            </w:r>
          </w:p>
          <w:p w14:paraId="0FF70659" w14:textId="77777777" w:rsidR="00433DA5" w:rsidRPr="00433DA5" w:rsidRDefault="00433DA5" w:rsidP="00433DA5">
            <w:pPr>
              <w:pStyle w:val="TableParagraph"/>
              <w:ind w:left="187" w:right="152"/>
              <w:jc w:val="both"/>
              <w:rPr>
                <w:bCs/>
              </w:rPr>
            </w:pPr>
            <w:r w:rsidRPr="00433DA5">
              <w:rPr>
                <w:bCs/>
              </w:rPr>
              <w:t>a</w:t>
            </w:r>
            <w:r w:rsidRPr="00433DA5">
              <w:rPr>
                <w:bCs/>
                <w:vertAlign w:val="superscript"/>
              </w:rPr>
              <w:t>1</w:t>
            </w:r>
            <w:r w:rsidRPr="00433DA5">
              <w:rPr>
                <w:bCs/>
              </w:rPr>
              <w:t>)  autoritățile administrației publice centrale, în cazul în care obiect al licitației este comercializarea altor active decât bunurile imobile, inclusiv construcții nefinalizate, terenuri, complexe de bunuri, încăperi nelocuibile etc;</w:t>
            </w:r>
          </w:p>
          <w:p w14:paraId="12BB4E5D" w14:textId="77777777" w:rsidR="00433DA5" w:rsidRPr="00433DA5" w:rsidRDefault="00433DA5" w:rsidP="00433DA5">
            <w:pPr>
              <w:pStyle w:val="TableParagraph"/>
              <w:ind w:left="187" w:right="152"/>
              <w:jc w:val="both"/>
              <w:rPr>
                <w:bCs/>
              </w:rPr>
            </w:pPr>
            <w:r w:rsidRPr="00433DA5">
              <w:rPr>
                <w:bCs/>
              </w:rPr>
              <w:t>b)</w:t>
            </w:r>
            <w:r w:rsidRPr="00433DA5">
              <w:rPr>
                <w:bCs/>
              </w:rPr>
              <w:tab/>
              <w:t>autoritățile administrației publice ale unităților administrativ-teritoriale de nivelul întâi și de nivelul al doilea, inclusiv ale unității teritoriale autonome Găgăuzia – în privința proprietății unităților administrativ-teritoriale, inclusiv a unității teritoriale autonome Găgăuzia;</w:t>
            </w:r>
          </w:p>
          <w:p w14:paraId="36BA0AF2" w14:textId="77777777" w:rsidR="00433DA5" w:rsidRPr="00433DA5" w:rsidRDefault="00433DA5" w:rsidP="00433DA5">
            <w:pPr>
              <w:pStyle w:val="TableParagraph"/>
              <w:ind w:left="187" w:right="152"/>
              <w:jc w:val="both"/>
              <w:rPr>
                <w:bCs/>
              </w:rPr>
            </w:pPr>
            <w:r w:rsidRPr="00433DA5">
              <w:rPr>
                <w:bCs/>
              </w:rPr>
              <w:t>c)</w:t>
            </w:r>
            <w:r w:rsidRPr="00433DA5">
              <w:rPr>
                <w:bCs/>
              </w:rPr>
              <w:tab/>
              <w:t>organele de conducere ale societăților comerciale, întreprinderilor de stat/municipale, în baza autorizației autorităților administrației publice respective, în cazul în care obiect al licitației este comercializarea sau selectarea locatarilor activelor neutilizate ale întreprinderilor.</w:t>
            </w:r>
          </w:p>
          <w:p w14:paraId="1A42B27E" w14:textId="77777777" w:rsidR="00433DA5" w:rsidRPr="00433DA5" w:rsidRDefault="00433DA5" w:rsidP="00433DA5">
            <w:pPr>
              <w:pStyle w:val="TableParagraph"/>
              <w:ind w:left="187" w:right="152"/>
              <w:jc w:val="both"/>
              <w:rPr>
                <w:bCs/>
              </w:rPr>
            </w:pPr>
            <w:r w:rsidRPr="00433DA5">
              <w:rPr>
                <w:bCs/>
              </w:rPr>
              <w:t>Astfel, norma statuează procedura de organizarea licitațiilor cu strigare și cu reducere în cazurile expres reglementate de cadrul normativ, cum sunt:</w:t>
            </w:r>
          </w:p>
          <w:p w14:paraId="0BC657AE" w14:textId="77777777" w:rsidR="00433DA5" w:rsidRPr="00433DA5" w:rsidRDefault="00433DA5" w:rsidP="00433DA5">
            <w:pPr>
              <w:pStyle w:val="TableParagraph"/>
              <w:ind w:left="187" w:right="152"/>
              <w:jc w:val="both"/>
              <w:rPr>
                <w:bCs/>
              </w:rPr>
            </w:pPr>
            <w:r w:rsidRPr="00433DA5">
              <w:rPr>
                <w:bCs/>
              </w:rPr>
              <w:t>-</w:t>
            </w:r>
            <w:r w:rsidRPr="00433DA5">
              <w:rPr>
                <w:bCs/>
              </w:rPr>
              <w:tab/>
              <w:t>privatizarea, transmiterea în arendă/locațiune/superficie a bunurilor proprietate publică a statului;</w:t>
            </w:r>
          </w:p>
          <w:p w14:paraId="531E61C3" w14:textId="77777777" w:rsidR="00433DA5" w:rsidRPr="00433DA5" w:rsidRDefault="00433DA5" w:rsidP="00433DA5">
            <w:pPr>
              <w:pStyle w:val="TableParagraph"/>
              <w:ind w:left="187" w:right="152"/>
              <w:jc w:val="both"/>
              <w:rPr>
                <w:bCs/>
              </w:rPr>
            </w:pPr>
            <w:r w:rsidRPr="00433DA5">
              <w:rPr>
                <w:bCs/>
              </w:rPr>
              <w:t>-</w:t>
            </w:r>
            <w:r w:rsidRPr="00433DA5">
              <w:rPr>
                <w:bCs/>
              </w:rPr>
              <w:tab/>
              <w:t xml:space="preserve">comercializarea altor active decât bunurile imobile, inclusiv construcții </w:t>
            </w:r>
            <w:r w:rsidRPr="00433DA5">
              <w:rPr>
                <w:bCs/>
              </w:rPr>
              <w:lastRenderedPageBreak/>
              <w:t>nefinalizate, terenuri, complexe de bunuri, încăperi nelocuibile;</w:t>
            </w:r>
          </w:p>
          <w:p w14:paraId="4F994E7B" w14:textId="77777777" w:rsidR="00433DA5" w:rsidRPr="00433DA5" w:rsidRDefault="00433DA5" w:rsidP="00433DA5">
            <w:pPr>
              <w:pStyle w:val="TableParagraph"/>
              <w:ind w:left="187" w:right="152"/>
              <w:jc w:val="both"/>
              <w:rPr>
                <w:bCs/>
              </w:rPr>
            </w:pPr>
            <w:r w:rsidRPr="00433DA5">
              <w:rPr>
                <w:bCs/>
              </w:rPr>
              <w:t>-</w:t>
            </w:r>
            <w:r w:rsidRPr="00433DA5">
              <w:rPr>
                <w:bCs/>
              </w:rPr>
              <w:tab/>
              <w:t>comercializarea sau selectarea locatarilor activelor neutilizate ale întreprinderilor.</w:t>
            </w:r>
          </w:p>
          <w:p w14:paraId="5E1E898E" w14:textId="4680BBE0" w:rsidR="00433DA5" w:rsidRPr="00433DA5" w:rsidRDefault="00433DA5" w:rsidP="00433DA5">
            <w:pPr>
              <w:pStyle w:val="TableParagraph"/>
              <w:ind w:left="187" w:right="152"/>
              <w:jc w:val="both"/>
            </w:pPr>
            <w:r w:rsidRPr="00433DA5">
              <w:rPr>
                <w:bCs/>
              </w:rPr>
              <w:t>În această ordine de idei, transmiterea în folosință a fondurilor cinegetice prin licitație deschisă, nu se încadrează în prevederile Regulamentului privind licitațiile cu strigare și cu reducere, aprobat prin Hotărârea de Guvern nr.136/2009, acest regulament în structura lui actuală ne fiind aplicabil pentru aspectul descris – licitația deschisă a fondurilor cinegetice.</w:t>
            </w:r>
            <w:r w:rsidR="007C3BA0" w:rsidRPr="00433DA5">
              <w:t xml:space="preserve"> </w:t>
            </w:r>
          </w:p>
          <w:p w14:paraId="3E2AFA74" w14:textId="6C2E6AD6" w:rsidR="007C3BA0" w:rsidRPr="00433DA5" w:rsidRDefault="00433DA5" w:rsidP="00433DA5">
            <w:pPr>
              <w:pStyle w:val="TableParagraph"/>
              <w:ind w:left="187" w:right="152"/>
              <w:jc w:val="both"/>
              <w:rPr>
                <w:bCs/>
              </w:rPr>
            </w:pPr>
            <w:r w:rsidRPr="00433DA5">
              <w:rPr>
                <w:bCs/>
              </w:rPr>
              <w:t xml:space="preserve">În continuare, </w:t>
            </w:r>
            <w:r w:rsidR="007C3BA0" w:rsidRPr="00433DA5">
              <w:rPr>
                <w:bCs/>
              </w:rPr>
              <w:t>reglementările Legii 55/2024 nu conțin prevederi detaliate despre desfășurarea propriu-zisă a licitației, pașii procedurali, termene, anunțuri, depunere strigare etc., mai mul ca atât, între prevederile prevăzute în Ghid</w:t>
            </w:r>
            <w:r w:rsidR="007C3BA0" w:rsidRPr="00433DA5">
              <w:t xml:space="preserve"> și </w:t>
            </w:r>
            <w:r w:rsidR="007C3BA0" w:rsidRPr="00433DA5">
              <w:rPr>
                <w:bCs/>
              </w:rPr>
              <w:t>Hotărârea Guvernului nr. 136/2009 privind aprobarea Regulamentului cu privire la licitațiile cu strigare și cu reducere, nu există contradicții.</w:t>
            </w:r>
          </w:p>
          <w:p w14:paraId="2D962591" w14:textId="3AF65C49" w:rsidR="003E6284" w:rsidRPr="00433DA5" w:rsidRDefault="003E6284" w:rsidP="007C3BA0">
            <w:pPr>
              <w:pStyle w:val="TableParagraph"/>
              <w:ind w:left="187" w:right="152"/>
              <w:jc w:val="both"/>
              <w:rPr>
                <w:bCs/>
              </w:rPr>
            </w:pPr>
            <w:r w:rsidRPr="00433DA5">
              <w:rPr>
                <w:bCs/>
              </w:rPr>
              <w:t xml:space="preserve">În consecință, elaborarea unui Ghid privind </w:t>
            </w:r>
            <w:r w:rsidRPr="00433DA5">
              <w:t xml:space="preserve"> </w:t>
            </w:r>
            <w:r w:rsidRPr="00433DA5">
              <w:rPr>
                <w:bCs/>
              </w:rPr>
              <w:t>organizarea licitației deschise  este absolut necesară pentru a asigura legalitatea, transparența, predictibilitatea și eficiența procesului</w:t>
            </w:r>
            <w:r w:rsidR="00433DA5" w:rsidRPr="00433DA5">
              <w:rPr>
                <w:bCs/>
              </w:rPr>
              <w:t xml:space="preserve"> care face ca fiecare licitație deschisă desfășurată să fie verificabilă, predictibilă și legală.</w:t>
            </w:r>
          </w:p>
          <w:p w14:paraId="3AFB3104" w14:textId="5665EB13" w:rsidR="007C3BA0" w:rsidRPr="00433DA5" w:rsidRDefault="00433DA5" w:rsidP="00433DA5">
            <w:pPr>
              <w:pStyle w:val="TableParagraph"/>
              <w:ind w:left="187" w:right="152"/>
              <w:jc w:val="both"/>
              <w:rPr>
                <w:bCs/>
                <w:sz w:val="24"/>
                <w:szCs w:val="24"/>
              </w:rPr>
            </w:pPr>
            <w:r w:rsidRPr="00433DA5">
              <w:rPr>
                <w:bCs/>
              </w:rPr>
              <w:t xml:space="preserve">Ghidul propus este puntea între </w:t>
            </w:r>
            <w:r>
              <w:rPr>
                <w:bCs/>
              </w:rPr>
              <w:t>L</w:t>
            </w:r>
            <w:r w:rsidRPr="00433DA5">
              <w:rPr>
                <w:bCs/>
              </w:rPr>
              <w:t>ege și realitate</w:t>
            </w:r>
            <w:r>
              <w:rPr>
                <w:bCs/>
              </w:rPr>
              <w:t>,</w:t>
            </w:r>
            <w:r w:rsidRPr="00433DA5">
              <w:rPr>
                <w:bCs/>
              </w:rPr>
              <w:t xml:space="preserve"> el transformă principiile generale din Legea 55/2024 în pași practici, controlați, verificabili și aplicabili, contribuind decisiv la legalitatea și eficiența transmiterii fondului cinegetic în folosință.</w:t>
            </w:r>
          </w:p>
        </w:tc>
      </w:tr>
      <w:tr w:rsidR="00544017" w:rsidRPr="00012195" w14:paraId="789BF2C9" w14:textId="77777777" w:rsidTr="00E70108">
        <w:trPr>
          <w:trHeight w:val="2826"/>
        </w:trPr>
        <w:tc>
          <w:tcPr>
            <w:tcW w:w="3596" w:type="dxa"/>
          </w:tcPr>
          <w:p w14:paraId="062874BA" w14:textId="77777777" w:rsidR="00544017" w:rsidRDefault="00544017" w:rsidP="008623C8">
            <w:pPr>
              <w:pStyle w:val="TableParagraph"/>
              <w:tabs>
                <w:tab w:val="left" w:pos="1515"/>
                <w:tab w:val="left" w:pos="2364"/>
              </w:tabs>
              <w:ind w:left="107" w:right="100"/>
              <w:rPr>
                <w:b/>
                <w:sz w:val="24"/>
                <w:szCs w:val="24"/>
              </w:rPr>
            </w:pPr>
          </w:p>
        </w:tc>
        <w:tc>
          <w:tcPr>
            <w:tcW w:w="5998" w:type="dxa"/>
          </w:tcPr>
          <w:p w14:paraId="5276A1F5" w14:textId="77777777" w:rsidR="00544017" w:rsidRDefault="00544017" w:rsidP="00544017">
            <w:pPr>
              <w:pStyle w:val="Listparagraf"/>
              <w:tabs>
                <w:tab w:val="left" w:pos="518"/>
              </w:tabs>
              <w:ind w:left="235" w:right="229"/>
              <w:jc w:val="both"/>
            </w:pPr>
            <w:r>
              <w:t>Comentarii la Nota informativă</w:t>
            </w:r>
          </w:p>
          <w:p w14:paraId="4728A823" w14:textId="6D394F2E" w:rsidR="00544017" w:rsidRDefault="00544017" w:rsidP="00544017">
            <w:pPr>
              <w:pStyle w:val="Listparagraf"/>
              <w:tabs>
                <w:tab w:val="left" w:pos="518"/>
              </w:tabs>
              <w:ind w:left="235" w:right="229"/>
              <w:jc w:val="both"/>
            </w:pPr>
            <w:r>
              <w:t>4) Considerăm că nota informativă care însoțește proiectul de Ordin nu întrunește cerințele de fond prevăzute de cadrul legal privind elaborarea actelor normative, din următoarele motive principale:</w:t>
            </w:r>
          </w:p>
          <w:p w14:paraId="5DF74CE2" w14:textId="10555CC5" w:rsidR="00544017" w:rsidRDefault="00544017" w:rsidP="00544017">
            <w:pPr>
              <w:pStyle w:val="Listparagraf"/>
              <w:tabs>
                <w:tab w:val="left" w:pos="518"/>
              </w:tabs>
              <w:ind w:left="235" w:right="229"/>
              <w:jc w:val="both"/>
            </w:pPr>
            <w:r>
              <w:t>• Lipsa unei argumentări clare a temeiului legal: nota informativă nu explică în mod explicit în baza căror prevederi legale Emitentul dobândește competența de a aproba Ghidul propus, astfel cum impune art. 16 alin. (2) din Legea nr. 100/2017 privind actele normative. Simpla trimitere la art. 5 alin. (1) din Legea nr. 55/2024 nu poate fi considerată un temei suficient, întrucât această prevedere stabilește doar obligația de transmitere a fondurilor cinegetice prin licitație deschisă, fără a prevedea expres necesitatea elaborării unui act normativ suplimentar (ghid sau regulament).</w:t>
            </w:r>
          </w:p>
          <w:p w14:paraId="494A3D4E" w14:textId="75351222" w:rsidR="00544017" w:rsidRDefault="00544017" w:rsidP="00544017">
            <w:pPr>
              <w:pStyle w:val="Listparagraf"/>
              <w:tabs>
                <w:tab w:val="left" w:pos="518"/>
              </w:tabs>
              <w:ind w:left="235" w:right="229"/>
              <w:jc w:val="both"/>
            </w:pPr>
            <w:r>
              <w:t>• Lipsa descrierii situației actuale și a problemelor care impun intervenția: nota informativă nu conține o prezentare detaliată a cadrului normativ aplicabil și a eventualelor deficiențe, așa cum impune metodologia de elaborare a actelor normative. Or, în prezent, procedura licitațiilor deschise este deja reglementată în detaliu de Hotărârea Guvernului nr. 136/2009 pentru aprobarea Regulamentului privind licitațiile cu strigare și cu reducere, act normativ cu caracter obligatoriu.</w:t>
            </w:r>
          </w:p>
          <w:p w14:paraId="77369B36" w14:textId="24272EA3" w:rsidR="00544017" w:rsidRDefault="00544017" w:rsidP="00544017">
            <w:pPr>
              <w:pStyle w:val="Listparagraf"/>
              <w:tabs>
                <w:tab w:val="left" w:pos="518"/>
              </w:tabs>
              <w:ind w:left="235" w:right="229"/>
              <w:jc w:val="both"/>
            </w:pPr>
            <w:r>
              <w:t>Emitentul însuși recunoaște în notă existența acestui act, dar nu justifică necesitatea unui ghid distinct care să detalieze suplimentar procedura deja reglementată.</w:t>
            </w:r>
          </w:p>
          <w:p w14:paraId="18B091C6" w14:textId="6BC01E1B" w:rsidR="00544017" w:rsidRDefault="00544017" w:rsidP="00544017">
            <w:pPr>
              <w:pStyle w:val="Listparagraf"/>
              <w:tabs>
                <w:tab w:val="left" w:pos="518"/>
              </w:tabs>
              <w:ind w:left="235" w:right="229"/>
              <w:jc w:val="both"/>
            </w:pPr>
            <w:r>
              <w:t>• Principalele prevederi ale proiectului se dublează: proiectul Ghidului reia și detailează reguli care există deja în actul normativ superior, respectiv în Regulamentul aprobat prin Hotărârea Guvernului nr. 136/2009. Astfel, în loc să vină</w:t>
            </w:r>
          </w:p>
          <w:p w14:paraId="313578D9" w14:textId="5ED7831D" w:rsidR="00544017" w:rsidRDefault="00544017" w:rsidP="00544017">
            <w:pPr>
              <w:pStyle w:val="Listparagraf"/>
              <w:tabs>
                <w:tab w:val="left" w:pos="518"/>
              </w:tabs>
              <w:ind w:left="235" w:right="229"/>
              <w:jc w:val="both"/>
            </w:pPr>
            <w:r>
              <w:t>cu elemente de noutate sau să corecteze eventuale lacune, proiectul conduce, în fapt,</w:t>
            </w:r>
          </w:p>
          <w:p w14:paraId="5912AB0E" w14:textId="6B69FD90" w:rsidR="00544017" w:rsidRDefault="00544017" w:rsidP="00544017">
            <w:pPr>
              <w:pStyle w:val="Listparagraf"/>
              <w:tabs>
                <w:tab w:val="left" w:pos="518"/>
              </w:tabs>
              <w:ind w:left="235" w:right="229"/>
              <w:jc w:val="both"/>
            </w:pPr>
            <w:r>
              <w:t>la o suprapunere normativă și la posibile incoerențe legislative.</w:t>
            </w:r>
          </w:p>
        </w:tc>
        <w:tc>
          <w:tcPr>
            <w:tcW w:w="4458" w:type="dxa"/>
          </w:tcPr>
          <w:p w14:paraId="50F389C5" w14:textId="77777777" w:rsidR="00544017" w:rsidRPr="00613E54" w:rsidRDefault="00544017" w:rsidP="00544017">
            <w:pPr>
              <w:pStyle w:val="TableParagraph"/>
              <w:ind w:right="152"/>
              <w:jc w:val="both"/>
              <w:rPr>
                <w:b/>
              </w:rPr>
            </w:pPr>
            <w:r>
              <w:rPr>
                <w:b/>
                <w:sz w:val="24"/>
                <w:szCs w:val="24"/>
              </w:rPr>
              <w:t xml:space="preserve"> </w:t>
            </w:r>
            <w:r w:rsidRPr="00613E54">
              <w:rPr>
                <w:b/>
              </w:rPr>
              <w:t>Nu se acceptă.</w:t>
            </w:r>
          </w:p>
          <w:p w14:paraId="1DF7A03C" w14:textId="2EF1C26E" w:rsidR="00C27F88" w:rsidRPr="00613E54" w:rsidRDefault="00544017" w:rsidP="00C27F88">
            <w:pPr>
              <w:pStyle w:val="TableParagraph"/>
              <w:ind w:left="52" w:right="152"/>
              <w:jc w:val="both"/>
              <w:rPr>
                <w:bCs/>
              </w:rPr>
            </w:pPr>
            <w:r w:rsidRPr="00613E54">
              <w:rPr>
                <w:b/>
              </w:rPr>
              <w:t xml:space="preserve"> </w:t>
            </w:r>
            <w:r w:rsidR="00C27F88" w:rsidRPr="00613E54">
              <w:rPr>
                <w:bCs/>
              </w:rPr>
              <w:t xml:space="preserve">Motivele precum că, </w:t>
            </w:r>
            <w:r w:rsidR="00C27F88" w:rsidRPr="00613E54">
              <w:t xml:space="preserve"> </w:t>
            </w:r>
            <w:r w:rsidR="00C27F88" w:rsidRPr="00613E54">
              <w:rPr>
                <w:bCs/>
              </w:rPr>
              <w:t>potrivit prevederilor art. 4 din Hotărârii Guvernului sus menționată, care prevede că, decizia privind expunerea la licitație a bunurilor este luată de organele abilitate cu aceste atribuții prin lege:</w:t>
            </w:r>
          </w:p>
          <w:p w14:paraId="3FCAE4FB" w14:textId="77777777" w:rsidR="00C27F88" w:rsidRPr="00613E54" w:rsidRDefault="00C27F88" w:rsidP="00C27F88">
            <w:pPr>
              <w:pStyle w:val="TableParagraph"/>
              <w:ind w:left="52" w:right="152"/>
              <w:jc w:val="both"/>
              <w:rPr>
                <w:bCs/>
              </w:rPr>
            </w:pPr>
            <w:r w:rsidRPr="00613E54">
              <w:rPr>
                <w:bCs/>
              </w:rPr>
              <w:t>a)</w:t>
            </w:r>
            <w:r w:rsidRPr="00613E54">
              <w:rPr>
                <w:bCs/>
              </w:rPr>
              <w:tab/>
              <w:t xml:space="preserve">Agenția Proprietății Publice, în cazul privatizării, transmiterii în arendă/locațiune/superficie a bunurilor proprietate publică a statului;  </w:t>
            </w:r>
          </w:p>
          <w:p w14:paraId="65BF3A16" w14:textId="77777777" w:rsidR="00C27F88" w:rsidRPr="00613E54" w:rsidRDefault="00C27F88" w:rsidP="00C27F88">
            <w:pPr>
              <w:pStyle w:val="TableParagraph"/>
              <w:ind w:left="52" w:right="152"/>
              <w:jc w:val="both"/>
              <w:rPr>
                <w:bCs/>
              </w:rPr>
            </w:pPr>
            <w:r w:rsidRPr="00613E54">
              <w:rPr>
                <w:bCs/>
              </w:rPr>
              <w:t>a</w:t>
            </w:r>
            <w:r w:rsidRPr="00613E54">
              <w:rPr>
                <w:bCs/>
                <w:vertAlign w:val="superscript"/>
              </w:rPr>
              <w:t>1</w:t>
            </w:r>
            <w:r w:rsidRPr="00613E54">
              <w:rPr>
                <w:bCs/>
              </w:rPr>
              <w:t>)  autoritățile administrației publice centrale, în cazul în care obiect al licitației este comercializarea altor active decât bunurile imobile, inclusiv construcții nefinalizate, terenuri, complexe de bunuri, încăperi nelocuibile etc;</w:t>
            </w:r>
          </w:p>
          <w:p w14:paraId="74245414" w14:textId="77777777" w:rsidR="00C27F88" w:rsidRPr="00613E54" w:rsidRDefault="00C27F88" w:rsidP="00C27F88">
            <w:pPr>
              <w:pStyle w:val="TableParagraph"/>
              <w:ind w:left="52" w:right="152"/>
              <w:jc w:val="both"/>
              <w:rPr>
                <w:bCs/>
              </w:rPr>
            </w:pPr>
            <w:r w:rsidRPr="00613E54">
              <w:rPr>
                <w:bCs/>
              </w:rPr>
              <w:t>b)</w:t>
            </w:r>
            <w:r w:rsidRPr="00613E54">
              <w:rPr>
                <w:bCs/>
              </w:rPr>
              <w:tab/>
              <w:t>autoritățile administrației publice ale unităților administrativ-teritoriale de nivelul întâi și de nivelul al doilea, inclusiv ale unității teritoriale autonome Găgăuzia – în privința proprietății unităților administrativ-teritoriale, inclusiv a unității teritoriale autonome Găgăuzia;</w:t>
            </w:r>
          </w:p>
          <w:p w14:paraId="30BA674C" w14:textId="77777777" w:rsidR="00C27F88" w:rsidRPr="00613E54" w:rsidRDefault="00C27F88" w:rsidP="00C27F88">
            <w:pPr>
              <w:pStyle w:val="TableParagraph"/>
              <w:ind w:left="52" w:right="152"/>
              <w:jc w:val="both"/>
              <w:rPr>
                <w:bCs/>
              </w:rPr>
            </w:pPr>
            <w:r w:rsidRPr="00613E54">
              <w:rPr>
                <w:bCs/>
              </w:rPr>
              <w:t>c)</w:t>
            </w:r>
            <w:r w:rsidRPr="00613E54">
              <w:rPr>
                <w:bCs/>
              </w:rPr>
              <w:tab/>
              <w:t>organele de conducere ale societăților comerciale, întreprinderilor de stat/municipale, în baza autorizației autorităților administrației publice respective, în cazul în care obiect al licitației este comercializarea sau selectarea locatarilor activelor neutilizate ale întreprinderilor.</w:t>
            </w:r>
          </w:p>
          <w:p w14:paraId="7A1994F7" w14:textId="77777777" w:rsidR="00C27F88" w:rsidRPr="00613E54" w:rsidRDefault="00C27F88" w:rsidP="00C27F88">
            <w:pPr>
              <w:pStyle w:val="TableParagraph"/>
              <w:ind w:left="52" w:right="152"/>
              <w:jc w:val="both"/>
              <w:rPr>
                <w:bCs/>
              </w:rPr>
            </w:pPr>
            <w:r w:rsidRPr="00613E54">
              <w:rPr>
                <w:bCs/>
              </w:rPr>
              <w:t>Astfel, norma statuează procedura de organizarea licitațiilor cu strigare și cu reducere în cazurile expres reglementate de cadrul normativ, cum sunt:</w:t>
            </w:r>
          </w:p>
          <w:p w14:paraId="4274B713" w14:textId="77777777" w:rsidR="00C27F88" w:rsidRPr="00613E54" w:rsidRDefault="00C27F88" w:rsidP="00C27F88">
            <w:pPr>
              <w:pStyle w:val="TableParagraph"/>
              <w:ind w:left="52" w:right="152"/>
              <w:jc w:val="both"/>
              <w:rPr>
                <w:bCs/>
              </w:rPr>
            </w:pPr>
            <w:r w:rsidRPr="00613E54">
              <w:rPr>
                <w:bCs/>
              </w:rPr>
              <w:t>-</w:t>
            </w:r>
            <w:r w:rsidRPr="00613E54">
              <w:rPr>
                <w:bCs/>
              </w:rPr>
              <w:tab/>
              <w:t>privatizarea, transmiterea în arendă/locațiune/superficie a bunurilor proprietate publică a statului;</w:t>
            </w:r>
          </w:p>
          <w:p w14:paraId="12A02ABF" w14:textId="77777777" w:rsidR="00C27F88" w:rsidRPr="00613E54" w:rsidRDefault="00C27F88" w:rsidP="00C27F88">
            <w:pPr>
              <w:pStyle w:val="TableParagraph"/>
              <w:ind w:left="52" w:right="152"/>
              <w:jc w:val="both"/>
              <w:rPr>
                <w:bCs/>
              </w:rPr>
            </w:pPr>
            <w:r w:rsidRPr="00613E54">
              <w:rPr>
                <w:bCs/>
              </w:rPr>
              <w:t>-</w:t>
            </w:r>
            <w:r w:rsidRPr="00613E54">
              <w:rPr>
                <w:bCs/>
              </w:rPr>
              <w:tab/>
              <w:t>comercializarea altor active decât bunurile imobile, inclusiv construcții nefinalizate, terenuri, complexe de bunuri, încăperi nelocuibile;</w:t>
            </w:r>
          </w:p>
          <w:p w14:paraId="2594A8DF" w14:textId="77777777" w:rsidR="00C27F88" w:rsidRPr="00613E54" w:rsidRDefault="00C27F88" w:rsidP="00C27F88">
            <w:pPr>
              <w:pStyle w:val="TableParagraph"/>
              <w:ind w:left="52" w:right="152"/>
              <w:jc w:val="both"/>
              <w:rPr>
                <w:bCs/>
              </w:rPr>
            </w:pPr>
            <w:r w:rsidRPr="00613E54">
              <w:rPr>
                <w:bCs/>
              </w:rPr>
              <w:lastRenderedPageBreak/>
              <w:t>-</w:t>
            </w:r>
            <w:r w:rsidRPr="00613E54">
              <w:rPr>
                <w:bCs/>
              </w:rPr>
              <w:tab/>
              <w:t>comercializarea sau selectarea locatarilor activelor neutilizate ale întreprinderilor.</w:t>
            </w:r>
          </w:p>
          <w:p w14:paraId="07F3CFEE" w14:textId="77777777" w:rsidR="00544017" w:rsidRPr="00613E54" w:rsidRDefault="00C27F88" w:rsidP="00C27F88">
            <w:pPr>
              <w:pStyle w:val="TableParagraph"/>
              <w:ind w:left="52" w:right="152"/>
              <w:jc w:val="both"/>
              <w:rPr>
                <w:bCs/>
              </w:rPr>
            </w:pPr>
            <w:r w:rsidRPr="00613E54">
              <w:rPr>
                <w:bCs/>
              </w:rPr>
              <w:t>În această ordine de idei, transmiterea în folosință a fondurilor cinegetice prin licitație deschisă, nu se încadrează în prevederile Regulamentului privind licitațiile cu strigare și cu reducere, aprobat prin Hotărârea de Guvern nr.136/2009, acest regulament în structura lui actuală ne fiind aplicabil pentru aspectul descris – licitația deschisă a fondurilor cinegetice, reprezintă primul și ultimul motiv.</w:t>
            </w:r>
          </w:p>
          <w:p w14:paraId="691BD1EA" w14:textId="77777777" w:rsidR="00C27F88" w:rsidRPr="00613E54" w:rsidRDefault="00C27F88" w:rsidP="00C27F88">
            <w:pPr>
              <w:pStyle w:val="TableParagraph"/>
              <w:ind w:left="52" w:right="152"/>
              <w:jc w:val="both"/>
              <w:rPr>
                <w:bCs/>
              </w:rPr>
            </w:pPr>
            <w:r w:rsidRPr="00613E54">
              <w:rPr>
                <w:bCs/>
              </w:rPr>
              <w:t xml:space="preserve">În continuare, în conformitate cu prevederile pct. 9 sbp. 11) din Regulamentul cu privire la organizarea și funcționarea Ministerului Mediului, aprobat prin Hotărârea Guvernului nr. 145/2021, Ministerul Mediului care are și calitatea de administrator al fondului cinegetic național </w:t>
            </w:r>
            <w:r w:rsidRPr="00613E54">
              <w:t xml:space="preserve"> </w:t>
            </w:r>
            <w:r w:rsidRPr="00613E54">
              <w:rPr>
                <w:bCs/>
              </w:rPr>
              <w:t xml:space="preserve">emite ordine în mod unipersonal şi în limitele competenței sale, asigurând controlul executării acestora. </w:t>
            </w:r>
          </w:p>
          <w:p w14:paraId="3C392DB9" w14:textId="66A63CAF" w:rsidR="00C27F88" w:rsidRPr="00C27F88" w:rsidRDefault="00C27F88" w:rsidP="00C27F88">
            <w:pPr>
              <w:pStyle w:val="TableParagraph"/>
              <w:ind w:left="52" w:right="152"/>
              <w:jc w:val="both"/>
              <w:rPr>
                <w:bCs/>
                <w:sz w:val="24"/>
                <w:szCs w:val="24"/>
              </w:rPr>
            </w:pPr>
            <w:r w:rsidRPr="00613E54">
              <w:rPr>
                <w:bCs/>
              </w:rPr>
              <w:t>În consecință, procedura licitațiilor deschise nu este reglementată în nici un fel de Hotărârea Guvernului nr. 136/2009 pentru aprobarea Regulamentului privind licitațiile cu strigare și cu reducere, act normativ cu caracter obligatoriu, acest Regulament stabilește modul de organizare și de desfășurare a licitațiilor cu strigare și cu reducere</w:t>
            </w:r>
            <w:r w:rsidR="00613E54" w:rsidRPr="00613E54">
              <w:rPr>
                <w:bCs/>
              </w:rPr>
              <w:t xml:space="preserve"> - </w:t>
            </w:r>
            <w:r w:rsidRPr="00613E54">
              <w:rPr>
                <w:bCs/>
                <w:i/>
                <w:iCs/>
              </w:rPr>
              <w:t>(arendă/locațiune/superficie)</w:t>
            </w:r>
            <w:r w:rsidRPr="00613E54">
              <w:rPr>
                <w:bCs/>
              </w:rPr>
              <w:t xml:space="preserve"> a bunurilor proprietate publică a statului, </w:t>
            </w:r>
            <w:r w:rsidR="00613E54" w:rsidRPr="00613E54">
              <w:rPr>
                <w:bCs/>
              </w:rPr>
              <w:t>condițiile</w:t>
            </w:r>
            <w:r w:rsidRPr="00613E54">
              <w:rPr>
                <w:bCs/>
              </w:rPr>
              <w:t xml:space="preserve"> de participare la </w:t>
            </w:r>
            <w:r w:rsidR="00613E54" w:rsidRPr="00613E54">
              <w:rPr>
                <w:bCs/>
              </w:rPr>
              <w:t>licitații</w:t>
            </w:r>
            <w:r w:rsidRPr="00613E54">
              <w:rPr>
                <w:bCs/>
              </w:rPr>
              <w:t xml:space="preserve"> </w:t>
            </w:r>
            <w:r w:rsidR="00613E54" w:rsidRPr="00613E54">
              <w:rPr>
                <w:bCs/>
              </w:rPr>
              <w:t>și</w:t>
            </w:r>
            <w:r w:rsidRPr="00613E54">
              <w:rPr>
                <w:bCs/>
              </w:rPr>
              <w:t xml:space="preserve"> de achitare a costului bunului adjudecat</w:t>
            </w:r>
            <w:r w:rsidR="00613E54" w:rsidRPr="00613E54">
              <w:rPr>
                <w:bCs/>
              </w:rPr>
              <w:t>, deci este exclusă o suprapunere normativă.</w:t>
            </w:r>
          </w:p>
        </w:tc>
      </w:tr>
    </w:tbl>
    <w:p w14:paraId="59E0F345" w14:textId="13D5EF4C" w:rsidR="00FB55A2" w:rsidRDefault="00FB55A2" w:rsidP="00A75CCB">
      <w:pPr>
        <w:rPr>
          <w:b/>
          <w:sz w:val="24"/>
          <w:szCs w:val="24"/>
        </w:rPr>
      </w:pPr>
    </w:p>
    <w:p w14:paraId="0A71A5F8" w14:textId="77777777" w:rsidR="00C71E2E" w:rsidRDefault="00C71E2E" w:rsidP="00A75CCB">
      <w:pPr>
        <w:rPr>
          <w:b/>
          <w:sz w:val="24"/>
          <w:szCs w:val="24"/>
        </w:rPr>
      </w:pPr>
    </w:p>
    <w:p w14:paraId="16DBB22B" w14:textId="77777777" w:rsidR="00C71E2E" w:rsidRDefault="00C71E2E" w:rsidP="00A75CCB">
      <w:pPr>
        <w:rPr>
          <w:b/>
          <w:sz w:val="24"/>
          <w:szCs w:val="24"/>
        </w:rPr>
      </w:pPr>
    </w:p>
    <w:p w14:paraId="6A976318" w14:textId="21E6963B" w:rsidR="00C71E2E" w:rsidRPr="00C71E2E" w:rsidRDefault="00C71E2E" w:rsidP="00A75CCB">
      <w:pPr>
        <w:rPr>
          <w:b/>
          <w:sz w:val="28"/>
          <w:szCs w:val="28"/>
        </w:rPr>
      </w:pPr>
      <w:r>
        <w:rPr>
          <w:b/>
          <w:sz w:val="24"/>
          <w:szCs w:val="24"/>
        </w:rPr>
        <w:t xml:space="preserve">     </w:t>
      </w:r>
      <w:r w:rsidR="00E16C43">
        <w:rPr>
          <w:b/>
          <w:sz w:val="24"/>
          <w:szCs w:val="24"/>
        </w:rPr>
        <w:t xml:space="preserve">                         </w:t>
      </w:r>
      <w:r w:rsidR="006D2331">
        <w:rPr>
          <w:b/>
          <w:sz w:val="28"/>
          <w:szCs w:val="28"/>
        </w:rPr>
        <w:t xml:space="preserve">Secretar de Stat </w:t>
      </w:r>
      <w:r w:rsidR="006D2331">
        <w:rPr>
          <w:b/>
          <w:sz w:val="28"/>
          <w:szCs w:val="28"/>
        </w:rPr>
        <w:tab/>
      </w:r>
      <w:r w:rsidR="006D2331">
        <w:rPr>
          <w:b/>
          <w:sz w:val="28"/>
          <w:szCs w:val="28"/>
        </w:rPr>
        <w:tab/>
      </w:r>
      <w:r w:rsidR="006D2331">
        <w:rPr>
          <w:b/>
          <w:sz w:val="28"/>
          <w:szCs w:val="28"/>
        </w:rPr>
        <w:tab/>
      </w:r>
      <w:r w:rsidR="006D2331">
        <w:rPr>
          <w:b/>
          <w:sz w:val="28"/>
          <w:szCs w:val="28"/>
        </w:rPr>
        <w:tab/>
      </w:r>
      <w:r w:rsidR="006D2331">
        <w:rPr>
          <w:b/>
          <w:sz w:val="28"/>
          <w:szCs w:val="28"/>
        </w:rPr>
        <w:tab/>
      </w:r>
      <w:r w:rsidR="006D2331">
        <w:rPr>
          <w:b/>
          <w:sz w:val="28"/>
          <w:szCs w:val="28"/>
        </w:rPr>
        <w:tab/>
      </w:r>
      <w:r w:rsidR="006D2331">
        <w:rPr>
          <w:b/>
          <w:sz w:val="28"/>
          <w:szCs w:val="28"/>
        </w:rPr>
        <w:tab/>
        <w:t xml:space="preserve">  </w:t>
      </w:r>
      <w:r w:rsidR="00AC0B27">
        <w:rPr>
          <w:b/>
          <w:sz w:val="28"/>
          <w:szCs w:val="28"/>
        </w:rPr>
        <w:t xml:space="preserve">                </w:t>
      </w:r>
      <w:r w:rsidR="006D2331">
        <w:rPr>
          <w:b/>
          <w:sz w:val="28"/>
          <w:szCs w:val="28"/>
        </w:rPr>
        <w:t>Gheorghe HAJDER</w:t>
      </w:r>
    </w:p>
    <w:sectPr w:rsidR="00C71E2E" w:rsidRPr="00C71E2E">
      <w:pgSz w:w="16840" w:h="11910" w:orient="landscape"/>
      <w:pgMar w:top="1100" w:right="84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A08F3" w14:textId="77777777" w:rsidR="00F711E7" w:rsidRDefault="00F711E7" w:rsidP="00131B48">
      <w:r>
        <w:separator/>
      </w:r>
    </w:p>
  </w:endnote>
  <w:endnote w:type="continuationSeparator" w:id="0">
    <w:p w14:paraId="525D8A97" w14:textId="77777777" w:rsidR="00F711E7" w:rsidRDefault="00F711E7" w:rsidP="00131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4634C" w14:textId="77777777" w:rsidR="00F711E7" w:rsidRDefault="00F711E7" w:rsidP="00131B48">
      <w:r>
        <w:separator/>
      </w:r>
    </w:p>
  </w:footnote>
  <w:footnote w:type="continuationSeparator" w:id="0">
    <w:p w14:paraId="39D714CC" w14:textId="77777777" w:rsidR="00F711E7" w:rsidRDefault="00F711E7" w:rsidP="00131B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865F1"/>
    <w:multiLevelType w:val="hybridMultilevel"/>
    <w:tmpl w:val="09D22200"/>
    <w:lvl w:ilvl="0" w:tplc="F1F6FA8A">
      <w:start w:val="1"/>
      <w:numFmt w:val="decimal"/>
      <w:lvlText w:val="%1."/>
      <w:lvlJc w:val="left"/>
      <w:pPr>
        <w:ind w:left="465" w:hanging="360"/>
      </w:pPr>
      <w:rPr>
        <w:rFonts w:hint="default"/>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1" w15:restartNumberingAfterBreak="0">
    <w:nsid w:val="34B125FB"/>
    <w:multiLevelType w:val="hybridMultilevel"/>
    <w:tmpl w:val="8BFE19AE"/>
    <w:lvl w:ilvl="0" w:tplc="2D9E7A68">
      <w:start w:val="1"/>
      <w:numFmt w:val="decimal"/>
      <w:lvlText w:val="%1)"/>
      <w:lvlJc w:val="left"/>
      <w:pPr>
        <w:ind w:left="603" w:hanging="360"/>
      </w:pPr>
      <w:rPr>
        <w:rFonts w:hint="default"/>
      </w:rPr>
    </w:lvl>
    <w:lvl w:ilvl="1" w:tplc="04180019" w:tentative="1">
      <w:start w:val="1"/>
      <w:numFmt w:val="lowerLetter"/>
      <w:lvlText w:val="%2."/>
      <w:lvlJc w:val="left"/>
      <w:pPr>
        <w:ind w:left="1323" w:hanging="360"/>
      </w:pPr>
    </w:lvl>
    <w:lvl w:ilvl="2" w:tplc="0418001B" w:tentative="1">
      <w:start w:val="1"/>
      <w:numFmt w:val="lowerRoman"/>
      <w:lvlText w:val="%3."/>
      <w:lvlJc w:val="right"/>
      <w:pPr>
        <w:ind w:left="2043" w:hanging="180"/>
      </w:pPr>
    </w:lvl>
    <w:lvl w:ilvl="3" w:tplc="0418000F" w:tentative="1">
      <w:start w:val="1"/>
      <w:numFmt w:val="decimal"/>
      <w:lvlText w:val="%4."/>
      <w:lvlJc w:val="left"/>
      <w:pPr>
        <w:ind w:left="2763" w:hanging="360"/>
      </w:pPr>
    </w:lvl>
    <w:lvl w:ilvl="4" w:tplc="04180019" w:tentative="1">
      <w:start w:val="1"/>
      <w:numFmt w:val="lowerLetter"/>
      <w:lvlText w:val="%5."/>
      <w:lvlJc w:val="left"/>
      <w:pPr>
        <w:ind w:left="3483" w:hanging="360"/>
      </w:pPr>
    </w:lvl>
    <w:lvl w:ilvl="5" w:tplc="0418001B" w:tentative="1">
      <w:start w:val="1"/>
      <w:numFmt w:val="lowerRoman"/>
      <w:lvlText w:val="%6."/>
      <w:lvlJc w:val="right"/>
      <w:pPr>
        <w:ind w:left="4203" w:hanging="180"/>
      </w:pPr>
    </w:lvl>
    <w:lvl w:ilvl="6" w:tplc="0418000F" w:tentative="1">
      <w:start w:val="1"/>
      <w:numFmt w:val="decimal"/>
      <w:lvlText w:val="%7."/>
      <w:lvlJc w:val="left"/>
      <w:pPr>
        <w:ind w:left="4923" w:hanging="360"/>
      </w:pPr>
    </w:lvl>
    <w:lvl w:ilvl="7" w:tplc="04180019" w:tentative="1">
      <w:start w:val="1"/>
      <w:numFmt w:val="lowerLetter"/>
      <w:lvlText w:val="%8."/>
      <w:lvlJc w:val="left"/>
      <w:pPr>
        <w:ind w:left="5643" w:hanging="360"/>
      </w:pPr>
    </w:lvl>
    <w:lvl w:ilvl="8" w:tplc="0418001B" w:tentative="1">
      <w:start w:val="1"/>
      <w:numFmt w:val="lowerRoman"/>
      <w:lvlText w:val="%9."/>
      <w:lvlJc w:val="right"/>
      <w:pPr>
        <w:ind w:left="6363" w:hanging="180"/>
      </w:pPr>
    </w:lvl>
  </w:abstractNum>
  <w:num w:numId="1" w16cid:durableId="1977683427">
    <w:abstractNumId w:val="0"/>
  </w:num>
  <w:num w:numId="2" w16cid:durableId="41336157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B55A2"/>
    <w:rsid w:val="00001161"/>
    <w:rsid w:val="00004E35"/>
    <w:rsid w:val="00012195"/>
    <w:rsid w:val="0001395C"/>
    <w:rsid w:val="00041648"/>
    <w:rsid w:val="00046815"/>
    <w:rsid w:val="00061575"/>
    <w:rsid w:val="00064857"/>
    <w:rsid w:val="00085EF6"/>
    <w:rsid w:val="0009112C"/>
    <w:rsid w:val="000B3986"/>
    <w:rsid w:val="000E5B83"/>
    <w:rsid w:val="001128F4"/>
    <w:rsid w:val="00121B7D"/>
    <w:rsid w:val="00131B48"/>
    <w:rsid w:val="001459E3"/>
    <w:rsid w:val="00162EB8"/>
    <w:rsid w:val="00177AB7"/>
    <w:rsid w:val="001848BC"/>
    <w:rsid w:val="00194111"/>
    <w:rsid w:val="001A62A9"/>
    <w:rsid w:val="001D3174"/>
    <w:rsid w:val="001F5C9B"/>
    <w:rsid w:val="002058F4"/>
    <w:rsid w:val="002129C6"/>
    <w:rsid w:val="00233C49"/>
    <w:rsid w:val="0025572A"/>
    <w:rsid w:val="002618B9"/>
    <w:rsid w:val="002B375A"/>
    <w:rsid w:val="002B55FA"/>
    <w:rsid w:val="002D2B86"/>
    <w:rsid w:val="0032009C"/>
    <w:rsid w:val="003401D5"/>
    <w:rsid w:val="00345100"/>
    <w:rsid w:val="0035498B"/>
    <w:rsid w:val="00362358"/>
    <w:rsid w:val="00365A30"/>
    <w:rsid w:val="003705C1"/>
    <w:rsid w:val="003939DC"/>
    <w:rsid w:val="00394DB4"/>
    <w:rsid w:val="003E1714"/>
    <w:rsid w:val="003E6284"/>
    <w:rsid w:val="00433DA5"/>
    <w:rsid w:val="00455950"/>
    <w:rsid w:val="004B379E"/>
    <w:rsid w:val="004C1E7B"/>
    <w:rsid w:val="004D44D4"/>
    <w:rsid w:val="004E1B82"/>
    <w:rsid w:val="004F3E93"/>
    <w:rsid w:val="005225D8"/>
    <w:rsid w:val="00526D97"/>
    <w:rsid w:val="00536514"/>
    <w:rsid w:val="00544017"/>
    <w:rsid w:val="00555C2E"/>
    <w:rsid w:val="00573ED5"/>
    <w:rsid w:val="00574E82"/>
    <w:rsid w:val="005750CC"/>
    <w:rsid w:val="005B1E27"/>
    <w:rsid w:val="005B5EE7"/>
    <w:rsid w:val="005B75FF"/>
    <w:rsid w:val="005F03FA"/>
    <w:rsid w:val="00601330"/>
    <w:rsid w:val="00602253"/>
    <w:rsid w:val="00613E54"/>
    <w:rsid w:val="00621854"/>
    <w:rsid w:val="00664A98"/>
    <w:rsid w:val="00666E75"/>
    <w:rsid w:val="00683642"/>
    <w:rsid w:val="006A1D42"/>
    <w:rsid w:val="006B6A59"/>
    <w:rsid w:val="006C3C61"/>
    <w:rsid w:val="006D2331"/>
    <w:rsid w:val="006D35E5"/>
    <w:rsid w:val="006E08DC"/>
    <w:rsid w:val="006F0A9A"/>
    <w:rsid w:val="006F7788"/>
    <w:rsid w:val="00745768"/>
    <w:rsid w:val="00747649"/>
    <w:rsid w:val="007601A5"/>
    <w:rsid w:val="00791213"/>
    <w:rsid w:val="007976E8"/>
    <w:rsid w:val="007A6EA1"/>
    <w:rsid w:val="007B6733"/>
    <w:rsid w:val="007C0F82"/>
    <w:rsid w:val="007C2A78"/>
    <w:rsid w:val="007C3BA0"/>
    <w:rsid w:val="007C7EE8"/>
    <w:rsid w:val="007D5C88"/>
    <w:rsid w:val="007E1A64"/>
    <w:rsid w:val="007E1E0E"/>
    <w:rsid w:val="00814DF7"/>
    <w:rsid w:val="00817FED"/>
    <w:rsid w:val="0082308B"/>
    <w:rsid w:val="008356B8"/>
    <w:rsid w:val="008623C8"/>
    <w:rsid w:val="00865C53"/>
    <w:rsid w:val="00892A15"/>
    <w:rsid w:val="008A75AB"/>
    <w:rsid w:val="008C2F0E"/>
    <w:rsid w:val="008D5C81"/>
    <w:rsid w:val="008E0E86"/>
    <w:rsid w:val="008E410F"/>
    <w:rsid w:val="008F180C"/>
    <w:rsid w:val="009014CB"/>
    <w:rsid w:val="00923CBB"/>
    <w:rsid w:val="0096309C"/>
    <w:rsid w:val="00966D7A"/>
    <w:rsid w:val="00974DD6"/>
    <w:rsid w:val="00991695"/>
    <w:rsid w:val="009A2C5E"/>
    <w:rsid w:val="009B5D2A"/>
    <w:rsid w:val="009B5EBF"/>
    <w:rsid w:val="009B6A4D"/>
    <w:rsid w:val="009E6035"/>
    <w:rsid w:val="00A04BC0"/>
    <w:rsid w:val="00A14FB8"/>
    <w:rsid w:val="00A21DD3"/>
    <w:rsid w:val="00A22961"/>
    <w:rsid w:val="00A27FD7"/>
    <w:rsid w:val="00A64160"/>
    <w:rsid w:val="00A74016"/>
    <w:rsid w:val="00A75CCB"/>
    <w:rsid w:val="00A778FB"/>
    <w:rsid w:val="00A81DF5"/>
    <w:rsid w:val="00A835F0"/>
    <w:rsid w:val="00AC0B27"/>
    <w:rsid w:val="00B140F8"/>
    <w:rsid w:val="00B312C8"/>
    <w:rsid w:val="00B40E72"/>
    <w:rsid w:val="00B539ED"/>
    <w:rsid w:val="00B62B3D"/>
    <w:rsid w:val="00B81F1F"/>
    <w:rsid w:val="00B876A3"/>
    <w:rsid w:val="00BA3FB3"/>
    <w:rsid w:val="00BA56A4"/>
    <w:rsid w:val="00BB04F4"/>
    <w:rsid w:val="00BB4C90"/>
    <w:rsid w:val="00BB70C6"/>
    <w:rsid w:val="00BC769C"/>
    <w:rsid w:val="00BD6D01"/>
    <w:rsid w:val="00BF42A0"/>
    <w:rsid w:val="00C25E7A"/>
    <w:rsid w:val="00C26DE8"/>
    <w:rsid w:val="00C27F88"/>
    <w:rsid w:val="00C56F06"/>
    <w:rsid w:val="00C60928"/>
    <w:rsid w:val="00C71E2E"/>
    <w:rsid w:val="00C93499"/>
    <w:rsid w:val="00CA4901"/>
    <w:rsid w:val="00CA74C8"/>
    <w:rsid w:val="00CB6CFD"/>
    <w:rsid w:val="00CC20A2"/>
    <w:rsid w:val="00CD09D0"/>
    <w:rsid w:val="00CD3BA3"/>
    <w:rsid w:val="00CF19E4"/>
    <w:rsid w:val="00CF1DE9"/>
    <w:rsid w:val="00CF51F8"/>
    <w:rsid w:val="00D3796E"/>
    <w:rsid w:val="00D567F5"/>
    <w:rsid w:val="00D868A8"/>
    <w:rsid w:val="00DC2C6E"/>
    <w:rsid w:val="00DD5E67"/>
    <w:rsid w:val="00DE20EB"/>
    <w:rsid w:val="00DF6B3C"/>
    <w:rsid w:val="00E011AA"/>
    <w:rsid w:val="00E12DAF"/>
    <w:rsid w:val="00E16C43"/>
    <w:rsid w:val="00E42A26"/>
    <w:rsid w:val="00E70108"/>
    <w:rsid w:val="00E721B7"/>
    <w:rsid w:val="00E74D4D"/>
    <w:rsid w:val="00E75F40"/>
    <w:rsid w:val="00E77EF6"/>
    <w:rsid w:val="00F00E90"/>
    <w:rsid w:val="00F02EBC"/>
    <w:rsid w:val="00F250BD"/>
    <w:rsid w:val="00F34476"/>
    <w:rsid w:val="00F47ECF"/>
    <w:rsid w:val="00F575C1"/>
    <w:rsid w:val="00F57E3E"/>
    <w:rsid w:val="00F70A97"/>
    <w:rsid w:val="00F711E7"/>
    <w:rsid w:val="00F90FD4"/>
    <w:rsid w:val="00FA4502"/>
    <w:rsid w:val="00FA6521"/>
    <w:rsid w:val="00FB55A2"/>
    <w:rsid w:val="00FB5FCB"/>
    <w:rsid w:val="00FC1DBF"/>
    <w:rsid w:val="00FE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5F724"/>
  <w15:docId w15:val="{928B394B-31BB-4DE3-AFF4-BA4021F59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paragraph" w:styleId="Titlu4">
    <w:name w:val="heading 4"/>
    <w:basedOn w:val="Normal"/>
    <w:link w:val="Titlu4Caracter"/>
    <w:uiPriority w:val="9"/>
    <w:qFormat/>
    <w:rsid w:val="00F00E90"/>
    <w:pPr>
      <w:widowControl/>
      <w:autoSpaceDE/>
      <w:autoSpaceDN/>
      <w:spacing w:before="100" w:beforeAutospacing="1" w:after="100" w:afterAutospacing="1"/>
      <w:outlineLvl w:val="3"/>
    </w:pPr>
    <w:rPr>
      <w:b/>
      <w:bCs/>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spacing w:before="3"/>
    </w:pPr>
    <w:rPr>
      <w:b/>
      <w:bCs/>
      <w:sz w:val="28"/>
      <w:szCs w:val="28"/>
    </w:rPr>
  </w:style>
  <w:style w:type="paragraph" w:styleId="Listparagraf">
    <w:name w:val="List Paragraph"/>
    <w:basedOn w:val="Normal"/>
    <w:uiPriority w:val="1"/>
    <w:qFormat/>
  </w:style>
  <w:style w:type="paragraph" w:customStyle="1" w:styleId="TableParagraph">
    <w:name w:val="Table Paragraph"/>
    <w:basedOn w:val="Normal"/>
    <w:uiPriority w:val="1"/>
    <w:qFormat/>
  </w:style>
  <w:style w:type="character" w:customStyle="1" w:styleId="Titlu4Caracter">
    <w:name w:val="Titlu 4 Caracter"/>
    <w:basedOn w:val="Fontdeparagrafimplicit"/>
    <w:link w:val="Titlu4"/>
    <w:uiPriority w:val="9"/>
    <w:rsid w:val="00F00E90"/>
    <w:rPr>
      <w:rFonts w:ascii="Times New Roman" w:eastAsia="Times New Roman" w:hAnsi="Times New Roman" w:cs="Times New Roman"/>
      <w:b/>
      <w:bCs/>
      <w:sz w:val="24"/>
      <w:szCs w:val="24"/>
    </w:rPr>
  </w:style>
  <w:style w:type="paragraph" w:styleId="Frspaiere">
    <w:name w:val="No Spacing"/>
    <w:uiPriority w:val="1"/>
    <w:qFormat/>
    <w:rsid w:val="00F00E90"/>
    <w:pPr>
      <w:widowControl/>
      <w:autoSpaceDE/>
      <w:autoSpaceDN/>
    </w:pPr>
    <w:rPr>
      <w:rFonts w:ascii="Calibri" w:eastAsia="Times New Roman" w:hAnsi="Calibri" w:cs="Times New Roman"/>
    </w:rPr>
  </w:style>
  <w:style w:type="paragraph" w:styleId="Textcomentariu">
    <w:name w:val="annotation text"/>
    <w:basedOn w:val="Normal"/>
    <w:link w:val="TextcomentariuCaracter"/>
    <w:uiPriority w:val="99"/>
    <w:unhideWhenUsed/>
    <w:rsid w:val="00F00E90"/>
    <w:pPr>
      <w:widowControl/>
      <w:autoSpaceDE/>
      <w:autoSpaceDN/>
      <w:ind w:firstLine="720"/>
      <w:jc w:val="both"/>
    </w:pPr>
    <w:rPr>
      <w:sz w:val="20"/>
      <w:szCs w:val="20"/>
      <w:lang w:val="en-US"/>
    </w:rPr>
  </w:style>
  <w:style w:type="character" w:customStyle="1" w:styleId="TextcomentariuCaracter">
    <w:name w:val="Text comentariu Caracter"/>
    <w:basedOn w:val="Fontdeparagrafimplicit"/>
    <w:link w:val="Textcomentariu"/>
    <w:uiPriority w:val="99"/>
    <w:rsid w:val="00F00E90"/>
    <w:rPr>
      <w:rFonts w:ascii="Times New Roman" w:eastAsia="Times New Roman" w:hAnsi="Times New Roman" w:cs="Times New Roman"/>
      <w:sz w:val="20"/>
      <w:szCs w:val="20"/>
    </w:rPr>
  </w:style>
  <w:style w:type="character" w:styleId="Robust">
    <w:name w:val="Strong"/>
    <w:basedOn w:val="Fontdeparagrafimplicit"/>
    <w:uiPriority w:val="22"/>
    <w:qFormat/>
    <w:rsid w:val="00CF1DE9"/>
    <w:rPr>
      <w:b/>
      <w:bCs/>
    </w:rPr>
  </w:style>
  <w:style w:type="paragraph" w:styleId="NormalWeb">
    <w:name w:val="Normal (Web)"/>
    <w:basedOn w:val="Normal"/>
    <w:uiPriority w:val="99"/>
    <w:semiHidden/>
    <w:unhideWhenUsed/>
    <w:rsid w:val="00F575C1"/>
    <w:rPr>
      <w:sz w:val="24"/>
      <w:szCs w:val="24"/>
    </w:rPr>
  </w:style>
  <w:style w:type="paragraph" w:styleId="Antet">
    <w:name w:val="header"/>
    <w:basedOn w:val="Normal"/>
    <w:link w:val="AntetCaracter"/>
    <w:uiPriority w:val="99"/>
    <w:unhideWhenUsed/>
    <w:rsid w:val="00131B48"/>
    <w:pPr>
      <w:tabs>
        <w:tab w:val="center" w:pos="4677"/>
        <w:tab w:val="right" w:pos="9355"/>
      </w:tabs>
    </w:pPr>
  </w:style>
  <w:style w:type="character" w:customStyle="1" w:styleId="AntetCaracter">
    <w:name w:val="Antet Caracter"/>
    <w:basedOn w:val="Fontdeparagrafimplicit"/>
    <w:link w:val="Antet"/>
    <w:uiPriority w:val="99"/>
    <w:rsid w:val="00131B48"/>
    <w:rPr>
      <w:rFonts w:ascii="Times New Roman" w:eastAsia="Times New Roman" w:hAnsi="Times New Roman" w:cs="Times New Roman"/>
      <w:lang w:val="ro-RO"/>
    </w:rPr>
  </w:style>
  <w:style w:type="paragraph" w:styleId="Subsol">
    <w:name w:val="footer"/>
    <w:basedOn w:val="Normal"/>
    <w:link w:val="SubsolCaracter"/>
    <w:uiPriority w:val="99"/>
    <w:unhideWhenUsed/>
    <w:rsid w:val="00131B48"/>
    <w:pPr>
      <w:tabs>
        <w:tab w:val="center" w:pos="4677"/>
        <w:tab w:val="right" w:pos="9355"/>
      </w:tabs>
    </w:pPr>
  </w:style>
  <w:style w:type="character" w:customStyle="1" w:styleId="SubsolCaracter">
    <w:name w:val="Subsol Caracter"/>
    <w:basedOn w:val="Fontdeparagrafimplicit"/>
    <w:link w:val="Subsol"/>
    <w:uiPriority w:val="99"/>
    <w:rsid w:val="00131B48"/>
    <w:rPr>
      <w:rFonts w:ascii="Times New Roman" w:eastAsia="Times New Roman" w:hAnsi="Times New Roman" w:cs="Times New Roman"/>
      <w:lang w:val="ro-RO"/>
    </w:rPr>
  </w:style>
  <w:style w:type="table" w:styleId="Tabelgril">
    <w:name w:val="Table Grid"/>
    <w:basedOn w:val="TabelNormal"/>
    <w:uiPriority w:val="39"/>
    <w:rsid w:val="00B87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6212">
      <w:bodyDiv w:val="1"/>
      <w:marLeft w:val="0"/>
      <w:marRight w:val="0"/>
      <w:marTop w:val="0"/>
      <w:marBottom w:val="0"/>
      <w:divBdr>
        <w:top w:val="none" w:sz="0" w:space="0" w:color="auto"/>
        <w:left w:val="none" w:sz="0" w:space="0" w:color="auto"/>
        <w:bottom w:val="none" w:sz="0" w:space="0" w:color="auto"/>
        <w:right w:val="none" w:sz="0" w:space="0" w:color="auto"/>
      </w:divBdr>
    </w:div>
    <w:div w:id="1800680271">
      <w:bodyDiv w:val="1"/>
      <w:marLeft w:val="0"/>
      <w:marRight w:val="0"/>
      <w:marTop w:val="0"/>
      <w:marBottom w:val="0"/>
      <w:divBdr>
        <w:top w:val="none" w:sz="0" w:space="0" w:color="auto"/>
        <w:left w:val="none" w:sz="0" w:space="0" w:color="auto"/>
        <w:bottom w:val="none" w:sz="0" w:space="0" w:color="auto"/>
        <w:right w:val="none" w:sz="0" w:space="0" w:color="auto"/>
      </w:divBdr>
    </w:div>
    <w:div w:id="1863858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24766-D428-44E2-8B1E-8AD97DADB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4142</TotalTime>
  <Pages>5</Pages>
  <Words>1947</Words>
  <Characters>11299</Characters>
  <Application>Microsoft Office Word</Application>
  <DocSecurity>0</DocSecurity>
  <Lines>94</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Secția politici în domeniul forestier și cinegetic</cp:lastModifiedBy>
  <cp:revision>72</cp:revision>
  <cp:lastPrinted>2025-06-12T13:42:00Z</cp:lastPrinted>
  <dcterms:created xsi:type="dcterms:W3CDTF">2024-02-28T06:06:00Z</dcterms:created>
  <dcterms:modified xsi:type="dcterms:W3CDTF">2025-07-08T13:46:00Z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Microsoft® Word 2013</vt:lpwstr>
  </property>
  <property fmtid="{D5CDD505-2E9C-101B-9397-08002B2CF9AE}" pid="4" name="LastSaved">
    <vt:filetime>2024-02-28T00:00:00Z</vt:filetime>
  </property>
</Properties>
</file>