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AD1F31C" w:rsidR="00D93B73" w:rsidRDefault="0038640A">
      <w:pPr>
        <w:spacing w:after="0" w:line="276" w:lineRule="auto"/>
        <w:ind w:firstLine="720"/>
        <w:jc w:val="center"/>
        <w:rPr>
          <w:rFonts w:ascii="Times New Roman" w:eastAsia="Times New Roman" w:hAnsi="Times New Roman" w:cs="Times New Roman"/>
        </w:rPr>
      </w:pPr>
      <w:r>
        <w:rPr>
          <w:rFonts w:ascii="Times New Roman" w:eastAsia="Times New Roman" w:hAnsi="Times New Roman" w:cs="Times New Roman"/>
          <w:b/>
        </w:rPr>
        <w:t>HOTĂRÂRE</w:t>
      </w:r>
      <w:r>
        <w:rPr>
          <w:rFonts w:ascii="Times New Roman" w:eastAsia="Times New Roman" w:hAnsi="Times New Roman" w:cs="Times New Roman"/>
        </w:rPr>
        <w:t xml:space="preserve"> Nr. </w:t>
      </w:r>
    </w:p>
    <w:p w14:paraId="00000002" w14:textId="63687434" w:rsidR="00D93B73" w:rsidRDefault="0038640A">
      <w:pPr>
        <w:spacing w:after="0" w:line="276" w:lineRule="auto"/>
        <w:ind w:firstLine="720"/>
        <w:jc w:val="center"/>
        <w:rPr>
          <w:rFonts w:ascii="Times New Roman" w:eastAsia="Times New Roman" w:hAnsi="Times New Roman" w:cs="Times New Roman"/>
        </w:rPr>
      </w:pPr>
      <w:r>
        <w:rPr>
          <w:rFonts w:ascii="Times New Roman" w:eastAsia="Times New Roman" w:hAnsi="Times New Roman" w:cs="Times New Roman"/>
        </w:rPr>
        <w:t xml:space="preserve">din </w:t>
      </w:r>
    </w:p>
    <w:p w14:paraId="00000003" w14:textId="77777777" w:rsidR="00D93B73" w:rsidRDefault="0038640A">
      <w:pPr>
        <w:spacing w:after="0" w:line="276" w:lineRule="auto"/>
        <w:ind w:firstLine="720"/>
        <w:jc w:val="center"/>
        <w:rPr>
          <w:rFonts w:ascii="Times New Roman" w:eastAsia="Times New Roman" w:hAnsi="Times New Roman" w:cs="Times New Roman"/>
          <w:b/>
        </w:rPr>
      </w:pPr>
      <w:r>
        <w:rPr>
          <w:rFonts w:ascii="Times New Roman" w:eastAsia="Times New Roman" w:hAnsi="Times New Roman" w:cs="Times New Roman"/>
          <w:b/>
        </w:rPr>
        <w:t>privind aprobarea Regulamentului-cadru</w:t>
      </w:r>
    </w:p>
    <w:p w14:paraId="00000004" w14:textId="77777777" w:rsidR="00D93B73" w:rsidRDefault="0038640A">
      <w:pPr>
        <w:spacing w:after="0" w:line="276" w:lineRule="auto"/>
        <w:ind w:firstLine="720"/>
        <w:jc w:val="center"/>
        <w:rPr>
          <w:rFonts w:ascii="Times New Roman" w:eastAsia="Times New Roman" w:hAnsi="Times New Roman" w:cs="Times New Roman"/>
          <w:b/>
        </w:rPr>
      </w:pPr>
      <w:r>
        <w:rPr>
          <w:rFonts w:ascii="Times New Roman" w:eastAsia="Times New Roman" w:hAnsi="Times New Roman" w:cs="Times New Roman"/>
          <w:b/>
        </w:rPr>
        <w:t xml:space="preserve"> cu privire la produsele de suport non-financiar și financiar nerambursabil destinate întreprinderilor mici și mijlocii implementate de Instituția Publică Organizația pentru Dezvoltarea </w:t>
      </w:r>
      <w:proofErr w:type="spellStart"/>
      <w:r>
        <w:rPr>
          <w:rFonts w:ascii="Times New Roman" w:eastAsia="Times New Roman" w:hAnsi="Times New Roman" w:cs="Times New Roman"/>
          <w:b/>
        </w:rPr>
        <w:t>Antreprenoriatului</w:t>
      </w:r>
      <w:proofErr w:type="spellEnd"/>
    </w:p>
    <w:p w14:paraId="00000005" w14:textId="77777777" w:rsidR="00D93B73" w:rsidRDefault="00D93B73">
      <w:pPr>
        <w:spacing w:after="0" w:line="276" w:lineRule="auto"/>
        <w:ind w:firstLine="720"/>
        <w:jc w:val="center"/>
        <w:rPr>
          <w:rFonts w:ascii="Times New Roman" w:eastAsia="Times New Roman" w:hAnsi="Times New Roman" w:cs="Times New Roman"/>
          <w:b/>
        </w:rPr>
      </w:pPr>
    </w:p>
    <w:p w14:paraId="00000007" w14:textId="77777777" w:rsidR="00D93B73" w:rsidRDefault="0038640A">
      <w:pPr>
        <w:spacing w:after="0" w:line="276" w:lineRule="auto"/>
        <w:ind w:firstLine="720"/>
        <w:jc w:val="both"/>
        <w:rPr>
          <w:rFonts w:ascii="Times New Roman" w:eastAsia="Times New Roman" w:hAnsi="Times New Roman" w:cs="Times New Roman"/>
        </w:rPr>
      </w:pPr>
      <w:r>
        <w:rPr>
          <w:rFonts w:ascii="Times New Roman" w:eastAsia="Times New Roman" w:hAnsi="Times New Roman" w:cs="Times New Roman"/>
        </w:rPr>
        <w:t>În temeiul art. 9 și 11 din Legea nr. 179/2016 cu privire la întreprinderile mici și mijlocii (Monitorul Oficial al Republicii Moldova, 2016, nr. 306-313, art. 651), cu modificările ulterioare, Guvernul HOTĂRĂŞTE:</w:t>
      </w:r>
    </w:p>
    <w:p w14:paraId="00000008" w14:textId="77777777" w:rsidR="00D93B73" w:rsidRDefault="00D93B73">
      <w:pPr>
        <w:spacing w:after="0" w:line="276" w:lineRule="auto"/>
        <w:ind w:firstLine="720"/>
        <w:jc w:val="both"/>
        <w:rPr>
          <w:rFonts w:ascii="Times New Roman" w:eastAsia="Times New Roman" w:hAnsi="Times New Roman" w:cs="Times New Roman"/>
        </w:rPr>
      </w:pPr>
    </w:p>
    <w:p w14:paraId="00000009" w14:textId="77777777" w:rsidR="00D93B73" w:rsidRDefault="0038640A">
      <w:pPr>
        <w:numPr>
          <w:ilvl w:val="0"/>
          <w:numId w:val="1"/>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 aprobă Regulamentul-cadru cu privire la produsele de suport non-financiar și financiar nerambursabil destinate întreprinderilor mici și mijlocii implementate de Instituția Publică Organizația pentru Dezvoltarea </w:t>
      </w:r>
      <w:proofErr w:type="spellStart"/>
      <w:r>
        <w:rPr>
          <w:rFonts w:ascii="Times New Roman" w:eastAsia="Times New Roman" w:hAnsi="Times New Roman" w:cs="Times New Roman"/>
          <w:color w:val="000000"/>
        </w:rPr>
        <w:t>Antreprenoriatului</w:t>
      </w:r>
      <w:proofErr w:type="spellEnd"/>
      <w:r>
        <w:rPr>
          <w:rFonts w:ascii="Times New Roman" w:eastAsia="Times New Roman" w:hAnsi="Times New Roman" w:cs="Times New Roman"/>
          <w:color w:val="000000"/>
        </w:rPr>
        <w:t>, conform anexei nr. 1.</w:t>
      </w:r>
    </w:p>
    <w:p w14:paraId="0000000A" w14:textId="77777777" w:rsidR="00D93B73" w:rsidRDefault="0038640A">
      <w:pPr>
        <w:numPr>
          <w:ilvl w:val="0"/>
          <w:numId w:val="1"/>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Fiecare produs de suport non-financiar și financiar nerambursabil destinat întreprinderilor mici și mijlocii constituie o măsură de sprijin și cade sub incidența prevederilor Legii nr. 139/2012 cu privire la ajutorul de stat.</w:t>
      </w:r>
    </w:p>
    <w:p w14:paraId="0000000B" w14:textId="77777777" w:rsidR="00D93B73" w:rsidRDefault="0038640A">
      <w:pPr>
        <w:numPr>
          <w:ilvl w:val="0"/>
          <w:numId w:val="1"/>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Programele de suport financiar nerambursabil aprobate anterior intrării în vigoare a prezentului Regulament continuă să fie aplicate conform regulilor stabilite la data aprobării, până la finalizarea lor.</w:t>
      </w:r>
    </w:p>
    <w:p w14:paraId="0000000C" w14:textId="77777777" w:rsidR="00D93B73" w:rsidRDefault="0038640A">
      <w:pPr>
        <w:numPr>
          <w:ilvl w:val="0"/>
          <w:numId w:val="1"/>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Controlul asupra executării prezentei hotărâri se pune în sarcina Ministerului Dezvoltării Economice și Digitalizării al Republicii Moldova.</w:t>
      </w:r>
    </w:p>
    <w:p w14:paraId="0000000D" w14:textId="77777777" w:rsidR="00D93B73" w:rsidRDefault="0038640A">
      <w:pPr>
        <w:numPr>
          <w:ilvl w:val="0"/>
          <w:numId w:val="1"/>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Prezenta hotărâre intră în vigoare la data publicării în Monitorul Oficial al Republicii Moldova.</w:t>
      </w:r>
    </w:p>
    <w:p w14:paraId="0000000E" w14:textId="77777777" w:rsidR="00D93B73" w:rsidRDefault="00D93B73">
      <w:pPr>
        <w:spacing w:after="0" w:line="276" w:lineRule="auto"/>
        <w:ind w:firstLine="720"/>
        <w:jc w:val="both"/>
        <w:rPr>
          <w:rFonts w:ascii="Times New Roman" w:eastAsia="Times New Roman" w:hAnsi="Times New Roman" w:cs="Times New Roman"/>
        </w:rPr>
      </w:pPr>
    </w:p>
    <w:p w14:paraId="0000000F" w14:textId="77777777" w:rsidR="00D93B73" w:rsidRDefault="0038640A">
      <w:pPr>
        <w:spacing w:after="0" w:line="276" w:lineRule="auto"/>
        <w:ind w:firstLine="720"/>
        <w:jc w:val="both"/>
        <w:rPr>
          <w:rFonts w:ascii="Times New Roman" w:eastAsia="Times New Roman" w:hAnsi="Times New Roman" w:cs="Times New Roman"/>
        </w:rPr>
      </w:pPr>
      <w:r>
        <w:rPr>
          <w:rFonts w:ascii="Times New Roman" w:eastAsia="Times New Roman" w:hAnsi="Times New Roman" w:cs="Times New Roman"/>
        </w:rPr>
        <w:t> </w:t>
      </w:r>
    </w:p>
    <w:p w14:paraId="00000010" w14:textId="77777777" w:rsidR="00D93B73" w:rsidRDefault="0038640A">
      <w:pPr>
        <w:spacing w:after="0" w:line="276" w:lineRule="auto"/>
        <w:ind w:firstLine="720"/>
        <w:jc w:val="both"/>
        <w:rPr>
          <w:rFonts w:ascii="Times New Roman" w:eastAsia="Times New Roman" w:hAnsi="Times New Roman" w:cs="Times New Roman"/>
        </w:rPr>
      </w:pPr>
      <w:r>
        <w:rPr>
          <w:rFonts w:ascii="Times New Roman" w:eastAsia="Times New Roman" w:hAnsi="Times New Roman" w:cs="Times New Roman"/>
          <w:b/>
        </w:rPr>
        <w:t>PRIM-MINISTRU                                                  Dorin RECEAN</w:t>
      </w:r>
    </w:p>
    <w:p w14:paraId="00000011" w14:textId="77777777" w:rsidR="00D93B73" w:rsidRDefault="0038640A">
      <w:pPr>
        <w:spacing w:after="0" w:line="276" w:lineRule="auto"/>
        <w:ind w:firstLine="720"/>
        <w:jc w:val="both"/>
        <w:rPr>
          <w:rFonts w:ascii="Times New Roman" w:eastAsia="Times New Roman" w:hAnsi="Times New Roman" w:cs="Times New Roman"/>
        </w:rPr>
      </w:pPr>
      <w:r>
        <w:rPr>
          <w:rFonts w:ascii="Times New Roman" w:eastAsia="Times New Roman" w:hAnsi="Times New Roman" w:cs="Times New Roman"/>
          <w:b/>
        </w:rPr>
        <w:t>Contrasemnează:</w:t>
      </w:r>
    </w:p>
    <w:p w14:paraId="00000012" w14:textId="77777777" w:rsidR="00D93B73" w:rsidRDefault="0038640A">
      <w:pPr>
        <w:spacing w:after="0" w:line="276" w:lineRule="auto"/>
        <w:ind w:firstLine="720"/>
        <w:jc w:val="both"/>
        <w:rPr>
          <w:rFonts w:ascii="Times New Roman" w:eastAsia="Times New Roman" w:hAnsi="Times New Roman" w:cs="Times New Roman"/>
        </w:rPr>
      </w:pPr>
      <w:r>
        <w:rPr>
          <w:rFonts w:ascii="Times New Roman" w:eastAsia="Times New Roman" w:hAnsi="Times New Roman" w:cs="Times New Roman"/>
          <w:b/>
        </w:rPr>
        <w:t>Viceprim-ministră,</w:t>
      </w:r>
    </w:p>
    <w:p w14:paraId="00000013" w14:textId="77777777" w:rsidR="00D93B73" w:rsidRDefault="0038640A">
      <w:pPr>
        <w:spacing w:after="0" w:line="276" w:lineRule="auto"/>
        <w:ind w:firstLine="720"/>
        <w:jc w:val="both"/>
        <w:rPr>
          <w:rFonts w:ascii="Times New Roman" w:eastAsia="Times New Roman" w:hAnsi="Times New Roman" w:cs="Times New Roman"/>
        </w:rPr>
      </w:pPr>
      <w:r>
        <w:rPr>
          <w:rFonts w:ascii="Times New Roman" w:eastAsia="Times New Roman" w:hAnsi="Times New Roman" w:cs="Times New Roman"/>
          <w:b/>
        </w:rPr>
        <w:t>Ministră a dezvoltării</w:t>
      </w:r>
    </w:p>
    <w:p w14:paraId="00000014" w14:textId="7CD444DF" w:rsidR="00D93B73" w:rsidRDefault="0038640A">
      <w:pPr>
        <w:spacing w:after="0" w:line="276" w:lineRule="auto"/>
        <w:ind w:firstLine="720"/>
        <w:jc w:val="both"/>
        <w:rPr>
          <w:rFonts w:ascii="Times New Roman" w:eastAsia="Times New Roman" w:hAnsi="Times New Roman" w:cs="Times New Roman"/>
        </w:rPr>
      </w:pPr>
      <w:r>
        <w:rPr>
          <w:rFonts w:ascii="Times New Roman" w:eastAsia="Times New Roman" w:hAnsi="Times New Roman" w:cs="Times New Roman"/>
          <w:b/>
        </w:rPr>
        <w:t xml:space="preserve">economice și digitalizării                                  </w:t>
      </w:r>
      <w:r w:rsidR="004066BB">
        <w:rPr>
          <w:rFonts w:ascii="Times New Roman" w:eastAsia="Times New Roman" w:hAnsi="Times New Roman" w:cs="Times New Roman"/>
          <w:b/>
        </w:rPr>
        <w:t xml:space="preserve">      </w:t>
      </w:r>
      <w:r>
        <w:rPr>
          <w:rFonts w:ascii="Times New Roman" w:eastAsia="Times New Roman" w:hAnsi="Times New Roman" w:cs="Times New Roman"/>
          <w:b/>
        </w:rPr>
        <w:t>Doina Nistor</w:t>
      </w:r>
    </w:p>
    <w:p w14:paraId="00000015" w14:textId="77777777" w:rsidR="00D93B73" w:rsidRDefault="0038640A">
      <w:pPr>
        <w:spacing w:after="0" w:line="276" w:lineRule="auto"/>
        <w:ind w:firstLine="720"/>
        <w:jc w:val="both"/>
        <w:rPr>
          <w:rFonts w:ascii="Times New Roman" w:eastAsia="Times New Roman" w:hAnsi="Times New Roman" w:cs="Times New Roman"/>
        </w:rPr>
      </w:pPr>
      <w:r>
        <w:rPr>
          <w:rFonts w:ascii="Times New Roman" w:eastAsia="Times New Roman" w:hAnsi="Times New Roman" w:cs="Times New Roman"/>
        </w:rPr>
        <w:t> </w:t>
      </w:r>
    </w:p>
    <w:p w14:paraId="09E6A6E6" w14:textId="77777777" w:rsidR="005536DD" w:rsidRDefault="005536DD">
      <w:pPr>
        <w:spacing w:after="0" w:line="276" w:lineRule="auto"/>
        <w:ind w:firstLine="720"/>
        <w:jc w:val="both"/>
        <w:rPr>
          <w:rFonts w:ascii="Times New Roman" w:eastAsia="Times New Roman" w:hAnsi="Times New Roman" w:cs="Times New Roman"/>
          <w:b/>
        </w:rPr>
      </w:pPr>
    </w:p>
    <w:p w14:paraId="00000017" w14:textId="709D8398" w:rsidR="00D93B73" w:rsidRDefault="0038640A">
      <w:pPr>
        <w:spacing w:after="0" w:line="276" w:lineRule="auto"/>
        <w:ind w:firstLine="720"/>
        <w:jc w:val="both"/>
        <w:rPr>
          <w:rFonts w:ascii="Times New Roman" w:eastAsia="Times New Roman" w:hAnsi="Times New Roman" w:cs="Times New Roman"/>
        </w:rPr>
      </w:pPr>
      <w:r>
        <w:rPr>
          <w:rFonts w:ascii="Times New Roman" w:eastAsia="Times New Roman" w:hAnsi="Times New Roman" w:cs="Times New Roman"/>
        </w:rPr>
        <w:t> </w:t>
      </w:r>
    </w:p>
    <w:p w14:paraId="00000018" w14:textId="77777777" w:rsidR="00D93B73" w:rsidRDefault="00D93B73">
      <w:pPr>
        <w:spacing w:after="0" w:line="276" w:lineRule="auto"/>
        <w:ind w:firstLine="720"/>
        <w:jc w:val="both"/>
        <w:rPr>
          <w:rFonts w:ascii="Times New Roman" w:eastAsia="Times New Roman" w:hAnsi="Times New Roman" w:cs="Times New Roman"/>
        </w:rPr>
      </w:pPr>
    </w:p>
    <w:p w14:paraId="00000019" w14:textId="77777777" w:rsidR="00D93B73" w:rsidRDefault="00D93B73">
      <w:pPr>
        <w:spacing w:after="0" w:line="276" w:lineRule="auto"/>
        <w:ind w:firstLine="720"/>
        <w:jc w:val="both"/>
        <w:rPr>
          <w:rFonts w:ascii="Times New Roman" w:eastAsia="Times New Roman" w:hAnsi="Times New Roman" w:cs="Times New Roman"/>
        </w:rPr>
      </w:pPr>
    </w:p>
    <w:p w14:paraId="0000001A" w14:textId="77777777" w:rsidR="00D93B73" w:rsidRDefault="00D93B73">
      <w:pPr>
        <w:spacing w:after="0" w:line="276" w:lineRule="auto"/>
        <w:ind w:firstLine="720"/>
        <w:jc w:val="both"/>
        <w:rPr>
          <w:rFonts w:ascii="Times New Roman" w:eastAsia="Times New Roman" w:hAnsi="Times New Roman" w:cs="Times New Roman"/>
        </w:rPr>
      </w:pPr>
    </w:p>
    <w:p w14:paraId="0000001B" w14:textId="77777777" w:rsidR="00D93B73" w:rsidRDefault="00D93B73">
      <w:pPr>
        <w:spacing w:after="0" w:line="276" w:lineRule="auto"/>
        <w:ind w:firstLine="720"/>
        <w:jc w:val="both"/>
        <w:rPr>
          <w:rFonts w:ascii="Times New Roman" w:eastAsia="Times New Roman" w:hAnsi="Times New Roman" w:cs="Times New Roman"/>
        </w:rPr>
      </w:pPr>
    </w:p>
    <w:p w14:paraId="0000001C" w14:textId="2DC15D6C" w:rsidR="00D93B73" w:rsidRDefault="00D93B73">
      <w:pPr>
        <w:spacing w:after="0" w:line="276" w:lineRule="auto"/>
        <w:ind w:firstLine="720"/>
        <w:jc w:val="both"/>
        <w:rPr>
          <w:rFonts w:ascii="Times New Roman" w:eastAsia="Times New Roman" w:hAnsi="Times New Roman" w:cs="Times New Roman"/>
        </w:rPr>
      </w:pPr>
    </w:p>
    <w:p w14:paraId="6E29D298" w14:textId="77777777" w:rsidR="005536DD" w:rsidRDefault="005536DD">
      <w:pPr>
        <w:spacing w:after="0" w:line="276" w:lineRule="auto"/>
        <w:ind w:firstLine="720"/>
        <w:jc w:val="both"/>
        <w:rPr>
          <w:rFonts w:ascii="Times New Roman" w:eastAsia="Times New Roman" w:hAnsi="Times New Roman" w:cs="Times New Roman"/>
        </w:rPr>
      </w:pPr>
    </w:p>
    <w:p w14:paraId="0000001D" w14:textId="13808654" w:rsidR="00D93B73" w:rsidRDefault="0038640A">
      <w:pPr>
        <w:spacing w:after="0" w:line="276" w:lineRule="auto"/>
        <w:ind w:firstLine="720"/>
        <w:jc w:val="right"/>
        <w:rPr>
          <w:rFonts w:ascii="Times New Roman" w:eastAsia="Times New Roman" w:hAnsi="Times New Roman" w:cs="Times New Roman"/>
        </w:rPr>
      </w:pPr>
      <w:r>
        <w:rPr>
          <w:rFonts w:ascii="Times New Roman" w:eastAsia="Times New Roman" w:hAnsi="Times New Roman" w:cs="Times New Roman"/>
        </w:rPr>
        <w:lastRenderedPageBreak/>
        <w:t xml:space="preserve">Anexa </w:t>
      </w:r>
    </w:p>
    <w:p w14:paraId="0000001E" w14:textId="14A9148E" w:rsidR="00D93B73" w:rsidRDefault="0038640A">
      <w:pPr>
        <w:spacing w:after="0" w:line="276" w:lineRule="auto"/>
        <w:ind w:firstLine="720"/>
        <w:jc w:val="right"/>
        <w:rPr>
          <w:rFonts w:ascii="Times New Roman" w:eastAsia="Times New Roman" w:hAnsi="Times New Roman" w:cs="Times New Roman"/>
        </w:rPr>
      </w:pPr>
      <w:r>
        <w:rPr>
          <w:rFonts w:ascii="Times New Roman" w:eastAsia="Times New Roman" w:hAnsi="Times New Roman" w:cs="Times New Roman"/>
        </w:rPr>
        <w:t xml:space="preserve">la Hotărârea Guvernului nr. </w:t>
      </w:r>
    </w:p>
    <w:p w14:paraId="0000001F" w14:textId="77777777" w:rsidR="00D93B73" w:rsidRDefault="00D93B73">
      <w:pPr>
        <w:spacing w:after="0" w:line="276" w:lineRule="auto"/>
        <w:ind w:firstLine="720"/>
        <w:jc w:val="center"/>
        <w:rPr>
          <w:rFonts w:ascii="Times New Roman" w:eastAsia="Times New Roman" w:hAnsi="Times New Roman" w:cs="Times New Roman"/>
          <w:b/>
        </w:rPr>
      </w:pPr>
    </w:p>
    <w:p w14:paraId="00000020" w14:textId="77777777" w:rsidR="00D93B73" w:rsidRDefault="0038640A">
      <w:pPr>
        <w:spacing w:after="0" w:line="276" w:lineRule="auto"/>
        <w:ind w:firstLine="720"/>
        <w:jc w:val="center"/>
        <w:rPr>
          <w:rFonts w:ascii="Times New Roman" w:eastAsia="Times New Roman" w:hAnsi="Times New Roman" w:cs="Times New Roman"/>
          <w:b/>
        </w:rPr>
      </w:pPr>
      <w:r>
        <w:rPr>
          <w:rFonts w:ascii="Times New Roman" w:eastAsia="Times New Roman" w:hAnsi="Times New Roman" w:cs="Times New Roman"/>
          <w:b/>
        </w:rPr>
        <w:t>Regulamentul-cadru</w:t>
      </w:r>
    </w:p>
    <w:p w14:paraId="00000021" w14:textId="77777777" w:rsidR="00D93B73" w:rsidRDefault="0038640A">
      <w:pPr>
        <w:spacing w:after="0" w:line="276" w:lineRule="auto"/>
        <w:ind w:firstLine="720"/>
        <w:jc w:val="center"/>
        <w:rPr>
          <w:rFonts w:ascii="Times New Roman" w:eastAsia="Times New Roman" w:hAnsi="Times New Roman" w:cs="Times New Roman"/>
          <w:b/>
          <w:color w:val="FF0000"/>
        </w:rPr>
      </w:pPr>
      <w:r>
        <w:rPr>
          <w:rFonts w:ascii="Times New Roman" w:eastAsia="Times New Roman" w:hAnsi="Times New Roman" w:cs="Times New Roman"/>
          <w:b/>
        </w:rPr>
        <w:t xml:space="preserve"> cu privire la produsele de suport non-financiar și financiar nerambursabil destinate întreprinderilor mici și mijlocii implementate de Instituția Publică Organizația pentru Dezvoltarea </w:t>
      </w:r>
      <w:proofErr w:type="spellStart"/>
      <w:r>
        <w:rPr>
          <w:rFonts w:ascii="Times New Roman" w:eastAsia="Times New Roman" w:hAnsi="Times New Roman" w:cs="Times New Roman"/>
          <w:b/>
        </w:rPr>
        <w:t>Antreprenoriatului</w:t>
      </w:r>
      <w:proofErr w:type="spellEnd"/>
    </w:p>
    <w:p w14:paraId="00000022" w14:textId="77777777" w:rsidR="00D93B73" w:rsidRDefault="0038640A">
      <w:pPr>
        <w:spacing w:after="0" w:line="276" w:lineRule="auto"/>
        <w:ind w:firstLine="720"/>
        <w:jc w:val="center"/>
        <w:rPr>
          <w:rFonts w:ascii="Times New Roman" w:eastAsia="Times New Roman" w:hAnsi="Times New Roman" w:cs="Times New Roman"/>
        </w:rPr>
      </w:pPr>
      <w:r>
        <w:rPr>
          <w:rFonts w:ascii="Times New Roman" w:eastAsia="Times New Roman" w:hAnsi="Times New Roman" w:cs="Times New Roman"/>
          <w:b/>
        </w:rPr>
        <w:t>Capitolul  I</w:t>
      </w:r>
    </w:p>
    <w:p w14:paraId="00000023" w14:textId="77777777" w:rsidR="00D93B73" w:rsidRDefault="0038640A">
      <w:pPr>
        <w:spacing w:after="0" w:line="276" w:lineRule="auto"/>
        <w:ind w:firstLine="720"/>
        <w:jc w:val="center"/>
        <w:rPr>
          <w:rFonts w:ascii="Times New Roman" w:eastAsia="Times New Roman" w:hAnsi="Times New Roman" w:cs="Times New Roman"/>
          <w:b/>
        </w:rPr>
      </w:pPr>
      <w:r>
        <w:rPr>
          <w:rFonts w:ascii="Times New Roman" w:eastAsia="Times New Roman" w:hAnsi="Times New Roman" w:cs="Times New Roman"/>
          <w:b/>
        </w:rPr>
        <w:t>DISPOZIȚII GENERALE</w:t>
      </w:r>
    </w:p>
    <w:p w14:paraId="00000024" w14:textId="77777777" w:rsidR="00D93B73" w:rsidRDefault="00D93B73">
      <w:pPr>
        <w:spacing w:after="0" w:line="276" w:lineRule="auto"/>
        <w:ind w:firstLine="720"/>
        <w:jc w:val="center"/>
        <w:rPr>
          <w:rFonts w:ascii="Times New Roman" w:eastAsia="Times New Roman" w:hAnsi="Times New Roman" w:cs="Times New Roman"/>
        </w:rPr>
      </w:pPr>
    </w:p>
    <w:p w14:paraId="00000025" w14:textId="77777777" w:rsidR="00D93B73" w:rsidRDefault="0038640A">
      <w:pPr>
        <w:numPr>
          <w:ilvl w:val="0"/>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Prezentul Regulament stabilește cadrul normativ pentru elaborarea, aprobarea, implementarea și monitorizarea implementării produselor de suport non-financiare și financiare nerambursabile (în continuare – </w:t>
      </w:r>
      <w:r>
        <w:rPr>
          <w:rFonts w:ascii="Times New Roman" w:eastAsia="Times New Roman" w:hAnsi="Times New Roman" w:cs="Times New Roman"/>
          <w:i/>
          <w:color w:val="000000"/>
        </w:rPr>
        <w:t>Produse de suport</w:t>
      </w:r>
      <w:r>
        <w:rPr>
          <w:rFonts w:ascii="Times New Roman" w:eastAsia="Times New Roman" w:hAnsi="Times New Roman" w:cs="Times New Roman"/>
          <w:color w:val="000000"/>
        </w:rPr>
        <w:t xml:space="preserve">) destinate întreprinderilor mici și mijlocii (în continuare – </w:t>
      </w:r>
      <w:r>
        <w:rPr>
          <w:rFonts w:ascii="Times New Roman" w:eastAsia="Times New Roman" w:hAnsi="Times New Roman" w:cs="Times New Roman"/>
          <w:i/>
          <w:color w:val="000000"/>
        </w:rPr>
        <w:t>IMM-uri</w:t>
      </w:r>
      <w:r>
        <w:rPr>
          <w:rFonts w:ascii="Times New Roman" w:eastAsia="Times New Roman" w:hAnsi="Times New Roman" w:cs="Times New Roman"/>
          <w:color w:val="000000"/>
        </w:rPr>
        <w:t>), în vederea susținerii lansării și dezvoltării durabile a afacerilor, creșterii competitivității și inovării IMM-urilor, contribuind astfel la consolidarea economiei naționale și la promovarea unui mediu de afaceri sustenabil.</w:t>
      </w:r>
    </w:p>
    <w:p w14:paraId="00000026" w14:textId="77777777" w:rsidR="00D93B73" w:rsidRDefault="00D93B73">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rPr>
      </w:pPr>
    </w:p>
    <w:p w14:paraId="00000027" w14:textId="77777777" w:rsidR="00D93B73" w:rsidRDefault="0038640A">
      <w:pPr>
        <w:numPr>
          <w:ilvl w:val="0"/>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Regulamentul se aplică tuturor Produselor de suport elaborate și implementate în conformitate cu prezentul Regulament de către Instituția Publică Organizația pentru Dezvoltarea </w:t>
      </w:r>
      <w:proofErr w:type="spellStart"/>
      <w:r>
        <w:rPr>
          <w:rFonts w:ascii="Times New Roman" w:eastAsia="Times New Roman" w:hAnsi="Times New Roman" w:cs="Times New Roman"/>
          <w:color w:val="000000"/>
        </w:rPr>
        <w:t>Antreprenoriatului</w:t>
      </w:r>
      <w:proofErr w:type="spellEnd"/>
      <w:r>
        <w:rPr>
          <w:rFonts w:ascii="Times New Roman" w:eastAsia="Times New Roman" w:hAnsi="Times New Roman" w:cs="Times New Roman"/>
          <w:color w:val="000000"/>
        </w:rPr>
        <w:t xml:space="preserve"> (în continuare – </w:t>
      </w:r>
      <w:r>
        <w:rPr>
          <w:rFonts w:ascii="Times New Roman" w:eastAsia="Times New Roman" w:hAnsi="Times New Roman" w:cs="Times New Roman"/>
          <w:i/>
          <w:color w:val="000000"/>
        </w:rPr>
        <w:t>ODA</w:t>
      </w:r>
      <w:r>
        <w:rPr>
          <w:rFonts w:ascii="Times New Roman" w:eastAsia="Times New Roman" w:hAnsi="Times New Roman" w:cs="Times New Roman"/>
          <w:color w:val="000000"/>
        </w:rPr>
        <w:t xml:space="preserve">), fiind coordonate prealabil cu Ministerul Dezvoltării Economice și Digitalizării (în continuare – </w:t>
      </w:r>
      <w:r>
        <w:rPr>
          <w:rFonts w:ascii="Times New Roman" w:eastAsia="Times New Roman" w:hAnsi="Times New Roman" w:cs="Times New Roman"/>
          <w:i/>
          <w:color w:val="000000"/>
        </w:rPr>
        <w:t>MDED</w:t>
      </w:r>
      <w:r>
        <w:rPr>
          <w:rFonts w:ascii="Times New Roman" w:eastAsia="Times New Roman" w:hAnsi="Times New Roman" w:cs="Times New Roman"/>
          <w:color w:val="000000"/>
        </w:rPr>
        <w:t>) și alți parteneri relevanți.</w:t>
      </w:r>
    </w:p>
    <w:p w14:paraId="00000028" w14:textId="77777777" w:rsidR="00D93B73" w:rsidRDefault="00D93B73">
      <w:pPr>
        <w:spacing w:after="0" w:line="276" w:lineRule="auto"/>
        <w:jc w:val="both"/>
        <w:rPr>
          <w:rFonts w:ascii="Times New Roman" w:eastAsia="Times New Roman" w:hAnsi="Times New Roman" w:cs="Times New Roman"/>
        </w:rPr>
      </w:pPr>
    </w:p>
    <w:p w14:paraId="00000029" w14:textId="77777777" w:rsidR="00D93B73" w:rsidRDefault="0038640A">
      <w:pPr>
        <w:numPr>
          <w:ilvl w:val="0"/>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Definiții</w:t>
      </w:r>
    </w:p>
    <w:p w14:paraId="0000002A" w14:textId="77777777" w:rsidR="00D93B73" w:rsidRDefault="0038640A">
      <w:pPr>
        <w:spacing w:after="0" w:line="276" w:lineRule="auto"/>
        <w:ind w:firstLine="720"/>
        <w:jc w:val="both"/>
        <w:rPr>
          <w:rFonts w:ascii="Times New Roman" w:eastAsia="Times New Roman" w:hAnsi="Times New Roman" w:cs="Times New Roman"/>
        </w:rPr>
      </w:pPr>
      <w:r>
        <w:rPr>
          <w:rFonts w:ascii="Times New Roman" w:eastAsia="Times New Roman" w:hAnsi="Times New Roman" w:cs="Times New Roman"/>
        </w:rPr>
        <w:t>În sensul prezentului Regulament se definesc următorii termeni:</w:t>
      </w:r>
    </w:p>
    <w:p w14:paraId="0000002B" w14:textId="0271E539" w:rsidR="00D93B73" w:rsidRDefault="005536DD">
      <w:pPr>
        <w:numPr>
          <w:ilvl w:val="1"/>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i/>
          <w:color w:val="000000"/>
        </w:rPr>
        <w:t>b</w:t>
      </w:r>
      <w:r w:rsidR="0038640A">
        <w:rPr>
          <w:rFonts w:ascii="Times New Roman" w:eastAsia="Times New Roman" w:hAnsi="Times New Roman" w:cs="Times New Roman"/>
          <w:i/>
          <w:color w:val="000000"/>
        </w:rPr>
        <w:t>eneficiar</w:t>
      </w:r>
      <w:r w:rsidR="0038640A">
        <w:rPr>
          <w:rFonts w:ascii="Times New Roman" w:eastAsia="Times New Roman" w:hAnsi="Times New Roman" w:cs="Times New Roman"/>
          <w:color w:val="000000"/>
        </w:rPr>
        <w:t xml:space="preserve"> – persoană fizică sau întreprindere care a obținut suport non-financiar și/ sau financiar nerambursabil prin intermediul Produselor de suport în modul stabilit de prezentul Regulament;</w:t>
      </w:r>
    </w:p>
    <w:p w14:paraId="0000002C" w14:textId="73160B6C" w:rsidR="00D93B73" w:rsidRDefault="005536DD">
      <w:pPr>
        <w:numPr>
          <w:ilvl w:val="1"/>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i/>
          <w:color w:val="000000"/>
        </w:rPr>
        <w:t>p</w:t>
      </w:r>
      <w:r w:rsidR="0038640A">
        <w:rPr>
          <w:rFonts w:ascii="Times New Roman" w:eastAsia="Times New Roman" w:hAnsi="Times New Roman" w:cs="Times New Roman"/>
          <w:i/>
          <w:color w:val="000000"/>
        </w:rPr>
        <w:t xml:space="preserve">lan de afaceri </w:t>
      </w:r>
      <w:r w:rsidR="0038640A">
        <w:rPr>
          <w:rFonts w:ascii="Times New Roman" w:eastAsia="Times New Roman" w:hAnsi="Times New Roman" w:cs="Times New Roman"/>
          <w:color w:val="000000"/>
        </w:rPr>
        <w:t>– propunere de dezvoltare strategică a unei întreprinderi, elaborată de solicitant;</w:t>
      </w:r>
    </w:p>
    <w:p w14:paraId="0000002D" w14:textId="1EAF8C93" w:rsidR="00D93B73" w:rsidRDefault="005536DD">
      <w:pPr>
        <w:numPr>
          <w:ilvl w:val="1"/>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i/>
          <w:color w:val="000000"/>
        </w:rPr>
        <w:t>p</w:t>
      </w:r>
      <w:r w:rsidR="0038640A">
        <w:rPr>
          <w:rFonts w:ascii="Times New Roman" w:eastAsia="Times New Roman" w:hAnsi="Times New Roman" w:cs="Times New Roman"/>
          <w:i/>
          <w:color w:val="000000"/>
        </w:rPr>
        <w:t>rodus de suport</w:t>
      </w:r>
      <w:r w:rsidR="0038640A">
        <w:rPr>
          <w:rFonts w:ascii="Times New Roman" w:eastAsia="Times New Roman" w:hAnsi="Times New Roman" w:cs="Times New Roman"/>
          <w:color w:val="000000"/>
        </w:rPr>
        <w:t xml:space="preserve"> – ansamblu de activități și condiții orientate spre realizarea unui obiectiv specific în cadrul politicii de stat privind stimularea dezvoltării IMM-urilor, prin intermediul unor instrumente de suport financiare și/sau non-financiare, finanțate din surse bugetare, surse externe, donații, care pot fi combinate cu alte forme de sprijin ODA pentru a crește eficiența intervenției;</w:t>
      </w:r>
    </w:p>
    <w:p w14:paraId="0000002E" w14:textId="48677B92" w:rsidR="00D93B73" w:rsidRDefault="005536DD">
      <w:pPr>
        <w:numPr>
          <w:ilvl w:val="1"/>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i/>
          <w:color w:val="000000"/>
        </w:rPr>
        <w:t>s</w:t>
      </w:r>
      <w:r w:rsidR="0038640A">
        <w:rPr>
          <w:rFonts w:ascii="Times New Roman" w:eastAsia="Times New Roman" w:hAnsi="Times New Roman" w:cs="Times New Roman"/>
          <w:i/>
          <w:color w:val="000000"/>
        </w:rPr>
        <w:t>olicitant</w:t>
      </w:r>
      <w:r w:rsidR="0038640A">
        <w:rPr>
          <w:rFonts w:ascii="Times New Roman" w:eastAsia="Times New Roman" w:hAnsi="Times New Roman" w:cs="Times New Roman"/>
          <w:color w:val="000000"/>
        </w:rPr>
        <w:t xml:space="preserve"> – persoană fizică sau întreprindere care solicită suport non-financiar și / sau financiar nerambursabil prin intermediul Produselor de suport în modul stabilit de prezentul Regulament;</w:t>
      </w:r>
    </w:p>
    <w:p w14:paraId="0000002F" w14:textId="20012ABC" w:rsidR="00D93B73" w:rsidRDefault="005536DD">
      <w:pPr>
        <w:numPr>
          <w:ilvl w:val="1"/>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sidRPr="005536DD">
        <w:rPr>
          <w:rFonts w:ascii="Times New Roman" w:eastAsia="Times New Roman" w:hAnsi="Times New Roman" w:cs="Times New Roman"/>
          <w:i/>
          <w:iCs/>
          <w:color w:val="000000"/>
        </w:rPr>
        <w:t>s</w:t>
      </w:r>
      <w:r w:rsidR="0038640A">
        <w:rPr>
          <w:rFonts w:ascii="Times New Roman" w:eastAsia="Times New Roman" w:hAnsi="Times New Roman" w:cs="Times New Roman"/>
          <w:i/>
          <w:color w:val="000000"/>
        </w:rPr>
        <w:t>uport non-financiar</w:t>
      </w:r>
      <w:r w:rsidR="0038640A">
        <w:rPr>
          <w:rFonts w:ascii="Times New Roman" w:eastAsia="Times New Roman" w:hAnsi="Times New Roman" w:cs="Times New Roman"/>
          <w:color w:val="000000"/>
        </w:rPr>
        <w:t xml:space="preserve"> – reprezintă totalitatea serviciilor oferite antreprenorilor și potențialilor antreprenori, fără a presupune alocarea directă de fonduri sau finanțări și au ca scop </w:t>
      </w:r>
      <w:r w:rsidR="0038640A">
        <w:rPr>
          <w:rFonts w:ascii="Times New Roman" w:eastAsia="Times New Roman" w:hAnsi="Times New Roman" w:cs="Times New Roman"/>
          <w:color w:val="000000"/>
        </w:rPr>
        <w:lastRenderedPageBreak/>
        <w:t>dezvoltarea competențelor, creșterea capacității de gestionare a afacerii și facilitarea accesului la oportunități de piață.</w:t>
      </w:r>
    </w:p>
    <w:p w14:paraId="00000030" w14:textId="5FFD7896" w:rsidR="00D93B73" w:rsidRDefault="005536DD">
      <w:pPr>
        <w:numPr>
          <w:ilvl w:val="1"/>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i/>
          <w:color w:val="000000"/>
        </w:rPr>
        <w:t>s</w:t>
      </w:r>
      <w:r w:rsidR="0038640A">
        <w:rPr>
          <w:rFonts w:ascii="Times New Roman" w:eastAsia="Times New Roman" w:hAnsi="Times New Roman" w:cs="Times New Roman"/>
          <w:i/>
          <w:color w:val="000000"/>
        </w:rPr>
        <w:t>uport financiar nerambursabil</w:t>
      </w:r>
      <w:r w:rsidR="0038640A">
        <w:rPr>
          <w:rFonts w:ascii="Times New Roman" w:eastAsia="Times New Roman" w:hAnsi="Times New Roman" w:cs="Times New Roman"/>
          <w:color w:val="000000"/>
        </w:rPr>
        <w:t xml:space="preserve"> – finanțare sub formă de mijloace financiare (grant) acordată beneficiarilor în cadrul Produselor de suport pentru implementarea planului de afaceri sau pentru sprijinirea participării la evenimente, expoziții și târguri.</w:t>
      </w:r>
    </w:p>
    <w:p w14:paraId="00000031" w14:textId="77777777" w:rsidR="00D93B73" w:rsidRDefault="00D93B73">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rPr>
      </w:pPr>
    </w:p>
    <w:p w14:paraId="00000032" w14:textId="7A36B6F9" w:rsidR="00D93B73" w:rsidRDefault="0038640A">
      <w:pPr>
        <w:numPr>
          <w:ilvl w:val="0"/>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Produsele de suport se elaborează, se modifică și se aprobă de către ODA în conformitate cu </w:t>
      </w:r>
      <w:r>
        <w:rPr>
          <w:rFonts w:ascii="Times New Roman" w:eastAsia="Times New Roman" w:hAnsi="Times New Roman" w:cs="Times New Roman"/>
        </w:rPr>
        <w:t>obiectivele de dezvoltare a IMM-urilor stabilite de MDED</w:t>
      </w:r>
      <w:r w:rsidR="00F90A8A">
        <w:rPr>
          <w:rFonts w:ascii="Times New Roman" w:eastAsia="Times New Roman" w:hAnsi="Times New Roman" w:cs="Times New Roman"/>
        </w:rPr>
        <w:t xml:space="preserve"> </w:t>
      </w:r>
      <w:r w:rsidR="00F90A8A" w:rsidRPr="00F90A8A">
        <w:rPr>
          <w:rFonts w:ascii="Times New Roman" w:eastAsia="Times New Roman" w:hAnsi="Times New Roman" w:cs="Times New Roman"/>
        </w:rPr>
        <w:t>în Strategia sectorială de cheltuieli</w:t>
      </w:r>
      <w:r w:rsidR="00F90A8A">
        <w:rPr>
          <w:rFonts w:ascii="Times New Roman" w:eastAsia="Times New Roman" w:hAnsi="Times New Roman" w:cs="Times New Roman"/>
        </w:rPr>
        <w:t>,</w:t>
      </w:r>
      <w:r>
        <w:rPr>
          <w:rFonts w:ascii="Times New Roman" w:eastAsia="Times New Roman" w:hAnsi="Times New Roman" w:cs="Times New Roman"/>
        </w:rPr>
        <w:t xml:space="preserve"> alineate </w:t>
      </w:r>
      <w:r>
        <w:rPr>
          <w:rFonts w:ascii="Times New Roman" w:eastAsia="Times New Roman" w:hAnsi="Times New Roman" w:cs="Times New Roman"/>
          <w:color w:val="000000"/>
        </w:rPr>
        <w:t>prioritățil</w:t>
      </w:r>
      <w:r>
        <w:rPr>
          <w:rFonts w:ascii="Times New Roman" w:eastAsia="Times New Roman" w:hAnsi="Times New Roman" w:cs="Times New Roman"/>
        </w:rPr>
        <w:t>or</w:t>
      </w:r>
      <w:r>
        <w:rPr>
          <w:rFonts w:ascii="Times New Roman" w:eastAsia="Times New Roman" w:hAnsi="Times New Roman" w:cs="Times New Roman"/>
          <w:color w:val="000000"/>
        </w:rPr>
        <w:t xml:space="preserve"> de politici publice stabilite de Guvern, propunerile altor autorități ale administrației publice și condițiile stabilite în acordurile încheiate cu partenerii de dezvoltare și/sau donatorii.</w:t>
      </w:r>
      <w:r w:rsidR="00F90A8A">
        <w:rPr>
          <w:rFonts w:ascii="Times New Roman" w:eastAsia="Times New Roman" w:hAnsi="Times New Roman" w:cs="Times New Roman"/>
          <w:color w:val="000000"/>
        </w:rPr>
        <w:t xml:space="preserve"> </w:t>
      </w:r>
    </w:p>
    <w:p w14:paraId="00000033" w14:textId="77777777" w:rsidR="00D93B73" w:rsidRDefault="00D93B73">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rPr>
      </w:pPr>
    </w:p>
    <w:p w14:paraId="00000034" w14:textId="77777777" w:rsidR="00D93B73" w:rsidRDefault="0038640A">
      <w:pPr>
        <w:numPr>
          <w:ilvl w:val="0"/>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Produsele de suport sunt elaborate și implementate în baza următoarelor principii:</w:t>
      </w:r>
    </w:p>
    <w:p w14:paraId="00000035" w14:textId="413DF9CC" w:rsidR="00D93B73" w:rsidRDefault="005536DD">
      <w:pPr>
        <w:numPr>
          <w:ilvl w:val="1"/>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i/>
        </w:rPr>
        <w:t>c</w:t>
      </w:r>
      <w:r w:rsidR="0038640A">
        <w:rPr>
          <w:rFonts w:ascii="Times New Roman" w:eastAsia="Times New Roman" w:hAnsi="Times New Roman" w:cs="Times New Roman"/>
          <w:i/>
        </w:rPr>
        <w:t>entrarea pe planul de afaceri (</w:t>
      </w:r>
      <w:r w:rsidR="0038640A">
        <w:rPr>
          <w:rFonts w:ascii="Times New Roman" w:eastAsia="Times New Roman" w:hAnsi="Times New Roman" w:cs="Times New Roman"/>
        </w:rPr>
        <w:t xml:space="preserve">„single </w:t>
      </w:r>
      <w:proofErr w:type="spellStart"/>
      <w:r w:rsidR="0038640A">
        <w:rPr>
          <w:rFonts w:ascii="Times New Roman" w:eastAsia="Times New Roman" w:hAnsi="Times New Roman" w:cs="Times New Roman"/>
        </w:rPr>
        <w:t>window</w:t>
      </w:r>
      <w:proofErr w:type="spellEnd"/>
      <w:r w:rsidR="0038640A">
        <w:rPr>
          <w:rFonts w:ascii="Times New Roman" w:eastAsia="Times New Roman" w:hAnsi="Times New Roman" w:cs="Times New Roman"/>
        </w:rPr>
        <w:t>”) – întreprinderea aplică printr-un mecanism unic, cu un singur plan de afaceri pentru realizarea căruia poate accesa suport non-financiar și financiar nerambursabil conform mai multor obiective de dezvoltare a IMM-urilor stabilite de MDED alineate priorităților de politici publice stabilite de Guvern, propunerile altor autorități ale administrației publice și condițiile stabilite în acordurile încheiate cu partenerii de dezvoltare și/sau donatorii</w:t>
      </w:r>
      <w:r w:rsidR="0038640A">
        <w:rPr>
          <w:rFonts w:ascii="Times New Roman" w:eastAsia="Times New Roman" w:hAnsi="Times New Roman" w:cs="Times New Roman"/>
          <w:color w:val="000000"/>
        </w:rPr>
        <w:t>;</w:t>
      </w:r>
    </w:p>
    <w:p w14:paraId="00000036" w14:textId="2A685DB4" w:rsidR="00D93B73" w:rsidRDefault="005536DD">
      <w:pPr>
        <w:numPr>
          <w:ilvl w:val="1"/>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i/>
          <w:color w:val="000000"/>
        </w:rPr>
        <w:t>e</w:t>
      </w:r>
      <w:r w:rsidR="0038640A">
        <w:rPr>
          <w:rFonts w:ascii="Times New Roman" w:eastAsia="Times New Roman" w:hAnsi="Times New Roman" w:cs="Times New Roman"/>
          <w:i/>
          <w:color w:val="000000"/>
        </w:rPr>
        <w:t>valuarea integrată</w:t>
      </w:r>
      <w:r w:rsidR="0038640A">
        <w:rPr>
          <w:rFonts w:ascii="Times New Roman" w:eastAsia="Times New Roman" w:hAnsi="Times New Roman" w:cs="Times New Roman"/>
          <w:color w:val="000000"/>
        </w:rPr>
        <w:t xml:space="preserve"> – planul de afaceri este evaluat în ansamblu de către ODA, în funcție de coerența acestuia, capacitatea întreprinderii și contribuția estimată la </w:t>
      </w:r>
      <w:r w:rsidR="0038640A">
        <w:rPr>
          <w:rFonts w:ascii="Times New Roman" w:eastAsia="Times New Roman" w:hAnsi="Times New Roman" w:cs="Times New Roman"/>
        </w:rPr>
        <w:t>obiectivele de dezvoltare a IMM-urilor stabilite de MDED alineate priorităților de politici publice stabilite de Guvern, propunerile altor autorități ale administrației publice și condițiile stabilite în acordurile încheiate cu partenerii de dezvoltare și/sau donatorii</w:t>
      </w:r>
      <w:r w:rsidR="0038640A">
        <w:rPr>
          <w:rFonts w:ascii="Times New Roman" w:eastAsia="Times New Roman" w:hAnsi="Times New Roman" w:cs="Times New Roman"/>
          <w:color w:val="000000"/>
        </w:rPr>
        <w:t>;</w:t>
      </w:r>
    </w:p>
    <w:p w14:paraId="00000037" w14:textId="1D9EBEEE" w:rsidR="00D93B73" w:rsidRDefault="005536DD">
      <w:pPr>
        <w:numPr>
          <w:ilvl w:val="1"/>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i/>
          <w:color w:val="000000"/>
        </w:rPr>
        <w:t>t</w:t>
      </w:r>
      <w:r w:rsidR="0038640A">
        <w:rPr>
          <w:rFonts w:ascii="Times New Roman" w:eastAsia="Times New Roman" w:hAnsi="Times New Roman" w:cs="Times New Roman"/>
          <w:i/>
          <w:color w:val="000000"/>
        </w:rPr>
        <w:t>ransparența și concurența deschisă</w:t>
      </w:r>
      <w:r w:rsidR="0038640A">
        <w:rPr>
          <w:rFonts w:ascii="Times New Roman" w:eastAsia="Times New Roman" w:hAnsi="Times New Roman" w:cs="Times New Roman"/>
          <w:color w:val="000000"/>
        </w:rPr>
        <w:t xml:space="preserve"> – procesul de acordare a suportului se desfășoară în condiții de transparență deplină și concurență echitabilă. Toate informațiile relevante – criterii de eligibilitate, proceduri de evaluare, decizii de finanțare – sunt publice, clare și accesibile. Accesul la Produsele de suport este deschis tuturor întreprinderilor eligibile, iar selecția se face exclusiv pe baza fezabilității planului de afaceri și a potențialului de impact;</w:t>
      </w:r>
    </w:p>
    <w:p w14:paraId="00000038" w14:textId="540FF2C4" w:rsidR="00D93B73" w:rsidRDefault="005536DD">
      <w:pPr>
        <w:numPr>
          <w:ilvl w:val="1"/>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i/>
          <w:color w:val="000000"/>
        </w:rPr>
        <w:t>n</w:t>
      </w:r>
      <w:r w:rsidR="0038640A">
        <w:rPr>
          <w:rFonts w:ascii="Times New Roman" w:eastAsia="Times New Roman" w:hAnsi="Times New Roman" w:cs="Times New Roman"/>
          <w:i/>
          <w:color w:val="000000"/>
        </w:rPr>
        <w:t>ediscriminarea și egalitatea de șanse</w:t>
      </w:r>
      <w:r w:rsidR="0038640A">
        <w:rPr>
          <w:rFonts w:ascii="Times New Roman" w:eastAsia="Times New Roman" w:hAnsi="Times New Roman" w:cs="Times New Roman"/>
          <w:color w:val="000000"/>
        </w:rPr>
        <w:t xml:space="preserve"> – suportul este acordat în condiții egale tuturor întreprinderilor eligibile, fără discriminare pe criterii de sex, vârstă, origine etnică, statut social sau alte criterii. Mecanismele de implementare promovează activ participarea grupurilor subreprezentate în economie, în special femei, tineri, persoane din medii vulnerabile și întreprinderi din zone rurale;</w:t>
      </w:r>
    </w:p>
    <w:p w14:paraId="00000039" w14:textId="142C5619" w:rsidR="00D93B73" w:rsidRDefault="005536DD">
      <w:pPr>
        <w:numPr>
          <w:ilvl w:val="1"/>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i/>
          <w:color w:val="000000"/>
        </w:rPr>
        <w:t>c</w:t>
      </w:r>
      <w:r w:rsidR="0038640A">
        <w:rPr>
          <w:rFonts w:ascii="Times New Roman" w:eastAsia="Times New Roman" w:hAnsi="Times New Roman" w:cs="Times New Roman"/>
          <w:i/>
          <w:color w:val="000000"/>
        </w:rPr>
        <w:t>orelarea strategică</w:t>
      </w:r>
      <w:r w:rsidR="0038640A">
        <w:rPr>
          <w:rFonts w:ascii="Times New Roman" w:eastAsia="Times New Roman" w:hAnsi="Times New Roman" w:cs="Times New Roman"/>
          <w:color w:val="000000"/>
        </w:rPr>
        <w:t xml:space="preserve"> – suportul se acordă în funcție de corelarea între obiectivele din planul de afaceri și obiectivele stabilite de MDED; </w:t>
      </w:r>
    </w:p>
    <w:p w14:paraId="0000003A" w14:textId="20A82059" w:rsidR="00D93B73" w:rsidRDefault="005536DD">
      <w:pPr>
        <w:numPr>
          <w:ilvl w:val="1"/>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i/>
          <w:color w:val="000000"/>
        </w:rPr>
        <w:t>f</w:t>
      </w:r>
      <w:r w:rsidR="0038640A">
        <w:rPr>
          <w:rFonts w:ascii="Times New Roman" w:eastAsia="Times New Roman" w:hAnsi="Times New Roman" w:cs="Times New Roman"/>
          <w:i/>
          <w:color w:val="000000"/>
        </w:rPr>
        <w:t>lexibilitatea și ajustarea</w:t>
      </w:r>
      <w:r w:rsidR="0038640A">
        <w:rPr>
          <w:rFonts w:ascii="Times New Roman" w:eastAsia="Times New Roman" w:hAnsi="Times New Roman" w:cs="Times New Roman"/>
          <w:color w:val="000000"/>
        </w:rPr>
        <w:t xml:space="preserve"> – suportul se adaptează în funcție de progresul afacerii și modelul de dezvoltare a afacerii;</w:t>
      </w:r>
    </w:p>
    <w:p w14:paraId="0000003B" w14:textId="74561ED8" w:rsidR="00D93B73" w:rsidRDefault="005536DD">
      <w:pPr>
        <w:numPr>
          <w:ilvl w:val="1"/>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i/>
          <w:color w:val="000000"/>
        </w:rPr>
        <w:t>c</w:t>
      </w:r>
      <w:r w:rsidR="0038640A">
        <w:rPr>
          <w:rFonts w:ascii="Times New Roman" w:eastAsia="Times New Roman" w:hAnsi="Times New Roman" w:cs="Times New Roman"/>
          <w:i/>
          <w:color w:val="000000"/>
        </w:rPr>
        <w:t>omplementaritatea</w:t>
      </w:r>
      <w:r w:rsidR="0038640A">
        <w:rPr>
          <w:rFonts w:ascii="Times New Roman" w:eastAsia="Times New Roman" w:hAnsi="Times New Roman" w:cs="Times New Roman"/>
          <w:color w:val="000000"/>
        </w:rPr>
        <w:t xml:space="preserve"> cu alte mecanisme de suport acordate de ODA și de alte instituții publice – produsele de suport se aplică într-un mod coerent și complementar față de alte </w:t>
      </w:r>
      <w:r w:rsidR="0038640A">
        <w:rPr>
          <w:rFonts w:ascii="Times New Roman" w:eastAsia="Times New Roman" w:hAnsi="Times New Roman" w:cs="Times New Roman"/>
          <w:color w:val="000000"/>
        </w:rPr>
        <w:lastRenderedPageBreak/>
        <w:t>măsuri existente, fie gestionate de ODA, fie de alte autorități publice centrale sau locale. Acordarea suportului se face cu evitarea suprapunerii și dublării intervențiilor, asigurând o utilizare eficientă a resurselor publice conform priorităților politicilor publice stabilite de Guvern.</w:t>
      </w:r>
    </w:p>
    <w:p w14:paraId="0000003C" w14:textId="77777777" w:rsidR="00D93B73" w:rsidRDefault="00D93B73">
      <w:pPr>
        <w:spacing w:after="0" w:line="276" w:lineRule="auto"/>
        <w:ind w:firstLine="720"/>
        <w:jc w:val="center"/>
        <w:rPr>
          <w:rFonts w:ascii="Times New Roman" w:eastAsia="Times New Roman" w:hAnsi="Times New Roman" w:cs="Times New Roman"/>
          <w:b/>
        </w:rPr>
      </w:pPr>
    </w:p>
    <w:p w14:paraId="0000003D" w14:textId="77777777" w:rsidR="00D93B73" w:rsidRDefault="00D93B73">
      <w:pPr>
        <w:spacing w:after="0" w:line="276" w:lineRule="auto"/>
        <w:ind w:firstLine="720"/>
        <w:jc w:val="center"/>
        <w:rPr>
          <w:rFonts w:ascii="Times New Roman" w:eastAsia="Times New Roman" w:hAnsi="Times New Roman" w:cs="Times New Roman"/>
          <w:b/>
        </w:rPr>
      </w:pPr>
    </w:p>
    <w:p w14:paraId="0000003E" w14:textId="77777777" w:rsidR="00D93B73" w:rsidRDefault="00D93B73">
      <w:pPr>
        <w:spacing w:after="0" w:line="276" w:lineRule="auto"/>
        <w:ind w:firstLine="720"/>
        <w:jc w:val="center"/>
        <w:rPr>
          <w:rFonts w:ascii="Times New Roman" w:eastAsia="Times New Roman" w:hAnsi="Times New Roman" w:cs="Times New Roman"/>
          <w:b/>
        </w:rPr>
      </w:pPr>
    </w:p>
    <w:p w14:paraId="0000003F" w14:textId="77777777" w:rsidR="00D93B73" w:rsidRDefault="0038640A">
      <w:pPr>
        <w:spacing w:after="0" w:line="276" w:lineRule="auto"/>
        <w:ind w:firstLine="720"/>
        <w:jc w:val="center"/>
        <w:rPr>
          <w:rFonts w:ascii="Times New Roman" w:eastAsia="Times New Roman" w:hAnsi="Times New Roman" w:cs="Times New Roman"/>
          <w:b/>
        </w:rPr>
      </w:pPr>
      <w:r>
        <w:rPr>
          <w:rFonts w:ascii="Times New Roman" w:eastAsia="Times New Roman" w:hAnsi="Times New Roman" w:cs="Times New Roman"/>
          <w:b/>
        </w:rPr>
        <w:t>Capitolul II</w:t>
      </w:r>
    </w:p>
    <w:p w14:paraId="00000040" w14:textId="77777777" w:rsidR="00D93B73" w:rsidRDefault="0038640A">
      <w:pPr>
        <w:spacing w:after="0" w:line="276" w:lineRule="auto"/>
        <w:ind w:firstLine="720"/>
        <w:jc w:val="center"/>
        <w:rPr>
          <w:rFonts w:ascii="Times New Roman" w:eastAsia="Times New Roman" w:hAnsi="Times New Roman" w:cs="Times New Roman"/>
          <w:b/>
        </w:rPr>
      </w:pPr>
      <w:r>
        <w:rPr>
          <w:rFonts w:ascii="Times New Roman" w:eastAsia="Times New Roman" w:hAnsi="Times New Roman" w:cs="Times New Roman"/>
          <w:b/>
        </w:rPr>
        <w:t>ELABORAREA ȘI APROBAREA PRODUSELOR DE SUPORT</w:t>
      </w:r>
    </w:p>
    <w:p w14:paraId="00000041" w14:textId="77777777" w:rsidR="00D93B73" w:rsidRDefault="00D93B73">
      <w:pPr>
        <w:spacing w:after="0" w:line="276" w:lineRule="auto"/>
        <w:ind w:firstLine="720"/>
        <w:jc w:val="center"/>
        <w:rPr>
          <w:rFonts w:ascii="Times New Roman" w:eastAsia="Times New Roman" w:hAnsi="Times New Roman" w:cs="Times New Roman"/>
          <w:b/>
        </w:rPr>
      </w:pPr>
    </w:p>
    <w:p w14:paraId="00000042" w14:textId="77777777" w:rsidR="00D93B73" w:rsidRDefault="0038640A">
      <w:pPr>
        <w:numPr>
          <w:ilvl w:val="0"/>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Fiecare Produs de suport elaborat de către ODA include, în mod obligatoriu, cel puțin următoarele informații:</w:t>
      </w:r>
    </w:p>
    <w:p w14:paraId="00000043" w14:textId="77777777" w:rsidR="00D93B73" w:rsidRDefault="0038640A">
      <w:pPr>
        <w:numPr>
          <w:ilvl w:val="1"/>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denumirea completă și prescurtată (după caz) a Produsului de suport;</w:t>
      </w:r>
    </w:p>
    <w:p w14:paraId="00000044" w14:textId="77777777" w:rsidR="00D93B73" w:rsidRDefault="0038640A">
      <w:pPr>
        <w:numPr>
          <w:ilvl w:val="1"/>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categoria/categoriile IMM-urilor pentru care este destinat Produsul de suport, conform clasificării prevăzute în Legea 179/2016 cu privire la întreprinderile mici </w:t>
      </w:r>
      <w:proofErr w:type="spellStart"/>
      <w:r>
        <w:rPr>
          <w:rFonts w:ascii="Times New Roman" w:eastAsia="Times New Roman" w:hAnsi="Times New Roman" w:cs="Times New Roman"/>
          <w:color w:val="000000"/>
        </w:rPr>
        <w:t>şi</w:t>
      </w:r>
      <w:proofErr w:type="spellEnd"/>
      <w:r>
        <w:rPr>
          <w:rFonts w:ascii="Times New Roman" w:eastAsia="Times New Roman" w:hAnsi="Times New Roman" w:cs="Times New Roman"/>
          <w:color w:val="000000"/>
        </w:rPr>
        <w:t xml:space="preserve"> mijlocii;</w:t>
      </w:r>
    </w:p>
    <w:p w14:paraId="00000045" w14:textId="77777777" w:rsidR="00D93B73" w:rsidRDefault="0038640A">
      <w:pPr>
        <w:numPr>
          <w:ilvl w:val="1"/>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sectoarele țintă ale economiei naționale eligibile, precum și cele prioritare;</w:t>
      </w:r>
    </w:p>
    <w:p w14:paraId="00000046" w14:textId="77777777" w:rsidR="00D93B73" w:rsidRDefault="0038640A">
      <w:pPr>
        <w:numPr>
          <w:ilvl w:val="1"/>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criteriile de eligibilitate detaliate pentru IMM-uri, suplimentare celor prevăzute la punctul 11 din prezentul Regulament;</w:t>
      </w:r>
    </w:p>
    <w:p w14:paraId="00000047" w14:textId="77777777" w:rsidR="00D93B73" w:rsidRDefault="0038640A">
      <w:pPr>
        <w:numPr>
          <w:ilvl w:val="1"/>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lista detaliată a activităților economice eligibile, cu indicarea codurilor CAEM (Clasificatorul Activităților din Economia Moldovei);</w:t>
      </w:r>
    </w:p>
    <w:p w14:paraId="00000048" w14:textId="77777777" w:rsidR="00D93B73" w:rsidRDefault="0038640A">
      <w:pPr>
        <w:numPr>
          <w:ilvl w:val="1"/>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suma minimă, suma maximă și cota procentuală a suportului financiar nerambursabil acordat, modalitatea de achitare (într-o singură tranșă sau în tranșe multiple), precum și perioada achitării (în avans, etapizat pe parcursul implementării proiectului sau la finalizarea acestuia de către întreprinderea beneficiară);</w:t>
      </w:r>
    </w:p>
    <w:p w14:paraId="00000049" w14:textId="77777777" w:rsidR="00D93B73" w:rsidRDefault="0038640A">
      <w:pPr>
        <w:numPr>
          <w:ilvl w:val="1"/>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investițiile și/sau cheltuielile eligibile, precum și limitele aferente de finanțare;</w:t>
      </w:r>
    </w:p>
    <w:p w14:paraId="0000004A" w14:textId="77777777" w:rsidR="00D93B73" w:rsidRDefault="0038640A">
      <w:pPr>
        <w:numPr>
          <w:ilvl w:val="1"/>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investițiile și/sau cheltuielile neeligibile;</w:t>
      </w:r>
    </w:p>
    <w:p w14:paraId="0000004B" w14:textId="77777777" w:rsidR="00D93B73" w:rsidRDefault="0038640A">
      <w:pPr>
        <w:numPr>
          <w:ilvl w:val="1"/>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contribuția minimă a întreprinderii beneficiare în sumă absolută sau cotă procentuală, după caz;</w:t>
      </w:r>
    </w:p>
    <w:p w14:paraId="0000004C" w14:textId="77777777" w:rsidR="00D93B73" w:rsidRDefault="0038640A">
      <w:pPr>
        <w:numPr>
          <w:ilvl w:val="1"/>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procedura de evaluare și aprobare a cererilor și a dosarelor depuse;</w:t>
      </w:r>
    </w:p>
    <w:p w14:paraId="0000004D" w14:textId="77777777" w:rsidR="00D93B73" w:rsidRDefault="0038640A">
      <w:pPr>
        <w:numPr>
          <w:ilvl w:val="1"/>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componentele suportului oferit prin intermediul Produsului de suport, adaptate în funcție de stadiul de dezvoltare al întreprinderii (debutantă sau în creștere) și/sau categoria acesteia. Pe lângă acordarea suportului financiar nerambursabil, implementarea poate include activități de informare, promovare, instruire, consultanță pentru dezvoltarea capacităților antreprenoriale, asistență tehnică în realizarea proiectului investițional și activități de monitorizare a valorificării de către întreprinderi a suportului oferit;</w:t>
      </w:r>
    </w:p>
    <w:p w14:paraId="0000004E" w14:textId="77777777" w:rsidR="00D93B73" w:rsidRDefault="0038640A">
      <w:pPr>
        <w:numPr>
          <w:ilvl w:val="1"/>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data intrării în vigoare și perioada de implementare a Produsului de suport și estimarea costurilor aferente;</w:t>
      </w:r>
    </w:p>
    <w:p w14:paraId="0000004F" w14:textId="77777777" w:rsidR="00D93B73" w:rsidRDefault="0038640A">
      <w:pPr>
        <w:numPr>
          <w:ilvl w:val="1"/>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bugetul estimativ necesar pentru implementare;</w:t>
      </w:r>
    </w:p>
    <w:p w14:paraId="00000050" w14:textId="77777777" w:rsidR="00D93B73" w:rsidRDefault="0038640A">
      <w:pPr>
        <w:numPr>
          <w:ilvl w:val="1"/>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indicatorii de produs și de rezultat;</w:t>
      </w:r>
    </w:p>
    <w:p w14:paraId="00000051" w14:textId="77777777" w:rsidR="00D93B73" w:rsidRDefault="0038640A">
      <w:pPr>
        <w:numPr>
          <w:ilvl w:val="1"/>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reguli privind evidența, raportarea </w:t>
      </w:r>
      <w:proofErr w:type="spellStart"/>
      <w:r>
        <w:rPr>
          <w:rFonts w:ascii="Times New Roman" w:eastAsia="Times New Roman" w:hAnsi="Times New Roman" w:cs="Times New Roman"/>
          <w:color w:val="000000"/>
        </w:rPr>
        <w:t>şi</w:t>
      </w:r>
      <w:proofErr w:type="spellEnd"/>
      <w:r>
        <w:rPr>
          <w:rFonts w:ascii="Times New Roman" w:eastAsia="Times New Roman" w:hAnsi="Times New Roman" w:cs="Times New Roman"/>
          <w:color w:val="000000"/>
        </w:rPr>
        <w:t xml:space="preserve"> monitorizarea.</w:t>
      </w:r>
    </w:p>
    <w:p w14:paraId="00000052" w14:textId="77777777" w:rsidR="00D93B73" w:rsidRDefault="00D93B73">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rPr>
      </w:pPr>
    </w:p>
    <w:p w14:paraId="00000053" w14:textId="77777777" w:rsidR="00D93B73" w:rsidRDefault="0038640A">
      <w:pPr>
        <w:numPr>
          <w:ilvl w:val="0"/>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Produsele de suport elaborate de ODA sunt supuse avizării de către MDED, Consiliul Concurenței, după caz, alte entități relevante, și aprobării Consiliului ODA. Termenul pentru prezentarea avizelor nu poate depăși 15 zile lucrătoare. Neprezentarea avizelor și/sau recomandărilor în termenul stabilit în prezentul punct nu împiedică definitivarea și promovarea Produsului de suport. </w:t>
      </w:r>
    </w:p>
    <w:p w14:paraId="00000054" w14:textId="77777777" w:rsidR="00D93B73" w:rsidRDefault="00D93B73">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rPr>
      </w:pPr>
    </w:p>
    <w:p w14:paraId="00000055" w14:textId="77777777" w:rsidR="00D93B73" w:rsidRDefault="0038640A">
      <w:pPr>
        <w:numPr>
          <w:ilvl w:val="0"/>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Produsele de suport aprobate sunt publice și se plasează pe site-ul oficial al MDED și al ODA.</w:t>
      </w:r>
    </w:p>
    <w:p w14:paraId="00000056" w14:textId="77777777" w:rsidR="00D93B73" w:rsidRDefault="00D93B73">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rPr>
      </w:pPr>
    </w:p>
    <w:p w14:paraId="00000057" w14:textId="013FEFEE" w:rsidR="00D93B73" w:rsidRDefault="0038640A">
      <w:pPr>
        <w:numPr>
          <w:ilvl w:val="0"/>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ODA  va elabora și va aproba, în termen de 60 de zile de la data intrării în vigoare a prezentei hotărâri, manualul operațional de elaborare și implementare a Produselor de suport cu avizarea MDED</w:t>
      </w:r>
      <w:r w:rsidR="005536DD">
        <w:rPr>
          <w:rFonts w:ascii="Times New Roman" w:eastAsia="Times New Roman" w:hAnsi="Times New Roman" w:cs="Times New Roman"/>
          <w:color w:val="000000"/>
        </w:rPr>
        <w:t>.</w:t>
      </w:r>
    </w:p>
    <w:p w14:paraId="00000058" w14:textId="77777777" w:rsidR="00D93B73" w:rsidRDefault="00D93B73">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rPr>
      </w:pPr>
    </w:p>
    <w:p w14:paraId="00000059" w14:textId="77777777" w:rsidR="00D93B73" w:rsidRDefault="0038640A">
      <w:pPr>
        <w:numPr>
          <w:ilvl w:val="0"/>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Manualul operațional constituie un act normativ intern, aprobat de către Consiliul ODA.</w:t>
      </w:r>
    </w:p>
    <w:p w14:paraId="0000005A" w14:textId="77777777" w:rsidR="00D93B73" w:rsidRDefault="0038640A">
      <w:pPr>
        <w:spacing w:after="0" w:line="276" w:lineRule="auto"/>
        <w:ind w:firstLine="720"/>
        <w:jc w:val="center"/>
        <w:rPr>
          <w:rFonts w:ascii="Times New Roman" w:eastAsia="Times New Roman" w:hAnsi="Times New Roman" w:cs="Times New Roman"/>
          <w:b/>
        </w:rPr>
      </w:pPr>
      <w:r>
        <w:rPr>
          <w:rFonts w:ascii="Times New Roman" w:eastAsia="Times New Roman" w:hAnsi="Times New Roman" w:cs="Times New Roman"/>
          <w:b/>
        </w:rPr>
        <w:t>Capitolul III</w:t>
      </w:r>
    </w:p>
    <w:p w14:paraId="0000005B" w14:textId="77777777" w:rsidR="00D93B73" w:rsidRDefault="0038640A">
      <w:pPr>
        <w:spacing w:after="0" w:line="276" w:lineRule="auto"/>
        <w:ind w:firstLine="720"/>
        <w:jc w:val="center"/>
        <w:rPr>
          <w:rFonts w:ascii="Times New Roman" w:eastAsia="Times New Roman" w:hAnsi="Times New Roman" w:cs="Times New Roman"/>
          <w:b/>
        </w:rPr>
      </w:pPr>
      <w:r>
        <w:rPr>
          <w:rFonts w:ascii="Times New Roman" w:eastAsia="Times New Roman" w:hAnsi="Times New Roman" w:cs="Times New Roman"/>
          <w:b/>
        </w:rPr>
        <w:t>CRITERIILE GENERALE DE ELIGIBILITATE</w:t>
      </w:r>
    </w:p>
    <w:p w14:paraId="0000005C" w14:textId="77777777" w:rsidR="00D93B73" w:rsidRDefault="00D93B73">
      <w:pPr>
        <w:spacing w:after="0" w:line="276" w:lineRule="auto"/>
        <w:ind w:firstLine="720"/>
        <w:jc w:val="center"/>
        <w:rPr>
          <w:rFonts w:ascii="Times New Roman" w:eastAsia="Times New Roman" w:hAnsi="Times New Roman" w:cs="Times New Roman"/>
          <w:b/>
        </w:rPr>
      </w:pPr>
    </w:p>
    <w:p w14:paraId="0000005D" w14:textId="20E25EB7" w:rsidR="00D93B73" w:rsidRDefault="0038640A">
      <w:pPr>
        <w:numPr>
          <w:ilvl w:val="0"/>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Toate Produsele de suport elaborate în conformitate cu prezentul Regulament sunt destinate întreprinderilor înregistrate în Republica Moldova, definite în conformitate cu prevederile Legii nr.179/2016 cu privire la întreprinderile mici și mijlocii, cu excepția întreprinderilor de stat și municipale</w:t>
      </w:r>
      <w:r w:rsidR="003241A2">
        <w:rPr>
          <w:rFonts w:ascii="Times New Roman" w:eastAsia="Times New Roman" w:hAnsi="Times New Roman" w:cs="Times New Roman"/>
          <w:color w:val="000000"/>
        </w:rPr>
        <w:t>.</w:t>
      </w:r>
    </w:p>
    <w:p w14:paraId="0000005E" w14:textId="77777777" w:rsidR="00D93B73" w:rsidRDefault="0038640A">
      <w:pPr>
        <w:numPr>
          <w:ilvl w:val="0"/>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Criteriile de eligibilitate specifice sunt detaliate în cadrul fiecărui Produs de suport.</w:t>
      </w:r>
    </w:p>
    <w:p w14:paraId="0000005F" w14:textId="77777777" w:rsidR="00D93B73" w:rsidRDefault="0038640A">
      <w:pPr>
        <w:numPr>
          <w:ilvl w:val="0"/>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Întreprinderile eligibile pot acoperi insuficiența de capital din surse de creditare și/sau pot beneficia, după caz, de garanții financiare emise de către ODA. Sursele de creditare pot fi accesate inclusiv în conformitate cu prevederile Regulamentului cu privire la activitatea Fondului pentru </w:t>
      </w:r>
      <w:proofErr w:type="spellStart"/>
      <w:r>
        <w:rPr>
          <w:rFonts w:ascii="Times New Roman" w:eastAsia="Times New Roman" w:hAnsi="Times New Roman" w:cs="Times New Roman"/>
          <w:color w:val="000000"/>
        </w:rPr>
        <w:t>antreprenoriat</w:t>
      </w:r>
      <w:proofErr w:type="spellEnd"/>
      <w:r>
        <w:rPr>
          <w:rFonts w:ascii="Times New Roman" w:eastAsia="Times New Roman" w:hAnsi="Times New Roman" w:cs="Times New Roman"/>
          <w:color w:val="000000"/>
        </w:rPr>
        <w:t xml:space="preserve"> și creștere economică a Moldovei, aprobat prin Hotărârea Guvernului nr. 94/2023. Garanțiile financiare sunt acordate în baza Regulamentului cu privire la organizarea, funcționarea și utilizarea Fondului de garantare a creditelor pentru întreprinderile mici și mijlocii, aprobat prin Hotărârea Guvernului nr. 709/2022.</w:t>
      </w:r>
    </w:p>
    <w:p w14:paraId="00000060" w14:textId="77777777" w:rsidR="00D93B73" w:rsidRDefault="00D93B73">
      <w:pPr>
        <w:spacing w:after="0" w:line="276" w:lineRule="auto"/>
        <w:ind w:firstLine="720"/>
        <w:jc w:val="center"/>
        <w:rPr>
          <w:rFonts w:ascii="Times New Roman" w:eastAsia="Times New Roman" w:hAnsi="Times New Roman" w:cs="Times New Roman"/>
          <w:b/>
        </w:rPr>
      </w:pPr>
    </w:p>
    <w:p w14:paraId="00000061" w14:textId="77777777" w:rsidR="00D93B73" w:rsidRDefault="0038640A">
      <w:pPr>
        <w:spacing w:after="0" w:line="276" w:lineRule="auto"/>
        <w:ind w:firstLine="720"/>
        <w:jc w:val="center"/>
        <w:rPr>
          <w:rFonts w:ascii="Times New Roman" w:eastAsia="Times New Roman" w:hAnsi="Times New Roman" w:cs="Times New Roman"/>
          <w:b/>
        </w:rPr>
      </w:pPr>
      <w:r>
        <w:rPr>
          <w:rFonts w:ascii="Times New Roman" w:eastAsia="Times New Roman" w:hAnsi="Times New Roman" w:cs="Times New Roman"/>
          <w:b/>
        </w:rPr>
        <w:t>Capitolul IV</w:t>
      </w:r>
    </w:p>
    <w:p w14:paraId="00000062" w14:textId="77777777" w:rsidR="00D93B73" w:rsidRDefault="0038640A">
      <w:pPr>
        <w:spacing w:after="0" w:line="276" w:lineRule="auto"/>
        <w:ind w:firstLine="720"/>
        <w:jc w:val="center"/>
        <w:rPr>
          <w:rFonts w:ascii="Times New Roman" w:eastAsia="Times New Roman" w:hAnsi="Times New Roman" w:cs="Times New Roman"/>
          <w:b/>
        </w:rPr>
      </w:pPr>
      <w:r>
        <w:rPr>
          <w:rFonts w:ascii="Times New Roman" w:eastAsia="Times New Roman" w:hAnsi="Times New Roman" w:cs="Times New Roman"/>
          <w:b/>
        </w:rPr>
        <w:t>INVESTIȚIILE GENERALE ELIGIBILE</w:t>
      </w:r>
    </w:p>
    <w:p w14:paraId="00000063" w14:textId="77777777" w:rsidR="00D93B73" w:rsidRDefault="00D93B73">
      <w:pPr>
        <w:spacing w:after="0" w:line="276" w:lineRule="auto"/>
        <w:ind w:firstLine="720"/>
        <w:jc w:val="center"/>
        <w:rPr>
          <w:rFonts w:ascii="Times New Roman" w:eastAsia="Times New Roman" w:hAnsi="Times New Roman" w:cs="Times New Roman"/>
          <w:b/>
        </w:rPr>
      </w:pPr>
    </w:p>
    <w:p w14:paraId="00000064" w14:textId="77777777" w:rsidR="00D93B73" w:rsidRDefault="0038640A">
      <w:pPr>
        <w:numPr>
          <w:ilvl w:val="0"/>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Investițiile generale eligibile, aplicabile fiecărui Produs de suport sunt:</w:t>
      </w:r>
    </w:p>
    <w:p w14:paraId="00000065" w14:textId="77777777" w:rsidR="00D93B73" w:rsidRDefault="0038640A">
      <w:pPr>
        <w:numPr>
          <w:ilvl w:val="1"/>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investițiile în echipamente și infrastructura întreprinderii (achiziționarea de echipamente tehnologice moderne, utilaje și linii de producție, inclusiv servicii de instalare, automatizarea proceselor de producție, extinderea sau modernizarea spațiilor destinate producției, depozitării sau prestării serviciilor, achiziționarea materiilor prime și materialelor necesare pentru </w:t>
      </w:r>
      <w:r>
        <w:rPr>
          <w:rFonts w:ascii="Times New Roman" w:eastAsia="Times New Roman" w:hAnsi="Times New Roman" w:cs="Times New Roman"/>
          <w:color w:val="000000"/>
        </w:rPr>
        <w:lastRenderedPageBreak/>
        <w:t>dotarea și amenajarea acestor spații, precum și implementarea de soluții pentru reducerea consumului de resurse);</w:t>
      </w:r>
    </w:p>
    <w:p w14:paraId="00000066" w14:textId="77777777" w:rsidR="00D93B73" w:rsidRDefault="0038640A">
      <w:pPr>
        <w:numPr>
          <w:ilvl w:val="1"/>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investițiile în active nemateriale (obținerea standardelor și certificatelor de calitate, înregistrarea mărcilor comerciale și a altor drepturi de proprietate intelectuală relevante pentru activitatea economică);</w:t>
      </w:r>
    </w:p>
    <w:p w14:paraId="00000067" w14:textId="77777777" w:rsidR="00D93B73" w:rsidRDefault="0038640A">
      <w:pPr>
        <w:numPr>
          <w:ilvl w:val="1"/>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dezvoltarea de produse și servicii (cercetarea și dezvoltarea pentru crearea produselor și serviciilor, diversificarea gamei de produse și servicii);</w:t>
      </w:r>
    </w:p>
    <w:p w14:paraId="00000068" w14:textId="77777777" w:rsidR="00D93B73" w:rsidRDefault="0038640A">
      <w:pPr>
        <w:numPr>
          <w:ilvl w:val="1"/>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digitalizarea și transformarea tehnologică (implementarea de soluții software individuale sau integrate pentru managementul afacerii, gestiunea stocurilor, dezvoltarea și optimizarea platformelor online de vânzare, precum și adoptarea de tehnologii emergente, cum ar fi inteligența artificială sau </w:t>
      </w:r>
      <w:proofErr w:type="spellStart"/>
      <w:r>
        <w:rPr>
          <w:rFonts w:ascii="Times New Roman" w:eastAsia="Times New Roman" w:hAnsi="Times New Roman" w:cs="Times New Roman"/>
          <w:color w:val="000000"/>
        </w:rPr>
        <w:t>blockchain</w:t>
      </w:r>
      <w:proofErr w:type="spellEnd"/>
      <w:r>
        <w:rPr>
          <w:rFonts w:ascii="Times New Roman" w:eastAsia="Times New Roman" w:hAnsi="Times New Roman" w:cs="Times New Roman"/>
          <w:color w:val="000000"/>
        </w:rPr>
        <w:t>, în vederea eficientizării proceselor de afaceri);</w:t>
      </w:r>
    </w:p>
    <w:p w14:paraId="00000069" w14:textId="77777777" w:rsidR="00D93B73" w:rsidRDefault="0038640A">
      <w:pPr>
        <w:numPr>
          <w:ilvl w:val="1"/>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proiecte de implementare a principiilor economiei circulare care includ integrarea materiilor prime reciclabile în procesele de producție și implementarea unor sisteme eficiente de gestionare a deșeurilor, contribuind astfel la reducerea impactului asupra mediului;</w:t>
      </w:r>
    </w:p>
    <w:p w14:paraId="0000006A" w14:textId="77777777" w:rsidR="00D93B73" w:rsidRDefault="0038640A">
      <w:pPr>
        <w:numPr>
          <w:ilvl w:val="1"/>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extinderea capacităților de producție și accesul pe piețe externe (dezvoltarea rețelelor de distribuție și logistică, derularea de activități și materiale de promovare, publicitate și marketing, identificarea și penetrarea de noi piețe, precum și participarea la târguri, expoziții și evenimente internaționale în vederea promovării afacerii).</w:t>
      </w:r>
    </w:p>
    <w:p w14:paraId="0000006B" w14:textId="77777777" w:rsidR="00D93B73" w:rsidRDefault="00D93B73">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rPr>
      </w:pPr>
    </w:p>
    <w:p w14:paraId="0000006C" w14:textId="77777777" w:rsidR="00D93B73" w:rsidRDefault="0038640A">
      <w:pPr>
        <w:numPr>
          <w:ilvl w:val="0"/>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Lista investițiilor eligibile specifice și cuantumul acestora este prezentată distinct pentru fiecare Produs de suport, în funcție de obiectivele acestuia.</w:t>
      </w:r>
    </w:p>
    <w:p w14:paraId="0000006D" w14:textId="77777777" w:rsidR="00D93B73" w:rsidRDefault="00D93B73">
      <w:pPr>
        <w:spacing w:after="0" w:line="276" w:lineRule="auto"/>
        <w:ind w:firstLine="720"/>
        <w:jc w:val="center"/>
        <w:rPr>
          <w:rFonts w:ascii="Times New Roman" w:eastAsia="Times New Roman" w:hAnsi="Times New Roman" w:cs="Times New Roman"/>
          <w:b/>
        </w:rPr>
      </w:pPr>
    </w:p>
    <w:p w14:paraId="0000006E" w14:textId="77777777" w:rsidR="00D93B73" w:rsidRDefault="0038640A">
      <w:pPr>
        <w:spacing w:after="0" w:line="276" w:lineRule="auto"/>
        <w:ind w:firstLine="720"/>
        <w:jc w:val="center"/>
        <w:rPr>
          <w:rFonts w:ascii="Times New Roman" w:eastAsia="Times New Roman" w:hAnsi="Times New Roman" w:cs="Times New Roman"/>
          <w:b/>
        </w:rPr>
      </w:pPr>
      <w:r>
        <w:rPr>
          <w:rFonts w:ascii="Times New Roman" w:eastAsia="Times New Roman" w:hAnsi="Times New Roman" w:cs="Times New Roman"/>
          <w:b/>
        </w:rPr>
        <w:t>Capitolul V</w:t>
      </w:r>
    </w:p>
    <w:p w14:paraId="0000006F" w14:textId="77777777" w:rsidR="00D93B73" w:rsidRDefault="0038640A">
      <w:pPr>
        <w:spacing w:after="0" w:line="276" w:lineRule="auto"/>
        <w:ind w:firstLine="720"/>
        <w:jc w:val="center"/>
        <w:rPr>
          <w:rFonts w:ascii="Times New Roman" w:eastAsia="Times New Roman" w:hAnsi="Times New Roman" w:cs="Times New Roman"/>
          <w:b/>
        </w:rPr>
      </w:pPr>
      <w:r>
        <w:rPr>
          <w:rFonts w:ascii="Times New Roman" w:eastAsia="Times New Roman" w:hAnsi="Times New Roman" w:cs="Times New Roman"/>
          <w:b/>
        </w:rPr>
        <w:t>CHELTUIELILE GENERALE NEELIGIBILE</w:t>
      </w:r>
    </w:p>
    <w:p w14:paraId="00000070" w14:textId="77777777" w:rsidR="00D93B73" w:rsidRDefault="00D93B73">
      <w:pPr>
        <w:spacing w:after="0" w:line="276" w:lineRule="auto"/>
        <w:ind w:firstLine="720"/>
        <w:jc w:val="center"/>
        <w:rPr>
          <w:rFonts w:ascii="Times New Roman" w:eastAsia="Times New Roman" w:hAnsi="Times New Roman" w:cs="Times New Roman"/>
          <w:b/>
        </w:rPr>
      </w:pPr>
    </w:p>
    <w:p w14:paraId="00000071" w14:textId="77777777" w:rsidR="00D93B73" w:rsidRDefault="0038640A">
      <w:pPr>
        <w:numPr>
          <w:ilvl w:val="0"/>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Cheltuieli generale neeligibile, aplicabile fiecărui Produs de suport sunt:</w:t>
      </w:r>
    </w:p>
    <w:p w14:paraId="00000072" w14:textId="77777777" w:rsidR="00D93B73" w:rsidRDefault="0038640A">
      <w:pPr>
        <w:numPr>
          <w:ilvl w:val="1"/>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impozite și taxe de orice natură;</w:t>
      </w:r>
    </w:p>
    <w:p w14:paraId="00000073" w14:textId="77777777" w:rsidR="00D93B73" w:rsidRDefault="0038640A">
      <w:pPr>
        <w:numPr>
          <w:ilvl w:val="1"/>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pierderi sau diferențe rezultate din fluctuații ale cursului valutar;</w:t>
      </w:r>
    </w:p>
    <w:p w14:paraId="00000074" w14:textId="77777777" w:rsidR="00D93B73" w:rsidRDefault="0038640A">
      <w:pPr>
        <w:numPr>
          <w:ilvl w:val="1"/>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costuri aferente finanțării prin leasing sau credit, inclusiv dobânzi, comisioane bancare și alte cheltuieli conexe;</w:t>
      </w:r>
    </w:p>
    <w:p w14:paraId="00000075" w14:textId="77777777" w:rsidR="00D93B73" w:rsidRDefault="0038640A">
      <w:pPr>
        <w:numPr>
          <w:ilvl w:val="1"/>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cheltuieli pentru servicii de transport, indiferent de natura sau destinația acestora;</w:t>
      </w:r>
    </w:p>
    <w:p w14:paraId="00000076" w14:textId="77777777" w:rsidR="00D93B73" w:rsidRDefault="0038640A">
      <w:pPr>
        <w:numPr>
          <w:ilvl w:val="1"/>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cheltuieli legate de arenda sau locațiunea spațiilor, oficiilor sau terenurilor necesare desfășurării activității;</w:t>
      </w:r>
    </w:p>
    <w:p w14:paraId="00000077" w14:textId="77777777" w:rsidR="00D93B73" w:rsidRDefault="0038640A">
      <w:pPr>
        <w:numPr>
          <w:ilvl w:val="1"/>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consumabile, precum și alte cheltuieli administrative curente.</w:t>
      </w:r>
    </w:p>
    <w:p w14:paraId="00000078" w14:textId="77777777" w:rsidR="00D93B73" w:rsidRDefault="00D93B73">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rPr>
      </w:pPr>
    </w:p>
    <w:p w14:paraId="00000079" w14:textId="77777777" w:rsidR="00D93B73" w:rsidRDefault="0038640A">
      <w:pPr>
        <w:numPr>
          <w:ilvl w:val="0"/>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Lista cheltuielilor neeligibile specifice este detaliată în fiecare Produs de suport.</w:t>
      </w:r>
      <w:r>
        <w:rPr>
          <w:rFonts w:ascii="Times New Roman" w:eastAsia="Times New Roman" w:hAnsi="Times New Roman" w:cs="Times New Roman"/>
          <w:color w:val="000000"/>
          <w:highlight w:val="yellow"/>
        </w:rPr>
        <w:t xml:space="preserve"> </w:t>
      </w:r>
    </w:p>
    <w:p w14:paraId="0000007A" w14:textId="49889365" w:rsidR="00D93B73" w:rsidRDefault="00D93B73">
      <w:pPr>
        <w:spacing w:after="0" w:line="276" w:lineRule="auto"/>
        <w:ind w:firstLine="720"/>
        <w:jc w:val="center"/>
        <w:rPr>
          <w:rFonts w:ascii="Times New Roman" w:eastAsia="Times New Roman" w:hAnsi="Times New Roman" w:cs="Times New Roman"/>
          <w:b/>
        </w:rPr>
      </w:pPr>
    </w:p>
    <w:p w14:paraId="178B6209" w14:textId="593CACAA" w:rsidR="00515FCB" w:rsidRDefault="00515FCB">
      <w:pPr>
        <w:spacing w:after="0" w:line="276" w:lineRule="auto"/>
        <w:ind w:firstLine="720"/>
        <w:jc w:val="center"/>
        <w:rPr>
          <w:rFonts w:ascii="Times New Roman" w:eastAsia="Times New Roman" w:hAnsi="Times New Roman" w:cs="Times New Roman"/>
          <w:b/>
        </w:rPr>
      </w:pPr>
    </w:p>
    <w:p w14:paraId="07B8D4D8" w14:textId="77777777" w:rsidR="00515FCB" w:rsidRDefault="00515FCB">
      <w:pPr>
        <w:spacing w:after="0" w:line="276" w:lineRule="auto"/>
        <w:ind w:firstLine="720"/>
        <w:jc w:val="center"/>
        <w:rPr>
          <w:rFonts w:ascii="Times New Roman" w:eastAsia="Times New Roman" w:hAnsi="Times New Roman" w:cs="Times New Roman"/>
          <w:b/>
        </w:rPr>
      </w:pPr>
    </w:p>
    <w:p w14:paraId="0000007B" w14:textId="77777777" w:rsidR="00D93B73" w:rsidRDefault="00D93B73">
      <w:pPr>
        <w:spacing w:after="0" w:line="276" w:lineRule="auto"/>
        <w:ind w:firstLine="720"/>
        <w:jc w:val="center"/>
        <w:rPr>
          <w:rFonts w:ascii="Times New Roman" w:eastAsia="Times New Roman" w:hAnsi="Times New Roman" w:cs="Times New Roman"/>
          <w:b/>
        </w:rPr>
      </w:pPr>
    </w:p>
    <w:p w14:paraId="0000007C" w14:textId="77777777" w:rsidR="00D93B73" w:rsidRDefault="0038640A">
      <w:pPr>
        <w:spacing w:after="0" w:line="276" w:lineRule="auto"/>
        <w:ind w:firstLine="720"/>
        <w:jc w:val="center"/>
        <w:rPr>
          <w:rFonts w:ascii="Times New Roman" w:eastAsia="Times New Roman" w:hAnsi="Times New Roman" w:cs="Times New Roman"/>
          <w:b/>
        </w:rPr>
      </w:pPr>
      <w:r>
        <w:rPr>
          <w:rFonts w:ascii="Times New Roman" w:eastAsia="Times New Roman" w:hAnsi="Times New Roman" w:cs="Times New Roman"/>
          <w:b/>
        </w:rPr>
        <w:lastRenderedPageBreak/>
        <w:t>Capitolul VI</w:t>
      </w:r>
    </w:p>
    <w:p w14:paraId="0000007D" w14:textId="77777777" w:rsidR="00D93B73" w:rsidRDefault="0038640A">
      <w:pPr>
        <w:spacing w:after="0" w:line="276" w:lineRule="auto"/>
        <w:ind w:firstLine="720"/>
        <w:jc w:val="center"/>
        <w:rPr>
          <w:rFonts w:ascii="Times New Roman" w:eastAsia="Times New Roman" w:hAnsi="Times New Roman" w:cs="Times New Roman"/>
          <w:b/>
        </w:rPr>
      </w:pPr>
      <w:r>
        <w:rPr>
          <w:rFonts w:ascii="Times New Roman" w:eastAsia="Times New Roman" w:hAnsi="Times New Roman" w:cs="Times New Roman"/>
          <w:b/>
        </w:rPr>
        <w:t>MECANISMUL DE ACCESARE A SUPORTULUI</w:t>
      </w:r>
    </w:p>
    <w:p w14:paraId="0000007E" w14:textId="77777777" w:rsidR="00D93B73" w:rsidRDefault="00D93B73">
      <w:pPr>
        <w:spacing w:after="0" w:line="276" w:lineRule="auto"/>
        <w:ind w:firstLine="720"/>
        <w:jc w:val="center"/>
        <w:rPr>
          <w:rFonts w:ascii="Times New Roman" w:eastAsia="Times New Roman" w:hAnsi="Times New Roman" w:cs="Times New Roman"/>
          <w:b/>
        </w:rPr>
      </w:pPr>
    </w:p>
    <w:p w14:paraId="0000007F" w14:textId="77777777" w:rsidR="00D93B73" w:rsidRDefault="0038640A">
      <w:pPr>
        <w:numPr>
          <w:ilvl w:val="0"/>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Aplicarea pentru accesarea suportului de către </w:t>
      </w:r>
      <w:r>
        <w:rPr>
          <w:rFonts w:ascii="Times New Roman" w:eastAsia="Times New Roman" w:hAnsi="Times New Roman" w:cs="Times New Roman"/>
        </w:rPr>
        <w:t xml:space="preserve">solicitant </w:t>
      </w:r>
      <w:r>
        <w:rPr>
          <w:rFonts w:ascii="Times New Roman" w:eastAsia="Times New Roman" w:hAnsi="Times New Roman" w:cs="Times New Roman"/>
          <w:color w:val="000000"/>
        </w:rPr>
        <w:t>se realizează prin depunerea de către solicitant a unui plan de afaceri sau a unei cereri pentru sprijinirea participării la evenimente de afaceri, expoziții și târguri pentru solicitarea suportului financiar nerambursabil sau unei cereri de accesare a suportului non-financiar.</w:t>
      </w:r>
    </w:p>
    <w:p w14:paraId="00000080" w14:textId="77777777" w:rsidR="00D93B73" w:rsidRDefault="00D93B73">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rPr>
      </w:pPr>
    </w:p>
    <w:p w14:paraId="00000081" w14:textId="77777777" w:rsidR="00D93B73" w:rsidRDefault="0038640A">
      <w:pPr>
        <w:numPr>
          <w:ilvl w:val="0"/>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Recepționarea aplicațiilor de către ODA se efectuează prin intermediul formularului depus la Produsele de suport.</w:t>
      </w:r>
    </w:p>
    <w:p w14:paraId="00000082" w14:textId="77777777" w:rsidR="00D93B73" w:rsidRDefault="00D93B73">
      <w:pPr>
        <w:pBdr>
          <w:top w:val="nil"/>
          <w:left w:val="nil"/>
          <w:bottom w:val="nil"/>
          <w:right w:val="nil"/>
          <w:between w:val="nil"/>
        </w:pBdr>
        <w:spacing w:after="0" w:line="276" w:lineRule="auto"/>
        <w:ind w:left="720"/>
        <w:jc w:val="both"/>
        <w:rPr>
          <w:rFonts w:ascii="Times New Roman" w:eastAsia="Times New Roman" w:hAnsi="Times New Roman" w:cs="Times New Roman"/>
          <w:strike/>
          <w:color w:val="000000"/>
        </w:rPr>
      </w:pPr>
    </w:p>
    <w:p w14:paraId="00000083" w14:textId="77777777" w:rsidR="00D93B73" w:rsidRDefault="0038640A">
      <w:pPr>
        <w:numPr>
          <w:ilvl w:val="0"/>
          <w:numId w:val="2"/>
        </w:numPr>
        <w:pBdr>
          <w:top w:val="nil"/>
          <w:left w:val="nil"/>
          <w:bottom w:val="nil"/>
          <w:right w:val="nil"/>
          <w:between w:val="nil"/>
        </w:pBdr>
        <w:spacing w:after="0" w:line="276" w:lineRule="auto"/>
        <w:ind w:left="0" w:firstLine="774"/>
        <w:jc w:val="both"/>
        <w:rPr>
          <w:rFonts w:ascii="Times New Roman" w:eastAsia="Times New Roman" w:hAnsi="Times New Roman" w:cs="Times New Roman"/>
          <w:color w:val="000000"/>
        </w:rPr>
      </w:pPr>
      <w:r>
        <w:rPr>
          <w:rFonts w:ascii="Times New Roman" w:eastAsia="Times New Roman" w:hAnsi="Times New Roman" w:cs="Times New Roman"/>
          <w:color w:val="000000"/>
        </w:rPr>
        <w:t>Procesul de aplicare, de evaluare și aprobare a suportului financiar și non-financiar este stabilit de fiecare Produs de suport.</w:t>
      </w:r>
    </w:p>
    <w:p w14:paraId="00000084" w14:textId="77777777" w:rsidR="00D93B73" w:rsidRDefault="00D93B73">
      <w:pPr>
        <w:pBdr>
          <w:top w:val="nil"/>
          <w:left w:val="nil"/>
          <w:bottom w:val="nil"/>
          <w:right w:val="nil"/>
          <w:between w:val="nil"/>
        </w:pBdr>
        <w:spacing w:after="0" w:line="276" w:lineRule="auto"/>
        <w:ind w:left="774"/>
        <w:jc w:val="both"/>
        <w:rPr>
          <w:rFonts w:ascii="Times New Roman" w:eastAsia="Times New Roman" w:hAnsi="Times New Roman" w:cs="Times New Roman"/>
          <w:color w:val="000000"/>
        </w:rPr>
      </w:pPr>
    </w:p>
    <w:p w14:paraId="00000085" w14:textId="77777777" w:rsidR="00D93B73" w:rsidRDefault="00D93B73">
      <w:pPr>
        <w:spacing w:after="0" w:line="276" w:lineRule="auto"/>
        <w:ind w:firstLine="720"/>
        <w:jc w:val="center"/>
        <w:rPr>
          <w:rFonts w:ascii="Times New Roman" w:eastAsia="Times New Roman" w:hAnsi="Times New Roman" w:cs="Times New Roman"/>
          <w:b/>
        </w:rPr>
      </w:pPr>
    </w:p>
    <w:p w14:paraId="00000086" w14:textId="77777777" w:rsidR="00D93B73" w:rsidRDefault="0038640A">
      <w:pPr>
        <w:spacing w:after="0" w:line="276" w:lineRule="auto"/>
        <w:ind w:firstLine="720"/>
        <w:jc w:val="center"/>
        <w:rPr>
          <w:rFonts w:ascii="Times New Roman" w:eastAsia="Times New Roman" w:hAnsi="Times New Roman" w:cs="Times New Roman"/>
          <w:b/>
        </w:rPr>
      </w:pPr>
      <w:r>
        <w:rPr>
          <w:rFonts w:ascii="Times New Roman" w:eastAsia="Times New Roman" w:hAnsi="Times New Roman" w:cs="Times New Roman"/>
          <w:b/>
        </w:rPr>
        <w:t>Capitolul VII</w:t>
      </w:r>
    </w:p>
    <w:p w14:paraId="00000087" w14:textId="77777777" w:rsidR="00D93B73" w:rsidRDefault="0038640A">
      <w:pPr>
        <w:spacing w:after="0" w:line="276" w:lineRule="auto"/>
        <w:ind w:firstLine="720"/>
        <w:jc w:val="center"/>
        <w:rPr>
          <w:rFonts w:ascii="Times New Roman" w:eastAsia="Times New Roman" w:hAnsi="Times New Roman" w:cs="Times New Roman"/>
          <w:b/>
        </w:rPr>
      </w:pPr>
      <w:r>
        <w:rPr>
          <w:rFonts w:ascii="Times New Roman" w:eastAsia="Times New Roman" w:hAnsi="Times New Roman" w:cs="Times New Roman"/>
          <w:b/>
        </w:rPr>
        <w:t>MODUL DE FORMARE ŞI UTILIZARE A MIJLOACELOR FINANCIARE</w:t>
      </w:r>
    </w:p>
    <w:p w14:paraId="00000088" w14:textId="77777777" w:rsidR="00D93B73" w:rsidRDefault="00D93B73">
      <w:pPr>
        <w:spacing w:after="0" w:line="276" w:lineRule="auto"/>
        <w:ind w:firstLine="720"/>
        <w:jc w:val="center"/>
        <w:rPr>
          <w:rFonts w:ascii="Times New Roman" w:eastAsia="Times New Roman" w:hAnsi="Times New Roman" w:cs="Times New Roman"/>
          <w:b/>
        </w:rPr>
      </w:pPr>
    </w:p>
    <w:p w14:paraId="00000089" w14:textId="77777777" w:rsidR="00D93B73" w:rsidRDefault="0038640A">
      <w:pPr>
        <w:numPr>
          <w:ilvl w:val="0"/>
          <w:numId w:val="2"/>
        </w:numPr>
        <w:pBdr>
          <w:top w:val="nil"/>
          <w:left w:val="nil"/>
          <w:bottom w:val="nil"/>
          <w:right w:val="nil"/>
          <w:between w:val="nil"/>
        </w:pBdr>
        <w:tabs>
          <w:tab w:val="left" w:pos="1276"/>
        </w:tabs>
        <w:spacing w:after="0" w:line="276" w:lineRule="auto"/>
        <w:ind w:left="0" w:firstLine="698"/>
        <w:jc w:val="both"/>
        <w:rPr>
          <w:rFonts w:ascii="Times New Roman" w:eastAsia="Times New Roman" w:hAnsi="Times New Roman" w:cs="Times New Roman"/>
          <w:color w:val="000000"/>
        </w:rPr>
      </w:pPr>
      <w:r>
        <w:rPr>
          <w:rFonts w:ascii="Times New Roman" w:eastAsia="Times New Roman" w:hAnsi="Times New Roman" w:cs="Times New Roman"/>
          <w:color w:val="000000"/>
        </w:rPr>
        <w:t>Finanțarea activităților prevăzute de Produsele de suport destinate întreprinderilor mici și mijlocii se efectuează din contul și în limitele alocațiilor prevăzute în bugetul de stat (resurse generale și resurse ale proiectelor finanțate din surse externe).</w:t>
      </w:r>
    </w:p>
    <w:p w14:paraId="0000008A" w14:textId="77777777" w:rsidR="00D93B73" w:rsidRDefault="00D93B73">
      <w:pPr>
        <w:pBdr>
          <w:top w:val="nil"/>
          <w:left w:val="nil"/>
          <w:bottom w:val="nil"/>
          <w:right w:val="nil"/>
          <w:between w:val="nil"/>
        </w:pBdr>
        <w:tabs>
          <w:tab w:val="left" w:pos="1276"/>
        </w:tabs>
        <w:spacing w:after="0" w:line="276" w:lineRule="auto"/>
        <w:ind w:left="698"/>
        <w:jc w:val="both"/>
        <w:rPr>
          <w:rFonts w:ascii="Times New Roman" w:eastAsia="Times New Roman" w:hAnsi="Times New Roman" w:cs="Times New Roman"/>
          <w:color w:val="000000"/>
        </w:rPr>
      </w:pPr>
    </w:p>
    <w:p w14:paraId="0000008B" w14:textId="77777777" w:rsidR="00D93B73" w:rsidRDefault="0038640A">
      <w:pPr>
        <w:numPr>
          <w:ilvl w:val="0"/>
          <w:numId w:val="2"/>
        </w:numPr>
        <w:pBdr>
          <w:top w:val="nil"/>
          <w:left w:val="nil"/>
          <w:bottom w:val="nil"/>
          <w:right w:val="nil"/>
          <w:between w:val="nil"/>
        </w:pBdr>
        <w:tabs>
          <w:tab w:val="left" w:pos="1276"/>
        </w:tabs>
        <w:spacing w:after="0" w:line="276" w:lineRule="auto"/>
        <w:ind w:left="0" w:firstLine="698"/>
        <w:jc w:val="both"/>
        <w:rPr>
          <w:rFonts w:ascii="Times New Roman" w:eastAsia="Times New Roman" w:hAnsi="Times New Roman" w:cs="Times New Roman"/>
          <w:color w:val="000000"/>
        </w:rPr>
      </w:pPr>
      <w:r>
        <w:rPr>
          <w:rFonts w:ascii="Times New Roman" w:eastAsia="Times New Roman" w:hAnsi="Times New Roman" w:cs="Times New Roman"/>
          <w:color w:val="000000"/>
        </w:rPr>
        <w:t>Cheltuielile administrative pentru implementarea produselor de suport non-financiar și financiar nerambursabil destinate întreprinderilor mici și mijlocii finanțate din bugetul de stat -resurse generale se stabilesc la aprobarea bugetului fiecărui produs de suport în conformitate plafonul stabilit de Legea nr. 179/2016 cu privire la întreprinderile mici și mijlocii.</w:t>
      </w:r>
    </w:p>
    <w:p w14:paraId="0000008C" w14:textId="77777777" w:rsidR="00D93B73" w:rsidRDefault="00D93B73">
      <w:pPr>
        <w:pBdr>
          <w:top w:val="nil"/>
          <w:left w:val="nil"/>
          <w:bottom w:val="nil"/>
          <w:right w:val="nil"/>
          <w:between w:val="nil"/>
        </w:pBdr>
        <w:spacing w:after="0"/>
        <w:ind w:left="720"/>
        <w:rPr>
          <w:rFonts w:ascii="Times New Roman" w:eastAsia="Times New Roman" w:hAnsi="Times New Roman" w:cs="Times New Roman"/>
          <w:color w:val="000000"/>
        </w:rPr>
      </w:pPr>
    </w:p>
    <w:p w14:paraId="0000008D" w14:textId="77777777" w:rsidR="00D93B73" w:rsidRDefault="0038640A">
      <w:pPr>
        <w:numPr>
          <w:ilvl w:val="0"/>
          <w:numId w:val="2"/>
        </w:numPr>
        <w:pBdr>
          <w:top w:val="nil"/>
          <w:left w:val="nil"/>
          <w:bottom w:val="nil"/>
          <w:right w:val="nil"/>
          <w:between w:val="nil"/>
        </w:pBdr>
        <w:tabs>
          <w:tab w:val="left" w:pos="1276"/>
        </w:tabs>
        <w:spacing w:after="0" w:line="276" w:lineRule="auto"/>
        <w:ind w:left="0" w:firstLine="698"/>
        <w:jc w:val="both"/>
        <w:rPr>
          <w:rFonts w:ascii="Times New Roman" w:eastAsia="Times New Roman" w:hAnsi="Times New Roman" w:cs="Times New Roman"/>
          <w:color w:val="000000"/>
        </w:rPr>
      </w:pPr>
      <w:r>
        <w:rPr>
          <w:rFonts w:ascii="Times New Roman" w:eastAsia="Times New Roman" w:hAnsi="Times New Roman" w:cs="Times New Roman"/>
          <w:color w:val="000000"/>
        </w:rPr>
        <w:t>Cheltuielile administrative pentru implementarea produselor de suport non-financiar și financiar nerambursabil destinate întreprinderilor mici și mijlocii finanțate din surse externe, pot fi acoperite din bugetul de stat-resurse generale, doar pentru angajamentele ODA aprobate prealabil de către MDED, dar nu mai mult de 10% din valoarea activităților aprobate, în cazul în care proiectele de asistență externă nu prevăd acoperirea acestor cheltuieli.</w:t>
      </w:r>
    </w:p>
    <w:p w14:paraId="0000008E" w14:textId="77777777" w:rsidR="00D93B73" w:rsidRDefault="00D93B73">
      <w:pPr>
        <w:tabs>
          <w:tab w:val="left" w:pos="1276"/>
        </w:tabs>
        <w:spacing w:after="0" w:line="276" w:lineRule="auto"/>
        <w:jc w:val="both"/>
        <w:rPr>
          <w:rFonts w:ascii="Times New Roman" w:eastAsia="Times New Roman" w:hAnsi="Times New Roman" w:cs="Times New Roman"/>
        </w:rPr>
      </w:pPr>
    </w:p>
    <w:p w14:paraId="0000008F" w14:textId="77777777" w:rsidR="00D93B73" w:rsidRDefault="0038640A">
      <w:pPr>
        <w:numPr>
          <w:ilvl w:val="0"/>
          <w:numId w:val="2"/>
        </w:numPr>
        <w:pBdr>
          <w:top w:val="nil"/>
          <w:left w:val="nil"/>
          <w:bottom w:val="nil"/>
          <w:right w:val="nil"/>
          <w:between w:val="nil"/>
        </w:pBdr>
        <w:tabs>
          <w:tab w:val="left" w:pos="1276"/>
        </w:tabs>
        <w:spacing w:after="0" w:line="276" w:lineRule="auto"/>
        <w:ind w:left="0" w:firstLine="633"/>
        <w:jc w:val="both"/>
        <w:rPr>
          <w:rFonts w:ascii="Times New Roman" w:eastAsia="Times New Roman" w:hAnsi="Times New Roman" w:cs="Times New Roman"/>
          <w:b/>
          <w:color w:val="000000"/>
        </w:rPr>
      </w:pPr>
      <w:r>
        <w:rPr>
          <w:rFonts w:ascii="Times New Roman" w:eastAsia="Times New Roman" w:hAnsi="Times New Roman" w:cs="Times New Roman"/>
          <w:color w:val="000000"/>
        </w:rPr>
        <w:t>ODA asigură evidența contabilă separată pentru fiecare Produs de suport, prin întocmirea de rapoarte financiare distincte. Aceasta se realizează cu respectarea solicitărilor MDED, precum și ale partenerilor de dezvoltare și/sau ale donatorilor, după caz.</w:t>
      </w:r>
    </w:p>
    <w:p w14:paraId="00000090" w14:textId="58CA2933" w:rsidR="00D93B73" w:rsidRDefault="00D93B73">
      <w:pPr>
        <w:pBdr>
          <w:top w:val="nil"/>
          <w:left w:val="nil"/>
          <w:bottom w:val="nil"/>
          <w:right w:val="nil"/>
          <w:between w:val="nil"/>
        </w:pBdr>
        <w:tabs>
          <w:tab w:val="left" w:pos="1276"/>
        </w:tabs>
        <w:spacing w:after="0" w:line="276" w:lineRule="auto"/>
        <w:ind w:left="698"/>
        <w:jc w:val="both"/>
        <w:rPr>
          <w:rFonts w:ascii="Times New Roman" w:eastAsia="Times New Roman" w:hAnsi="Times New Roman" w:cs="Times New Roman"/>
          <w:b/>
          <w:color w:val="000000"/>
        </w:rPr>
      </w:pPr>
    </w:p>
    <w:p w14:paraId="5E9B7559" w14:textId="0CF1BFC9" w:rsidR="00515FCB" w:rsidRDefault="00515FCB">
      <w:pPr>
        <w:pBdr>
          <w:top w:val="nil"/>
          <w:left w:val="nil"/>
          <w:bottom w:val="nil"/>
          <w:right w:val="nil"/>
          <w:between w:val="nil"/>
        </w:pBdr>
        <w:tabs>
          <w:tab w:val="left" w:pos="1276"/>
        </w:tabs>
        <w:spacing w:after="0" w:line="276" w:lineRule="auto"/>
        <w:ind w:left="698"/>
        <w:jc w:val="both"/>
        <w:rPr>
          <w:rFonts w:ascii="Times New Roman" w:eastAsia="Times New Roman" w:hAnsi="Times New Roman" w:cs="Times New Roman"/>
          <w:b/>
          <w:color w:val="000000"/>
        </w:rPr>
      </w:pPr>
    </w:p>
    <w:p w14:paraId="31573D70" w14:textId="7ADCCD19" w:rsidR="00515FCB" w:rsidRDefault="00515FCB">
      <w:pPr>
        <w:pBdr>
          <w:top w:val="nil"/>
          <w:left w:val="nil"/>
          <w:bottom w:val="nil"/>
          <w:right w:val="nil"/>
          <w:between w:val="nil"/>
        </w:pBdr>
        <w:tabs>
          <w:tab w:val="left" w:pos="1276"/>
        </w:tabs>
        <w:spacing w:after="0" w:line="276" w:lineRule="auto"/>
        <w:ind w:left="698"/>
        <w:jc w:val="both"/>
        <w:rPr>
          <w:rFonts w:ascii="Times New Roman" w:eastAsia="Times New Roman" w:hAnsi="Times New Roman" w:cs="Times New Roman"/>
          <w:b/>
          <w:color w:val="000000"/>
        </w:rPr>
      </w:pPr>
    </w:p>
    <w:p w14:paraId="03B52901" w14:textId="77777777" w:rsidR="00515FCB" w:rsidRDefault="00515FCB">
      <w:pPr>
        <w:pBdr>
          <w:top w:val="nil"/>
          <w:left w:val="nil"/>
          <w:bottom w:val="nil"/>
          <w:right w:val="nil"/>
          <w:between w:val="nil"/>
        </w:pBdr>
        <w:tabs>
          <w:tab w:val="left" w:pos="1276"/>
        </w:tabs>
        <w:spacing w:after="0" w:line="276" w:lineRule="auto"/>
        <w:ind w:left="698"/>
        <w:jc w:val="both"/>
        <w:rPr>
          <w:rFonts w:ascii="Times New Roman" w:eastAsia="Times New Roman" w:hAnsi="Times New Roman" w:cs="Times New Roman"/>
          <w:b/>
          <w:color w:val="000000"/>
        </w:rPr>
      </w:pPr>
    </w:p>
    <w:p w14:paraId="00000091" w14:textId="77777777" w:rsidR="00D93B73" w:rsidRDefault="0038640A">
      <w:pPr>
        <w:spacing w:after="0" w:line="276" w:lineRule="auto"/>
        <w:ind w:firstLine="720"/>
        <w:jc w:val="center"/>
        <w:rPr>
          <w:rFonts w:ascii="Times New Roman" w:eastAsia="Times New Roman" w:hAnsi="Times New Roman" w:cs="Times New Roman"/>
          <w:b/>
        </w:rPr>
      </w:pPr>
      <w:r>
        <w:rPr>
          <w:rFonts w:ascii="Times New Roman" w:eastAsia="Times New Roman" w:hAnsi="Times New Roman" w:cs="Times New Roman"/>
          <w:b/>
        </w:rPr>
        <w:lastRenderedPageBreak/>
        <w:t>Capitolul VIII</w:t>
      </w:r>
    </w:p>
    <w:p w14:paraId="00000092" w14:textId="77777777" w:rsidR="00D93B73" w:rsidRDefault="0038640A">
      <w:pPr>
        <w:spacing w:after="0" w:line="276" w:lineRule="auto"/>
        <w:ind w:firstLine="720"/>
        <w:jc w:val="center"/>
        <w:rPr>
          <w:rFonts w:ascii="Times New Roman" w:eastAsia="Times New Roman" w:hAnsi="Times New Roman" w:cs="Times New Roman"/>
          <w:b/>
        </w:rPr>
      </w:pPr>
      <w:r>
        <w:rPr>
          <w:rFonts w:ascii="Times New Roman" w:eastAsia="Times New Roman" w:hAnsi="Times New Roman" w:cs="Times New Roman"/>
          <w:b/>
        </w:rPr>
        <w:t>LANSAREA ȘI SUPRAVEGHEREA PRODUSELOR DE SUPORT</w:t>
      </w:r>
    </w:p>
    <w:p w14:paraId="00000093" w14:textId="77777777" w:rsidR="00D93B73" w:rsidRDefault="00D93B73">
      <w:pPr>
        <w:spacing w:after="0" w:line="276" w:lineRule="auto"/>
        <w:ind w:firstLine="720"/>
        <w:jc w:val="center"/>
        <w:rPr>
          <w:rFonts w:ascii="Times New Roman" w:eastAsia="Times New Roman" w:hAnsi="Times New Roman" w:cs="Times New Roman"/>
          <w:b/>
        </w:rPr>
      </w:pPr>
    </w:p>
    <w:p w14:paraId="00000094" w14:textId="77777777" w:rsidR="00D93B73" w:rsidRDefault="0038640A">
      <w:pPr>
        <w:numPr>
          <w:ilvl w:val="0"/>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Lansarea Produselor de suport este realizată de către ODA în coordonare cu MDED.</w:t>
      </w:r>
    </w:p>
    <w:p w14:paraId="00000095" w14:textId="77777777" w:rsidR="00D93B73" w:rsidRDefault="00D93B73">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rPr>
      </w:pPr>
    </w:p>
    <w:p w14:paraId="00000096" w14:textId="77777777" w:rsidR="00D93B73" w:rsidRDefault="0038640A">
      <w:pPr>
        <w:numPr>
          <w:ilvl w:val="0"/>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Perioada de aplicare și de depunere a dosarelor aferente unui produs de suport este anunțată public pe site-ul oficial al MDED și al ODA.</w:t>
      </w:r>
    </w:p>
    <w:p w14:paraId="00000097" w14:textId="77777777" w:rsidR="00D93B73" w:rsidRDefault="00D93B73">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rPr>
      </w:pPr>
    </w:p>
    <w:p w14:paraId="00000098" w14:textId="77777777" w:rsidR="00D93B73" w:rsidRDefault="0038640A">
      <w:pPr>
        <w:numPr>
          <w:ilvl w:val="0"/>
          <w:numId w:val="2"/>
        </w:numPr>
        <w:pBdr>
          <w:top w:val="nil"/>
          <w:left w:val="nil"/>
          <w:bottom w:val="nil"/>
          <w:right w:val="nil"/>
          <w:between w:val="nil"/>
        </w:pBdr>
        <w:tabs>
          <w:tab w:val="left" w:pos="993"/>
          <w:tab w:val="left" w:pos="1134"/>
        </w:tabs>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rPr>
        <w:t>Monitorizarea implementării Produselor de suport destinate întreprinderilor mici și mijlocii se realizează de către MDED.</w:t>
      </w:r>
    </w:p>
    <w:p w14:paraId="00000099" w14:textId="77777777" w:rsidR="00D93B73" w:rsidRDefault="00D93B73">
      <w:pPr>
        <w:pBdr>
          <w:top w:val="nil"/>
          <w:left w:val="nil"/>
          <w:bottom w:val="nil"/>
          <w:right w:val="nil"/>
          <w:between w:val="nil"/>
        </w:pBdr>
        <w:tabs>
          <w:tab w:val="left" w:pos="993"/>
          <w:tab w:val="left" w:pos="1134"/>
        </w:tabs>
        <w:spacing w:after="0" w:line="276" w:lineRule="auto"/>
        <w:ind w:left="720"/>
        <w:jc w:val="both"/>
        <w:rPr>
          <w:rFonts w:ascii="Times New Roman" w:eastAsia="Times New Roman" w:hAnsi="Times New Roman" w:cs="Times New Roman"/>
        </w:rPr>
      </w:pPr>
    </w:p>
    <w:p w14:paraId="0000009A" w14:textId="77777777" w:rsidR="00D93B73" w:rsidRDefault="0038640A">
      <w:pPr>
        <w:numPr>
          <w:ilvl w:val="0"/>
          <w:numId w:val="2"/>
        </w:numPr>
        <w:pBdr>
          <w:top w:val="nil"/>
          <w:left w:val="nil"/>
          <w:bottom w:val="nil"/>
          <w:right w:val="nil"/>
          <w:between w:val="nil"/>
        </w:pBdr>
        <w:tabs>
          <w:tab w:val="left" w:pos="993"/>
          <w:tab w:val="left" w:pos="1134"/>
        </w:tabs>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ODA prezintă trimestrial MDED situațiile privind executarea bugetului și atingerea indicatorilor pentru fiecare </w:t>
      </w:r>
      <w:r>
        <w:rPr>
          <w:rFonts w:ascii="Times New Roman" w:eastAsia="Times New Roman" w:hAnsi="Times New Roman" w:cs="Times New Roman"/>
        </w:rPr>
        <w:t>obiectiv specific</w:t>
      </w:r>
      <w:r>
        <w:rPr>
          <w:rFonts w:ascii="Times New Roman" w:eastAsia="Times New Roman" w:hAnsi="Times New Roman" w:cs="Times New Roman"/>
          <w:color w:val="000000"/>
        </w:rPr>
        <w:t>.</w:t>
      </w:r>
    </w:p>
    <w:p w14:paraId="0000009B" w14:textId="77777777" w:rsidR="00D93B73" w:rsidRDefault="00D93B73">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rPr>
      </w:pPr>
    </w:p>
    <w:p w14:paraId="0000009C" w14:textId="77777777" w:rsidR="00D93B73" w:rsidRDefault="0038640A">
      <w:pPr>
        <w:numPr>
          <w:ilvl w:val="0"/>
          <w:numId w:val="2"/>
        </w:numPr>
        <w:pBdr>
          <w:top w:val="nil"/>
          <w:left w:val="nil"/>
          <w:bottom w:val="nil"/>
          <w:right w:val="nil"/>
          <w:between w:val="nil"/>
        </w:pBdr>
        <w:tabs>
          <w:tab w:val="left" w:pos="1134"/>
        </w:tabs>
        <w:spacing w:after="0" w:line="276" w:lineRule="auto"/>
        <w:ind w:left="0" w:firstLine="63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Supravegherea și implementarea fiecărui Produs de suport se realizează în conformitate cu mecanismul de guvernanță prevăzut de Statutul ODA, aprobat prin hotărârea Guvernului 487/2022 cu privire la organizarea și funcționarea Instituției Publice Organizația pentru Dezvoltarea </w:t>
      </w:r>
      <w:proofErr w:type="spellStart"/>
      <w:r>
        <w:rPr>
          <w:rFonts w:ascii="Times New Roman" w:eastAsia="Times New Roman" w:hAnsi="Times New Roman" w:cs="Times New Roman"/>
          <w:color w:val="000000"/>
        </w:rPr>
        <w:t>Antreprenoriatului</w:t>
      </w:r>
      <w:proofErr w:type="spellEnd"/>
      <w:r>
        <w:rPr>
          <w:rFonts w:ascii="Times New Roman" w:eastAsia="Times New Roman" w:hAnsi="Times New Roman" w:cs="Times New Roman"/>
          <w:color w:val="000000"/>
        </w:rPr>
        <w:t>.</w:t>
      </w:r>
    </w:p>
    <w:p w14:paraId="0000009D" w14:textId="77777777" w:rsidR="00D93B73" w:rsidRDefault="00D93B73">
      <w:pPr>
        <w:pBdr>
          <w:top w:val="nil"/>
          <w:left w:val="nil"/>
          <w:bottom w:val="nil"/>
          <w:right w:val="nil"/>
          <w:between w:val="nil"/>
        </w:pBdr>
        <w:spacing w:after="0"/>
        <w:ind w:left="720"/>
        <w:rPr>
          <w:rFonts w:ascii="Times New Roman" w:eastAsia="Times New Roman" w:hAnsi="Times New Roman" w:cs="Times New Roman"/>
          <w:color w:val="000000"/>
        </w:rPr>
      </w:pPr>
    </w:p>
    <w:p w14:paraId="0000009E" w14:textId="77777777" w:rsidR="00D93B73" w:rsidRDefault="0038640A">
      <w:pPr>
        <w:numPr>
          <w:ilvl w:val="0"/>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Evaluarea impactului Produselor de suport este realizată de către ODA conform Metodologiei pentru evaluarea ex-post a produselor de suport. </w:t>
      </w:r>
    </w:p>
    <w:p w14:paraId="0000009F" w14:textId="77777777" w:rsidR="00D93B73" w:rsidRDefault="00D93B73">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rPr>
      </w:pPr>
    </w:p>
    <w:p w14:paraId="000000A0" w14:textId="77777777" w:rsidR="00D93B73" w:rsidRDefault="0038640A">
      <w:pPr>
        <w:numPr>
          <w:ilvl w:val="0"/>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ODA prezintă anual Consiliului ODA și MDED raportul cumulativ privind implementarea fiecărui Produs de suport. Totodată, în termen de 24 de luni de la finalizarea activităților aferente unui Produs de suport, ODA elaborează raportul final, îl coordonează cu Comitetul de finanțare și risc și îl prezintă Consiliului ODA și MDED.</w:t>
      </w:r>
    </w:p>
    <w:p w14:paraId="000000A1" w14:textId="77777777" w:rsidR="00D93B73" w:rsidRDefault="00D93B73">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rPr>
      </w:pPr>
    </w:p>
    <w:p w14:paraId="000000A2" w14:textId="77777777" w:rsidR="00D93B73" w:rsidRDefault="0038640A">
      <w:pPr>
        <w:numPr>
          <w:ilvl w:val="0"/>
          <w:numId w:val="2"/>
        </w:numPr>
        <w:pBdr>
          <w:top w:val="nil"/>
          <w:left w:val="nil"/>
          <w:bottom w:val="nil"/>
          <w:right w:val="nil"/>
          <w:between w:val="nil"/>
        </w:pBdr>
        <w:spacing w:after="0" w:line="276"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Controlul asupra activității financiare aferente Produselor de suport este exercitat de către ODA, precum și de alte entități abilitate prin lege cu acest drept.</w:t>
      </w:r>
    </w:p>
    <w:p w14:paraId="000000A3" w14:textId="77777777" w:rsidR="00D93B73" w:rsidRDefault="00D93B73">
      <w:pPr>
        <w:spacing w:after="0" w:line="276" w:lineRule="auto"/>
        <w:ind w:firstLine="720"/>
        <w:jc w:val="center"/>
        <w:rPr>
          <w:rFonts w:ascii="Times New Roman" w:eastAsia="Times New Roman" w:hAnsi="Times New Roman" w:cs="Times New Roman"/>
          <w:b/>
        </w:rPr>
      </w:pPr>
    </w:p>
    <w:p w14:paraId="000000A4" w14:textId="77777777" w:rsidR="00D93B73" w:rsidRDefault="00D93B73">
      <w:pPr>
        <w:pBdr>
          <w:top w:val="nil"/>
          <w:left w:val="nil"/>
          <w:bottom w:val="nil"/>
          <w:right w:val="nil"/>
          <w:between w:val="nil"/>
        </w:pBdr>
        <w:spacing w:after="0" w:line="276" w:lineRule="auto"/>
        <w:ind w:firstLine="720"/>
        <w:jc w:val="center"/>
        <w:rPr>
          <w:rFonts w:ascii="Times New Roman" w:eastAsia="Times New Roman" w:hAnsi="Times New Roman" w:cs="Times New Roman"/>
          <w:color w:val="000000"/>
        </w:rPr>
      </w:pPr>
    </w:p>
    <w:sectPr w:rsidR="00D93B73" w:rsidSect="0004569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C3CF1" w14:textId="77777777" w:rsidR="006C1F67" w:rsidRDefault="006C1F67">
      <w:pPr>
        <w:spacing w:after="0" w:line="240" w:lineRule="auto"/>
      </w:pPr>
      <w:r>
        <w:separator/>
      </w:r>
    </w:p>
  </w:endnote>
  <w:endnote w:type="continuationSeparator" w:id="0">
    <w:p w14:paraId="5466045C" w14:textId="77777777" w:rsidR="006C1F67" w:rsidRDefault="006C1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mbria"/>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8" w14:textId="77777777" w:rsidR="00D93B73" w:rsidRDefault="0038640A">
    <w:pPr>
      <w:pBdr>
        <w:top w:val="nil"/>
        <w:left w:val="nil"/>
        <w:bottom w:val="nil"/>
        <w:right w:val="nil"/>
        <w:between w:val="nil"/>
      </w:pBdr>
      <w:tabs>
        <w:tab w:val="center" w:pos="4680"/>
        <w:tab w:val="right" w:pos="9360"/>
      </w:tabs>
      <w:spacing w:after="0" w:line="240" w:lineRule="auto"/>
      <w:jc w:val="right"/>
      <w:rPr>
        <w:color w:val="000000"/>
      </w:rPr>
    </w:pPr>
    <w:r>
      <w:fldChar w:fldCharType="begin"/>
    </w:r>
    <w:r>
      <w:instrText xml:space="preserve"> DOCPROPERTY "bjFooterEvenPageDocProperty"</w:instrText>
    </w:r>
    <w:r>
      <w:fldChar w:fldCharType="separate"/>
    </w:r>
    <w:r>
      <w:rPr>
        <w:rFonts w:ascii="Times New Roman" w:eastAsia="Times New Roman" w:hAnsi="Times New Roman" w:cs="Times New Roman"/>
        <w:b/>
        <w:color w:val="3366FF"/>
      </w:rPr>
      <w:t>Uz-Intern</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9" w14:textId="0745030F" w:rsidR="00D93B73" w:rsidRDefault="00D93B73">
    <w:pPr>
      <w:pBdr>
        <w:top w:val="nil"/>
        <w:left w:val="nil"/>
        <w:bottom w:val="nil"/>
        <w:right w:val="nil"/>
        <w:between w:val="nil"/>
      </w:pBdr>
      <w:tabs>
        <w:tab w:val="center" w:pos="4680"/>
        <w:tab w:val="right" w:pos="9360"/>
      </w:tabs>
      <w:spacing w:after="0" w:line="240" w:lineRule="auto"/>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A" w14:textId="485958BB" w:rsidR="00D93B73" w:rsidRDefault="00D93B73">
    <w:pPr>
      <w:pBdr>
        <w:top w:val="nil"/>
        <w:left w:val="nil"/>
        <w:bottom w:val="nil"/>
        <w:right w:val="nil"/>
        <w:between w:val="nil"/>
      </w:pBdr>
      <w:tabs>
        <w:tab w:val="center" w:pos="4680"/>
        <w:tab w:val="right" w:pos="9360"/>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4B0BA" w14:textId="77777777" w:rsidR="006C1F67" w:rsidRDefault="006C1F67">
      <w:pPr>
        <w:spacing w:after="0" w:line="240" w:lineRule="auto"/>
      </w:pPr>
      <w:r>
        <w:separator/>
      </w:r>
    </w:p>
  </w:footnote>
  <w:footnote w:type="continuationSeparator" w:id="0">
    <w:p w14:paraId="77F8037B" w14:textId="77777777" w:rsidR="006C1F67" w:rsidRDefault="006C1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5" w14:textId="77777777" w:rsidR="00D93B73" w:rsidRDefault="00D93B73">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6" w14:textId="2F389CF5" w:rsidR="00D93B73" w:rsidRDefault="00D93B73">
    <w:pPr>
      <w:pBdr>
        <w:top w:val="nil"/>
        <w:left w:val="nil"/>
        <w:bottom w:val="nil"/>
        <w:right w:val="nil"/>
        <w:between w:val="nil"/>
      </w:pBdr>
      <w:tabs>
        <w:tab w:val="center" w:pos="4680"/>
        <w:tab w:val="right" w:pos="9360"/>
      </w:tabs>
      <w:spacing w:after="0" w:line="240" w:lineRule="auto"/>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7" w14:textId="6DEA15F5" w:rsidR="00D93B73" w:rsidRPr="0004569E" w:rsidRDefault="0004569E" w:rsidP="0004569E">
    <w:pPr>
      <w:pBdr>
        <w:top w:val="nil"/>
        <w:left w:val="nil"/>
        <w:bottom w:val="nil"/>
        <w:right w:val="nil"/>
        <w:between w:val="nil"/>
      </w:pBdr>
      <w:tabs>
        <w:tab w:val="center" w:pos="4680"/>
        <w:tab w:val="right" w:pos="9360"/>
      </w:tabs>
      <w:spacing w:after="0" w:line="240" w:lineRule="auto"/>
      <w:jc w:val="right"/>
      <w:rPr>
        <w:color w:val="000000"/>
        <w:lang w:val="ro-MD"/>
      </w:rPr>
    </w:pPr>
    <w:r>
      <w:rPr>
        <w:color w:val="000000"/>
        <w:lang w:val="ro-MD"/>
      </w:rPr>
      <w:t>PROIECT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72C4A"/>
    <w:multiLevelType w:val="multilevel"/>
    <w:tmpl w:val="9DC28A42"/>
    <w:lvl w:ilvl="0">
      <w:start w:val="1"/>
      <w:numFmt w:val="decimal"/>
      <w:lvlText w:val="%1."/>
      <w:lvlJc w:val="left"/>
      <w:pPr>
        <w:ind w:left="720" w:hanging="360"/>
      </w:pPr>
      <w:rPr>
        <w:b w:val="0"/>
        <w:strike w:val="0"/>
      </w:rPr>
    </w:lvl>
    <w:lvl w:ilvl="1">
      <w:start w:val="1"/>
      <w:numFmt w:val="decimal"/>
      <w:lvlText w:val="%1.%2."/>
      <w:lvlJc w:val="left"/>
      <w:pPr>
        <w:ind w:left="1440" w:hanging="720"/>
      </w:pPr>
      <w:rPr>
        <w:i w:val="0"/>
      </w:rPr>
    </w:lvl>
    <w:lvl w:ilvl="2">
      <w:start w:val="1"/>
      <w:numFmt w:val="decimal"/>
      <w:lvlText w:val="%1.%2.%3."/>
      <w:lvlJc w:val="left"/>
      <w:pPr>
        <w:ind w:left="1800" w:hanging="720"/>
      </w:pPr>
      <w:rPr>
        <w:i/>
      </w:rPr>
    </w:lvl>
    <w:lvl w:ilvl="3">
      <w:start w:val="1"/>
      <w:numFmt w:val="decimal"/>
      <w:lvlText w:val="%1.%2.%3.%4."/>
      <w:lvlJc w:val="left"/>
      <w:pPr>
        <w:ind w:left="2520" w:hanging="1080"/>
      </w:pPr>
      <w:rPr>
        <w:i/>
      </w:rPr>
    </w:lvl>
    <w:lvl w:ilvl="4">
      <w:start w:val="1"/>
      <w:numFmt w:val="decimal"/>
      <w:lvlText w:val="%1.%2.%3.%4.%5."/>
      <w:lvlJc w:val="left"/>
      <w:pPr>
        <w:ind w:left="2880" w:hanging="1080"/>
      </w:pPr>
      <w:rPr>
        <w:i/>
      </w:rPr>
    </w:lvl>
    <w:lvl w:ilvl="5">
      <w:start w:val="1"/>
      <w:numFmt w:val="decimal"/>
      <w:lvlText w:val="%1.%2.%3.%4.%5.%6."/>
      <w:lvlJc w:val="left"/>
      <w:pPr>
        <w:ind w:left="3600" w:hanging="1440"/>
      </w:pPr>
      <w:rPr>
        <w:i/>
      </w:rPr>
    </w:lvl>
    <w:lvl w:ilvl="6">
      <w:start w:val="1"/>
      <w:numFmt w:val="decimal"/>
      <w:lvlText w:val="%1.%2.%3.%4.%5.%6.%7."/>
      <w:lvlJc w:val="left"/>
      <w:pPr>
        <w:ind w:left="3960" w:hanging="1440"/>
      </w:pPr>
      <w:rPr>
        <w:i/>
      </w:rPr>
    </w:lvl>
    <w:lvl w:ilvl="7">
      <w:start w:val="1"/>
      <w:numFmt w:val="decimal"/>
      <w:lvlText w:val="%1.%2.%3.%4.%5.%6.%7.%8."/>
      <w:lvlJc w:val="left"/>
      <w:pPr>
        <w:ind w:left="4680" w:hanging="1800"/>
      </w:pPr>
      <w:rPr>
        <w:i/>
      </w:rPr>
    </w:lvl>
    <w:lvl w:ilvl="8">
      <w:start w:val="1"/>
      <w:numFmt w:val="decimal"/>
      <w:lvlText w:val="%1.%2.%3.%4.%5.%6.%7.%8.%9."/>
      <w:lvlJc w:val="left"/>
      <w:pPr>
        <w:ind w:left="5040" w:hanging="1800"/>
      </w:pPr>
      <w:rPr>
        <w:i/>
      </w:rPr>
    </w:lvl>
  </w:abstractNum>
  <w:abstractNum w:abstractNumId="1" w15:restartNumberingAfterBreak="0">
    <w:nsid w:val="74C279F9"/>
    <w:multiLevelType w:val="multilevel"/>
    <w:tmpl w:val="1FF428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B73"/>
    <w:rsid w:val="0004569E"/>
    <w:rsid w:val="003241A2"/>
    <w:rsid w:val="0038640A"/>
    <w:rsid w:val="004066BB"/>
    <w:rsid w:val="00462841"/>
    <w:rsid w:val="00515FCB"/>
    <w:rsid w:val="0052482C"/>
    <w:rsid w:val="005536DD"/>
    <w:rsid w:val="006C1F67"/>
    <w:rsid w:val="009241FB"/>
    <w:rsid w:val="00D93B73"/>
    <w:rsid w:val="00E40BE1"/>
    <w:rsid w:val="00EF4064"/>
    <w:rsid w:val="00F90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8DA4C"/>
  <w15:docId w15:val="{A4584F65-3D59-4B0C-BCDC-AC2A8DC51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ro-RO"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7B5"/>
  </w:style>
  <w:style w:type="paragraph" w:styleId="Heading1">
    <w:name w:val="heading 1"/>
    <w:basedOn w:val="Normal"/>
    <w:next w:val="Normal"/>
    <w:link w:val="Heading1Char"/>
    <w:uiPriority w:val="9"/>
    <w:qFormat/>
    <w:rsid w:val="000137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7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7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7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7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7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7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7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7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13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137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7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7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7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7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7B5"/>
    <w:rPr>
      <w:rFonts w:eastAsiaTheme="majorEastAsia" w:cstheme="majorBidi"/>
      <w:color w:val="272727" w:themeColor="text1" w:themeTint="D8"/>
    </w:rPr>
  </w:style>
  <w:style w:type="character" w:customStyle="1" w:styleId="TitleChar">
    <w:name w:val="Title Char"/>
    <w:basedOn w:val="DefaultParagraphFont"/>
    <w:link w:val="Title"/>
    <w:uiPriority w:val="10"/>
    <w:rsid w:val="00013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013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7B5"/>
    <w:pPr>
      <w:spacing w:before="160"/>
      <w:jc w:val="center"/>
    </w:pPr>
    <w:rPr>
      <w:i/>
      <w:iCs/>
      <w:color w:val="404040" w:themeColor="text1" w:themeTint="BF"/>
    </w:rPr>
  </w:style>
  <w:style w:type="character" w:customStyle="1" w:styleId="QuoteChar">
    <w:name w:val="Quote Char"/>
    <w:basedOn w:val="DefaultParagraphFont"/>
    <w:link w:val="Quote"/>
    <w:uiPriority w:val="29"/>
    <w:rsid w:val="000137B5"/>
    <w:rPr>
      <w:i/>
      <w:iCs/>
      <w:color w:val="404040" w:themeColor="text1" w:themeTint="BF"/>
    </w:rPr>
  </w:style>
  <w:style w:type="paragraph" w:styleId="ListParagraph">
    <w:name w:val="List Paragraph"/>
    <w:basedOn w:val="Normal"/>
    <w:uiPriority w:val="34"/>
    <w:qFormat/>
    <w:rsid w:val="000137B5"/>
    <w:pPr>
      <w:ind w:left="720"/>
      <w:contextualSpacing/>
    </w:pPr>
  </w:style>
  <w:style w:type="character" w:styleId="IntenseEmphasis">
    <w:name w:val="Intense Emphasis"/>
    <w:basedOn w:val="DefaultParagraphFont"/>
    <w:uiPriority w:val="21"/>
    <w:qFormat/>
    <w:rsid w:val="000137B5"/>
    <w:rPr>
      <w:i/>
      <w:iCs/>
      <w:color w:val="0F4761" w:themeColor="accent1" w:themeShade="BF"/>
    </w:rPr>
  </w:style>
  <w:style w:type="paragraph" w:styleId="IntenseQuote">
    <w:name w:val="Intense Quote"/>
    <w:basedOn w:val="Normal"/>
    <w:next w:val="Normal"/>
    <w:link w:val="IntenseQuoteChar"/>
    <w:uiPriority w:val="30"/>
    <w:qFormat/>
    <w:rsid w:val="00013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7B5"/>
    <w:rPr>
      <w:i/>
      <w:iCs/>
      <w:color w:val="0F4761" w:themeColor="accent1" w:themeShade="BF"/>
    </w:rPr>
  </w:style>
  <w:style w:type="character" w:styleId="IntenseReference">
    <w:name w:val="Intense Reference"/>
    <w:basedOn w:val="DefaultParagraphFont"/>
    <w:uiPriority w:val="32"/>
    <w:qFormat/>
    <w:rsid w:val="000137B5"/>
    <w:rPr>
      <w:b/>
      <w:bCs/>
      <w:smallCaps/>
      <w:color w:val="0F4761" w:themeColor="accent1" w:themeShade="BF"/>
      <w:spacing w:val="5"/>
    </w:rPr>
  </w:style>
  <w:style w:type="paragraph" w:styleId="Header">
    <w:name w:val="header"/>
    <w:basedOn w:val="Normal"/>
    <w:link w:val="HeaderChar"/>
    <w:uiPriority w:val="99"/>
    <w:unhideWhenUsed/>
    <w:rsid w:val="00BB4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A9C"/>
  </w:style>
  <w:style w:type="paragraph" w:styleId="Footer">
    <w:name w:val="footer"/>
    <w:basedOn w:val="Normal"/>
    <w:link w:val="FooterChar"/>
    <w:uiPriority w:val="99"/>
    <w:unhideWhenUsed/>
    <w:rsid w:val="00BB4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A9C"/>
  </w:style>
  <w:style w:type="character" w:styleId="CommentReference">
    <w:name w:val="annotation reference"/>
    <w:basedOn w:val="DefaultParagraphFont"/>
    <w:uiPriority w:val="99"/>
    <w:semiHidden/>
    <w:unhideWhenUsed/>
    <w:rsid w:val="00FB4A4E"/>
    <w:rPr>
      <w:sz w:val="16"/>
      <w:szCs w:val="16"/>
    </w:rPr>
  </w:style>
  <w:style w:type="paragraph" w:styleId="CommentText">
    <w:name w:val="annotation text"/>
    <w:basedOn w:val="Normal"/>
    <w:link w:val="CommentTextChar"/>
    <w:uiPriority w:val="99"/>
    <w:unhideWhenUsed/>
    <w:rsid w:val="00FB4A4E"/>
    <w:pPr>
      <w:spacing w:line="240" w:lineRule="auto"/>
    </w:pPr>
    <w:rPr>
      <w:sz w:val="20"/>
      <w:szCs w:val="20"/>
    </w:rPr>
  </w:style>
  <w:style w:type="character" w:customStyle="1" w:styleId="CommentTextChar">
    <w:name w:val="Comment Text Char"/>
    <w:basedOn w:val="DefaultParagraphFont"/>
    <w:link w:val="CommentText"/>
    <w:uiPriority w:val="99"/>
    <w:rsid w:val="00FB4A4E"/>
    <w:rPr>
      <w:sz w:val="20"/>
      <w:szCs w:val="20"/>
    </w:rPr>
  </w:style>
  <w:style w:type="paragraph" w:styleId="CommentSubject">
    <w:name w:val="annotation subject"/>
    <w:basedOn w:val="CommentText"/>
    <w:next w:val="CommentText"/>
    <w:link w:val="CommentSubjectChar"/>
    <w:uiPriority w:val="99"/>
    <w:semiHidden/>
    <w:unhideWhenUsed/>
    <w:rsid w:val="00FB4A4E"/>
    <w:rPr>
      <w:b/>
      <w:bCs/>
    </w:rPr>
  </w:style>
  <w:style w:type="character" w:customStyle="1" w:styleId="CommentSubjectChar">
    <w:name w:val="Comment Subject Char"/>
    <w:basedOn w:val="CommentTextChar"/>
    <w:link w:val="CommentSubject"/>
    <w:uiPriority w:val="99"/>
    <w:semiHidden/>
    <w:rsid w:val="00FB4A4E"/>
    <w:rPr>
      <w:b/>
      <w:bCs/>
      <w:sz w:val="20"/>
      <w:szCs w:val="20"/>
    </w:rPr>
  </w:style>
  <w:style w:type="paragraph" w:styleId="Revision">
    <w:name w:val="Revision"/>
    <w:hidden/>
    <w:uiPriority w:val="99"/>
    <w:semiHidden/>
    <w:rsid w:val="00BE6C48"/>
    <w:pPr>
      <w:spacing w:after="0" w:line="240" w:lineRule="auto"/>
    </w:pPr>
  </w:style>
  <w:style w:type="character" w:styleId="Strong">
    <w:name w:val="Strong"/>
    <w:basedOn w:val="DefaultParagraphFont"/>
    <w:uiPriority w:val="22"/>
    <w:qFormat/>
    <w:rsid w:val="00A82A81"/>
    <w:rPr>
      <w:b/>
      <w:bCs/>
    </w:rPr>
  </w:style>
  <w:style w:type="paragraph" w:styleId="NormalWeb">
    <w:name w:val="Normal (Web)"/>
    <w:basedOn w:val="Normal"/>
    <w:uiPriority w:val="99"/>
    <w:semiHidden/>
    <w:unhideWhenUsed/>
    <w:rsid w:val="00994B0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voAQWaMpF6KWeKzn5jKh3eHP7Q==">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2636</Words>
  <Characters>15027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Selevestru</dc:creator>
  <cp:lastModifiedBy>Burlacu Felicia</cp:lastModifiedBy>
  <cp:revision>6</cp:revision>
  <dcterms:created xsi:type="dcterms:W3CDTF">2025-05-16T12:21:00Z</dcterms:created>
  <dcterms:modified xsi:type="dcterms:W3CDTF">2025-06-03T11:23:00Z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9ad90724-d19a-4b42-aec6-7d46416e963e</vt:lpwstr>
  </property>
  <property fmtid="{D5CDD505-2E9C-101B-9397-08002B2CF9AE}" pid="3" name="bjSaver">
    <vt:lpwstr>RSWIx7KSFYrmW/AdT9MtD7aTvtZtFtcY</vt:lpwstr>
  </property>
  <property fmtid="{D5CDD505-2E9C-101B-9397-08002B2CF9AE}" pid="4" name="bjDocumentLabelXML">
    <vt:lpwstr>&lt;?xml version="1.0" encoding="us-ascii"?&gt;&lt;sisl xmlns:xsd="http://www.w3.org/2001/XMLSchema" xmlns:xsi="http://www.w3.org/2001/XMLSchema-instance" sislVersion="0" policy="38b72ed7-fbd3-4bd7-b7f9-dc4481199516" origin="userSelected" xmlns="http://www.boldonj</vt:lpwstr>
  </property>
  <property fmtid="{D5CDD505-2E9C-101B-9397-08002B2CF9AE}" pid="5" name="bjDocumentLabelXML-0">
    <vt:lpwstr>ames.com/2008/01/sie/internal/label"&gt;&lt;element uid="28c5fba9-edd9-4748-8ba2-3889d0852013" value="" /&gt;&lt;/sisl&gt;</vt:lpwstr>
  </property>
  <property fmtid="{D5CDD505-2E9C-101B-9397-08002B2CF9AE}" pid="6" name="bjDocumentSecurityLabel">
    <vt:lpwstr>Uz-Intern</vt:lpwstr>
  </property>
  <property fmtid="{D5CDD505-2E9C-101B-9397-08002B2CF9AE}" pid="7" name="Hidden Author">
    <vt:lpwstr>Natalia Selevestru</vt:lpwstr>
  </property>
  <property fmtid="{D5CDD505-2E9C-101B-9397-08002B2CF9AE}" pid="8" name="bjClsUserRVM">
    <vt:lpwstr>[]</vt:lpwstr>
  </property>
  <property fmtid="{D5CDD505-2E9C-101B-9397-08002B2CF9AE}" pid="9" name="bjFooterBothDocProperty">
    <vt:lpwstr>Uz-Intern</vt:lpwstr>
  </property>
  <property fmtid="{D5CDD505-2E9C-101B-9397-08002B2CF9AE}" pid="10" name="bjFooterFirstPageDocProperty">
    <vt:lpwstr>Uz-Intern</vt:lpwstr>
  </property>
  <property fmtid="{D5CDD505-2E9C-101B-9397-08002B2CF9AE}" pid="11" name="bjFooterEvenPageDocProperty">
    <vt:lpwstr>Uz-Intern</vt:lpwstr>
  </property>
  <property fmtid="{D5CDD505-2E9C-101B-9397-08002B2CF9AE}" pid="12" name="bjLabelHistoryID">
    <vt:lpwstr>{7DABE132-DFFB-477C-A1D5-18639E4526E2}</vt:lpwstr>
  </property>
</Properties>
</file>