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C3" w:rsidRPr="000F5BDB" w:rsidRDefault="003329C3" w:rsidP="003329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-567" w:right="566" w:firstLine="0"/>
        <w:jc w:val="center"/>
        <w:rPr>
          <w:color w:val="000000" w:themeColor="text1"/>
          <w:sz w:val="24"/>
          <w:szCs w:val="24"/>
          <w:lang w:val="ro-MD"/>
        </w:rPr>
      </w:pPr>
      <w:r w:rsidRPr="000F5BDB">
        <w:rPr>
          <w:b/>
          <w:color w:val="000000" w:themeColor="text1"/>
          <w:sz w:val="24"/>
          <w:szCs w:val="24"/>
          <w:lang w:val="ro-MD"/>
        </w:rPr>
        <w:t>NOTA DE FUNDAMENTARE</w:t>
      </w:r>
    </w:p>
    <w:p w:rsidR="003329C3" w:rsidRDefault="003329C3" w:rsidP="003329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-567" w:right="566" w:firstLine="0"/>
        <w:jc w:val="center"/>
        <w:rPr>
          <w:b/>
          <w:color w:val="000000" w:themeColor="text1"/>
          <w:sz w:val="24"/>
          <w:szCs w:val="24"/>
          <w:lang w:val="ro-MD"/>
        </w:rPr>
      </w:pPr>
      <w:r w:rsidRPr="000F5BDB">
        <w:rPr>
          <w:b/>
          <w:color w:val="000000" w:themeColor="text1"/>
          <w:sz w:val="24"/>
          <w:szCs w:val="24"/>
          <w:lang w:val="ro-MD"/>
        </w:rPr>
        <w:t xml:space="preserve">la proiectul Hotărârii Guvernului cu privire la </w:t>
      </w:r>
      <w:r>
        <w:rPr>
          <w:b/>
          <w:color w:val="000000" w:themeColor="text1"/>
          <w:sz w:val="24"/>
          <w:szCs w:val="24"/>
          <w:lang w:val="ro-MD"/>
        </w:rPr>
        <w:t>transmiterea unor bunuri imobile și modificarea unor hotărâri ale Guvernului</w:t>
      </w:r>
    </w:p>
    <w:p w:rsidR="003329C3" w:rsidRPr="00C968A5" w:rsidRDefault="003329C3" w:rsidP="003329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-567" w:right="566" w:firstLine="0"/>
        <w:jc w:val="center"/>
        <w:rPr>
          <w:color w:val="000000" w:themeColor="text1"/>
          <w:lang w:val="ro-MD"/>
        </w:rPr>
      </w:pPr>
    </w:p>
    <w:tbl>
      <w:tblPr>
        <w:tblStyle w:val="a5"/>
        <w:tblW w:w="0" w:type="auto"/>
        <w:tblInd w:w="-43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215"/>
      </w:tblGrid>
      <w:tr w:rsidR="003329C3" w:rsidRPr="000F5BDB" w:rsidTr="004210A8"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0F5BDB" w:rsidRDefault="003329C3" w:rsidP="004210A8">
            <w:pPr>
              <w:ind w:firstLine="608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F5BDB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1. Denumirea sau numele autorului și, după caz, a/al participanților la elaborarea proiectului actului normativ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Proiectul Hotărârii Guvernului cu privire la transmiterea unor bunuri imobile și modificarea unor hotărâri ale Guvernului a fost elaborat de către Ministerul Educației și Cercetării.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2. Condițiile ce au impus elaborarea proiectului actului normativ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2.1. Temeiul legal sau, după caz, sursa proiectului actului normativ</w:t>
            </w:r>
          </w:p>
        </w:tc>
      </w:tr>
      <w:tr w:rsidR="003329C3" w:rsidRPr="004D69B9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Proiectul Hotărârii Guvernului cu privire la transmiterea unor bunuri imobile și modificarea unor </w:t>
            </w:r>
            <w:r w:rsidRPr="003651A2">
              <w:rPr>
                <w:sz w:val="24"/>
                <w:szCs w:val="24"/>
                <w:lang w:val="ro-MD"/>
              </w:rPr>
              <w:t>H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otărâri ale Guvernului a fost elaborat în temeiul </w:t>
            </w:r>
            <w:r w:rsidRPr="003651A2">
              <w:rPr>
                <w:sz w:val="24"/>
                <w:szCs w:val="24"/>
                <w:lang w:val="ro-MD"/>
              </w:rPr>
              <w:t xml:space="preserve">art. </w:t>
            </w:r>
            <w:r w:rsidRPr="002E13E7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8 alin. (2) din Legea nr.523/1999 cu privire la proprietatea publică a unităților administrativ-teritoriale, art. 6 alin. (1) lit. a) şi art.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Pr="002E13E7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14 alin. (1) lit. b) din Legea privind administrarea și deetatizarea proprietății publice nr.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Pr="002E13E7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121/2007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 și în baza deciziilor autorităților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publice locale (Decizia Consiliulu</w:t>
            </w:r>
            <w:r w:rsidRPr="003651A2">
              <w:rPr>
                <w:sz w:val="24"/>
                <w:szCs w:val="24"/>
                <w:lang w:val="ro-MD"/>
              </w:rPr>
              <w:t>i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Raional Fălești nr. 13/24 din 20 decembrie 2024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, Decizia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Consiliului Orășenesc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 Călărași, r-nul Călărași nr.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02.31-05 din 21 martie 2025, Decizia Cons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iliului Raional Drochia nr. 1/17 din 26 februarie 2025 și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 Decizia Consiliului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R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aional Ungheni nr. 4/28 din 12 iunie 2025).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MD"/>
              </w:rPr>
              <w:t>I.</w:t>
            </w:r>
            <w:r w:rsidRPr="002E13E7">
              <w:rPr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:lang w:val="ro-MD"/>
              </w:rPr>
              <w:t>C</w:t>
            </w:r>
            <w:r w:rsidRPr="002E13E7">
              <w:rPr>
                <w:b/>
                <w:color w:val="000000" w:themeColor="text1"/>
                <w:sz w:val="24"/>
                <w:szCs w:val="24"/>
                <w:lang w:val="ro-MD"/>
              </w:rPr>
              <w:t>u privire la bunurile imobile din gestiunea Școlii Profesionale nr.3 din Bălți</w:t>
            </w:r>
            <w:r>
              <w:rPr>
                <w:b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Con</w:t>
            </w:r>
            <w:r w:rsidR="00A83C06">
              <w:rPr>
                <w:color w:val="000000" w:themeColor="text1"/>
                <w:sz w:val="24"/>
                <w:szCs w:val="24"/>
                <w:lang w:val="ro-MD"/>
              </w:rPr>
              <w:t>strucțiile cu nr. cadastrale 430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1225005.01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A83C06">
              <w:rPr>
                <w:color w:val="000000" w:themeColor="text1"/>
                <w:sz w:val="24"/>
                <w:szCs w:val="24"/>
                <w:lang w:val="ro-MD"/>
              </w:rPr>
              <w:t>– 430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1225005.05 din or. Fălești au fost transmise în gestiunea Școlii Profesionale nr.3 din Bălți în baza Hotărârii Guvernului nr.444/2015 cu privire la reorganizarea unor instituții de învățământ profesional tehnic.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Prin Decizia Consiliului Raional Fălești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nr.13/24 din 20 decembrie 2024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s-a acceptat primirea în proprietatea Raionului Fălești </w:t>
            </w:r>
            <w:r w:rsidR="00A83C06">
              <w:rPr>
                <w:color w:val="000000" w:themeColor="text1"/>
                <w:sz w:val="24"/>
                <w:szCs w:val="24"/>
                <w:lang w:val="ro-MD"/>
              </w:rPr>
              <w:t>a terenului cu nr. cadastral 430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1225005 și a construcțiilor cu nr. cadastra</w:t>
            </w:r>
            <w:r w:rsidR="00A83C06">
              <w:rPr>
                <w:color w:val="000000" w:themeColor="text1"/>
                <w:sz w:val="24"/>
                <w:szCs w:val="24"/>
                <w:lang w:val="ro-MD"/>
              </w:rPr>
              <w:t>le 430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1225005.01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A83C06">
              <w:rPr>
                <w:color w:val="000000" w:themeColor="text1"/>
                <w:sz w:val="24"/>
                <w:szCs w:val="24"/>
                <w:lang w:val="ro-MD"/>
              </w:rPr>
              <w:t>- 430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1225005.05.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Con</w:t>
            </w:r>
            <w:r w:rsidR="00A83C06">
              <w:rPr>
                <w:color w:val="000000" w:themeColor="text1"/>
                <w:sz w:val="24"/>
                <w:szCs w:val="24"/>
                <w:lang w:val="ro-MD"/>
              </w:rPr>
              <w:t>strucțiile cu nr. cadastrale 430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1225005.01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A83C06">
              <w:rPr>
                <w:color w:val="000000" w:themeColor="text1"/>
                <w:sz w:val="24"/>
                <w:szCs w:val="24"/>
                <w:lang w:val="ro-MD"/>
              </w:rPr>
              <w:t>- 430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1225005.05 nu sunt utilizate în procesul educațional de către Școala Profesională nr.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3 din Bălți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,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din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anul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2015.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Conform scrisorii nr.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02/1-07-125 din 29 mai 2025, constr</w:t>
            </w:r>
            <w:r w:rsidR="00A83C06">
              <w:rPr>
                <w:color w:val="000000" w:themeColor="text1"/>
                <w:sz w:val="24"/>
                <w:szCs w:val="24"/>
                <w:lang w:val="ro-MD"/>
              </w:rPr>
              <w:t>ucțiile cu nr. cadastrale 40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1225005.01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-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A83C06">
              <w:rPr>
                <w:color w:val="000000" w:themeColor="text1"/>
                <w:sz w:val="24"/>
                <w:szCs w:val="24"/>
                <w:lang w:val="ro-MD"/>
              </w:rPr>
              <w:t>430</w:t>
            </w:r>
            <w:bookmarkStart w:id="0" w:name="_GoBack"/>
            <w:bookmarkEnd w:id="0"/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1225005.05 urmează a fi utilizate conform destinației.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MD"/>
              </w:rPr>
              <w:t>II. C</w:t>
            </w:r>
            <w:r w:rsidRPr="002E13E7">
              <w:rPr>
                <w:b/>
                <w:color w:val="000000" w:themeColor="text1"/>
                <w:sz w:val="24"/>
                <w:szCs w:val="24"/>
                <w:lang w:val="ro-MD"/>
              </w:rPr>
              <w:t>u privire la bunurile imobile din gestiunea Școlii Profesionale din Nisporeni</w:t>
            </w:r>
            <w:r>
              <w:rPr>
                <w:b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Construcțiile cu nr. cadastrale 2501208026.01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- 2501208026.05 din or. Călărași au fost transmise în gestiunea Școlii Profesionale din Nisporeni în baza Hotărârii Guvernului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nr.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679/2023 cu privire la reorganizarea unor instituții de învățământ profesional tehnic și modificarea unor hotărâri ale Guvernului.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Prin Decizia Consiliului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o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rașului Călărași nr.02/31-05 din 21 martie 2025 s-a acceptat primirea în proprietatea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o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rașului Călărași a terenului cu nr. cadastral 2501208026 și a construcțiilor cu nr. cadastrale 2501208026.01 - 2501208026.05.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Construcțiile cu nr. cadastrale 2501208026.01 - 2501208026.05 nu sunt utilizate în procesul educațional de către Școala Profesională din Nisporeni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,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d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in anul 2024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Conform scrisorii nr. 02/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1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-542 din 19 mai 2025, construcțiile cu nr. cadastrale 2501208026.01 - 2501208026.05 urmează a fi utilizate pentru implementarea proiectelor educaționale de învățământ dual, precum și organizarea taberelor tematice și activități educaționale pentru tineri.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MD"/>
              </w:rPr>
              <w:t>III.</w:t>
            </w:r>
            <w:r w:rsidRPr="002E13E7">
              <w:rPr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:lang w:val="ro-MD"/>
              </w:rPr>
              <w:t>C</w:t>
            </w:r>
            <w:r w:rsidRPr="002E13E7">
              <w:rPr>
                <w:b/>
                <w:color w:val="000000" w:themeColor="text1"/>
                <w:sz w:val="24"/>
                <w:szCs w:val="24"/>
                <w:lang w:val="ro-MD"/>
              </w:rPr>
              <w:t>u privire la bunurile imobile din gestiunea Școlii Profesionale din Rîșcani</w:t>
            </w:r>
            <w:r>
              <w:rPr>
                <w:b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Construcțiile cu nr. cadastrale 3601102223.01 și 3601102223.01 din or. Drochia au fost transmise în gestiunea Școlii Profesionale din Râșcani în baza Hotărârii Guvernului nr. 679/2023 cu privire la reorganizarea unor instituții de învățământ profesional tehnic și modificarea unor hotărâri ale Guvernului.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lastRenderedPageBreak/>
              <w:t xml:space="preserve">Prin Decizia Consiliului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Raional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 Drochia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nr. 1/17 din 26 februarie 2025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s-a acceptat primirea în proprietatea r-nul Drochia a terenului cu nr. cadastral 3601102223 și a construcțiilor cu nr. cadastrale 3601102223.01 și 3601102223.02.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Construcțiile cu nr. cadastrale 3601102223.01 și 3601102223.02 nu sunt utilizate în procesul educațional de către Școala Profesională din Rîșcani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din anul 2023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Conform scrisorii nr.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961 din 12 decembrie 2024, construcțiile cu nr. cadastrale 3601102223.01 și 3601102223.02 urmează a fi utilizate pentru deschiderea și amenajarea unui Centru destinat tinerilor din Drochia.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MD"/>
              </w:rPr>
              <w:t>I</w:t>
            </w:r>
            <w:r w:rsidRPr="002E13E7">
              <w:rPr>
                <w:b/>
                <w:color w:val="000000" w:themeColor="text1"/>
                <w:sz w:val="24"/>
                <w:szCs w:val="24"/>
                <w:lang w:val="ro-MD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  <w:lang w:val="ro-MD"/>
              </w:rPr>
              <w:t>.</w:t>
            </w:r>
            <w:r w:rsidRPr="002E13E7">
              <w:rPr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:lang w:val="ro-MD"/>
              </w:rPr>
              <w:t>C</w:t>
            </w:r>
            <w:r w:rsidRPr="002E13E7">
              <w:rPr>
                <w:b/>
                <w:color w:val="000000" w:themeColor="text1"/>
                <w:sz w:val="24"/>
                <w:szCs w:val="24"/>
                <w:lang w:val="ro-MD"/>
              </w:rPr>
              <w:t>u privire la bunurile imobile din gestiunea Colegiului Agroindustrial din Ungheni</w:t>
            </w:r>
            <w:r>
              <w:rPr>
                <w:b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Construcția cu nr. cadastral 9201104232.03 din or. Ungheni se află în gestiunea Colegiului Agroindustrial din Ungheni.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Prin Decizia Consiliului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Raional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Ungheni nr.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4/28 din 12 iunie 2025 s-a acceptat primirea în proprietatea r-nul Ungheni a terenului cu nr. cadastral 9201104232 și a construcției cu nr. cadastral 9201104232.03.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color w:val="000000" w:themeColor="text1"/>
                <w:sz w:val="24"/>
                <w:szCs w:val="24"/>
                <w:lang w:val="ro-MD"/>
              </w:rPr>
              <w:t>În c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onstrucția cu nr.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cadastral 9201104232.03 nu sunt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cazați elevii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 Colegiului Agroindustrial din Ungheni.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Conform notei de argumentare anexată la Decizia Consiliului Raion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al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 Ungheni nr.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4/28 din 12 iunie 2025 construcția cu nr. cadastral 9201104232.03 urmează a fi adaptat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ă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 pentru a fi utilizate în calitate de locuințe pentru tinerii specialiști.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lastRenderedPageBreak/>
              <w:t>3. Obiectivele urmărite și soluțiile propuse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3.1. Principalele prevederi ale proiectului și evidențierea elementelor noi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3651A2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RO"/>
              </w:rPr>
            </w:pPr>
            <w:r w:rsidRPr="003651A2">
              <w:rPr>
                <w:color w:val="000000" w:themeColor="text1"/>
                <w:sz w:val="24"/>
                <w:szCs w:val="24"/>
                <w:lang w:val="ro-RO"/>
              </w:rPr>
              <w:t>Potrivit proiectului se propune transmiterea unor bunuri imobile din proprietatea statului în proprietatea unităților administrativ-teritoriale de nivelul I și II.</w:t>
            </w:r>
          </w:p>
          <w:p w:rsidR="003329C3" w:rsidRPr="003651A2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RO"/>
              </w:rPr>
            </w:pPr>
            <w:r w:rsidRPr="003651A2">
              <w:rPr>
                <w:color w:val="000000" w:themeColor="text1"/>
                <w:sz w:val="24"/>
                <w:szCs w:val="24"/>
                <w:lang w:val="ro-RO"/>
              </w:rPr>
              <w:t>Astfel potrivit proiectului se propune transmiterea din proprietatea statului în proprietatea:</w:t>
            </w:r>
          </w:p>
          <w:p w:rsidR="003329C3" w:rsidRPr="003651A2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RO"/>
              </w:rPr>
            </w:pPr>
            <w:r w:rsidRPr="003651A2">
              <w:rPr>
                <w:color w:val="000000" w:themeColor="text1"/>
                <w:sz w:val="24"/>
                <w:szCs w:val="24"/>
                <w:lang w:val="ro-RO"/>
              </w:rPr>
              <w:t>1. r-nului Fălești, a terenului cu nr. cadastral 4301225005 și a celor 5 construcții amplasate pe acesta (5 din 5 construcții sunt înregistrate în Registrul bunurilor imobile);</w:t>
            </w:r>
          </w:p>
          <w:p w:rsidR="003329C3" w:rsidRPr="003651A2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RO"/>
              </w:rPr>
            </w:pPr>
            <w:r w:rsidRPr="003651A2">
              <w:rPr>
                <w:color w:val="000000" w:themeColor="text1"/>
                <w:sz w:val="24"/>
                <w:szCs w:val="24"/>
                <w:lang w:val="ro-RO"/>
              </w:rPr>
              <w:t>2. orașului Călărași, r-nul Călărași, a terenului cu nr. cadastral 2501208026 și a celor 5 construcții amplasate pe acesta (5 din 5 construcții sunt înregistrate în Registrul bunurilor imobile);</w:t>
            </w:r>
          </w:p>
          <w:p w:rsidR="003329C3" w:rsidRPr="003651A2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RO"/>
              </w:rPr>
            </w:pPr>
            <w:r w:rsidRPr="003651A2">
              <w:rPr>
                <w:color w:val="000000" w:themeColor="text1"/>
                <w:sz w:val="24"/>
                <w:szCs w:val="24"/>
                <w:lang w:val="ro-RO"/>
              </w:rPr>
              <w:t>3. r-nului Drochia, a terenului cu nr. cadastral 3601102223 și a celor 2 construcții amplasate pe acesta (2 din 2 construcții sunt înregistrate în Registrul bunurilor imobile);</w:t>
            </w:r>
          </w:p>
          <w:p w:rsidR="003329C3" w:rsidRPr="003651A2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RO"/>
              </w:rPr>
            </w:pPr>
            <w:r w:rsidRPr="003651A2">
              <w:rPr>
                <w:color w:val="000000" w:themeColor="text1"/>
                <w:sz w:val="24"/>
                <w:szCs w:val="24"/>
                <w:lang w:val="ro-RO"/>
              </w:rPr>
              <w:t xml:space="preserve">4. r-nului Ungheni, a construcției </w:t>
            </w:r>
            <w:r>
              <w:rPr>
                <w:color w:val="000000" w:themeColor="text1"/>
                <w:sz w:val="24"/>
                <w:szCs w:val="24"/>
                <w:lang w:val="ro-RO"/>
              </w:rPr>
              <w:t xml:space="preserve">cu </w:t>
            </w:r>
            <w:r w:rsidRPr="003651A2">
              <w:rPr>
                <w:color w:val="000000" w:themeColor="text1"/>
                <w:sz w:val="24"/>
                <w:szCs w:val="24"/>
                <w:lang w:val="ro-RO"/>
              </w:rPr>
              <w:t>nr. cadastral 9201104232.03 (construcția este înregistrată în Registrul bunurilor imobile).</w:t>
            </w:r>
          </w:p>
          <w:p w:rsidR="003329C3" w:rsidRPr="003651A2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RO"/>
              </w:rPr>
            </w:pPr>
            <w:r w:rsidRPr="003651A2">
              <w:rPr>
                <w:color w:val="000000" w:themeColor="text1"/>
                <w:sz w:val="24"/>
                <w:szCs w:val="24"/>
                <w:lang w:val="ro-RO"/>
              </w:rPr>
              <w:t>Totodată, proiectul prevede modificarea Anexei nr.22</w:t>
            </w:r>
            <w:r w:rsidRPr="003651A2">
              <w:rPr>
                <w:color w:val="000000" w:themeColor="text1"/>
                <w:sz w:val="24"/>
                <w:szCs w:val="24"/>
                <w:vertAlign w:val="superscript"/>
                <w:lang w:val="ro-RO"/>
              </w:rPr>
              <w:t>12</w:t>
            </w:r>
            <w:r w:rsidRPr="003651A2">
              <w:rPr>
                <w:color w:val="000000" w:themeColor="text1"/>
                <w:sz w:val="24"/>
                <w:szCs w:val="24"/>
                <w:lang w:val="ro-RO"/>
              </w:rPr>
              <w:t xml:space="preserve"> la Hotărârea Guvernului nr.</w:t>
            </w:r>
            <w:r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3651A2">
              <w:rPr>
                <w:color w:val="000000" w:themeColor="text1"/>
                <w:sz w:val="24"/>
                <w:szCs w:val="24"/>
                <w:lang w:val="ro-RO"/>
              </w:rPr>
              <w:t>351/2005 cu privire la aprobarea listelor bunurilor imobile proprietate publică a statului și transmiterea unor bunuri imobile  precum și Anexei nr.1 la Hotărârea Guvernului nr.</w:t>
            </w:r>
            <w:r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3651A2">
              <w:rPr>
                <w:color w:val="000000" w:themeColor="text1"/>
                <w:sz w:val="24"/>
                <w:szCs w:val="24"/>
                <w:lang w:val="ro-RO"/>
              </w:rPr>
              <w:t>161/2019 cu privire la aprobarea listei terenurilor proprietate publică a statului.</w:t>
            </w:r>
          </w:p>
          <w:p w:rsidR="003329C3" w:rsidRPr="002E13E7" w:rsidRDefault="003329C3" w:rsidP="004210A8">
            <w:pPr>
              <w:tabs>
                <w:tab w:val="left" w:pos="733"/>
                <w:tab w:val="left" w:pos="1082"/>
              </w:tabs>
              <w:ind w:left="24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3651A2">
              <w:rPr>
                <w:color w:val="000000" w:themeColor="text1"/>
                <w:sz w:val="24"/>
                <w:szCs w:val="24"/>
                <w:lang w:val="ro-RO"/>
              </w:rPr>
              <w:t>Conform pct. 12 al proiectului, data intrării în vigoare a Hotărârii de Guvern se propune a fi data publicării acesteia. Intrarea în vigoare a Hotărârii de Guvern la data publicării este dictată de necesitatea inițierii procedurii de transmitere în termeni restrânși pentru a nu admite  degradarea în continuare a bunurilor.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3.2. Opțiunile alternative analizate și motivele pentru care acestea nu au fost luate în considerare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3329C3" w:rsidRPr="002E13E7" w:rsidTr="004210A8">
        <w:trPr>
          <w:trHeight w:val="381"/>
        </w:trPr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 xml:space="preserve">4. Analiza impactului de reglementare 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i/>
                <w:color w:val="000000" w:themeColor="text1"/>
                <w:sz w:val="24"/>
                <w:szCs w:val="24"/>
                <w:lang w:val="ro-MD"/>
              </w:rPr>
              <w:t>4.1. Impactul asupra sectorului public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Prezentul proiect de Hotărâre de Guvern va avea un impact pozitiv asupra sectorului public, or, bunurile imobile transmise vor fi valorificate pentru satisfacerea intereselor publice ale comunității locale.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i/>
                <w:color w:val="000000" w:themeColor="text1"/>
                <w:sz w:val="24"/>
                <w:szCs w:val="24"/>
                <w:lang w:val="ro-MD"/>
              </w:rPr>
              <w:t>4.2. Impactul financiar și argumentarea costurilor estimative</w:t>
            </w:r>
          </w:p>
        </w:tc>
      </w:tr>
      <w:tr w:rsidR="003329C3" w:rsidRPr="00C20EED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lastRenderedPageBreak/>
              <w:t>Implementarea prevederilor proiectului nu necesită cheltuieli financiare suplimentare din bugetul de stat.</w:t>
            </w:r>
          </w:p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color w:val="000000" w:themeColor="text1"/>
                <w:sz w:val="24"/>
                <w:szCs w:val="24"/>
                <w:lang w:val="ro-MD"/>
              </w:rPr>
              <w:t>Cheltuielile pentru întreținerea c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ăminul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ui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 transmis din gestiunea Centrului de Excelență în Industria Ușoară din Chișinău în gestiunea Colegiului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Alexei Mateevici din Chișinău vor fi asigurate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în limita mijloacelor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bugetare alocate pentru întreținerea căminelor instituțiilor de învățământ profesional tehnic postsecundar (program 8809)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3329C3" w:rsidRPr="002E13E7" w:rsidTr="004210A8">
        <w:trPr>
          <w:trHeight w:val="285"/>
        </w:trPr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i/>
                <w:color w:val="000000" w:themeColor="text1"/>
                <w:sz w:val="24"/>
                <w:szCs w:val="24"/>
                <w:lang w:val="ro-MD"/>
              </w:rPr>
              <w:t>4.3. Impactul asupra sectorului privat</w:t>
            </w:r>
          </w:p>
        </w:tc>
      </w:tr>
      <w:tr w:rsidR="003329C3" w:rsidRPr="002E13E7" w:rsidTr="004210A8">
        <w:trPr>
          <w:trHeight w:val="270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3329C3" w:rsidRPr="002E13E7" w:rsidTr="004210A8">
        <w:trPr>
          <w:trHeight w:val="270"/>
        </w:trPr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i/>
                <w:color w:val="000000" w:themeColor="text1"/>
                <w:sz w:val="24"/>
                <w:szCs w:val="24"/>
                <w:lang w:val="ro-MD"/>
              </w:rPr>
              <w:t>4.4. Impactul social</w:t>
            </w:r>
          </w:p>
        </w:tc>
      </w:tr>
      <w:tr w:rsidR="003329C3" w:rsidRPr="002E13E7" w:rsidTr="004210A8">
        <w:trPr>
          <w:trHeight w:val="270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Prezentul proiect de Hotărâre va avea impact pozitiv asupra persoanelor din localitățile în care sunt amplasate bunurile imobile transmise.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Astfel:</w:t>
            </w:r>
          </w:p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- construcțiile transmise Raionului Fălești se propun a fi utilizate conform destinației (în p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rocesul educațional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)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;</w:t>
            </w:r>
          </w:p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- construcțiile transmise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o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rașului Călărași se propun a fi utilizate pentru implementarea proiectelor educaționale de învățământ dual, precum și organizarea taberelor tematice și activități educaționale pentru tineri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;</w:t>
            </w:r>
          </w:p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- construcțiile transmise Raionului Drochia se propun a fi utilizate pentru deschiderea și amenajarea unui Centru destinat tinerilor din Drochia</w:t>
            </w:r>
            <w:r w:rsidRPr="002E13E7">
              <w:rPr>
                <w:color w:val="000000" w:themeColor="text1"/>
                <w:sz w:val="24"/>
                <w:szCs w:val="24"/>
              </w:rPr>
              <w:t>;</w:t>
            </w:r>
          </w:p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</w:rPr>
            </w:pPr>
            <w:r w:rsidRPr="002E13E7">
              <w:rPr>
                <w:color w:val="000000" w:themeColor="text1"/>
                <w:sz w:val="24"/>
                <w:szCs w:val="24"/>
              </w:rPr>
              <w:t>- construc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ția transmisă Raionului Ungheni se propune a fi utilizată în calitate de locuințe pentru tinerii specialiști.</w:t>
            </w:r>
          </w:p>
        </w:tc>
      </w:tr>
      <w:tr w:rsidR="003329C3" w:rsidRPr="002E13E7" w:rsidTr="004210A8">
        <w:trPr>
          <w:trHeight w:val="225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i/>
                <w:color w:val="000000" w:themeColor="text1"/>
                <w:sz w:val="24"/>
                <w:szCs w:val="24"/>
                <w:lang w:val="ro-MD"/>
              </w:rPr>
              <w:t>4.4.1. Impactul asupra datelor cu caracter personal</w:t>
            </w:r>
          </w:p>
        </w:tc>
      </w:tr>
      <w:tr w:rsidR="003329C3" w:rsidRPr="002E13E7" w:rsidTr="004210A8">
        <w:trPr>
          <w:trHeight w:val="315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3329C3" w:rsidRPr="002E13E7" w:rsidTr="004210A8">
        <w:trPr>
          <w:trHeight w:val="257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i/>
                <w:color w:val="000000" w:themeColor="text1"/>
                <w:sz w:val="24"/>
                <w:szCs w:val="24"/>
                <w:lang w:val="ro-MD"/>
              </w:rPr>
              <w:t>4.4.2. Impactul asupra echității și egalității de gen</w:t>
            </w:r>
          </w:p>
        </w:tc>
      </w:tr>
      <w:tr w:rsidR="003329C3" w:rsidRPr="002E13E7" w:rsidTr="004210A8">
        <w:trPr>
          <w:trHeight w:val="363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i/>
                <w:color w:val="000000" w:themeColor="text1"/>
                <w:sz w:val="24"/>
                <w:szCs w:val="24"/>
                <w:lang w:val="ro-MD"/>
              </w:rPr>
              <w:t>4.5. Impactul asupra mediului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3329C3" w:rsidRPr="002E13E7" w:rsidTr="004210A8"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i/>
                <w:color w:val="000000" w:themeColor="text1"/>
                <w:sz w:val="24"/>
                <w:szCs w:val="24"/>
                <w:lang w:val="ro-MD"/>
              </w:rPr>
              <w:t>4.6. Alte impacturi și informații relevante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 xml:space="preserve">5. Compatibilitatea proiectului actului normativ cu legislația UE </w:t>
            </w:r>
          </w:p>
        </w:tc>
      </w:tr>
      <w:tr w:rsidR="003329C3" w:rsidRPr="002E13E7" w:rsidTr="004210A8">
        <w:trPr>
          <w:trHeight w:val="585"/>
        </w:trPr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i/>
                <w:color w:val="000000" w:themeColor="text1"/>
                <w:sz w:val="24"/>
                <w:szCs w:val="24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3329C3" w:rsidRPr="002E13E7" w:rsidTr="004210A8">
        <w:trPr>
          <w:trHeight w:val="255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i/>
                <w:color w:val="000000" w:themeColor="text1"/>
                <w:sz w:val="24"/>
                <w:szCs w:val="24"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6. Avizarea și consultarea publică a proiectului actului normativ</w:t>
            </w:r>
          </w:p>
        </w:tc>
      </w:tr>
      <w:tr w:rsidR="003329C3" w:rsidRPr="00C20EED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În scopul respectării prevederilor Legii nr. 239/2008 privind transparența în procesul decizional, anunțul de inițiere a elaborării proiectului Hotărârii de Guvern a fost plasat pe pagina web oficială a Ministerului Educației și Cercetării </w:t>
            </w:r>
            <w:hyperlink r:id="rId4">
              <w:r w:rsidRPr="002E13E7">
                <w:rPr>
                  <w:color w:val="000000" w:themeColor="text1"/>
                  <w:sz w:val="24"/>
                  <w:szCs w:val="24"/>
                  <w:u w:val="single"/>
                  <w:lang w:val="ro-MD"/>
                </w:rPr>
                <w:t>www.mec.gov.md</w:t>
              </w:r>
            </w:hyperlink>
            <w:r w:rsidRPr="002E13E7">
              <w:rPr>
                <w:color w:val="000000" w:themeColor="text1"/>
                <w:sz w:val="24"/>
                <w:szCs w:val="24"/>
                <w:u w:val="single"/>
                <w:lang w:val="ro-MD"/>
              </w:rPr>
              <w:t xml:space="preserve"> (https://mec.gov.md/ro/content/modul-de-participare)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, compartimentul Transparența 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0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decizională, precum și pe pagina web </w:t>
            </w:r>
            <w:hyperlink r:id="rId5">
              <w:r w:rsidRPr="002E13E7">
                <w:rPr>
                  <w:color w:val="000000" w:themeColor="text1"/>
                  <w:sz w:val="24"/>
                  <w:szCs w:val="24"/>
                  <w:u w:val="single"/>
                  <w:lang w:val="ro-MD"/>
                </w:rPr>
                <w:t>www.particip.gov.md</w:t>
              </w:r>
            </w:hyperlink>
            <w:r w:rsidRPr="002E13E7">
              <w:rPr>
                <w:color w:val="000000" w:themeColor="text1"/>
                <w:sz w:val="24"/>
                <w:szCs w:val="24"/>
                <w:u w:val="single"/>
                <w:lang w:val="ro-MD"/>
              </w:rPr>
              <w:t xml:space="preserve">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(</w:t>
            </w:r>
            <w:r w:rsidRPr="002E13E7">
              <w:rPr>
                <w:sz w:val="24"/>
                <w:szCs w:val="24"/>
              </w:rPr>
              <w:t>https://particip.gov.md/ro/document/stages/*/14591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).</w:t>
            </w:r>
          </w:p>
          <w:p w:rsidR="003329C3" w:rsidRPr="002E13E7" w:rsidRDefault="003329C3" w:rsidP="0042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Proiectul urmează a fi avizat la Ministerul Infrastructurii și Dezvoltării Regionale, Agenția Geodezie, Cartografie și Cadastru, Agenția Proprietății Publice și Instituția Publică Cadastrul Bunurilor Imobile.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7. Concluziile expertizelor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bCs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Cs/>
                <w:color w:val="000000" w:themeColor="text1"/>
                <w:sz w:val="24"/>
                <w:szCs w:val="24"/>
                <w:lang w:val="ro-MD"/>
              </w:rPr>
              <w:t>Proiectul de expertiză urmează a fi expertizat la Ministerul Justiției și Centrul Național Anticorupție.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8. Modul de încorporare a actului în cadrul normativ existent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9. Măsurile necesare pentru implementarea prevederilor proiectului actului normativ</w:t>
            </w:r>
          </w:p>
        </w:tc>
      </w:tr>
      <w:tr w:rsidR="003329C3" w:rsidRPr="002E13E7" w:rsidTr="004210A8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lastRenderedPageBreak/>
              <w:t>Pentru implementarea prevederilor proiectului actului normativ sunt necesare următoarele măsuri suplimentare</w:t>
            </w:r>
            <w:r w:rsidRPr="002E13E7">
              <w:rPr>
                <w:color w:val="000000" w:themeColor="text1"/>
                <w:sz w:val="24"/>
                <w:szCs w:val="24"/>
              </w:rPr>
              <w:t>:</w:t>
            </w:r>
          </w:p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1. Emiterea Ordinului Ministerului Educației și Cercetării cu privire la instituirea Comisiilor de transmitere a bunurilor imobile conform Regulamentului cu privire la modul de transmitere a bunurilor proprietate publică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, aprobat prin Hotărârea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 Guvernului nr.901/2015</w:t>
            </w:r>
            <w:r w:rsidRPr="002E13E7">
              <w:rPr>
                <w:color w:val="000000" w:themeColor="text1"/>
                <w:sz w:val="24"/>
                <w:szCs w:val="24"/>
              </w:rPr>
              <w:t>;</w:t>
            </w:r>
          </w:p>
          <w:p w:rsidR="003329C3" w:rsidRPr="002E13E7" w:rsidRDefault="003329C3" w:rsidP="004210A8">
            <w:pPr>
              <w:ind w:firstLine="608"/>
              <w:rPr>
                <w:color w:val="000000" w:themeColor="text1"/>
                <w:sz w:val="24"/>
                <w:szCs w:val="24"/>
                <w:lang w:val="ro-MD"/>
              </w:rPr>
            </w:pP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2. Elaborarea și semnarea actelor de transmitere a bunurilor conform Anexei nr.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2 la  Hotărâ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rea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 xml:space="preserve"> Guvernului nr.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2E13E7">
              <w:rPr>
                <w:color w:val="000000" w:themeColor="text1"/>
                <w:sz w:val="24"/>
                <w:szCs w:val="24"/>
                <w:lang w:val="ro-MD"/>
              </w:rPr>
              <w:t>901/2015.</w:t>
            </w:r>
          </w:p>
        </w:tc>
      </w:tr>
    </w:tbl>
    <w:p w:rsidR="003329C3" w:rsidRPr="002E13E7" w:rsidRDefault="003329C3" w:rsidP="003329C3">
      <w:pPr>
        <w:ind w:firstLine="0"/>
        <w:rPr>
          <w:color w:val="000000" w:themeColor="text1"/>
          <w:sz w:val="24"/>
          <w:szCs w:val="24"/>
          <w:lang w:val="ro-MD"/>
        </w:rPr>
      </w:pPr>
    </w:p>
    <w:p w:rsidR="003329C3" w:rsidRPr="002E13E7" w:rsidRDefault="003329C3" w:rsidP="003329C3">
      <w:pPr>
        <w:tabs>
          <w:tab w:val="left" w:pos="884"/>
          <w:tab w:val="left" w:pos="1196"/>
        </w:tabs>
        <w:ind w:right="708" w:firstLine="0"/>
        <w:jc w:val="center"/>
        <w:rPr>
          <w:b/>
          <w:iCs/>
          <w:color w:val="000000" w:themeColor="text1"/>
          <w:sz w:val="24"/>
          <w:szCs w:val="24"/>
          <w:lang w:val="ro-MD"/>
        </w:rPr>
      </w:pPr>
    </w:p>
    <w:p w:rsidR="003329C3" w:rsidRPr="002E13E7" w:rsidRDefault="003329C3" w:rsidP="003329C3">
      <w:pPr>
        <w:tabs>
          <w:tab w:val="left" w:pos="884"/>
          <w:tab w:val="left" w:pos="1196"/>
        </w:tabs>
        <w:ind w:right="708" w:firstLine="0"/>
        <w:jc w:val="center"/>
        <w:rPr>
          <w:b/>
          <w:iCs/>
          <w:color w:val="000000" w:themeColor="text1"/>
          <w:sz w:val="24"/>
          <w:szCs w:val="24"/>
          <w:lang w:val="ro-MD"/>
        </w:rPr>
      </w:pPr>
    </w:p>
    <w:p w:rsidR="003329C3" w:rsidRPr="002E13E7" w:rsidRDefault="003329C3" w:rsidP="003329C3">
      <w:pPr>
        <w:tabs>
          <w:tab w:val="left" w:pos="884"/>
          <w:tab w:val="left" w:pos="1196"/>
        </w:tabs>
        <w:ind w:right="708" w:firstLine="0"/>
        <w:jc w:val="center"/>
        <w:rPr>
          <w:b/>
          <w:iCs/>
          <w:color w:val="000000" w:themeColor="text1"/>
          <w:sz w:val="24"/>
          <w:szCs w:val="24"/>
          <w:lang w:val="ro-MD"/>
        </w:rPr>
      </w:pPr>
    </w:p>
    <w:p w:rsidR="003329C3" w:rsidRPr="002E13E7" w:rsidRDefault="003329C3" w:rsidP="003329C3">
      <w:pPr>
        <w:tabs>
          <w:tab w:val="left" w:pos="884"/>
          <w:tab w:val="left" w:pos="1196"/>
        </w:tabs>
        <w:ind w:right="708" w:firstLine="0"/>
        <w:jc w:val="center"/>
        <w:rPr>
          <w:b/>
          <w:iCs/>
          <w:color w:val="000000" w:themeColor="text1"/>
          <w:sz w:val="24"/>
          <w:szCs w:val="24"/>
          <w:lang w:val="ro-MD"/>
        </w:rPr>
      </w:pPr>
      <w:r w:rsidRPr="002E13E7">
        <w:rPr>
          <w:b/>
          <w:iCs/>
          <w:color w:val="000000" w:themeColor="text1"/>
          <w:sz w:val="24"/>
          <w:szCs w:val="24"/>
          <w:lang w:val="ro-MD"/>
        </w:rPr>
        <w:t xml:space="preserve">Ministru </w:t>
      </w:r>
      <w:r w:rsidRPr="002E13E7">
        <w:rPr>
          <w:b/>
          <w:iCs/>
          <w:color w:val="000000" w:themeColor="text1"/>
          <w:sz w:val="24"/>
          <w:szCs w:val="24"/>
          <w:lang w:val="ro-MD"/>
        </w:rPr>
        <w:tab/>
      </w:r>
      <w:r w:rsidRPr="002E13E7">
        <w:rPr>
          <w:b/>
          <w:iCs/>
          <w:color w:val="000000" w:themeColor="text1"/>
          <w:sz w:val="24"/>
          <w:szCs w:val="24"/>
          <w:lang w:val="ro-MD"/>
        </w:rPr>
        <w:tab/>
      </w:r>
      <w:r w:rsidRPr="002E13E7">
        <w:rPr>
          <w:b/>
          <w:iCs/>
          <w:color w:val="000000" w:themeColor="text1"/>
          <w:sz w:val="24"/>
          <w:szCs w:val="24"/>
          <w:lang w:val="ro-MD"/>
        </w:rPr>
        <w:tab/>
      </w:r>
      <w:r w:rsidRPr="002E13E7">
        <w:rPr>
          <w:b/>
          <w:iCs/>
          <w:color w:val="000000" w:themeColor="text1"/>
          <w:sz w:val="24"/>
          <w:szCs w:val="24"/>
          <w:lang w:val="ro-MD"/>
        </w:rPr>
        <w:tab/>
      </w:r>
      <w:r w:rsidRPr="002E13E7">
        <w:rPr>
          <w:b/>
          <w:iCs/>
          <w:color w:val="000000" w:themeColor="text1"/>
          <w:sz w:val="24"/>
          <w:szCs w:val="24"/>
          <w:lang w:val="ro-MD"/>
        </w:rPr>
        <w:tab/>
        <w:t>Dan PERCIUN</w:t>
      </w:r>
    </w:p>
    <w:p w:rsidR="003329C3" w:rsidRPr="000F5BDB" w:rsidRDefault="003329C3" w:rsidP="003329C3">
      <w:pPr>
        <w:ind w:right="424" w:firstLine="0"/>
        <w:rPr>
          <w:color w:val="000000" w:themeColor="text1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Pr="000F5BDB" w:rsidRDefault="003329C3" w:rsidP="003329C3">
      <w:pPr>
        <w:ind w:right="424" w:firstLine="0"/>
        <w:rPr>
          <w:color w:val="000000" w:themeColor="text1"/>
          <w:sz w:val="16"/>
          <w:szCs w:val="16"/>
          <w:lang w:val="ro-MD"/>
        </w:rPr>
      </w:pPr>
    </w:p>
    <w:p w:rsidR="003329C3" w:rsidRPr="000F5BDB" w:rsidRDefault="003329C3" w:rsidP="003329C3">
      <w:pPr>
        <w:ind w:firstLine="0"/>
        <w:rPr>
          <w:color w:val="000000" w:themeColor="text1"/>
          <w:sz w:val="16"/>
          <w:szCs w:val="16"/>
          <w:lang w:val="ro-MD"/>
        </w:rPr>
      </w:pPr>
      <w:r w:rsidRPr="000F5BDB">
        <w:rPr>
          <w:color w:val="000000" w:themeColor="text1"/>
          <w:sz w:val="16"/>
          <w:szCs w:val="16"/>
          <w:lang w:val="ro-MD"/>
        </w:rPr>
        <w:t>Ex. Vasile Secrieru, consultant juridic</w:t>
      </w:r>
    </w:p>
    <w:p w:rsidR="003329C3" w:rsidRPr="00D14C54" w:rsidRDefault="003329C3" w:rsidP="003329C3">
      <w:pPr>
        <w:ind w:firstLine="0"/>
        <w:rPr>
          <w:color w:val="000000" w:themeColor="text1"/>
          <w:sz w:val="16"/>
          <w:szCs w:val="16"/>
          <w:lang w:val="ro-MD"/>
        </w:rPr>
      </w:pPr>
      <w:r w:rsidRPr="000F5BDB">
        <w:rPr>
          <w:color w:val="000000" w:themeColor="text1"/>
          <w:sz w:val="16"/>
          <w:szCs w:val="16"/>
          <w:lang w:val="ro-MD"/>
        </w:rPr>
        <w:t>Tel. 068269785</w:t>
      </w:r>
    </w:p>
    <w:p w:rsidR="00386B3A" w:rsidRDefault="00386B3A"/>
    <w:sectPr w:rsidR="00386B3A" w:rsidSect="004533AB">
      <w:footerReference w:type="default" r:id="rId6"/>
      <w:headerReference w:type="first" r:id="rId7"/>
      <w:pgSz w:w="11907" w:h="16840"/>
      <w:pgMar w:top="851" w:right="567" w:bottom="993" w:left="1985" w:header="566" w:footer="31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339845"/>
      <w:docPartObj>
        <w:docPartGallery w:val="Page Numbers (Bottom of Page)"/>
        <w:docPartUnique/>
      </w:docPartObj>
    </w:sdtPr>
    <w:sdtEndPr/>
    <w:sdtContent>
      <w:sdt>
        <w:sdtPr>
          <w:id w:val="-488327154"/>
          <w:docPartObj>
            <w:docPartGallery w:val="Page Numbers (Top of Page)"/>
            <w:docPartUnique/>
          </w:docPartObj>
        </w:sdtPr>
        <w:sdtEndPr/>
        <w:sdtContent>
          <w:p w:rsidR="00EA0D8D" w:rsidRDefault="002344D1">
            <w:pPr>
              <w:pStyle w:val="a6"/>
              <w:jc w:val="right"/>
            </w:pPr>
            <w:r>
              <w:rPr>
                <w:lang w:val="ro-MD"/>
              </w:rPr>
              <w:t>Pagina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rPr>
                <w:lang w:val="ro-MD"/>
              </w:rPr>
              <w:t>din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0D8D" w:rsidRDefault="002344D1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8D" w:rsidRPr="00032B46" w:rsidRDefault="002344D1">
    <w:pPr>
      <w:pStyle w:val="a3"/>
      <w:ind w:firstLine="0"/>
      <w:rPr>
        <w:sz w:val="28"/>
        <w:szCs w:val="28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37"/>
    <w:rsid w:val="002344D1"/>
    <w:rsid w:val="003329C3"/>
    <w:rsid w:val="00386B3A"/>
    <w:rsid w:val="00930737"/>
    <w:rsid w:val="00A8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D3FE"/>
  <w15:chartTrackingRefBased/>
  <w15:docId w15:val="{DBF81949-BA87-47AF-ACA8-ABAA3617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9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29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329C3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39"/>
    <w:rsid w:val="003329C3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unhideWhenUsed/>
    <w:rsid w:val="003329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29C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particip.gov.md" TargetMode="External"/><Relationship Id="rId4" Type="http://schemas.openxmlformats.org/officeDocument/2006/relationships/hyperlink" Target="http://www.mec.gov.m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2025-06-26T10:30:00Z</dcterms:created>
  <dcterms:modified xsi:type="dcterms:W3CDTF">2025-06-26T10:54:00Z</dcterms:modified>
</cp:coreProperties>
</file>