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BABE" w14:textId="77777777" w:rsidR="00FB55A2" w:rsidRPr="0001395C" w:rsidRDefault="005B5EE7">
      <w:pPr>
        <w:pStyle w:val="Corptext"/>
        <w:spacing w:before="64"/>
        <w:ind w:left="4516" w:right="4523"/>
        <w:jc w:val="center"/>
        <w:rPr>
          <w:sz w:val="26"/>
          <w:szCs w:val="26"/>
        </w:rPr>
      </w:pPr>
      <w:r w:rsidRPr="0001395C">
        <w:rPr>
          <w:sz w:val="26"/>
          <w:szCs w:val="26"/>
        </w:rPr>
        <w:t>SINTEZA</w:t>
      </w:r>
    </w:p>
    <w:p w14:paraId="56B75670" w14:textId="77777777" w:rsidR="0001395C" w:rsidRPr="0001395C" w:rsidRDefault="005B5EE7" w:rsidP="0001395C">
      <w:pPr>
        <w:pStyle w:val="Corptext"/>
        <w:spacing w:before="2"/>
        <w:ind w:left="3686" w:right="4525"/>
        <w:jc w:val="center"/>
        <w:rPr>
          <w:sz w:val="26"/>
          <w:szCs w:val="26"/>
        </w:rPr>
      </w:pPr>
      <w:r w:rsidRPr="0001395C">
        <w:rPr>
          <w:sz w:val="26"/>
          <w:szCs w:val="26"/>
        </w:rPr>
        <w:t>obiecțiilor</w:t>
      </w:r>
      <w:r w:rsidRPr="0001395C">
        <w:rPr>
          <w:spacing w:val="-6"/>
          <w:sz w:val="26"/>
          <w:szCs w:val="26"/>
        </w:rPr>
        <w:t xml:space="preserve"> </w:t>
      </w:r>
      <w:r w:rsidRPr="0001395C">
        <w:rPr>
          <w:sz w:val="26"/>
          <w:szCs w:val="26"/>
        </w:rPr>
        <w:t>și</w:t>
      </w:r>
      <w:r w:rsidRPr="0001395C">
        <w:rPr>
          <w:spacing w:val="-4"/>
          <w:sz w:val="26"/>
          <w:szCs w:val="26"/>
        </w:rPr>
        <w:t xml:space="preserve"> </w:t>
      </w:r>
      <w:r w:rsidRPr="0001395C">
        <w:rPr>
          <w:sz w:val="26"/>
          <w:szCs w:val="26"/>
        </w:rPr>
        <w:t>propunerilor</w:t>
      </w:r>
      <w:r w:rsidRPr="0001395C">
        <w:rPr>
          <w:spacing w:val="-6"/>
          <w:sz w:val="26"/>
          <w:szCs w:val="26"/>
        </w:rPr>
        <w:t xml:space="preserve"> </w:t>
      </w:r>
      <w:r w:rsidRPr="0001395C">
        <w:rPr>
          <w:i/>
          <w:iCs/>
          <w:sz w:val="26"/>
          <w:szCs w:val="26"/>
        </w:rPr>
        <w:t>(recomandărilor)</w:t>
      </w:r>
      <w:r w:rsidR="0035498B" w:rsidRPr="0001395C">
        <w:rPr>
          <w:i/>
          <w:iCs/>
          <w:sz w:val="26"/>
          <w:szCs w:val="26"/>
        </w:rPr>
        <w:t xml:space="preserve"> </w:t>
      </w:r>
      <w:r w:rsidR="0035498B" w:rsidRPr="0001395C">
        <w:rPr>
          <w:sz w:val="26"/>
          <w:szCs w:val="26"/>
        </w:rPr>
        <w:t xml:space="preserve">la </w:t>
      </w:r>
    </w:p>
    <w:p w14:paraId="240649B5" w14:textId="3FCBDF32" w:rsidR="00FB55A2" w:rsidRPr="0001395C" w:rsidRDefault="00AC0B27" w:rsidP="001A62A9">
      <w:pPr>
        <w:pStyle w:val="Corptext"/>
        <w:spacing w:before="2"/>
        <w:ind w:left="3686" w:right="4235"/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>p</w:t>
      </w:r>
      <w:r w:rsidR="0001395C" w:rsidRPr="0001395C">
        <w:rPr>
          <w:sz w:val="26"/>
          <w:szCs w:val="26"/>
        </w:rPr>
        <w:t xml:space="preserve">roiectul </w:t>
      </w:r>
      <w:r>
        <w:rPr>
          <w:sz w:val="26"/>
          <w:szCs w:val="26"/>
        </w:rPr>
        <w:t xml:space="preserve">Ordinului </w:t>
      </w:r>
      <w:r w:rsidR="0001395C" w:rsidRPr="0001395C">
        <w:rPr>
          <w:sz w:val="26"/>
          <w:szCs w:val="26"/>
        </w:rPr>
        <w:t xml:space="preserve">privind aprobarea </w:t>
      </w:r>
      <w:r>
        <w:rPr>
          <w:sz w:val="26"/>
          <w:szCs w:val="26"/>
        </w:rPr>
        <w:t xml:space="preserve">Procedurii </w:t>
      </w:r>
      <w:r w:rsidRPr="00AC0B27">
        <w:rPr>
          <w:sz w:val="26"/>
          <w:szCs w:val="26"/>
        </w:rPr>
        <w:t>de organizare a licitației deschise</w:t>
      </w:r>
    </w:p>
    <w:tbl>
      <w:tblPr>
        <w:tblStyle w:val="TableNormal"/>
        <w:tblpPr w:leftFromText="180" w:rightFromText="180" w:vertAnchor="text" w:tblpX="12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6"/>
        <w:gridCol w:w="5998"/>
        <w:gridCol w:w="4458"/>
      </w:tblGrid>
      <w:tr w:rsidR="00FB55A2" w:rsidRPr="00012195" w14:paraId="1BD52F9D" w14:textId="77777777" w:rsidTr="00012195">
        <w:trPr>
          <w:trHeight w:val="551"/>
        </w:trPr>
        <w:tc>
          <w:tcPr>
            <w:tcW w:w="3596" w:type="dxa"/>
          </w:tcPr>
          <w:p w14:paraId="20465F33" w14:textId="77777777" w:rsidR="00FB55A2" w:rsidRPr="00012195" w:rsidRDefault="005B5EE7" w:rsidP="00012195">
            <w:pPr>
              <w:pStyle w:val="TableParagraph"/>
              <w:spacing w:line="276" w:lineRule="exact"/>
              <w:ind w:left="158" w:right="144" w:firstLine="431"/>
              <w:jc w:val="center"/>
              <w:rPr>
                <w:b/>
                <w:sz w:val="24"/>
                <w:szCs w:val="24"/>
              </w:rPr>
            </w:pPr>
            <w:r w:rsidRPr="00012195">
              <w:rPr>
                <w:b/>
                <w:sz w:val="24"/>
                <w:szCs w:val="24"/>
              </w:rPr>
              <w:t>Participantul la avizare</w:t>
            </w:r>
            <w:r w:rsidRPr="0001219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2195">
              <w:rPr>
                <w:b/>
                <w:sz w:val="24"/>
                <w:szCs w:val="24"/>
              </w:rPr>
              <w:t>(expertizare)/consultare</w:t>
            </w:r>
            <w:r w:rsidRPr="0001219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12195">
              <w:rPr>
                <w:b/>
                <w:sz w:val="24"/>
                <w:szCs w:val="24"/>
              </w:rPr>
              <w:t>publică</w:t>
            </w:r>
          </w:p>
        </w:tc>
        <w:tc>
          <w:tcPr>
            <w:tcW w:w="5998" w:type="dxa"/>
          </w:tcPr>
          <w:p w14:paraId="46BEF514" w14:textId="77777777" w:rsidR="00FB55A2" w:rsidRPr="00012195" w:rsidRDefault="005B5EE7" w:rsidP="00012195">
            <w:pPr>
              <w:pStyle w:val="TableParagraph"/>
              <w:spacing w:line="276" w:lineRule="exact"/>
              <w:ind w:left="1641" w:right="1632" w:firstLine="304"/>
              <w:jc w:val="center"/>
              <w:rPr>
                <w:b/>
                <w:sz w:val="24"/>
                <w:szCs w:val="24"/>
              </w:rPr>
            </w:pPr>
            <w:r w:rsidRPr="00012195">
              <w:rPr>
                <w:b/>
                <w:sz w:val="24"/>
                <w:szCs w:val="24"/>
              </w:rPr>
              <w:t>Conținutul obiecției/</w:t>
            </w:r>
            <w:r w:rsidRPr="0001219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2195">
              <w:rPr>
                <w:b/>
                <w:spacing w:val="-1"/>
                <w:sz w:val="24"/>
                <w:szCs w:val="24"/>
              </w:rPr>
              <w:t>propunerii</w:t>
            </w:r>
            <w:r w:rsidRPr="0001219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12195">
              <w:rPr>
                <w:b/>
                <w:sz w:val="24"/>
                <w:szCs w:val="24"/>
              </w:rPr>
              <w:t>(recomandării)</w:t>
            </w:r>
          </w:p>
        </w:tc>
        <w:tc>
          <w:tcPr>
            <w:tcW w:w="4458" w:type="dxa"/>
          </w:tcPr>
          <w:p w14:paraId="26CCDA08" w14:textId="77777777" w:rsidR="00FB55A2" w:rsidRPr="00012195" w:rsidRDefault="005B5EE7" w:rsidP="00012195">
            <w:pPr>
              <w:pStyle w:val="TableParagraph"/>
              <w:spacing w:line="276" w:lineRule="exact"/>
              <w:ind w:left="1156" w:right="1143" w:firstLine="319"/>
              <w:jc w:val="center"/>
              <w:rPr>
                <w:b/>
                <w:sz w:val="24"/>
                <w:szCs w:val="24"/>
              </w:rPr>
            </w:pPr>
            <w:r w:rsidRPr="00012195">
              <w:rPr>
                <w:b/>
                <w:sz w:val="24"/>
                <w:szCs w:val="24"/>
              </w:rPr>
              <w:t>Argumentarea</w:t>
            </w:r>
            <w:r w:rsidRPr="0001219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2195">
              <w:rPr>
                <w:b/>
                <w:sz w:val="24"/>
                <w:szCs w:val="24"/>
              </w:rPr>
              <w:t>autorului</w:t>
            </w:r>
            <w:r w:rsidRPr="00012195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12195">
              <w:rPr>
                <w:b/>
                <w:sz w:val="24"/>
                <w:szCs w:val="24"/>
              </w:rPr>
              <w:t>proiectului</w:t>
            </w:r>
          </w:p>
        </w:tc>
      </w:tr>
      <w:tr w:rsidR="00AC0B27" w:rsidRPr="00012195" w14:paraId="65630FC3" w14:textId="77777777" w:rsidTr="00F72902">
        <w:trPr>
          <w:trHeight w:val="4066"/>
        </w:trPr>
        <w:tc>
          <w:tcPr>
            <w:tcW w:w="3596" w:type="dxa"/>
          </w:tcPr>
          <w:p w14:paraId="02021BBC" w14:textId="77777777" w:rsidR="00AC0B27" w:rsidRDefault="00AC0B27" w:rsidP="008623C8">
            <w:pPr>
              <w:pStyle w:val="TableParagraph"/>
              <w:tabs>
                <w:tab w:val="left" w:pos="1515"/>
                <w:tab w:val="left" w:pos="2364"/>
              </w:tabs>
              <w:ind w:left="107" w:right="100"/>
              <w:rPr>
                <w:b/>
                <w:sz w:val="24"/>
                <w:szCs w:val="24"/>
              </w:rPr>
            </w:pPr>
            <w:r w:rsidRPr="00012195">
              <w:rPr>
                <w:b/>
                <w:sz w:val="24"/>
                <w:szCs w:val="24"/>
              </w:rPr>
              <w:t xml:space="preserve">Ministerul Justiției </w:t>
            </w:r>
          </w:p>
          <w:p w14:paraId="21286A0E" w14:textId="77777777" w:rsidR="00AC0B27" w:rsidRPr="00012195" w:rsidRDefault="00AC0B27" w:rsidP="008623C8">
            <w:pPr>
              <w:pStyle w:val="TableParagraph"/>
              <w:tabs>
                <w:tab w:val="left" w:pos="1515"/>
                <w:tab w:val="left" w:pos="2364"/>
              </w:tabs>
              <w:ind w:left="107" w:right="100"/>
              <w:rPr>
                <w:b/>
                <w:sz w:val="24"/>
                <w:szCs w:val="24"/>
              </w:rPr>
            </w:pPr>
            <w:r w:rsidRPr="00012195">
              <w:rPr>
                <w:b/>
                <w:sz w:val="24"/>
                <w:szCs w:val="24"/>
              </w:rPr>
              <w:t xml:space="preserve">Aviz </w:t>
            </w:r>
            <w:r w:rsidRPr="0001395C">
              <w:rPr>
                <w:b/>
                <w:sz w:val="24"/>
                <w:szCs w:val="24"/>
              </w:rPr>
              <w:t>nr. 04/2-</w:t>
            </w:r>
            <w:r>
              <w:rPr>
                <w:b/>
                <w:sz w:val="24"/>
                <w:szCs w:val="24"/>
              </w:rPr>
              <w:t>6106</w:t>
            </w:r>
            <w:r w:rsidRPr="0001395C">
              <w:rPr>
                <w:b/>
              </w:rPr>
              <w:t xml:space="preserve"> </w:t>
            </w:r>
            <w:r w:rsidRPr="008623C8">
              <w:rPr>
                <w:b/>
                <w:sz w:val="24"/>
                <w:szCs w:val="24"/>
              </w:rPr>
              <w:t xml:space="preserve">din </w:t>
            </w:r>
            <w:r>
              <w:rPr>
                <w:b/>
                <w:sz w:val="24"/>
                <w:szCs w:val="24"/>
              </w:rPr>
              <w:t>25</w:t>
            </w:r>
            <w:r w:rsidRPr="008623C8">
              <w:rPr>
                <w:b/>
                <w:sz w:val="24"/>
                <w:szCs w:val="24"/>
              </w:rPr>
              <w:t>.06.2025</w:t>
            </w:r>
          </w:p>
          <w:p w14:paraId="26795D2D" w14:textId="77777777" w:rsidR="00AC0B27" w:rsidRDefault="00AC0B27" w:rsidP="00012195">
            <w:pPr>
              <w:pStyle w:val="TableParagraph"/>
              <w:tabs>
                <w:tab w:val="left" w:pos="1515"/>
                <w:tab w:val="left" w:pos="2364"/>
              </w:tabs>
              <w:ind w:left="107" w:right="100"/>
              <w:rPr>
                <w:b/>
                <w:sz w:val="24"/>
                <w:szCs w:val="24"/>
              </w:rPr>
            </w:pPr>
          </w:p>
          <w:p w14:paraId="18F842C5" w14:textId="77777777" w:rsidR="00AC0B27" w:rsidRPr="008623C8" w:rsidRDefault="00AC0B27" w:rsidP="008623C8"/>
          <w:p w14:paraId="0726349F" w14:textId="77777777" w:rsidR="00AC0B27" w:rsidRPr="008623C8" w:rsidRDefault="00AC0B27" w:rsidP="008623C8"/>
          <w:p w14:paraId="5FBD5BF3" w14:textId="77777777" w:rsidR="00AC0B27" w:rsidRPr="008623C8" w:rsidRDefault="00AC0B27" w:rsidP="008623C8"/>
          <w:p w14:paraId="7E7D6F36" w14:textId="77777777" w:rsidR="00AC0B27" w:rsidRPr="008623C8" w:rsidRDefault="00AC0B27" w:rsidP="008623C8"/>
          <w:p w14:paraId="2D206713" w14:textId="77777777" w:rsidR="00AC0B27" w:rsidRPr="008623C8" w:rsidRDefault="00AC0B27" w:rsidP="008623C8"/>
          <w:p w14:paraId="4F1F1280" w14:textId="77777777" w:rsidR="00AC0B27" w:rsidRPr="008623C8" w:rsidRDefault="00AC0B27" w:rsidP="008623C8"/>
          <w:p w14:paraId="7615A717" w14:textId="77777777" w:rsidR="00AC0B27" w:rsidRPr="008623C8" w:rsidRDefault="00AC0B27" w:rsidP="008623C8"/>
          <w:p w14:paraId="37B82174" w14:textId="77777777" w:rsidR="00AC0B27" w:rsidRPr="008623C8" w:rsidRDefault="00AC0B27" w:rsidP="008623C8"/>
          <w:p w14:paraId="2DE841F9" w14:textId="77777777" w:rsidR="00AC0B27" w:rsidRPr="008623C8" w:rsidRDefault="00AC0B27" w:rsidP="008623C8"/>
          <w:p w14:paraId="4237B756" w14:textId="77777777" w:rsidR="00AC0B27" w:rsidRPr="008623C8" w:rsidRDefault="00AC0B27" w:rsidP="008623C8"/>
          <w:p w14:paraId="278745ED" w14:textId="7E3A87FF" w:rsidR="00AC0B27" w:rsidRPr="00012195" w:rsidRDefault="00AC0B27" w:rsidP="00F72902">
            <w:pPr>
              <w:rPr>
                <w:b/>
                <w:sz w:val="24"/>
                <w:szCs w:val="24"/>
              </w:rPr>
            </w:pPr>
          </w:p>
        </w:tc>
        <w:tc>
          <w:tcPr>
            <w:tcW w:w="5998" w:type="dxa"/>
          </w:tcPr>
          <w:p w14:paraId="774FBB8C" w14:textId="079E1A63" w:rsidR="00AC0B27" w:rsidRPr="00AC0B27" w:rsidRDefault="00AC0B27" w:rsidP="00AC0B27">
            <w:pPr>
              <w:tabs>
                <w:tab w:val="left" w:pos="4050"/>
              </w:tabs>
              <w:ind w:left="243" w:right="229"/>
              <w:jc w:val="both"/>
            </w:pPr>
            <w:r w:rsidRPr="00AC0B27">
              <w:t>Potrivit notei de fundamentare, proiectul ordinului este elaborat în temeiul art.</w:t>
            </w:r>
            <w:r>
              <w:t xml:space="preserve"> </w:t>
            </w:r>
            <w:r w:rsidRPr="00AC0B27">
              <w:t xml:space="preserve">5 alin. (1), art. 8 alin. (1) lit. b) și lit. l) din </w:t>
            </w:r>
            <w:r w:rsidRPr="00AC0B27">
              <w:rPr>
                <w:i/>
                <w:iCs/>
              </w:rPr>
              <w:t>Legea vânătorii și a protecției fondului</w:t>
            </w:r>
            <w:r>
              <w:rPr>
                <w:i/>
                <w:iCs/>
              </w:rPr>
              <w:t xml:space="preserve"> </w:t>
            </w:r>
            <w:r w:rsidRPr="00AC0B27">
              <w:rPr>
                <w:i/>
                <w:iCs/>
              </w:rPr>
              <w:t>cinegetic nr. 55/2024</w:t>
            </w:r>
            <w:r w:rsidRPr="00AC0B27">
              <w:t>, în scopul reglementării procedurii de organizare a licitațiilor</w:t>
            </w:r>
            <w:r>
              <w:t xml:space="preserve"> </w:t>
            </w:r>
            <w:r w:rsidRPr="00AC0B27">
              <w:t>deschise pentru transmiterea în folosință a fondurilor cinegetice.</w:t>
            </w:r>
          </w:p>
          <w:p w14:paraId="790277DD" w14:textId="3560F743" w:rsidR="00AC0B27" w:rsidRPr="00AC0B27" w:rsidRDefault="00AC0B27" w:rsidP="00AC0B27">
            <w:pPr>
              <w:tabs>
                <w:tab w:val="left" w:pos="4050"/>
              </w:tabs>
              <w:ind w:left="243" w:right="229"/>
              <w:jc w:val="both"/>
            </w:pPr>
            <w:r w:rsidRPr="00AC0B27">
              <w:t>Cu referire la temeiul legal de emitere a actului normativ semnalăm că, potrivit</w:t>
            </w:r>
            <w:r>
              <w:t xml:space="preserve"> </w:t>
            </w:r>
            <w:r w:rsidRPr="00AC0B27">
              <w:t xml:space="preserve">art. 16 alin. (2) al </w:t>
            </w:r>
            <w:r w:rsidRPr="00AC0B27">
              <w:rPr>
                <w:i/>
                <w:iCs/>
              </w:rPr>
              <w:t>Legii nr. 100/2017 cu privire la actele normative</w:t>
            </w:r>
            <w:r w:rsidRPr="00AC0B27">
              <w:t>, actele normative</w:t>
            </w:r>
            <w:r>
              <w:t xml:space="preserve"> </w:t>
            </w:r>
            <w:r w:rsidRPr="00AC0B27">
              <w:t>ale autorităților administrației publice centrale de specialitate și ale autorităților</w:t>
            </w:r>
            <w:r>
              <w:t xml:space="preserve"> </w:t>
            </w:r>
            <w:r w:rsidRPr="00AC0B27">
              <w:t>publice autonome sunt emise sau aprobate numai în temeiul și pentru executarea</w:t>
            </w:r>
            <w:r>
              <w:t xml:space="preserve"> </w:t>
            </w:r>
            <w:r w:rsidRPr="00AC0B27">
              <w:t>legilor și a hotărârilor Parlamentului, a decretelor Președintelui Republicii Moldova,</w:t>
            </w:r>
            <w:r>
              <w:t xml:space="preserve"> </w:t>
            </w:r>
            <w:r w:rsidRPr="00AC0B27">
              <w:t>a hotărârilor și ordonanțelor Guvernului. Actele</w:t>
            </w:r>
            <w:r>
              <w:t xml:space="preserve"> </w:t>
            </w:r>
            <w:r w:rsidRPr="00AC0B27">
              <w:t>normative respective se limitează</w:t>
            </w:r>
            <w:r>
              <w:t xml:space="preserve"> </w:t>
            </w:r>
            <w:r w:rsidRPr="00AC0B27">
              <w:t>strict la cadrul stabilit de actele normative de nivel superior pentru executarea cărora</w:t>
            </w:r>
            <w:r>
              <w:t xml:space="preserve"> </w:t>
            </w:r>
            <w:r w:rsidRPr="00AC0B27">
              <w:t>se emit sau se aprobă și nu pot contraveni prevederilor actelor respective. În clauza</w:t>
            </w:r>
            <w:r>
              <w:t xml:space="preserve"> </w:t>
            </w:r>
            <w:r w:rsidRPr="00AC0B27">
              <w:t>de adoptare a actelor normative ale autorităților administrației publice centrale de</w:t>
            </w:r>
            <w:r>
              <w:t xml:space="preserve"> </w:t>
            </w:r>
            <w:r w:rsidRPr="00AC0B27">
              <w:t>specialitate și ale autorităților publice autonome se indică expres actul normativ</w:t>
            </w:r>
            <w:r>
              <w:t xml:space="preserve"> </w:t>
            </w:r>
            <w:r w:rsidRPr="00AC0B27">
              <w:t>superior în temeiul căruia acestea sunt emise sau aprobate. În context, se atestă lipsa</w:t>
            </w:r>
            <w:r>
              <w:t xml:space="preserve"> </w:t>
            </w:r>
            <w:r w:rsidRPr="00AC0B27">
              <w:t>temeiului legal expres în vederea aprobării actului propus.</w:t>
            </w:r>
          </w:p>
        </w:tc>
        <w:tc>
          <w:tcPr>
            <w:tcW w:w="4458" w:type="dxa"/>
          </w:tcPr>
          <w:p w14:paraId="6965D76F" w14:textId="2C88E590" w:rsidR="00AC0B27" w:rsidRDefault="00AC0B27" w:rsidP="005B75FF">
            <w:pPr>
              <w:pStyle w:val="TableParagraph"/>
              <w:ind w:left="187" w:right="152"/>
              <w:jc w:val="both"/>
              <w:rPr>
                <w:b/>
                <w:bCs/>
                <w:sz w:val="24"/>
                <w:szCs w:val="24"/>
              </w:rPr>
            </w:pPr>
            <w:r w:rsidRPr="0001219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Se acceptă, </w:t>
            </w:r>
            <w:r w:rsidRPr="00AC0B27">
              <w:rPr>
                <w:sz w:val="26"/>
                <w:szCs w:val="26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AC0B27">
              <w:rPr>
                <w:sz w:val="24"/>
                <w:szCs w:val="24"/>
              </w:rPr>
              <w:t xml:space="preserve">roiectul Ordinului privind aprobarea Procedurii de organizare a licitației deschise a fost </w:t>
            </w:r>
            <w:r w:rsidR="005B75FF">
              <w:rPr>
                <w:sz w:val="24"/>
                <w:szCs w:val="24"/>
              </w:rPr>
              <w:t>redactat</w:t>
            </w:r>
            <w:r w:rsidRPr="00AC0B27">
              <w:rPr>
                <w:sz w:val="24"/>
                <w:szCs w:val="24"/>
              </w:rPr>
              <w:t xml:space="preserve"> sub formă de Ghid, </w:t>
            </w:r>
            <w:r w:rsidR="005B75FF">
              <w:rPr>
                <w:sz w:val="24"/>
                <w:szCs w:val="24"/>
              </w:rPr>
              <w:t>î</w:t>
            </w:r>
            <w:r w:rsidR="005B75FF" w:rsidRPr="005B75FF">
              <w:rPr>
                <w:sz w:val="24"/>
                <w:szCs w:val="24"/>
              </w:rPr>
              <w:t>n conformitate cu prevederile pct. 9 sbp. 11) din Regulamentul cu privire la organizarea și funcționarea Ministerului Mediului, aprobat prin Hotărârea Guvernului nr. 145/2021 și întru realizarea prevederilor art. 5, alin. (1), art. 8 alin. (1) lit. b) și lit. l) din Legea vânătorii și a protecției fondului cinegetic nr. 55/2024, (Monitorul Oficial al Republicii Moldova, 2024, nr. 148-150, art. 213)</w:t>
            </w:r>
          </w:p>
          <w:p w14:paraId="3223926D" w14:textId="77777777" w:rsidR="00AC0B27" w:rsidRPr="0001395C" w:rsidRDefault="00AC0B27" w:rsidP="0001395C">
            <w:pPr>
              <w:rPr>
                <w:sz w:val="24"/>
                <w:szCs w:val="24"/>
              </w:rPr>
            </w:pPr>
          </w:p>
          <w:p w14:paraId="384C6247" w14:textId="679DA3E2" w:rsidR="00AC0B27" w:rsidRPr="008623C8" w:rsidRDefault="00AC0B27" w:rsidP="008623C8">
            <w:pPr>
              <w:tabs>
                <w:tab w:val="left" w:pos="999"/>
              </w:tabs>
              <w:rPr>
                <w:sz w:val="24"/>
                <w:szCs w:val="24"/>
              </w:rPr>
            </w:pPr>
          </w:p>
        </w:tc>
      </w:tr>
    </w:tbl>
    <w:p w14:paraId="59E0F345" w14:textId="13D5EF4C" w:rsidR="00FB55A2" w:rsidRDefault="00FB55A2" w:rsidP="00A75CCB">
      <w:pPr>
        <w:rPr>
          <w:b/>
          <w:sz w:val="24"/>
          <w:szCs w:val="24"/>
        </w:rPr>
      </w:pPr>
    </w:p>
    <w:p w14:paraId="0A71A5F8" w14:textId="77777777" w:rsidR="00C71E2E" w:rsidRDefault="00C71E2E" w:rsidP="00A75CCB">
      <w:pPr>
        <w:rPr>
          <w:b/>
          <w:sz w:val="24"/>
          <w:szCs w:val="24"/>
        </w:rPr>
      </w:pPr>
    </w:p>
    <w:p w14:paraId="6FE192D0" w14:textId="77777777" w:rsidR="0001395C" w:rsidRDefault="0001395C" w:rsidP="00A75CCB">
      <w:pPr>
        <w:rPr>
          <w:b/>
          <w:sz w:val="24"/>
          <w:szCs w:val="24"/>
        </w:rPr>
      </w:pPr>
    </w:p>
    <w:p w14:paraId="16DBB22B" w14:textId="77777777" w:rsidR="00C71E2E" w:rsidRDefault="00C71E2E" w:rsidP="00A75CCB">
      <w:pPr>
        <w:rPr>
          <w:b/>
          <w:sz w:val="24"/>
          <w:szCs w:val="24"/>
        </w:rPr>
      </w:pPr>
    </w:p>
    <w:p w14:paraId="6A976318" w14:textId="21E6963B" w:rsidR="00C71E2E" w:rsidRPr="00C71E2E" w:rsidRDefault="00C71E2E" w:rsidP="00A75CCB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</w:t>
      </w:r>
      <w:r w:rsidR="00E16C43">
        <w:rPr>
          <w:b/>
          <w:sz w:val="24"/>
          <w:szCs w:val="24"/>
        </w:rPr>
        <w:t xml:space="preserve">                         </w:t>
      </w:r>
      <w:r w:rsidR="006D2331">
        <w:rPr>
          <w:b/>
          <w:sz w:val="28"/>
          <w:szCs w:val="28"/>
        </w:rPr>
        <w:t xml:space="preserve">Secretar de Stat </w:t>
      </w:r>
      <w:r w:rsidR="006D2331">
        <w:rPr>
          <w:b/>
          <w:sz w:val="28"/>
          <w:szCs w:val="28"/>
        </w:rPr>
        <w:tab/>
      </w:r>
      <w:r w:rsidR="006D2331">
        <w:rPr>
          <w:b/>
          <w:sz w:val="28"/>
          <w:szCs w:val="28"/>
        </w:rPr>
        <w:tab/>
      </w:r>
      <w:r w:rsidR="006D2331">
        <w:rPr>
          <w:b/>
          <w:sz w:val="28"/>
          <w:szCs w:val="28"/>
        </w:rPr>
        <w:tab/>
      </w:r>
      <w:r w:rsidR="006D2331">
        <w:rPr>
          <w:b/>
          <w:sz w:val="28"/>
          <w:szCs w:val="28"/>
        </w:rPr>
        <w:tab/>
      </w:r>
      <w:r w:rsidR="006D2331">
        <w:rPr>
          <w:b/>
          <w:sz w:val="28"/>
          <w:szCs w:val="28"/>
        </w:rPr>
        <w:tab/>
      </w:r>
      <w:r w:rsidR="006D2331">
        <w:rPr>
          <w:b/>
          <w:sz w:val="28"/>
          <w:szCs w:val="28"/>
        </w:rPr>
        <w:tab/>
      </w:r>
      <w:r w:rsidR="006D2331">
        <w:rPr>
          <w:b/>
          <w:sz w:val="28"/>
          <w:szCs w:val="28"/>
        </w:rPr>
        <w:tab/>
        <w:t xml:space="preserve">  </w:t>
      </w:r>
      <w:r w:rsidR="00AC0B27">
        <w:rPr>
          <w:b/>
          <w:sz w:val="28"/>
          <w:szCs w:val="28"/>
        </w:rPr>
        <w:t xml:space="preserve">                </w:t>
      </w:r>
      <w:r w:rsidR="006D2331">
        <w:rPr>
          <w:b/>
          <w:sz w:val="28"/>
          <w:szCs w:val="28"/>
        </w:rPr>
        <w:t>Gheorghe HAJDER</w:t>
      </w:r>
    </w:p>
    <w:sectPr w:rsidR="00C71E2E" w:rsidRPr="00C71E2E">
      <w:pgSz w:w="16840" w:h="11910" w:orient="landscape"/>
      <w:pgMar w:top="1100" w:right="84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216B" w14:textId="77777777" w:rsidR="00C93499" w:rsidRDefault="00C93499" w:rsidP="00131B48">
      <w:r>
        <w:separator/>
      </w:r>
    </w:p>
  </w:endnote>
  <w:endnote w:type="continuationSeparator" w:id="0">
    <w:p w14:paraId="7F28C7BC" w14:textId="77777777" w:rsidR="00C93499" w:rsidRDefault="00C93499" w:rsidP="0013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51FB" w14:textId="77777777" w:rsidR="00C93499" w:rsidRDefault="00C93499" w:rsidP="00131B48">
      <w:r>
        <w:separator/>
      </w:r>
    </w:p>
  </w:footnote>
  <w:footnote w:type="continuationSeparator" w:id="0">
    <w:p w14:paraId="2E286FC0" w14:textId="77777777" w:rsidR="00C93499" w:rsidRDefault="00C93499" w:rsidP="00131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65F1"/>
    <w:multiLevelType w:val="hybridMultilevel"/>
    <w:tmpl w:val="09D22200"/>
    <w:lvl w:ilvl="0" w:tplc="F1F6FA8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197768342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55A2"/>
    <w:rsid w:val="00001161"/>
    <w:rsid w:val="00004E35"/>
    <w:rsid w:val="00012195"/>
    <w:rsid w:val="0001395C"/>
    <w:rsid w:val="00041648"/>
    <w:rsid w:val="00046815"/>
    <w:rsid w:val="00061575"/>
    <w:rsid w:val="00064857"/>
    <w:rsid w:val="00085EF6"/>
    <w:rsid w:val="0009112C"/>
    <w:rsid w:val="000B3986"/>
    <w:rsid w:val="000E5B83"/>
    <w:rsid w:val="001128F4"/>
    <w:rsid w:val="00121B7D"/>
    <w:rsid w:val="00131B48"/>
    <w:rsid w:val="001459E3"/>
    <w:rsid w:val="00162EB8"/>
    <w:rsid w:val="00177AB7"/>
    <w:rsid w:val="001848BC"/>
    <w:rsid w:val="00194111"/>
    <w:rsid w:val="001A62A9"/>
    <w:rsid w:val="001D3174"/>
    <w:rsid w:val="001F5C9B"/>
    <w:rsid w:val="002058F4"/>
    <w:rsid w:val="002129C6"/>
    <w:rsid w:val="00233C49"/>
    <w:rsid w:val="0025572A"/>
    <w:rsid w:val="002618B9"/>
    <w:rsid w:val="002B375A"/>
    <w:rsid w:val="002B55FA"/>
    <w:rsid w:val="002D2B86"/>
    <w:rsid w:val="0032009C"/>
    <w:rsid w:val="003401D5"/>
    <w:rsid w:val="00345100"/>
    <w:rsid w:val="0035498B"/>
    <w:rsid w:val="00362358"/>
    <w:rsid w:val="00365A30"/>
    <w:rsid w:val="003705C1"/>
    <w:rsid w:val="003939DC"/>
    <w:rsid w:val="00394DB4"/>
    <w:rsid w:val="003E1714"/>
    <w:rsid w:val="00455950"/>
    <w:rsid w:val="004B379E"/>
    <w:rsid w:val="004C1E7B"/>
    <w:rsid w:val="004D44D4"/>
    <w:rsid w:val="004E1B82"/>
    <w:rsid w:val="004F3E93"/>
    <w:rsid w:val="005225D8"/>
    <w:rsid w:val="00526D97"/>
    <w:rsid w:val="00536514"/>
    <w:rsid w:val="00555C2E"/>
    <w:rsid w:val="00573ED5"/>
    <w:rsid w:val="00574E82"/>
    <w:rsid w:val="005750CC"/>
    <w:rsid w:val="005B1E27"/>
    <w:rsid w:val="005B5EE7"/>
    <w:rsid w:val="005B75FF"/>
    <w:rsid w:val="005F03FA"/>
    <w:rsid w:val="00601330"/>
    <w:rsid w:val="00602253"/>
    <w:rsid w:val="00621854"/>
    <w:rsid w:val="00664A98"/>
    <w:rsid w:val="00666E75"/>
    <w:rsid w:val="00683642"/>
    <w:rsid w:val="006B6A59"/>
    <w:rsid w:val="006C3C61"/>
    <w:rsid w:val="006D2331"/>
    <w:rsid w:val="006D35E5"/>
    <w:rsid w:val="006E08DC"/>
    <w:rsid w:val="006F0A9A"/>
    <w:rsid w:val="006F7788"/>
    <w:rsid w:val="00745768"/>
    <w:rsid w:val="00747649"/>
    <w:rsid w:val="007601A5"/>
    <w:rsid w:val="00791213"/>
    <w:rsid w:val="007976E8"/>
    <w:rsid w:val="007A6EA1"/>
    <w:rsid w:val="007B6733"/>
    <w:rsid w:val="007C2A78"/>
    <w:rsid w:val="007C7EE8"/>
    <w:rsid w:val="007D5C88"/>
    <w:rsid w:val="007E1A64"/>
    <w:rsid w:val="007E1E0E"/>
    <w:rsid w:val="00814DF7"/>
    <w:rsid w:val="00817FED"/>
    <w:rsid w:val="0082308B"/>
    <w:rsid w:val="008623C8"/>
    <w:rsid w:val="00865C53"/>
    <w:rsid w:val="00892A15"/>
    <w:rsid w:val="008A75AB"/>
    <w:rsid w:val="008C2F0E"/>
    <w:rsid w:val="008D5C81"/>
    <w:rsid w:val="008E0E86"/>
    <w:rsid w:val="008E410F"/>
    <w:rsid w:val="008F180C"/>
    <w:rsid w:val="009014CB"/>
    <w:rsid w:val="00923CBB"/>
    <w:rsid w:val="00966D7A"/>
    <w:rsid w:val="00974DD6"/>
    <w:rsid w:val="00991695"/>
    <w:rsid w:val="009A2C5E"/>
    <w:rsid w:val="009B5D2A"/>
    <w:rsid w:val="009B5EBF"/>
    <w:rsid w:val="009B6A4D"/>
    <w:rsid w:val="009E6035"/>
    <w:rsid w:val="00A04BC0"/>
    <w:rsid w:val="00A14FB8"/>
    <w:rsid w:val="00A21DD3"/>
    <w:rsid w:val="00A22961"/>
    <w:rsid w:val="00A27FD7"/>
    <w:rsid w:val="00A64160"/>
    <w:rsid w:val="00A74016"/>
    <w:rsid w:val="00A75CCB"/>
    <w:rsid w:val="00A778FB"/>
    <w:rsid w:val="00A81DF5"/>
    <w:rsid w:val="00A835F0"/>
    <w:rsid w:val="00AC0B27"/>
    <w:rsid w:val="00B140F8"/>
    <w:rsid w:val="00B312C8"/>
    <w:rsid w:val="00B40E72"/>
    <w:rsid w:val="00B539ED"/>
    <w:rsid w:val="00B62B3D"/>
    <w:rsid w:val="00B81F1F"/>
    <w:rsid w:val="00B876A3"/>
    <w:rsid w:val="00BA3FB3"/>
    <w:rsid w:val="00BA56A4"/>
    <w:rsid w:val="00BB04F4"/>
    <w:rsid w:val="00BB4C90"/>
    <w:rsid w:val="00BB70C6"/>
    <w:rsid w:val="00BC769C"/>
    <w:rsid w:val="00BD6D01"/>
    <w:rsid w:val="00BF42A0"/>
    <w:rsid w:val="00C25E7A"/>
    <w:rsid w:val="00C26DE8"/>
    <w:rsid w:val="00C56F06"/>
    <w:rsid w:val="00C71E2E"/>
    <w:rsid w:val="00C93499"/>
    <w:rsid w:val="00CA4901"/>
    <w:rsid w:val="00CA74C8"/>
    <w:rsid w:val="00CB6CFD"/>
    <w:rsid w:val="00CC20A2"/>
    <w:rsid w:val="00CD09D0"/>
    <w:rsid w:val="00CF19E4"/>
    <w:rsid w:val="00CF1DE9"/>
    <w:rsid w:val="00CF51F8"/>
    <w:rsid w:val="00D3796E"/>
    <w:rsid w:val="00D567F5"/>
    <w:rsid w:val="00D868A8"/>
    <w:rsid w:val="00DD5E67"/>
    <w:rsid w:val="00DE20EB"/>
    <w:rsid w:val="00DF6B3C"/>
    <w:rsid w:val="00E011AA"/>
    <w:rsid w:val="00E12DAF"/>
    <w:rsid w:val="00E16C43"/>
    <w:rsid w:val="00E42A26"/>
    <w:rsid w:val="00E721B7"/>
    <w:rsid w:val="00E74D4D"/>
    <w:rsid w:val="00E75F40"/>
    <w:rsid w:val="00E77EF6"/>
    <w:rsid w:val="00F00E90"/>
    <w:rsid w:val="00F02EBC"/>
    <w:rsid w:val="00F250BD"/>
    <w:rsid w:val="00F34476"/>
    <w:rsid w:val="00F47ECF"/>
    <w:rsid w:val="00F575C1"/>
    <w:rsid w:val="00F57E3E"/>
    <w:rsid w:val="00F70A97"/>
    <w:rsid w:val="00F90FD4"/>
    <w:rsid w:val="00FA4502"/>
    <w:rsid w:val="00FA6521"/>
    <w:rsid w:val="00FB55A2"/>
    <w:rsid w:val="00FB5FCB"/>
    <w:rsid w:val="00FC1DBF"/>
    <w:rsid w:val="00F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F724"/>
  <w15:docId w15:val="{928B394B-31BB-4DE3-AFF4-BA4021F5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Titlu4">
    <w:name w:val="heading 4"/>
    <w:basedOn w:val="Normal"/>
    <w:link w:val="Titlu4Caracter"/>
    <w:uiPriority w:val="9"/>
    <w:qFormat/>
    <w:rsid w:val="00F00E90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3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u4Caracter">
    <w:name w:val="Titlu 4 Caracter"/>
    <w:basedOn w:val="Fontdeparagrafimplicit"/>
    <w:link w:val="Titlu4"/>
    <w:uiPriority w:val="9"/>
    <w:rsid w:val="00F00E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rspaiere">
    <w:name w:val="No Spacing"/>
    <w:uiPriority w:val="1"/>
    <w:qFormat/>
    <w:rsid w:val="00F00E90"/>
    <w:pPr>
      <w:widowControl/>
      <w:autoSpaceDE/>
      <w:autoSpaceDN/>
    </w:pPr>
    <w:rPr>
      <w:rFonts w:ascii="Calibri" w:eastAsia="Times New Roman" w:hAnsi="Calibri" w:cs="Times New Roman"/>
    </w:rPr>
  </w:style>
  <w:style w:type="paragraph" w:styleId="Textcomentariu">
    <w:name w:val="annotation text"/>
    <w:basedOn w:val="Normal"/>
    <w:link w:val="TextcomentariuCaracter"/>
    <w:uiPriority w:val="99"/>
    <w:unhideWhenUsed/>
    <w:rsid w:val="00F00E90"/>
    <w:pPr>
      <w:widowControl/>
      <w:autoSpaceDE/>
      <w:autoSpaceDN/>
      <w:ind w:firstLine="720"/>
      <w:jc w:val="both"/>
    </w:pPr>
    <w:rPr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F00E90"/>
    <w:rPr>
      <w:rFonts w:ascii="Times New Roman" w:eastAsia="Times New Roman" w:hAnsi="Times New Roman" w:cs="Times New Roman"/>
      <w:sz w:val="20"/>
      <w:szCs w:val="20"/>
    </w:rPr>
  </w:style>
  <w:style w:type="character" w:styleId="Robust">
    <w:name w:val="Strong"/>
    <w:basedOn w:val="Fontdeparagrafimplicit"/>
    <w:uiPriority w:val="22"/>
    <w:qFormat/>
    <w:rsid w:val="00CF1D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575C1"/>
    <w:rPr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131B48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1B48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31B48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1B48"/>
    <w:rPr>
      <w:rFonts w:ascii="Times New Roman" w:eastAsia="Times New Roman" w:hAnsi="Times New Roman" w:cs="Times New Roman"/>
      <w:lang w:val="ro-RO"/>
    </w:rPr>
  </w:style>
  <w:style w:type="table" w:styleId="Tabelgril">
    <w:name w:val="Table Grid"/>
    <w:basedOn w:val="TabelNormal"/>
    <w:uiPriority w:val="39"/>
    <w:rsid w:val="00B87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4766-D428-44E2-8B1E-8AD97DAD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4051</TotalTime>
  <Pages>1</Pages>
  <Words>339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marcela.mazarenco</dc:creator>
  <cp:lastModifiedBy>Secția politici în domeniul forestier și cinegetic</cp:lastModifiedBy>
  <cp:revision>68</cp:revision>
  <cp:lastPrinted>2025-06-12T13:42:00Z</cp:lastPrinted>
  <dcterms:created xsi:type="dcterms:W3CDTF">2024-02-28T06:06:00Z</dcterms:created>
  <dcterms:modified xsi:type="dcterms:W3CDTF">2025-06-30T06:35:00Z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