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45ABF" w14:textId="77777777" w:rsidR="00BB271D" w:rsidRPr="002A6A84" w:rsidRDefault="00A46A3E" w:rsidP="00E50E2B">
      <w:pPr>
        <w:pBdr>
          <w:top w:val="none" w:sz="4" w:space="0" w:color="000000"/>
          <w:left w:val="none" w:sz="4" w:space="0" w:color="000000"/>
          <w:bottom w:val="none" w:sz="4" w:space="0" w:color="000000"/>
          <w:right w:val="none" w:sz="4" w:space="0" w:color="000000"/>
        </w:pBdr>
        <w:tabs>
          <w:tab w:val="left" w:pos="884"/>
          <w:tab w:val="left" w:pos="1196"/>
        </w:tabs>
        <w:ind w:right="992" w:firstLine="0"/>
        <w:jc w:val="center"/>
        <w:rPr>
          <w:b/>
          <w:bCs/>
          <w:sz w:val="24"/>
          <w:szCs w:val="24"/>
          <w:lang w:val="ro-RO"/>
        </w:rPr>
      </w:pPr>
      <w:r w:rsidRPr="002A6A84">
        <w:rPr>
          <w:b/>
          <w:sz w:val="24"/>
          <w:szCs w:val="24"/>
          <w:lang w:val="ro-RO"/>
        </w:rPr>
        <w:t>NOTA DE FUNDAMENTARE</w:t>
      </w:r>
    </w:p>
    <w:p w14:paraId="230DC597" w14:textId="60607770" w:rsidR="00886BF2" w:rsidRDefault="00A46A3E" w:rsidP="00E50E2B">
      <w:pPr>
        <w:ind w:right="992"/>
        <w:jc w:val="center"/>
        <w:rPr>
          <w:b/>
          <w:color w:val="000000"/>
          <w:sz w:val="24"/>
          <w:szCs w:val="24"/>
        </w:rPr>
      </w:pPr>
      <w:r w:rsidRPr="002A6A84">
        <w:rPr>
          <w:b/>
          <w:sz w:val="24"/>
          <w:szCs w:val="24"/>
          <w:lang w:val="ro-RO"/>
        </w:rPr>
        <w:t xml:space="preserve">la proiectul </w:t>
      </w:r>
      <w:r w:rsidR="00FA32EC">
        <w:rPr>
          <w:b/>
          <w:sz w:val="24"/>
          <w:szCs w:val="24"/>
          <w:lang w:val="ro-RO"/>
        </w:rPr>
        <w:t>Hotărârii de Guvern</w:t>
      </w:r>
      <w:r w:rsidR="00293CA7" w:rsidRPr="002A6A84">
        <w:rPr>
          <w:b/>
          <w:sz w:val="24"/>
          <w:szCs w:val="24"/>
          <w:lang w:val="ro-RO"/>
        </w:rPr>
        <w:t xml:space="preserve"> </w:t>
      </w:r>
      <w:r w:rsidR="001048CB" w:rsidRPr="002A6A84">
        <w:rPr>
          <w:b/>
          <w:sz w:val="24"/>
          <w:szCs w:val="24"/>
          <w:lang w:val="ro-RO"/>
        </w:rPr>
        <w:t xml:space="preserve">cu privire </w:t>
      </w:r>
      <w:r w:rsidR="00886BF2">
        <w:rPr>
          <w:b/>
          <w:color w:val="000000"/>
          <w:sz w:val="24"/>
          <w:szCs w:val="24"/>
        </w:rPr>
        <w:t xml:space="preserve">la </w:t>
      </w:r>
      <w:proofErr w:type="spellStart"/>
      <w:r w:rsidR="00886BF2">
        <w:rPr>
          <w:b/>
          <w:color w:val="000000"/>
          <w:sz w:val="24"/>
          <w:szCs w:val="24"/>
        </w:rPr>
        <w:t>planurile</w:t>
      </w:r>
      <w:proofErr w:type="spellEnd"/>
      <w:r w:rsidR="00886BF2">
        <w:rPr>
          <w:b/>
          <w:color w:val="000000"/>
          <w:sz w:val="24"/>
          <w:szCs w:val="24"/>
        </w:rPr>
        <w:t xml:space="preserve"> (</w:t>
      </w:r>
      <w:proofErr w:type="spellStart"/>
      <w:r w:rsidR="00886BF2">
        <w:rPr>
          <w:b/>
          <w:color w:val="000000"/>
          <w:sz w:val="24"/>
          <w:szCs w:val="24"/>
        </w:rPr>
        <w:t>comanda</w:t>
      </w:r>
      <w:proofErr w:type="spellEnd"/>
      <w:r w:rsidR="00886BF2">
        <w:rPr>
          <w:b/>
          <w:color w:val="000000"/>
          <w:sz w:val="24"/>
          <w:szCs w:val="24"/>
        </w:rPr>
        <w:t xml:space="preserve"> de stat) de </w:t>
      </w:r>
      <w:proofErr w:type="spellStart"/>
      <w:r w:rsidR="00886BF2">
        <w:rPr>
          <w:b/>
          <w:color w:val="000000"/>
          <w:sz w:val="24"/>
          <w:szCs w:val="24"/>
        </w:rPr>
        <w:t>pregătire</w:t>
      </w:r>
      <w:proofErr w:type="spellEnd"/>
      <w:r w:rsidR="00886BF2">
        <w:rPr>
          <w:b/>
          <w:color w:val="000000"/>
          <w:sz w:val="24"/>
          <w:szCs w:val="24"/>
        </w:rPr>
        <w:t xml:space="preserve"> a </w:t>
      </w:r>
      <w:proofErr w:type="spellStart"/>
      <w:r w:rsidR="00886BF2">
        <w:rPr>
          <w:b/>
          <w:color w:val="000000"/>
          <w:sz w:val="24"/>
          <w:szCs w:val="24"/>
        </w:rPr>
        <w:t>cadrelor</w:t>
      </w:r>
      <w:proofErr w:type="spellEnd"/>
      <w:r w:rsidR="00886BF2">
        <w:rPr>
          <w:b/>
          <w:color w:val="000000"/>
          <w:sz w:val="24"/>
          <w:szCs w:val="24"/>
        </w:rPr>
        <w:t xml:space="preserve"> de </w:t>
      </w:r>
      <w:proofErr w:type="spellStart"/>
      <w:r w:rsidR="00886BF2">
        <w:rPr>
          <w:b/>
          <w:color w:val="000000"/>
          <w:sz w:val="24"/>
          <w:szCs w:val="24"/>
        </w:rPr>
        <w:t>specialitate</w:t>
      </w:r>
      <w:proofErr w:type="spellEnd"/>
      <w:r w:rsidR="00886BF2">
        <w:rPr>
          <w:b/>
          <w:color w:val="000000"/>
          <w:sz w:val="24"/>
          <w:szCs w:val="24"/>
        </w:rPr>
        <w:t xml:space="preserve"> </w:t>
      </w:r>
      <w:proofErr w:type="spellStart"/>
      <w:r w:rsidR="00886BF2">
        <w:rPr>
          <w:b/>
          <w:color w:val="000000"/>
          <w:sz w:val="24"/>
          <w:szCs w:val="24"/>
        </w:rPr>
        <w:t>pe</w:t>
      </w:r>
      <w:proofErr w:type="spellEnd"/>
      <w:r w:rsidR="00886BF2">
        <w:rPr>
          <w:b/>
          <w:color w:val="000000"/>
          <w:sz w:val="24"/>
          <w:szCs w:val="24"/>
        </w:rPr>
        <w:t xml:space="preserve"> </w:t>
      </w:r>
      <w:proofErr w:type="spellStart"/>
      <w:r w:rsidR="00886BF2">
        <w:rPr>
          <w:b/>
          <w:color w:val="000000"/>
          <w:sz w:val="24"/>
          <w:szCs w:val="24"/>
        </w:rPr>
        <w:t>meserii</w:t>
      </w:r>
      <w:proofErr w:type="spellEnd"/>
      <w:r w:rsidR="00886BF2">
        <w:rPr>
          <w:b/>
          <w:color w:val="000000"/>
          <w:sz w:val="24"/>
          <w:szCs w:val="24"/>
        </w:rPr>
        <w:t xml:space="preserve">, </w:t>
      </w:r>
      <w:proofErr w:type="spellStart"/>
      <w:r w:rsidR="00886BF2">
        <w:rPr>
          <w:b/>
          <w:color w:val="000000"/>
          <w:sz w:val="24"/>
          <w:szCs w:val="24"/>
        </w:rPr>
        <w:t>specialităţi</w:t>
      </w:r>
      <w:proofErr w:type="spellEnd"/>
      <w:r w:rsidR="00886BF2">
        <w:rPr>
          <w:b/>
          <w:color w:val="000000"/>
          <w:sz w:val="24"/>
          <w:szCs w:val="24"/>
        </w:rPr>
        <w:t xml:space="preserve"> </w:t>
      </w:r>
      <w:proofErr w:type="spellStart"/>
      <w:r w:rsidR="00886BF2">
        <w:rPr>
          <w:b/>
          <w:color w:val="000000"/>
          <w:sz w:val="24"/>
          <w:szCs w:val="24"/>
        </w:rPr>
        <w:t>în</w:t>
      </w:r>
      <w:proofErr w:type="spellEnd"/>
      <w:r w:rsidR="00886BF2">
        <w:rPr>
          <w:b/>
          <w:color w:val="000000"/>
          <w:sz w:val="24"/>
          <w:szCs w:val="24"/>
        </w:rPr>
        <w:t xml:space="preserve"> </w:t>
      </w:r>
      <w:proofErr w:type="spellStart"/>
      <w:r w:rsidR="00886BF2">
        <w:rPr>
          <w:b/>
          <w:color w:val="000000"/>
          <w:sz w:val="24"/>
          <w:szCs w:val="24"/>
        </w:rPr>
        <w:t>instituţiile</w:t>
      </w:r>
      <w:proofErr w:type="spellEnd"/>
      <w:r w:rsidR="00886BF2">
        <w:rPr>
          <w:b/>
          <w:color w:val="000000"/>
          <w:sz w:val="24"/>
          <w:szCs w:val="24"/>
        </w:rPr>
        <w:t xml:space="preserve"> de </w:t>
      </w:r>
      <w:proofErr w:type="spellStart"/>
      <w:r w:rsidR="00886BF2">
        <w:rPr>
          <w:b/>
          <w:color w:val="000000"/>
          <w:sz w:val="24"/>
          <w:szCs w:val="24"/>
        </w:rPr>
        <w:t>învățământ</w:t>
      </w:r>
      <w:proofErr w:type="spellEnd"/>
      <w:r w:rsidR="00886BF2">
        <w:rPr>
          <w:b/>
          <w:color w:val="000000"/>
          <w:sz w:val="24"/>
          <w:szCs w:val="24"/>
        </w:rPr>
        <w:t xml:space="preserve"> </w:t>
      </w:r>
      <w:proofErr w:type="spellStart"/>
      <w:r w:rsidR="00886BF2">
        <w:rPr>
          <w:b/>
          <w:color w:val="000000"/>
          <w:sz w:val="24"/>
          <w:szCs w:val="24"/>
        </w:rPr>
        <w:t>profesional</w:t>
      </w:r>
      <w:proofErr w:type="spellEnd"/>
      <w:r w:rsidR="00886BF2">
        <w:rPr>
          <w:b/>
          <w:color w:val="000000"/>
          <w:sz w:val="24"/>
          <w:szCs w:val="24"/>
        </w:rPr>
        <w:t xml:space="preserve"> </w:t>
      </w:r>
      <w:proofErr w:type="spellStart"/>
      <w:r w:rsidR="00886BF2">
        <w:rPr>
          <w:b/>
          <w:color w:val="000000"/>
          <w:sz w:val="24"/>
          <w:szCs w:val="24"/>
        </w:rPr>
        <w:t>tehnic</w:t>
      </w:r>
      <w:proofErr w:type="spellEnd"/>
      <w:r w:rsidR="00886BF2">
        <w:rPr>
          <w:b/>
          <w:color w:val="000000"/>
          <w:sz w:val="24"/>
          <w:szCs w:val="24"/>
        </w:rPr>
        <w:t xml:space="preserve"> </w:t>
      </w:r>
      <w:proofErr w:type="spellStart"/>
      <w:r w:rsidR="00886BF2">
        <w:rPr>
          <w:b/>
          <w:color w:val="000000"/>
          <w:sz w:val="24"/>
          <w:szCs w:val="24"/>
        </w:rPr>
        <w:t>pentru</w:t>
      </w:r>
      <w:proofErr w:type="spellEnd"/>
      <w:r w:rsidR="00886BF2">
        <w:rPr>
          <w:b/>
          <w:color w:val="000000"/>
          <w:sz w:val="24"/>
          <w:szCs w:val="24"/>
        </w:rPr>
        <w:t xml:space="preserve"> </w:t>
      </w:r>
      <w:proofErr w:type="spellStart"/>
      <w:r w:rsidR="00886BF2">
        <w:rPr>
          <w:b/>
          <w:color w:val="000000"/>
          <w:sz w:val="24"/>
          <w:szCs w:val="24"/>
        </w:rPr>
        <w:t>anul</w:t>
      </w:r>
      <w:proofErr w:type="spellEnd"/>
      <w:r w:rsidR="00886BF2">
        <w:rPr>
          <w:b/>
          <w:color w:val="000000"/>
          <w:sz w:val="24"/>
          <w:szCs w:val="24"/>
        </w:rPr>
        <w:t xml:space="preserve"> de </w:t>
      </w:r>
      <w:proofErr w:type="spellStart"/>
      <w:r w:rsidR="00886BF2">
        <w:rPr>
          <w:b/>
          <w:color w:val="000000"/>
          <w:sz w:val="24"/>
          <w:szCs w:val="24"/>
        </w:rPr>
        <w:t>studii</w:t>
      </w:r>
      <w:proofErr w:type="spellEnd"/>
      <w:r w:rsidR="00886BF2">
        <w:rPr>
          <w:b/>
          <w:color w:val="000000"/>
          <w:sz w:val="24"/>
          <w:szCs w:val="24"/>
        </w:rPr>
        <w:t xml:space="preserve"> 202</w:t>
      </w:r>
      <w:r w:rsidR="00886BF2">
        <w:rPr>
          <w:b/>
          <w:sz w:val="24"/>
          <w:szCs w:val="24"/>
        </w:rPr>
        <w:t>5</w:t>
      </w:r>
      <w:r w:rsidR="00886BF2">
        <w:rPr>
          <w:b/>
          <w:color w:val="000000"/>
          <w:sz w:val="24"/>
          <w:szCs w:val="24"/>
        </w:rPr>
        <w:t>-202</w:t>
      </w:r>
      <w:r w:rsidR="00886BF2">
        <w:rPr>
          <w:b/>
          <w:sz w:val="24"/>
          <w:szCs w:val="24"/>
        </w:rPr>
        <w:t>6</w:t>
      </w:r>
      <w:r w:rsidR="00886BF2">
        <w:rPr>
          <w:b/>
          <w:color w:val="000000"/>
          <w:sz w:val="24"/>
          <w:szCs w:val="24"/>
        </w:rPr>
        <w:t xml:space="preserve"> </w:t>
      </w:r>
    </w:p>
    <w:p w14:paraId="1F792C04" w14:textId="6261FA76" w:rsidR="00293CA7" w:rsidRPr="00886BF2" w:rsidRDefault="00293CA7" w:rsidP="00886BF2">
      <w:pPr>
        <w:pBdr>
          <w:top w:val="none" w:sz="4" w:space="0" w:color="000000"/>
          <w:left w:val="none" w:sz="4" w:space="0" w:color="000000"/>
          <w:bottom w:val="none" w:sz="4" w:space="0" w:color="000000"/>
          <w:right w:val="none" w:sz="4" w:space="0" w:color="000000"/>
        </w:pBdr>
        <w:tabs>
          <w:tab w:val="left" w:pos="884"/>
          <w:tab w:val="left" w:pos="1196"/>
        </w:tabs>
        <w:ind w:left="851" w:right="1417" w:firstLine="0"/>
        <w:jc w:val="center"/>
        <w:rPr>
          <w:sz w:val="24"/>
          <w:szCs w:val="24"/>
        </w:rPr>
      </w:pP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629"/>
      </w:tblGrid>
      <w:tr w:rsidR="00BB271D" w:rsidRPr="002A6A84" w14:paraId="7D10F1D0" w14:textId="77777777" w:rsidTr="00293CA7">
        <w:tc>
          <w:tcPr>
            <w:tcW w:w="962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96BF133" w14:textId="77777777" w:rsidR="00BB271D" w:rsidRPr="002A6A84" w:rsidRDefault="00A46A3E" w:rsidP="00972096">
            <w:pPr>
              <w:spacing w:line="276" w:lineRule="auto"/>
              <w:rPr>
                <w:rFonts w:ascii="Times New Roman" w:hAnsi="Times New Roman"/>
                <w:b/>
                <w:bCs/>
                <w:sz w:val="24"/>
                <w:szCs w:val="24"/>
                <w:lang w:val="ro-RO"/>
              </w:rPr>
            </w:pPr>
            <w:r w:rsidRPr="002A6A84">
              <w:rPr>
                <w:rFonts w:ascii="Times New Roman" w:hAnsi="Times New Roman"/>
                <w:b/>
                <w:bCs/>
                <w:sz w:val="24"/>
                <w:szCs w:val="24"/>
                <w:lang w:val="ro-RO"/>
              </w:rPr>
              <w:t>1. Denumirea sau numele autorului și, după caz, a/al participanților la elaborarea proiectului actului normativ</w:t>
            </w:r>
          </w:p>
        </w:tc>
      </w:tr>
      <w:tr w:rsidR="00BB271D" w:rsidRPr="002A6A84" w14:paraId="0AF1D30A"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41CAF45" w14:textId="77777777" w:rsidR="00DA45BA" w:rsidRDefault="00293CA7" w:rsidP="00972096">
            <w:pPr>
              <w:spacing w:line="276" w:lineRule="auto"/>
              <w:rPr>
                <w:rFonts w:ascii="Times New Roman" w:hAnsi="Times New Roman"/>
                <w:sz w:val="24"/>
                <w:szCs w:val="24"/>
                <w:lang w:val="ro-RO"/>
              </w:rPr>
            </w:pPr>
            <w:r w:rsidRPr="002A6A84">
              <w:rPr>
                <w:rFonts w:ascii="Times New Roman" w:hAnsi="Times New Roman"/>
                <w:sz w:val="24"/>
                <w:szCs w:val="24"/>
                <w:lang w:val="ro-RO"/>
              </w:rPr>
              <w:t xml:space="preserve">Proiectul </w:t>
            </w:r>
            <w:r w:rsidR="00FA32EC">
              <w:rPr>
                <w:rFonts w:ascii="Times New Roman" w:hAnsi="Times New Roman"/>
                <w:sz w:val="24"/>
                <w:szCs w:val="24"/>
                <w:lang w:val="ro-RO"/>
              </w:rPr>
              <w:t>Hotărârii Guvernului</w:t>
            </w:r>
            <w:r w:rsidRPr="002A6A84">
              <w:rPr>
                <w:rFonts w:ascii="Times New Roman" w:hAnsi="Times New Roman"/>
                <w:sz w:val="24"/>
                <w:szCs w:val="24"/>
                <w:lang w:val="ro-RO"/>
              </w:rPr>
              <w:t xml:space="preserve"> este elaborat de către Minist</w:t>
            </w:r>
            <w:r w:rsidR="00242B5E" w:rsidRPr="002A6A84">
              <w:rPr>
                <w:rFonts w:ascii="Times New Roman" w:hAnsi="Times New Roman"/>
                <w:sz w:val="24"/>
                <w:szCs w:val="24"/>
                <w:lang w:val="ro-RO"/>
              </w:rPr>
              <w:t>e</w:t>
            </w:r>
            <w:r w:rsidRPr="002A6A84">
              <w:rPr>
                <w:rFonts w:ascii="Times New Roman" w:hAnsi="Times New Roman"/>
                <w:sz w:val="24"/>
                <w:szCs w:val="24"/>
                <w:lang w:val="ro-RO"/>
              </w:rPr>
              <w:t>rul Educației și Cercetării</w:t>
            </w:r>
            <w:r w:rsidR="00E52D2E" w:rsidRPr="002A6A84">
              <w:rPr>
                <w:rFonts w:ascii="Times New Roman" w:hAnsi="Times New Roman"/>
                <w:sz w:val="24"/>
                <w:szCs w:val="24"/>
                <w:lang w:val="ro-RO"/>
              </w:rPr>
              <w:t>.</w:t>
            </w:r>
            <w:r w:rsidR="00AB304E" w:rsidRPr="002A6A84">
              <w:rPr>
                <w:rFonts w:ascii="Times New Roman" w:hAnsi="Times New Roman"/>
                <w:sz w:val="24"/>
                <w:szCs w:val="24"/>
                <w:lang w:val="ro-RO"/>
              </w:rPr>
              <w:t xml:space="preserve"> </w:t>
            </w:r>
          </w:p>
          <w:p w14:paraId="0E19B2EC" w14:textId="1034546D" w:rsidR="00E50E2B" w:rsidRPr="002A6A84" w:rsidRDefault="00E50E2B" w:rsidP="00972096">
            <w:pPr>
              <w:spacing w:line="276" w:lineRule="auto"/>
              <w:rPr>
                <w:rFonts w:ascii="Times New Roman" w:hAnsi="Times New Roman"/>
                <w:sz w:val="24"/>
                <w:szCs w:val="24"/>
              </w:rPr>
            </w:pPr>
          </w:p>
        </w:tc>
      </w:tr>
      <w:tr w:rsidR="00BB271D" w:rsidRPr="002A6A84" w14:paraId="1B98F181"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7A39EF29" w14:textId="77777777" w:rsidR="00BB271D" w:rsidRPr="002A6A84" w:rsidRDefault="00A46A3E" w:rsidP="00972096">
            <w:pPr>
              <w:spacing w:line="276" w:lineRule="auto"/>
              <w:rPr>
                <w:rFonts w:ascii="Times New Roman" w:hAnsi="Times New Roman"/>
                <w:b/>
                <w:bCs/>
                <w:sz w:val="24"/>
                <w:szCs w:val="24"/>
                <w:lang w:val="ro-RO"/>
              </w:rPr>
            </w:pPr>
            <w:r w:rsidRPr="002A6A84">
              <w:rPr>
                <w:rFonts w:ascii="Times New Roman" w:hAnsi="Times New Roman"/>
                <w:b/>
                <w:bCs/>
                <w:sz w:val="24"/>
                <w:szCs w:val="24"/>
                <w:lang w:val="ro-RO"/>
              </w:rPr>
              <w:t>2. Condițiile ce au impus elaborarea proiectului actului normativ</w:t>
            </w:r>
          </w:p>
        </w:tc>
      </w:tr>
      <w:tr w:rsidR="00BB271D" w:rsidRPr="002A6A84" w14:paraId="1F8F46FF"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575B435" w14:textId="77777777" w:rsidR="00BB271D" w:rsidRPr="002A6A84" w:rsidRDefault="00A46A3E" w:rsidP="00972096">
            <w:pPr>
              <w:spacing w:line="276" w:lineRule="auto"/>
              <w:rPr>
                <w:rFonts w:ascii="Times New Roman" w:hAnsi="Times New Roman"/>
                <w:i/>
                <w:iCs/>
                <w:sz w:val="24"/>
                <w:szCs w:val="24"/>
                <w:lang w:val="ro-RO"/>
              </w:rPr>
            </w:pPr>
            <w:r w:rsidRPr="002A6A84">
              <w:rPr>
                <w:rFonts w:ascii="Times New Roman" w:hAnsi="Times New Roman"/>
                <w:i/>
                <w:iCs/>
                <w:sz w:val="24"/>
                <w:szCs w:val="24"/>
                <w:lang w:val="ro-RO"/>
              </w:rPr>
              <w:t>2.1. Temeiul legal sau, după caz, sursa proiectului actului normativ</w:t>
            </w:r>
          </w:p>
        </w:tc>
      </w:tr>
      <w:tr w:rsidR="00293CA7" w:rsidRPr="002A6A84" w14:paraId="7761A9CB"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16813EB" w14:textId="77777777" w:rsidR="0095156D" w:rsidRDefault="00886BF2" w:rsidP="00886BF2">
            <w:pPr>
              <w:ind w:firstLine="397"/>
              <w:rPr>
                <w:rFonts w:ascii="Times New Roman" w:hAnsi="Times New Roman"/>
                <w:sz w:val="24"/>
                <w:szCs w:val="24"/>
                <w:lang w:val="ro-MD"/>
              </w:rPr>
            </w:pPr>
            <w:r w:rsidRPr="00DB6520">
              <w:rPr>
                <w:rFonts w:ascii="Times New Roman" w:eastAsia="Times New Roman" w:hAnsi="Times New Roman"/>
                <w:sz w:val="24"/>
                <w:szCs w:val="24"/>
                <w:lang w:val="ro-MD"/>
              </w:rPr>
              <w:t xml:space="preserve">Proiectul Hotărârii Guvernului </w:t>
            </w:r>
            <w:r w:rsidRPr="00DB6520">
              <w:rPr>
                <w:rFonts w:ascii="Times New Roman" w:eastAsia="Times New Roman" w:hAnsi="Times New Roman"/>
                <w:i/>
                <w:sz w:val="24"/>
                <w:szCs w:val="24"/>
                <w:lang w:val="ro-MD"/>
              </w:rPr>
              <w:t>Cu privire la planurile (comanda de stat) de pregătire a cadrelor de specialitate pe meserii, specialități în instituțiile de învățământ profesional tehnic pentru anul de studii 202</w:t>
            </w:r>
            <w:r>
              <w:rPr>
                <w:rFonts w:ascii="Times New Roman" w:eastAsia="Times New Roman" w:hAnsi="Times New Roman"/>
                <w:i/>
                <w:sz w:val="24"/>
                <w:szCs w:val="24"/>
                <w:lang w:val="ro-MD"/>
              </w:rPr>
              <w:t>5</w:t>
            </w:r>
            <w:r w:rsidRPr="00DB6520">
              <w:rPr>
                <w:rFonts w:ascii="Times New Roman" w:eastAsia="Times New Roman" w:hAnsi="Times New Roman"/>
                <w:i/>
                <w:sz w:val="24"/>
                <w:szCs w:val="24"/>
                <w:lang w:val="ro-MD"/>
              </w:rPr>
              <w:t>-202</w:t>
            </w:r>
            <w:r>
              <w:rPr>
                <w:rFonts w:ascii="Times New Roman" w:eastAsia="Times New Roman" w:hAnsi="Times New Roman"/>
                <w:i/>
                <w:sz w:val="24"/>
                <w:szCs w:val="24"/>
                <w:lang w:val="ro-MD"/>
              </w:rPr>
              <w:t>6</w:t>
            </w:r>
            <w:r w:rsidR="007957B6">
              <w:rPr>
                <w:rFonts w:ascii="Times New Roman" w:hAnsi="Times New Roman"/>
                <w:i/>
                <w:iCs/>
                <w:sz w:val="24"/>
                <w:szCs w:val="24"/>
                <w:lang w:val="ro-RO"/>
              </w:rPr>
              <w:t>,</w:t>
            </w:r>
            <w:r w:rsidR="007957B6">
              <w:rPr>
                <w:rFonts w:ascii="Times New Roman" w:hAnsi="Times New Roman"/>
                <w:sz w:val="24"/>
                <w:szCs w:val="24"/>
                <w:lang w:val="ro-MD"/>
              </w:rPr>
              <w:t xml:space="preserve"> </w:t>
            </w:r>
            <w:r w:rsidR="00293CA7" w:rsidRPr="002A6A84">
              <w:rPr>
                <w:rFonts w:ascii="Times New Roman" w:hAnsi="Times New Roman"/>
                <w:sz w:val="24"/>
                <w:szCs w:val="24"/>
                <w:lang w:val="ro-RO"/>
              </w:rPr>
              <w:t>a fost elaborat</w:t>
            </w:r>
            <w:r w:rsidR="00E50E2B">
              <w:rPr>
                <w:rFonts w:ascii="Times New Roman" w:hAnsi="Times New Roman"/>
                <w:sz w:val="24"/>
                <w:szCs w:val="24"/>
                <w:lang w:val="ro-RO"/>
              </w:rPr>
              <w:t xml:space="preserve"> î</w:t>
            </w:r>
            <w:r w:rsidR="00E50E2B">
              <w:rPr>
                <w:rFonts w:ascii="Times New Roman" w:eastAsia="Times New Roman" w:hAnsi="Times New Roman"/>
                <w:color w:val="000000"/>
                <w:sz w:val="24"/>
                <w:szCs w:val="24"/>
              </w:rPr>
              <w:t xml:space="preserve">n </w:t>
            </w:r>
            <w:proofErr w:type="spellStart"/>
            <w:r w:rsidR="00E50E2B">
              <w:rPr>
                <w:rFonts w:ascii="Times New Roman" w:eastAsia="Times New Roman" w:hAnsi="Times New Roman"/>
                <w:color w:val="000000"/>
                <w:sz w:val="24"/>
                <w:szCs w:val="24"/>
              </w:rPr>
              <w:t>temeiul</w:t>
            </w:r>
            <w:proofErr w:type="spellEnd"/>
            <w:r w:rsidR="00E50E2B">
              <w:rPr>
                <w:rFonts w:ascii="Times New Roman" w:eastAsia="Times New Roman" w:hAnsi="Times New Roman"/>
                <w:color w:val="000000"/>
                <w:sz w:val="24"/>
                <w:szCs w:val="24"/>
              </w:rPr>
              <w:t xml:space="preserve"> art. 139 lit. g) din </w:t>
            </w:r>
            <w:proofErr w:type="spellStart"/>
            <w:r w:rsidR="00E50E2B">
              <w:rPr>
                <w:rFonts w:ascii="Times New Roman" w:eastAsia="Times New Roman" w:hAnsi="Times New Roman"/>
                <w:color w:val="000000"/>
                <w:sz w:val="24"/>
                <w:szCs w:val="24"/>
              </w:rPr>
              <w:t>Codul</w:t>
            </w:r>
            <w:proofErr w:type="spellEnd"/>
            <w:r w:rsidR="00E50E2B">
              <w:rPr>
                <w:rFonts w:ascii="Times New Roman" w:eastAsia="Times New Roman" w:hAnsi="Times New Roman"/>
                <w:color w:val="000000"/>
                <w:sz w:val="24"/>
                <w:szCs w:val="24"/>
              </w:rPr>
              <w:t xml:space="preserve"> </w:t>
            </w:r>
            <w:proofErr w:type="spellStart"/>
            <w:r w:rsidR="00E50E2B">
              <w:rPr>
                <w:rFonts w:ascii="Times New Roman" w:eastAsia="Times New Roman" w:hAnsi="Times New Roman"/>
                <w:color w:val="000000"/>
                <w:sz w:val="24"/>
                <w:szCs w:val="24"/>
              </w:rPr>
              <w:t>educației</w:t>
            </w:r>
            <w:proofErr w:type="spellEnd"/>
            <w:r w:rsidR="00E50E2B">
              <w:rPr>
                <w:rFonts w:ascii="Times New Roman" w:eastAsia="Times New Roman" w:hAnsi="Times New Roman"/>
                <w:color w:val="000000"/>
                <w:sz w:val="24"/>
                <w:szCs w:val="24"/>
              </w:rPr>
              <w:t xml:space="preserve"> al </w:t>
            </w:r>
            <w:proofErr w:type="spellStart"/>
            <w:r w:rsidR="00E50E2B">
              <w:rPr>
                <w:rFonts w:ascii="Times New Roman" w:eastAsia="Times New Roman" w:hAnsi="Times New Roman"/>
                <w:color w:val="000000"/>
                <w:sz w:val="24"/>
                <w:szCs w:val="24"/>
              </w:rPr>
              <w:t>Republicii</w:t>
            </w:r>
            <w:proofErr w:type="spellEnd"/>
            <w:r w:rsidR="00E50E2B">
              <w:rPr>
                <w:rFonts w:ascii="Times New Roman" w:eastAsia="Times New Roman" w:hAnsi="Times New Roman"/>
                <w:color w:val="000000"/>
                <w:sz w:val="24"/>
                <w:szCs w:val="24"/>
              </w:rPr>
              <w:t xml:space="preserve"> Moldova nr.152/2014 (</w:t>
            </w:r>
            <w:proofErr w:type="spellStart"/>
            <w:r w:rsidR="00E50E2B">
              <w:rPr>
                <w:rFonts w:ascii="Times New Roman" w:eastAsia="Times New Roman" w:hAnsi="Times New Roman"/>
                <w:color w:val="000000"/>
                <w:sz w:val="24"/>
                <w:szCs w:val="24"/>
              </w:rPr>
              <w:t>Monitorul</w:t>
            </w:r>
            <w:proofErr w:type="spellEnd"/>
            <w:r w:rsidR="00E50E2B">
              <w:rPr>
                <w:rFonts w:ascii="Times New Roman" w:eastAsia="Times New Roman" w:hAnsi="Times New Roman"/>
                <w:color w:val="000000"/>
                <w:sz w:val="24"/>
                <w:szCs w:val="24"/>
              </w:rPr>
              <w:t xml:space="preserve"> </w:t>
            </w:r>
            <w:proofErr w:type="spellStart"/>
            <w:r w:rsidR="00E50E2B">
              <w:rPr>
                <w:rFonts w:ascii="Times New Roman" w:eastAsia="Times New Roman" w:hAnsi="Times New Roman"/>
                <w:color w:val="000000"/>
                <w:sz w:val="24"/>
                <w:szCs w:val="24"/>
              </w:rPr>
              <w:t>Oficial</w:t>
            </w:r>
            <w:proofErr w:type="spellEnd"/>
            <w:r w:rsidR="00E50E2B">
              <w:rPr>
                <w:rFonts w:ascii="Times New Roman" w:eastAsia="Times New Roman" w:hAnsi="Times New Roman"/>
                <w:color w:val="000000"/>
                <w:sz w:val="24"/>
                <w:szCs w:val="24"/>
              </w:rPr>
              <w:t xml:space="preserve"> al </w:t>
            </w:r>
            <w:proofErr w:type="spellStart"/>
            <w:r w:rsidR="00E50E2B">
              <w:rPr>
                <w:rFonts w:ascii="Times New Roman" w:eastAsia="Times New Roman" w:hAnsi="Times New Roman"/>
                <w:color w:val="000000"/>
                <w:sz w:val="24"/>
                <w:szCs w:val="24"/>
              </w:rPr>
              <w:t>Republicii</w:t>
            </w:r>
            <w:proofErr w:type="spellEnd"/>
            <w:r w:rsidR="00E50E2B">
              <w:rPr>
                <w:rFonts w:ascii="Times New Roman" w:eastAsia="Times New Roman" w:hAnsi="Times New Roman"/>
                <w:color w:val="000000"/>
                <w:sz w:val="24"/>
                <w:szCs w:val="24"/>
              </w:rPr>
              <w:t xml:space="preserve"> Moldova, 2014, nr. 319-324, art. 634)</w:t>
            </w:r>
            <w:r w:rsidR="00293CA7" w:rsidRPr="002A6A84">
              <w:rPr>
                <w:rFonts w:ascii="Times New Roman" w:hAnsi="Times New Roman"/>
                <w:sz w:val="24"/>
                <w:szCs w:val="24"/>
                <w:lang w:val="ro-RO"/>
              </w:rPr>
              <w:t xml:space="preserve"> </w:t>
            </w:r>
            <w:r w:rsidRPr="00DB6520">
              <w:rPr>
                <w:rFonts w:ascii="Times New Roman" w:eastAsia="Times New Roman" w:hAnsi="Times New Roman"/>
                <w:sz w:val="24"/>
                <w:szCs w:val="24"/>
                <w:lang w:val="ro-MD"/>
              </w:rPr>
              <w:t xml:space="preserve">în vederea realizării </w:t>
            </w:r>
            <w:proofErr w:type="spellStart"/>
            <w:r w:rsidR="0088794F" w:rsidRPr="0088794F">
              <w:rPr>
                <w:rFonts w:ascii="Times New Roman" w:hAnsi="Times New Roman"/>
                <w:sz w:val="24"/>
                <w:szCs w:val="24"/>
                <w:lang w:val="ro-MD"/>
              </w:rPr>
              <w:t>Planulului</w:t>
            </w:r>
            <w:proofErr w:type="spellEnd"/>
            <w:r w:rsidR="0088794F" w:rsidRPr="0088794F">
              <w:rPr>
                <w:rFonts w:ascii="Times New Roman" w:hAnsi="Times New Roman"/>
                <w:sz w:val="24"/>
                <w:szCs w:val="24"/>
                <w:lang w:val="ro-MD"/>
              </w:rPr>
              <w:t xml:space="preserve"> de acțiuni al Ministerului Educației și Cercetării pentru semestrul I al anului 2025</w:t>
            </w:r>
            <w:r w:rsidR="0088794F">
              <w:rPr>
                <w:rFonts w:ascii="Times New Roman" w:hAnsi="Times New Roman"/>
                <w:sz w:val="24"/>
                <w:szCs w:val="24"/>
                <w:lang w:val="ro-MD"/>
              </w:rPr>
              <w:t>.</w:t>
            </w:r>
          </w:p>
          <w:p w14:paraId="45AF767E" w14:textId="1B2EA785" w:rsidR="00E50E2B" w:rsidRPr="00886BF2" w:rsidRDefault="00E50E2B" w:rsidP="00886BF2">
            <w:pPr>
              <w:ind w:firstLine="397"/>
              <w:rPr>
                <w:rFonts w:ascii="Times New Roman" w:eastAsia="Times New Roman" w:hAnsi="Times New Roman"/>
                <w:sz w:val="24"/>
                <w:szCs w:val="24"/>
                <w:lang w:val="ro-MD"/>
              </w:rPr>
            </w:pPr>
          </w:p>
        </w:tc>
      </w:tr>
      <w:tr w:rsidR="00BB271D" w:rsidRPr="002A6A84" w14:paraId="57AB31D7"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6A37422" w14:textId="77777777" w:rsidR="00BB271D" w:rsidRPr="002A6A84" w:rsidRDefault="00A46A3E" w:rsidP="00972096">
            <w:pPr>
              <w:spacing w:line="276" w:lineRule="auto"/>
              <w:rPr>
                <w:rFonts w:ascii="Times New Roman" w:hAnsi="Times New Roman"/>
                <w:sz w:val="24"/>
                <w:szCs w:val="24"/>
                <w:lang w:val="ro-RO"/>
              </w:rPr>
            </w:pPr>
            <w:r w:rsidRPr="002A6A84">
              <w:rPr>
                <w:rFonts w:ascii="Times New Roman" w:hAnsi="Times New Roman"/>
                <w:sz w:val="24"/>
                <w:szCs w:val="24"/>
                <w:lang w:val="ro-RO"/>
              </w:rPr>
              <w:t xml:space="preserve">2.2. </w:t>
            </w:r>
            <w:r w:rsidRPr="002A6A84">
              <w:rPr>
                <w:rFonts w:ascii="Times New Roman" w:hAnsi="Times New Roman"/>
                <w:i/>
                <w:iCs/>
                <w:sz w:val="24"/>
                <w:szCs w:val="24"/>
                <w:lang w:val="ro-RO"/>
              </w:rPr>
              <w:t>Descrierea situației actuale și a problemelor care impun intervenția, inclusiv a cadrului normativ aplicabil și a deficiențelor/lacunelor normative</w:t>
            </w:r>
          </w:p>
        </w:tc>
      </w:tr>
      <w:tr w:rsidR="00BB271D" w:rsidRPr="006821E2" w14:paraId="7198C800"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3BF307" w14:textId="42A55F7B" w:rsidR="00886BF2" w:rsidRPr="00DB6520" w:rsidRDefault="00886BF2" w:rsidP="00886BF2">
            <w:pPr>
              <w:ind w:firstLine="397"/>
              <w:rPr>
                <w:rFonts w:ascii="Times New Roman" w:eastAsia="Times New Roman" w:hAnsi="Times New Roman"/>
                <w:sz w:val="24"/>
                <w:szCs w:val="24"/>
                <w:lang w:val="ro-MD"/>
              </w:rPr>
            </w:pPr>
            <w:r w:rsidRPr="00DB6520">
              <w:rPr>
                <w:rFonts w:ascii="Times New Roman" w:eastAsia="Times New Roman" w:hAnsi="Times New Roman"/>
                <w:sz w:val="24"/>
                <w:szCs w:val="24"/>
                <w:lang w:val="ro-MD"/>
              </w:rPr>
              <w:t xml:space="preserve">Proiectul Hotărârii este elaborat în vederea executării art. 60 </w:t>
            </w:r>
            <w:r w:rsidR="004E74B9" w:rsidRPr="00DB6520">
              <w:rPr>
                <w:rFonts w:ascii="Times New Roman" w:eastAsia="Times New Roman" w:hAnsi="Times New Roman"/>
                <w:sz w:val="24"/>
                <w:szCs w:val="24"/>
                <w:lang w:val="ro-MD"/>
              </w:rPr>
              <w:t xml:space="preserve">alin. (5) </w:t>
            </w:r>
            <w:r w:rsidRPr="00DB6520">
              <w:rPr>
                <w:rFonts w:ascii="Times New Roman" w:eastAsia="Times New Roman" w:hAnsi="Times New Roman"/>
                <w:sz w:val="24"/>
                <w:szCs w:val="24"/>
                <w:lang w:val="ro-MD"/>
              </w:rPr>
              <w:t xml:space="preserve">și </w:t>
            </w:r>
            <w:r w:rsidR="004E74B9" w:rsidRPr="00DB6520">
              <w:rPr>
                <w:rFonts w:ascii="Times New Roman" w:eastAsia="Times New Roman" w:hAnsi="Times New Roman"/>
                <w:sz w:val="24"/>
                <w:szCs w:val="24"/>
                <w:lang w:val="ro-MD"/>
              </w:rPr>
              <w:t xml:space="preserve">art.139 </w:t>
            </w:r>
            <w:r w:rsidRPr="00DB6520">
              <w:rPr>
                <w:rFonts w:ascii="Times New Roman" w:eastAsia="Times New Roman" w:hAnsi="Times New Roman"/>
                <w:sz w:val="24"/>
                <w:szCs w:val="24"/>
                <w:lang w:val="ro-MD"/>
              </w:rPr>
              <w:t xml:space="preserve">lit. g) din Codul educației nr. 152/2014, potrivit cărora Guvernul aprobă planul (comanda de stat) de pregătire a cadrelor de specialitate cu finanțare de la bugetul de stat în învățământul profesional tehnic. </w:t>
            </w:r>
          </w:p>
          <w:p w14:paraId="0CE744FD" w14:textId="77777777" w:rsidR="00886BF2" w:rsidRPr="00DB6520" w:rsidRDefault="00886BF2" w:rsidP="00886BF2">
            <w:pPr>
              <w:ind w:firstLine="397"/>
              <w:rPr>
                <w:rFonts w:ascii="Times New Roman" w:eastAsia="Times New Roman" w:hAnsi="Times New Roman"/>
                <w:sz w:val="24"/>
                <w:szCs w:val="24"/>
                <w:lang w:val="ro-MD"/>
              </w:rPr>
            </w:pPr>
            <w:r w:rsidRPr="00DB6520">
              <w:rPr>
                <w:rFonts w:ascii="Times New Roman" w:eastAsia="Times New Roman" w:hAnsi="Times New Roman"/>
                <w:sz w:val="24"/>
                <w:szCs w:val="24"/>
                <w:lang w:val="ro-MD"/>
              </w:rPr>
              <w:t>Aprobarea comenzii de stat are drept scop asigurarea formării profesionale cu cadre calificate în acord cu necesitățile pieței muncii. Proiectul a fost elaborat în conformitate cu următoarele criterii:</w:t>
            </w:r>
          </w:p>
          <w:p w14:paraId="1F4E51B0" w14:textId="77777777" w:rsidR="00886BF2" w:rsidRPr="00DB6520" w:rsidRDefault="00886BF2" w:rsidP="00886BF2">
            <w:pPr>
              <w:numPr>
                <w:ilvl w:val="0"/>
                <w:numId w:val="3"/>
              </w:numPr>
              <w:pBdr>
                <w:top w:val="nil"/>
                <w:left w:val="nil"/>
                <w:bottom w:val="nil"/>
                <w:right w:val="nil"/>
                <w:between w:val="nil"/>
              </w:pBdr>
              <w:rPr>
                <w:rFonts w:ascii="Times New Roman" w:eastAsia="Times New Roman" w:hAnsi="Times New Roman"/>
                <w:color w:val="000000"/>
                <w:sz w:val="24"/>
                <w:szCs w:val="24"/>
                <w:lang w:val="ro-MD"/>
              </w:rPr>
            </w:pPr>
            <w:r w:rsidRPr="00DB6520">
              <w:rPr>
                <w:rFonts w:ascii="Times New Roman" w:eastAsia="Times New Roman" w:hAnsi="Times New Roman"/>
                <w:color w:val="000000"/>
                <w:sz w:val="24"/>
                <w:szCs w:val="24"/>
                <w:lang w:val="ro-MD"/>
              </w:rPr>
              <w:t>necesitățile pieței forței de muncă, constatate prin intermediul Observatorului Pieței muncii de către Agenția Națională pentru Ocuparea Forței de Muncă;</w:t>
            </w:r>
          </w:p>
          <w:p w14:paraId="1AA0941F" w14:textId="6FF49EA0" w:rsidR="00886BF2" w:rsidRPr="00DB6520" w:rsidRDefault="00886BF2" w:rsidP="00886BF2">
            <w:pPr>
              <w:numPr>
                <w:ilvl w:val="0"/>
                <w:numId w:val="3"/>
              </w:numPr>
              <w:pBdr>
                <w:top w:val="nil"/>
                <w:left w:val="nil"/>
                <w:bottom w:val="nil"/>
                <w:right w:val="nil"/>
                <w:between w:val="nil"/>
              </w:pBdr>
              <w:rPr>
                <w:rFonts w:ascii="Times New Roman" w:eastAsia="Times New Roman" w:hAnsi="Times New Roman"/>
                <w:color w:val="000000"/>
                <w:sz w:val="24"/>
                <w:szCs w:val="24"/>
                <w:lang w:val="ro-MD"/>
              </w:rPr>
            </w:pPr>
            <w:r w:rsidRPr="00DB6520">
              <w:rPr>
                <w:rFonts w:ascii="Times New Roman" w:eastAsia="Times New Roman" w:hAnsi="Times New Roman"/>
                <w:color w:val="000000"/>
                <w:sz w:val="24"/>
                <w:szCs w:val="24"/>
                <w:lang w:val="ro-MD"/>
              </w:rPr>
              <w:t>propunerile corespunzătoare ale Ministerului Sănătății, Mi</w:t>
            </w:r>
            <w:r w:rsidR="00ED3020">
              <w:rPr>
                <w:rFonts w:ascii="Times New Roman" w:eastAsia="Times New Roman" w:hAnsi="Times New Roman"/>
                <w:color w:val="000000"/>
                <w:sz w:val="24"/>
                <w:szCs w:val="24"/>
                <w:lang w:val="ro-MD"/>
              </w:rPr>
              <w:t xml:space="preserve">nisterului Afacerilor Interne, </w:t>
            </w:r>
            <w:r w:rsidRPr="00DB6520">
              <w:rPr>
                <w:rFonts w:ascii="Times New Roman" w:eastAsia="Times New Roman" w:hAnsi="Times New Roman"/>
                <w:color w:val="000000"/>
                <w:sz w:val="24"/>
                <w:szCs w:val="24"/>
                <w:lang w:val="ro-MD"/>
              </w:rPr>
              <w:t xml:space="preserve"> Ministerului Justiției pentru instruirea condamnaților</w:t>
            </w:r>
            <w:r w:rsidR="00871F91">
              <w:rPr>
                <w:rFonts w:ascii="Times New Roman" w:eastAsia="Times New Roman" w:hAnsi="Times New Roman"/>
                <w:color w:val="000000"/>
                <w:sz w:val="24"/>
                <w:szCs w:val="24"/>
                <w:lang w:val="ro-MD"/>
              </w:rPr>
              <w:t xml:space="preserve"> și Ministerului Apărării;</w:t>
            </w:r>
          </w:p>
          <w:p w14:paraId="1D5F322B" w14:textId="77777777" w:rsidR="00886BF2" w:rsidRPr="00DB6520" w:rsidRDefault="00886BF2" w:rsidP="00886BF2">
            <w:pPr>
              <w:numPr>
                <w:ilvl w:val="0"/>
                <w:numId w:val="3"/>
              </w:numPr>
              <w:pBdr>
                <w:top w:val="nil"/>
                <w:left w:val="nil"/>
                <w:bottom w:val="nil"/>
                <w:right w:val="nil"/>
                <w:between w:val="nil"/>
              </w:pBdr>
              <w:rPr>
                <w:rFonts w:ascii="Times New Roman" w:eastAsia="Times New Roman" w:hAnsi="Times New Roman"/>
                <w:color w:val="000000"/>
                <w:sz w:val="24"/>
                <w:szCs w:val="24"/>
                <w:lang w:val="ro-MD"/>
              </w:rPr>
            </w:pPr>
            <w:r w:rsidRPr="00DB6520">
              <w:rPr>
                <w:rFonts w:ascii="Times New Roman" w:eastAsia="Times New Roman" w:hAnsi="Times New Roman"/>
                <w:color w:val="000000"/>
                <w:sz w:val="24"/>
                <w:szCs w:val="24"/>
                <w:lang w:val="ro-MD"/>
              </w:rPr>
              <w:t>propunerile Camerei de Comerț și Industrie pentru învățământul dual;</w:t>
            </w:r>
          </w:p>
          <w:p w14:paraId="68146B58" w14:textId="77777777" w:rsidR="00886BF2" w:rsidRPr="00DB6520" w:rsidRDefault="00886BF2" w:rsidP="00886BF2">
            <w:pPr>
              <w:numPr>
                <w:ilvl w:val="0"/>
                <w:numId w:val="3"/>
              </w:numPr>
              <w:pBdr>
                <w:top w:val="nil"/>
                <w:left w:val="nil"/>
                <w:bottom w:val="nil"/>
                <w:right w:val="nil"/>
                <w:between w:val="nil"/>
              </w:pBdr>
              <w:rPr>
                <w:rFonts w:ascii="Times New Roman" w:eastAsia="Times New Roman" w:hAnsi="Times New Roman"/>
                <w:color w:val="000000"/>
                <w:sz w:val="24"/>
                <w:szCs w:val="24"/>
                <w:lang w:val="ro-MD"/>
              </w:rPr>
            </w:pPr>
            <w:r w:rsidRPr="00DB6520">
              <w:rPr>
                <w:rFonts w:ascii="Times New Roman" w:eastAsia="Times New Roman" w:hAnsi="Times New Roman"/>
                <w:color w:val="000000"/>
                <w:sz w:val="24"/>
                <w:szCs w:val="24"/>
                <w:lang w:val="ro-MD"/>
              </w:rPr>
              <w:t>tendințele de dezvoltare ale sectoarelor economiei Republicii Moldova constate de către Biroul Național de Statistică;</w:t>
            </w:r>
          </w:p>
          <w:p w14:paraId="7266F2FF" w14:textId="1B8C2074" w:rsidR="00886BF2" w:rsidRPr="00DB6520" w:rsidRDefault="00886BF2" w:rsidP="00886BF2">
            <w:pPr>
              <w:numPr>
                <w:ilvl w:val="0"/>
                <w:numId w:val="3"/>
              </w:numPr>
              <w:pBdr>
                <w:top w:val="nil"/>
                <w:left w:val="nil"/>
                <w:bottom w:val="nil"/>
                <w:right w:val="nil"/>
                <w:between w:val="nil"/>
              </w:pBdr>
              <w:rPr>
                <w:rFonts w:ascii="Times New Roman" w:eastAsia="Times New Roman" w:hAnsi="Times New Roman"/>
                <w:color w:val="000000"/>
                <w:sz w:val="24"/>
                <w:szCs w:val="24"/>
                <w:lang w:val="ro-MD"/>
              </w:rPr>
            </w:pPr>
            <w:r w:rsidRPr="00DB6520">
              <w:rPr>
                <w:rFonts w:ascii="Times New Roman" w:eastAsia="Times New Roman" w:hAnsi="Times New Roman"/>
                <w:color w:val="000000"/>
                <w:sz w:val="24"/>
                <w:szCs w:val="24"/>
                <w:lang w:val="ro-MD"/>
              </w:rPr>
              <w:t>rezultatele concursului de admitere din cadrul instituțiilor de învățământ profesional tehnic în anul de studii 202</w:t>
            </w:r>
            <w:r>
              <w:rPr>
                <w:rFonts w:ascii="Times New Roman" w:eastAsia="Times New Roman" w:hAnsi="Times New Roman"/>
                <w:color w:val="000000"/>
                <w:sz w:val="24"/>
                <w:szCs w:val="24"/>
                <w:lang w:val="ro-MD"/>
              </w:rPr>
              <w:t>4</w:t>
            </w:r>
            <w:r w:rsidRPr="00DB6520">
              <w:rPr>
                <w:rFonts w:ascii="Times New Roman" w:eastAsia="Times New Roman" w:hAnsi="Times New Roman"/>
                <w:color w:val="000000"/>
                <w:sz w:val="24"/>
                <w:szCs w:val="24"/>
                <w:lang w:val="ro-MD"/>
              </w:rPr>
              <w:t>-202</w:t>
            </w:r>
            <w:r>
              <w:rPr>
                <w:rFonts w:ascii="Times New Roman" w:eastAsia="Times New Roman" w:hAnsi="Times New Roman"/>
                <w:color w:val="000000"/>
                <w:sz w:val="24"/>
                <w:szCs w:val="24"/>
                <w:lang w:val="ro-MD"/>
              </w:rPr>
              <w:t>5</w:t>
            </w:r>
            <w:r w:rsidRPr="00DB6520">
              <w:rPr>
                <w:rFonts w:ascii="Times New Roman" w:eastAsia="Times New Roman" w:hAnsi="Times New Roman"/>
                <w:color w:val="000000"/>
                <w:sz w:val="24"/>
                <w:szCs w:val="24"/>
                <w:lang w:val="ro-MD"/>
              </w:rPr>
              <w:t xml:space="preserve">; </w:t>
            </w:r>
          </w:p>
          <w:p w14:paraId="72850D48" w14:textId="77777777" w:rsidR="00886BF2" w:rsidRPr="00DB6520" w:rsidRDefault="00886BF2" w:rsidP="00886BF2">
            <w:pPr>
              <w:numPr>
                <w:ilvl w:val="0"/>
                <w:numId w:val="3"/>
              </w:numPr>
              <w:pBdr>
                <w:top w:val="nil"/>
                <w:left w:val="nil"/>
                <w:bottom w:val="nil"/>
                <w:right w:val="nil"/>
                <w:between w:val="nil"/>
              </w:pBdr>
              <w:rPr>
                <w:rFonts w:ascii="Times New Roman" w:eastAsia="Times New Roman" w:hAnsi="Times New Roman"/>
                <w:color w:val="000000"/>
                <w:sz w:val="24"/>
                <w:szCs w:val="24"/>
                <w:lang w:val="ro-MD"/>
              </w:rPr>
            </w:pPr>
            <w:r w:rsidRPr="00DB6520">
              <w:rPr>
                <w:rFonts w:ascii="Times New Roman" w:eastAsia="Times New Roman" w:hAnsi="Times New Roman"/>
                <w:color w:val="000000"/>
                <w:sz w:val="24"/>
                <w:szCs w:val="24"/>
                <w:lang w:val="ro-MD"/>
              </w:rPr>
              <w:t>propunerile ministerelor de resort și instituțiilor de învățământ profesional tehnic publice și private;</w:t>
            </w:r>
          </w:p>
          <w:p w14:paraId="755B6BAE" w14:textId="77777777" w:rsidR="00886BF2" w:rsidRPr="00DB6520" w:rsidRDefault="00886BF2" w:rsidP="00886BF2">
            <w:pPr>
              <w:numPr>
                <w:ilvl w:val="0"/>
                <w:numId w:val="3"/>
              </w:numPr>
              <w:pBdr>
                <w:top w:val="nil"/>
                <w:left w:val="nil"/>
                <w:bottom w:val="nil"/>
                <w:right w:val="nil"/>
                <w:between w:val="nil"/>
              </w:pBdr>
              <w:rPr>
                <w:rFonts w:ascii="Times New Roman" w:eastAsia="Times New Roman" w:hAnsi="Times New Roman"/>
                <w:color w:val="000000"/>
                <w:sz w:val="24"/>
                <w:szCs w:val="24"/>
                <w:lang w:val="ro-MD"/>
              </w:rPr>
            </w:pPr>
            <w:r w:rsidRPr="00DB6520">
              <w:rPr>
                <w:rFonts w:ascii="Times New Roman" w:eastAsia="Times New Roman" w:hAnsi="Times New Roman"/>
                <w:color w:val="000000"/>
                <w:sz w:val="24"/>
                <w:szCs w:val="24"/>
                <w:lang w:val="ro-MD"/>
              </w:rPr>
              <w:t>statutul evaluării externe a programelor de formare profesională tehnică.</w:t>
            </w:r>
          </w:p>
          <w:p w14:paraId="4F3EDB09" w14:textId="06A505DC" w:rsidR="00886BF2" w:rsidRPr="00DB6520" w:rsidRDefault="00886BF2" w:rsidP="00886BF2">
            <w:pPr>
              <w:ind w:firstLine="340"/>
              <w:rPr>
                <w:rFonts w:ascii="Times New Roman" w:eastAsia="Times New Roman" w:hAnsi="Times New Roman"/>
                <w:color w:val="000000"/>
                <w:sz w:val="24"/>
                <w:szCs w:val="24"/>
                <w:lang w:val="ro-MD"/>
              </w:rPr>
            </w:pPr>
            <w:r w:rsidRPr="00DB6520">
              <w:rPr>
                <w:rFonts w:ascii="Times New Roman" w:eastAsia="Times New Roman" w:hAnsi="Times New Roman"/>
                <w:sz w:val="24"/>
                <w:szCs w:val="24"/>
                <w:lang w:val="ro-MD"/>
              </w:rPr>
              <w:t xml:space="preserve">Instruirea la programe de formare profesională tehnică se asigură în cadrul a </w:t>
            </w:r>
            <w:r w:rsidR="00316D40">
              <w:rPr>
                <w:rFonts w:ascii="Times New Roman" w:eastAsia="Times New Roman" w:hAnsi="Times New Roman"/>
                <w:sz w:val="24"/>
                <w:szCs w:val="24"/>
                <w:lang w:val="ro-MD"/>
              </w:rPr>
              <w:t>8</w:t>
            </w:r>
            <w:r w:rsidR="00F53502">
              <w:rPr>
                <w:rFonts w:ascii="Times New Roman" w:eastAsia="Times New Roman" w:hAnsi="Times New Roman"/>
                <w:sz w:val="24"/>
                <w:szCs w:val="24"/>
                <w:lang w:val="ro-MD"/>
              </w:rPr>
              <w:t>1</w:t>
            </w:r>
            <w:r w:rsidRPr="00886BF2">
              <w:rPr>
                <w:rFonts w:ascii="Times New Roman" w:eastAsia="Times New Roman" w:hAnsi="Times New Roman"/>
                <w:sz w:val="24"/>
                <w:szCs w:val="24"/>
                <w:lang w:val="ro-MD"/>
              </w:rPr>
              <w:t xml:space="preserve"> instituții:</w:t>
            </w:r>
            <w:r w:rsidRPr="00DB6520">
              <w:rPr>
                <w:rFonts w:ascii="Times New Roman" w:eastAsia="Times New Roman" w:hAnsi="Times New Roman"/>
                <w:sz w:val="24"/>
                <w:szCs w:val="24"/>
                <w:lang w:val="ro-MD"/>
              </w:rPr>
              <w:t xml:space="preserve"> </w:t>
            </w:r>
            <w:r w:rsidR="00EC747F">
              <w:rPr>
                <w:rFonts w:ascii="Times New Roman" w:eastAsia="Times New Roman" w:hAnsi="Times New Roman"/>
                <w:color w:val="000000"/>
                <w:sz w:val="24"/>
                <w:szCs w:val="24"/>
                <w:lang w:val="ro-MD"/>
              </w:rPr>
              <w:t>1</w:t>
            </w:r>
            <w:r w:rsidR="00D17814">
              <w:rPr>
                <w:rFonts w:ascii="Times New Roman" w:eastAsia="Times New Roman" w:hAnsi="Times New Roman"/>
                <w:color w:val="000000"/>
                <w:sz w:val="24"/>
                <w:szCs w:val="24"/>
                <w:lang w:val="ro-MD"/>
              </w:rPr>
              <w:t>4</w:t>
            </w:r>
            <w:r w:rsidR="00EC747F">
              <w:rPr>
                <w:rFonts w:ascii="Times New Roman" w:eastAsia="Times New Roman" w:hAnsi="Times New Roman"/>
                <w:color w:val="000000"/>
                <w:sz w:val="24"/>
                <w:szCs w:val="24"/>
                <w:lang w:val="ro-MD"/>
              </w:rPr>
              <w:t xml:space="preserve"> centre de excelență (inclusiv 2 instituții private</w:t>
            </w:r>
            <w:r w:rsidR="00316D40">
              <w:rPr>
                <w:rFonts w:ascii="Times New Roman" w:eastAsia="Times New Roman" w:hAnsi="Times New Roman"/>
                <w:color w:val="000000"/>
                <w:sz w:val="24"/>
                <w:szCs w:val="24"/>
                <w:lang w:val="ro-MD"/>
              </w:rPr>
              <w:t>), 35 colegii (inclusiv 6</w:t>
            </w:r>
            <w:r w:rsidRPr="00DB6520">
              <w:rPr>
                <w:rFonts w:ascii="Times New Roman" w:eastAsia="Times New Roman" w:hAnsi="Times New Roman"/>
                <w:color w:val="000000"/>
                <w:sz w:val="24"/>
                <w:szCs w:val="24"/>
                <w:lang w:val="ro-MD"/>
              </w:rPr>
              <w:t xml:space="preserve"> instituții private) și 3</w:t>
            </w:r>
            <w:r w:rsidR="00D17814">
              <w:rPr>
                <w:rFonts w:ascii="Times New Roman" w:eastAsia="Times New Roman" w:hAnsi="Times New Roman"/>
                <w:color w:val="000000"/>
                <w:sz w:val="24"/>
                <w:szCs w:val="24"/>
                <w:lang w:val="ro-MD"/>
              </w:rPr>
              <w:t>2</w:t>
            </w:r>
            <w:r w:rsidRPr="00DB6520">
              <w:rPr>
                <w:rFonts w:ascii="Times New Roman" w:eastAsia="Times New Roman" w:hAnsi="Times New Roman"/>
                <w:color w:val="000000"/>
                <w:sz w:val="24"/>
                <w:szCs w:val="24"/>
                <w:lang w:val="ro-MD"/>
              </w:rPr>
              <w:t xml:space="preserve"> școli profesionale. </w:t>
            </w:r>
          </w:p>
          <w:p w14:paraId="3965C69B" w14:textId="39B3D25E" w:rsidR="00886BF2" w:rsidRPr="00DB6520" w:rsidRDefault="00886BF2" w:rsidP="00886BF2">
            <w:pPr>
              <w:ind w:firstLine="340"/>
              <w:rPr>
                <w:rFonts w:ascii="Times New Roman" w:eastAsia="Times New Roman" w:hAnsi="Times New Roman"/>
                <w:color w:val="000000"/>
                <w:sz w:val="24"/>
                <w:szCs w:val="24"/>
                <w:lang w:val="ro-MD"/>
              </w:rPr>
            </w:pPr>
            <w:r w:rsidRPr="00DB6520">
              <w:rPr>
                <w:rFonts w:ascii="Times New Roman" w:eastAsia="Times New Roman" w:hAnsi="Times New Roman"/>
                <w:color w:val="000000"/>
                <w:sz w:val="24"/>
                <w:szCs w:val="24"/>
                <w:lang w:val="ro-MD"/>
              </w:rPr>
              <w:t>Conform rezultatelor concursului de admitere, în anul de studii 202</w:t>
            </w:r>
            <w:r>
              <w:rPr>
                <w:rFonts w:ascii="Times New Roman" w:eastAsia="Times New Roman" w:hAnsi="Times New Roman"/>
                <w:color w:val="000000"/>
                <w:sz w:val="24"/>
                <w:szCs w:val="24"/>
                <w:lang w:val="ro-MD"/>
              </w:rPr>
              <w:t>4</w:t>
            </w:r>
            <w:r w:rsidRPr="00DB6520">
              <w:rPr>
                <w:rFonts w:ascii="Times New Roman" w:eastAsia="Times New Roman" w:hAnsi="Times New Roman"/>
                <w:color w:val="000000"/>
                <w:sz w:val="24"/>
                <w:szCs w:val="24"/>
                <w:lang w:val="ro-MD"/>
              </w:rPr>
              <w:t>-202</w:t>
            </w:r>
            <w:r>
              <w:rPr>
                <w:rFonts w:ascii="Times New Roman" w:eastAsia="Times New Roman" w:hAnsi="Times New Roman"/>
                <w:color w:val="000000"/>
                <w:sz w:val="24"/>
                <w:szCs w:val="24"/>
                <w:lang w:val="ro-MD"/>
              </w:rPr>
              <w:t>5</w:t>
            </w:r>
            <w:r w:rsidRPr="00DB6520">
              <w:rPr>
                <w:rFonts w:ascii="Times New Roman" w:eastAsia="Times New Roman" w:hAnsi="Times New Roman"/>
                <w:color w:val="000000"/>
                <w:sz w:val="24"/>
                <w:szCs w:val="24"/>
                <w:lang w:val="ro-MD"/>
              </w:rPr>
              <w:t xml:space="preserve">, în învăţământul profesional tehnic secundar au fost înmatriculați cca </w:t>
            </w:r>
            <w:r w:rsidR="00780F45">
              <w:rPr>
                <w:rFonts w:ascii="Times New Roman" w:eastAsia="Times New Roman" w:hAnsi="Times New Roman"/>
                <w:color w:val="000000"/>
                <w:sz w:val="24"/>
                <w:szCs w:val="24"/>
                <w:lang w:val="ro-MD"/>
              </w:rPr>
              <w:t>7188</w:t>
            </w:r>
            <w:r w:rsidRPr="00DB6520">
              <w:rPr>
                <w:rFonts w:ascii="Times New Roman" w:eastAsia="Times New Roman" w:hAnsi="Times New Roman"/>
                <w:color w:val="000000"/>
                <w:sz w:val="24"/>
                <w:szCs w:val="24"/>
                <w:lang w:val="ro-MD"/>
              </w:rPr>
              <w:t xml:space="preserve"> elevi în</w:t>
            </w:r>
            <w:r w:rsidR="00D17814">
              <w:rPr>
                <w:rFonts w:ascii="Times New Roman" w:eastAsia="Times New Roman" w:hAnsi="Times New Roman"/>
                <w:color w:val="000000"/>
                <w:sz w:val="24"/>
                <w:szCs w:val="24"/>
                <w:lang w:val="ro-MD"/>
              </w:rPr>
              <w:t xml:space="preserve"> </w:t>
            </w:r>
            <w:r w:rsidR="00780F45">
              <w:rPr>
                <w:rFonts w:ascii="Times New Roman" w:eastAsia="Times New Roman" w:hAnsi="Times New Roman"/>
                <w:color w:val="000000"/>
                <w:sz w:val="24"/>
                <w:szCs w:val="24"/>
                <w:lang w:val="ro-MD"/>
              </w:rPr>
              <w:t>creștere</w:t>
            </w:r>
            <w:r w:rsidRPr="00DB6520">
              <w:rPr>
                <w:rFonts w:ascii="Times New Roman" w:eastAsia="Times New Roman" w:hAnsi="Times New Roman"/>
                <w:color w:val="000000"/>
                <w:sz w:val="24"/>
                <w:szCs w:val="24"/>
                <w:lang w:val="ro-MD"/>
              </w:rPr>
              <w:t xml:space="preserve"> față de anul de studii precedent (cu </w:t>
            </w:r>
            <w:r w:rsidR="00780F45">
              <w:rPr>
                <w:rFonts w:ascii="Times New Roman" w:eastAsia="Times New Roman" w:hAnsi="Times New Roman"/>
                <w:sz w:val="24"/>
                <w:szCs w:val="24"/>
                <w:lang w:val="ro-MD"/>
              </w:rPr>
              <w:t xml:space="preserve">5,92 </w:t>
            </w:r>
            <w:r w:rsidRPr="00DB6520">
              <w:rPr>
                <w:rFonts w:ascii="Times New Roman" w:eastAsia="Times New Roman" w:hAnsi="Times New Roman"/>
                <w:color w:val="000000"/>
                <w:sz w:val="24"/>
                <w:szCs w:val="24"/>
                <w:lang w:val="ro-MD"/>
              </w:rPr>
              <w:t xml:space="preserve">%), iar în învățământul profesional tehnic postsecundar și postsecundar nonterțiar au fost </w:t>
            </w:r>
            <w:r w:rsidRPr="00D64271">
              <w:rPr>
                <w:rFonts w:ascii="Times New Roman" w:eastAsia="Times New Roman" w:hAnsi="Times New Roman"/>
                <w:color w:val="000000"/>
                <w:sz w:val="24"/>
                <w:szCs w:val="24"/>
                <w:lang w:val="ro-MD"/>
              </w:rPr>
              <w:t xml:space="preserve">înmatriculați cca </w:t>
            </w:r>
            <w:r w:rsidR="00D64271" w:rsidRPr="00D64271">
              <w:rPr>
                <w:rFonts w:ascii="Times New Roman" w:eastAsia="Times New Roman" w:hAnsi="Times New Roman"/>
                <w:color w:val="000000"/>
                <w:sz w:val="24"/>
                <w:szCs w:val="24"/>
                <w:lang w:val="ro-MD"/>
              </w:rPr>
              <w:t>9477</w:t>
            </w:r>
            <w:r w:rsidRPr="00D64271">
              <w:rPr>
                <w:rFonts w:ascii="Times New Roman" w:eastAsia="Times New Roman" w:hAnsi="Times New Roman"/>
                <w:color w:val="000000"/>
                <w:sz w:val="24"/>
                <w:szCs w:val="24"/>
                <w:lang w:val="ro-MD"/>
              </w:rPr>
              <w:t xml:space="preserve"> de persoane.</w:t>
            </w:r>
            <w:r w:rsidRPr="00DB6520">
              <w:rPr>
                <w:rFonts w:ascii="Times New Roman" w:eastAsia="Times New Roman" w:hAnsi="Times New Roman"/>
                <w:color w:val="000000"/>
                <w:sz w:val="24"/>
                <w:szCs w:val="24"/>
                <w:lang w:val="ro-MD"/>
              </w:rPr>
              <w:t xml:space="preserve"> </w:t>
            </w:r>
          </w:p>
          <w:p w14:paraId="0F58788E" w14:textId="77777777" w:rsidR="00AB21DD" w:rsidRDefault="00886BF2" w:rsidP="00E50E2B">
            <w:pPr>
              <w:ind w:firstLine="340"/>
              <w:rPr>
                <w:rFonts w:ascii="Times New Roman" w:eastAsia="Times New Roman" w:hAnsi="Times New Roman"/>
                <w:color w:val="000000"/>
                <w:sz w:val="24"/>
                <w:szCs w:val="24"/>
                <w:lang w:val="ro-MD"/>
              </w:rPr>
            </w:pPr>
            <w:r w:rsidRPr="00DB6520">
              <w:rPr>
                <w:rFonts w:ascii="Times New Roman" w:eastAsia="Times New Roman" w:hAnsi="Times New Roman"/>
                <w:color w:val="000000"/>
                <w:sz w:val="24"/>
                <w:szCs w:val="24"/>
                <w:lang w:val="ro-MD"/>
              </w:rPr>
              <w:t xml:space="preserve">În calitate de organ central de specialitate al administrației publice care asigură realizarea politicii guvernamentale în domeniile de activitate care îi sunt încredințate, Ministerul Educației și Cercetării, fiind responsabil de pregătirea specialiștilor pentru economia națională, stabilește cadrul </w:t>
            </w:r>
            <w:r w:rsidRPr="00DB6520">
              <w:rPr>
                <w:rFonts w:ascii="Times New Roman" w:eastAsia="Times New Roman" w:hAnsi="Times New Roman"/>
                <w:color w:val="000000"/>
                <w:sz w:val="24"/>
                <w:szCs w:val="24"/>
                <w:lang w:val="ro-MD"/>
              </w:rPr>
              <w:lastRenderedPageBreak/>
              <w:t>general pentru organizarea concursului de admitere în învățământul profesional tehnic și monitorizează modul de organizare a acestuia.</w:t>
            </w:r>
          </w:p>
          <w:p w14:paraId="5DA3D7C0" w14:textId="1C24F865" w:rsidR="00E50E2B" w:rsidRPr="002C23D8" w:rsidRDefault="00E50E2B" w:rsidP="00E50E2B">
            <w:pPr>
              <w:ind w:firstLine="340"/>
              <w:rPr>
                <w:rFonts w:ascii="Times New Roman" w:hAnsi="Times New Roman"/>
                <w:bCs/>
                <w:sz w:val="24"/>
                <w:szCs w:val="24"/>
                <w:lang w:val="ro-MD"/>
              </w:rPr>
            </w:pPr>
          </w:p>
        </w:tc>
      </w:tr>
      <w:tr w:rsidR="00BB271D" w:rsidRPr="002A6A84" w14:paraId="0D6592F1"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D3D8D62" w14:textId="77777777" w:rsidR="00BB271D" w:rsidRPr="002A6A84" w:rsidRDefault="00A46A3E" w:rsidP="00972096">
            <w:pPr>
              <w:spacing w:line="276" w:lineRule="auto"/>
              <w:rPr>
                <w:rFonts w:ascii="Times New Roman" w:hAnsi="Times New Roman"/>
                <w:b/>
                <w:bCs/>
                <w:sz w:val="24"/>
                <w:szCs w:val="24"/>
                <w:lang w:val="ro-RO"/>
              </w:rPr>
            </w:pPr>
            <w:r w:rsidRPr="002A6A84">
              <w:rPr>
                <w:rFonts w:ascii="Times New Roman" w:hAnsi="Times New Roman"/>
                <w:b/>
                <w:bCs/>
                <w:sz w:val="24"/>
                <w:szCs w:val="24"/>
                <w:lang w:val="ro-RO"/>
              </w:rPr>
              <w:lastRenderedPageBreak/>
              <w:t>3. Obiectivele urmărite și soluțiile propuse</w:t>
            </w:r>
          </w:p>
        </w:tc>
      </w:tr>
      <w:tr w:rsidR="00BB271D" w:rsidRPr="002A6A84" w14:paraId="283465EB"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CC2CCB8" w14:textId="77777777" w:rsidR="00BB271D" w:rsidRPr="002A6A84" w:rsidRDefault="00A46A3E" w:rsidP="00972096">
            <w:pPr>
              <w:spacing w:line="276" w:lineRule="auto"/>
              <w:rPr>
                <w:rFonts w:ascii="Times New Roman" w:hAnsi="Times New Roman"/>
                <w:i/>
                <w:iCs/>
                <w:sz w:val="24"/>
                <w:szCs w:val="24"/>
                <w:lang w:val="ro-RO"/>
              </w:rPr>
            </w:pPr>
            <w:r w:rsidRPr="002A6A84">
              <w:rPr>
                <w:rFonts w:ascii="Times New Roman" w:hAnsi="Times New Roman"/>
                <w:i/>
                <w:iCs/>
                <w:sz w:val="24"/>
                <w:szCs w:val="24"/>
                <w:lang w:val="ro-RO"/>
              </w:rPr>
              <w:t>3.1. Principalele prevederi ale proiectului și evidențierea elementelor noi</w:t>
            </w:r>
          </w:p>
        </w:tc>
      </w:tr>
      <w:tr w:rsidR="00EE2972" w:rsidRPr="002A6A84" w14:paraId="1DF84CDA" w14:textId="77777777" w:rsidTr="00EE2972">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3123A4" w14:textId="637739B8" w:rsidR="00780F45" w:rsidRPr="00DB6520" w:rsidRDefault="00780F45" w:rsidP="00780F45">
            <w:pPr>
              <w:ind w:firstLine="397"/>
              <w:rPr>
                <w:rFonts w:ascii="Times New Roman" w:eastAsia="Times New Roman" w:hAnsi="Times New Roman"/>
                <w:sz w:val="24"/>
                <w:szCs w:val="24"/>
                <w:lang w:val="ro-MD"/>
              </w:rPr>
            </w:pPr>
            <w:r w:rsidRPr="00DB6520">
              <w:rPr>
                <w:rFonts w:ascii="Times New Roman" w:eastAsia="Times New Roman" w:hAnsi="Times New Roman"/>
                <w:sz w:val="24"/>
                <w:szCs w:val="24"/>
                <w:lang w:val="ro-MD"/>
              </w:rPr>
              <w:t>Conform proiectului Hotărârii Guvernului se propune aprobarea Comenzii de stat 202</w:t>
            </w:r>
            <w:r w:rsidR="00EB4864">
              <w:rPr>
                <w:rFonts w:ascii="Times New Roman" w:eastAsia="Times New Roman" w:hAnsi="Times New Roman"/>
                <w:sz w:val="24"/>
                <w:szCs w:val="24"/>
                <w:lang w:val="ro-MD"/>
              </w:rPr>
              <w:t>5</w:t>
            </w:r>
            <w:r w:rsidRPr="00DB6520">
              <w:rPr>
                <w:rFonts w:ascii="Times New Roman" w:eastAsia="Times New Roman" w:hAnsi="Times New Roman"/>
                <w:sz w:val="24"/>
                <w:szCs w:val="24"/>
                <w:lang w:val="ro-MD"/>
              </w:rPr>
              <w:t>-202</w:t>
            </w:r>
            <w:r w:rsidR="00EB4864">
              <w:rPr>
                <w:rFonts w:ascii="Times New Roman" w:eastAsia="Times New Roman" w:hAnsi="Times New Roman"/>
                <w:sz w:val="24"/>
                <w:szCs w:val="24"/>
                <w:lang w:val="ro-MD"/>
              </w:rPr>
              <w:t>6</w:t>
            </w:r>
            <w:r w:rsidRPr="00DB6520">
              <w:rPr>
                <w:rFonts w:ascii="Times New Roman" w:eastAsia="Times New Roman" w:hAnsi="Times New Roman"/>
                <w:sz w:val="24"/>
                <w:szCs w:val="24"/>
                <w:lang w:val="ro-MD"/>
              </w:rPr>
              <w:t xml:space="preserve">, prin anexele 1-5, a planurilor de admitere cu finanţare bugetară și cu taxă de studii în învățământul profesional tehnic. </w:t>
            </w:r>
          </w:p>
          <w:p w14:paraId="78310804" w14:textId="3A96FDF2" w:rsidR="00780F45" w:rsidRPr="00DB6520" w:rsidRDefault="00780F45" w:rsidP="00780F45">
            <w:pPr>
              <w:ind w:firstLine="397"/>
              <w:rPr>
                <w:rFonts w:ascii="Times New Roman" w:eastAsia="Times New Roman" w:hAnsi="Times New Roman"/>
                <w:sz w:val="24"/>
                <w:szCs w:val="24"/>
                <w:lang w:val="ro-MD"/>
              </w:rPr>
            </w:pPr>
            <w:r w:rsidRPr="00DB6520">
              <w:rPr>
                <w:rFonts w:ascii="Times New Roman" w:eastAsia="Times New Roman" w:hAnsi="Times New Roman"/>
                <w:sz w:val="24"/>
                <w:szCs w:val="24"/>
                <w:lang w:val="ro-MD"/>
              </w:rPr>
              <w:t xml:space="preserve">Comanda de stat pentru învățământul profesional tehnic secundar (Anexa nr. 1 și nr. 2) este elaborată în baza </w:t>
            </w:r>
            <w:r w:rsidRPr="00DB6520">
              <w:rPr>
                <w:rFonts w:ascii="Times New Roman" w:eastAsia="Times New Roman" w:hAnsi="Times New Roman"/>
                <w:i/>
                <w:sz w:val="24"/>
                <w:szCs w:val="24"/>
                <w:lang w:val="ro-MD"/>
              </w:rPr>
              <w:t>Nomenclatorului domeniilor de formare profesională și al meseriilor/profesiilor</w:t>
            </w:r>
            <w:r w:rsidRPr="00DB6520">
              <w:rPr>
                <w:rFonts w:ascii="Times New Roman" w:eastAsia="Times New Roman" w:hAnsi="Times New Roman"/>
                <w:sz w:val="24"/>
                <w:szCs w:val="24"/>
                <w:lang w:val="ro-MD"/>
              </w:rPr>
              <w:t>, aprobat prin Hotărârea Guvernului nr. 425/2015 cu modificările u</w:t>
            </w:r>
            <w:r w:rsidR="00E033CA">
              <w:rPr>
                <w:rFonts w:ascii="Times New Roman" w:eastAsia="Times New Roman" w:hAnsi="Times New Roman"/>
                <w:sz w:val="24"/>
                <w:szCs w:val="24"/>
                <w:lang w:val="ro-MD"/>
              </w:rPr>
              <w:t>lterioare și include 8267 locuri</w:t>
            </w:r>
            <w:r w:rsidRPr="00DB6520">
              <w:rPr>
                <w:rFonts w:ascii="Times New Roman" w:eastAsia="Times New Roman" w:hAnsi="Times New Roman"/>
                <w:sz w:val="24"/>
                <w:szCs w:val="24"/>
                <w:lang w:val="ro-MD"/>
              </w:rPr>
              <w:t xml:space="preserve"> cu finanțare bugetară</w:t>
            </w:r>
            <w:r w:rsidR="00BA295E">
              <w:rPr>
                <w:rFonts w:ascii="Times New Roman" w:eastAsia="Times New Roman" w:hAnsi="Times New Roman"/>
                <w:sz w:val="24"/>
                <w:szCs w:val="24"/>
                <w:lang w:val="ro-MD"/>
              </w:rPr>
              <w:t xml:space="preserve"> prevăzute pentru Ministerul </w:t>
            </w:r>
            <w:r w:rsidR="00E033CA">
              <w:rPr>
                <w:rFonts w:ascii="Times New Roman" w:eastAsia="Times New Roman" w:hAnsi="Times New Roman"/>
                <w:sz w:val="24"/>
                <w:szCs w:val="24"/>
                <w:lang w:val="ro-MD"/>
              </w:rPr>
              <w:t>Educației și Cercetării</w:t>
            </w:r>
            <w:r w:rsidRPr="00DB6520">
              <w:rPr>
                <w:rFonts w:ascii="Times New Roman" w:eastAsia="Times New Roman" w:hAnsi="Times New Roman"/>
                <w:sz w:val="24"/>
                <w:szCs w:val="24"/>
                <w:lang w:val="ro-MD"/>
              </w:rPr>
              <w:t>, dintre care 1</w:t>
            </w:r>
            <w:r w:rsidR="0056638F">
              <w:rPr>
                <w:rFonts w:ascii="Times New Roman" w:eastAsia="Times New Roman" w:hAnsi="Times New Roman"/>
                <w:sz w:val="24"/>
                <w:szCs w:val="24"/>
                <w:lang w:val="ro-MD"/>
              </w:rPr>
              <w:t>737</w:t>
            </w:r>
            <w:r w:rsidRPr="00DB6520">
              <w:rPr>
                <w:rFonts w:ascii="Times New Roman" w:eastAsia="Times New Roman" w:hAnsi="Times New Roman"/>
                <w:sz w:val="24"/>
                <w:szCs w:val="24"/>
                <w:lang w:val="ro-MD"/>
              </w:rPr>
              <w:t xml:space="preserve"> pentru instruirea la programe de formare profesională prin învățământ dual. </w:t>
            </w:r>
          </w:p>
          <w:p w14:paraId="68FE7674" w14:textId="04244147" w:rsidR="00017A63" w:rsidRDefault="00780F45" w:rsidP="00780F45">
            <w:pPr>
              <w:ind w:firstLine="397"/>
              <w:rPr>
                <w:rFonts w:ascii="Times New Roman" w:hAnsi="Times New Roman"/>
                <w:sz w:val="24"/>
                <w:szCs w:val="24"/>
              </w:rPr>
            </w:pPr>
            <w:r w:rsidRPr="00DB6520">
              <w:rPr>
                <w:rFonts w:ascii="Times New Roman" w:eastAsia="Times New Roman" w:hAnsi="Times New Roman"/>
                <w:sz w:val="24"/>
                <w:szCs w:val="24"/>
                <w:lang w:val="ro-MD"/>
              </w:rPr>
              <w:t>Anexa nr. 1</w:t>
            </w:r>
            <w:r w:rsidRPr="00DB6520">
              <w:rPr>
                <w:rFonts w:ascii="Times New Roman" w:eastAsia="Times New Roman" w:hAnsi="Times New Roman"/>
                <w:i/>
                <w:sz w:val="24"/>
                <w:szCs w:val="24"/>
                <w:lang w:val="ro-MD"/>
              </w:rPr>
              <w:t xml:space="preserve"> </w:t>
            </w:r>
            <w:r>
              <w:rPr>
                <w:rFonts w:ascii="Times New Roman" w:eastAsia="Times New Roman" w:hAnsi="Times New Roman"/>
                <w:sz w:val="24"/>
                <w:szCs w:val="24"/>
                <w:lang w:val="ro-MD"/>
              </w:rPr>
              <w:t>prevede</w:t>
            </w:r>
            <w:r w:rsidRPr="00DB6520">
              <w:rPr>
                <w:rFonts w:ascii="Times New Roman" w:eastAsia="Times New Roman" w:hAnsi="Times New Roman"/>
                <w:sz w:val="24"/>
                <w:szCs w:val="24"/>
                <w:lang w:val="ro-MD"/>
              </w:rPr>
              <w:t xml:space="preserve"> 6</w:t>
            </w:r>
            <w:r w:rsidR="0056638F">
              <w:rPr>
                <w:rFonts w:ascii="Times New Roman" w:eastAsia="Times New Roman" w:hAnsi="Times New Roman"/>
                <w:sz w:val="24"/>
                <w:szCs w:val="24"/>
                <w:lang w:val="ro-MD"/>
              </w:rPr>
              <w:t xml:space="preserve">630 </w:t>
            </w:r>
            <w:r w:rsidRPr="00DB6520">
              <w:rPr>
                <w:rFonts w:ascii="Times New Roman" w:eastAsia="Times New Roman" w:hAnsi="Times New Roman"/>
                <w:sz w:val="24"/>
                <w:szCs w:val="24"/>
                <w:lang w:val="ro-MD"/>
              </w:rPr>
              <w:t>locuri</w:t>
            </w:r>
            <w:r>
              <w:rPr>
                <w:rFonts w:ascii="Times New Roman" w:eastAsia="Times New Roman" w:hAnsi="Times New Roman"/>
                <w:sz w:val="24"/>
                <w:szCs w:val="24"/>
                <w:lang w:val="ro-MD"/>
              </w:rPr>
              <w:t xml:space="preserve"> cu f</w:t>
            </w:r>
            <w:r w:rsidR="00BA295E">
              <w:rPr>
                <w:rFonts w:ascii="Times New Roman" w:eastAsia="Times New Roman" w:hAnsi="Times New Roman"/>
                <w:sz w:val="24"/>
                <w:szCs w:val="24"/>
                <w:lang w:val="ro-MD"/>
              </w:rPr>
              <w:t xml:space="preserve">inanțare de la bugetul de stat </w:t>
            </w:r>
            <w:r>
              <w:rPr>
                <w:rFonts w:ascii="Times New Roman" w:eastAsia="Times New Roman" w:hAnsi="Times New Roman"/>
                <w:sz w:val="24"/>
                <w:szCs w:val="24"/>
                <w:lang w:val="ro-MD"/>
              </w:rPr>
              <w:t>în învățământul profesional tehnic secundar pentru anul de studii 202</w:t>
            </w:r>
            <w:r w:rsidR="00EB4864">
              <w:rPr>
                <w:rFonts w:ascii="Times New Roman" w:eastAsia="Times New Roman" w:hAnsi="Times New Roman"/>
                <w:sz w:val="24"/>
                <w:szCs w:val="24"/>
                <w:lang w:val="ro-MD"/>
              </w:rPr>
              <w:t>5</w:t>
            </w:r>
            <w:r>
              <w:rPr>
                <w:rFonts w:ascii="Times New Roman" w:eastAsia="Times New Roman" w:hAnsi="Times New Roman"/>
                <w:sz w:val="24"/>
                <w:szCs w:val="24"/>
                <w:lang w:val="ro-MD"/>
              </w:rPr>
              <w:t>-202</w:t>
            </w:r>
            <w:r w:rsidR="00EB4864">
              <w:rPr>
                <w:rFonts w:ascii="Times New Roman" w:eastAsia="Times New Roman" w:hAnsi="Times New Roman"/>
                <w:sz w:val="24"/>
                <w:szCs w:val="24"/>
                <w:lang w:val="ro-MD"/>
              </w:rPr>
              <w:t>6</w:t>
            </w:r>
            <w:r w:rsidR="00BA295E">
              <w:rPr>
                <w:rFonts w:ascii="Times New Roman" w:eastAsia="Times New Roman" w:hAnsi="Times New Roman"/>
                <w:sz w:val="24"/>
                <w:szCs w:val="24"/>
                <w:lang w:val="ro-MD"/>
              </w:rPr>
              <w:t>.</w:t>
            </w:r>
            <w:bookmarkStart w:id="0" w:name="_GoBack"/>
            <w:bookmarkEnd w:id="0"/>
            <w:r>
              <w:rPr>
                <w:rFonts w:ascii="Times New Roman" w:eastAsia="Times New Roman" w:hAnsi="Times New Roman"/>
                <w:sz w:val="24"/>
                <w:szCs w:val="24"/>
                <w:lang w:val="ro-MD"/>
              </w:rPr>
              <w:t xml:space="preserve"> </w:t>
            </w:r>
            <w:r w:rsidR="00017A63" w:rsidRPr="00017A63">
              <w:rPr>
                <w:rFonts w:ascii="Times New Roman" w:eastAsia="Times New Roman" w:hAnsi="Times New Roman"/>
                <w:sz w:val="24"/>
                <w:szCs w:val="24"/>
                <w:lang w:val="ro-MD"/>
              </w:rPr>
              <w:t>D</w:t>
            </w:r>
            <w:proofErr w:type="spellStart"/>
            <w:r w:rsidR="00017A63" w:rsidRPr="00017A63">
              <w:rPr>
                <w:rFonts w:ascii="Times New Roman" w:hAnsi="Times New Roman"/>
                <w:sz w:val="24"/>
                <w:szCs w:val="24"/>
              </w:rPr>
              <w:t>intre</w:t>
            </w:r>
            <w:proofErr w:type="spellEnd"/>
            <w:r w:rsidR="00017A63" w:rsidRPr="00017A63">
              <w:rPr>
                <w:rFonts w:ascii="Times New Roman" w:hAnsi="Times New Roman"/>
                <w:sz w:val="24"/>
                <w:szCs w:val="24"/>
              </w:rPr>
              <w:t xml:space="preserve"> </w:t>
            </w:r>
            <w:proofErr w:type="spellStart"/>
            <w:r w:rsidR="00017A63" w:rsidRPr="00017A63">
              <w:rPr>
                <w:rFonts w:ascii="Times New Roman" w:hAnsi="Times New Roman"/>
                <w:sz w:val="24"/>
                <w:szCs w:val="24"/>
              </w:rPr>
              <w:t>acestea</w:t>
            </w:r>
            <w:proofErr w:type="spellEnd"/>
            <w:r w:rsidR="00017A63" w:rsidRPr="00017A63">
              <w:rPr>
                <w:rFonts w:ascii="Times New Roman" w:hAnsi="Times New Roman"/>
                <w:sz w:val="24"/>
                <w:szCs w:val="24"/>
              </w:rPr>
              <w:t xml:space="preserve">, un </w:t>
            </w:r>
            <w:proofErr w:type="spellStart"/>
            <w:r w:rsidR="00017A63" w:rsidRPr="00017A63">
              <w:rPr>
                <w:rFonts w:ascii="Times New Roman" w:hAnsi="Times New Roman"/>
                <w:sz w:val="24"/>
                <w:szCs w:val="24"/>
              </w:rPr>
              <w:t>număr</w:t>
            </w:r>
            <w:proofErr w:type="spellEnd"/>
            <w:r w:rsidR="00017A63" w:rsidRPr="00017A63">
              <w:rPr>
                <w:rFonts w:ascii="Times New Roman" w:hAnsi="Times New Roman"/>
                <w:sz w:val="24"/>
                <w:szCs w:val="24"/>
              </w:rPr>
              <w:t xml:space="preserve"> de 990 de </w:t>
            </w:r>
            <w:proofErr w:type="spellStart"/>
            <w:r w:rsidR="00017A63" w:rsidRPr="00017A63">
              <w:rPr>
                <w:rFonts w:ascii="Times New Roman" w:hAnsi="Times New Roman"/>
                <w:sz w:val="24"/>
                <w:szCs w:val="24"/>
              </w:rPr>
              <w:t>locuri</w:t>
            </w:r>
            <w:proofErr w:type="spellEnd"/>
            <w:r w:rsidR="00017A63" w:rsidRPr="00017A63">
              <w:rPr>
                <w:rFonts w:ascii="Times New Roman" w:hAnsi="Times New Roman"/>
                <w:sz w:val="24"/>
                <w:szCs w:val="24"/>
              </w:rPr>
              <w:t xml:space="preserve"> </w:t>
            </w:r>
            <w:proofErr w:type="spellStart"/>
            <w:r w:rsidR="00017A63" w:rsidRPr="00017A63">
              <w:rPr>
                <w:rFonts w:ascii="Times New Roman" w:hAnsi="Times New Roman"/>
                <w:sz w:val="24"/>
                <w:szCs w:val="24"/>
              </w:rPr>
              <w:t>rămân</w:t>
            </w:r>
            <w:proofErr w:type="spellEnd"/>
            <w:r w:rsidR="00017A63" w:rsidRPr="00017A63">
              <w:rPr>
                <w:rFonts w:ascii="Times New Roman" w:hAnsi="Times New Roman"/>
                <w:sz w:val="24"/>
                <w:szCs w:val="24"/>
              </w:rPr>
              <w:t xml:space="preserve"> </w:t>
            </w:r>
            <w:proofErr w:type="spellStart"/>
            <w:r w:rsidR="00017A63" w:rsidRPr="00017A63">
              <w:rPr>
                <w:rFonts w:ascii="Times New Roman" w:hAnsi="Times New Roman"/>
                <w:sz w:val="24"/>
                <w:szCs w:val="24"/>
              </w:rPr>
              <w:t>nedistribuite</w:t>
            </w:r>
            <w:proofErr w:type="spellEnd"/>
            <w:r w:rsidR="00017A63" w:rsidRPr="00017A63">
              <w:rPr>
                <w:rFonts w:ascii="Times New Roman" w:hAnsi="Times New Roman"/>
                <w:sz w:val="24"/>
                <w:szCs w:val="24"/>
              </w:rPr>
              <w:t xml:space="preserve">, </w:t>
            </w:r>
            <w:proofErr w:type="spellStart"/>
            <w:r w:rsidR="00017A63" w:rsidRPr="00017A63">
              <w:rPr>
                <w:rFonts w:ascii="Times New Roman" w:hAnsi="Times New Roman"/>
                <w:sz w:val="24"/>
                <w:szCs w:val="24"/>
              </w:rPr>
              <w:t>urmând</w:t>
            </w:r>
            <w:proofErr w:type="spellEnd"/>
            <w:r w:rsidR="00017A63" w:rsidRPr="00017A63">
              <w:rPr>
                <w:rFonts w:ascii="Times New Roman" w:hAnsi="Times New Roman"/>
                <w:sz w:val="24"/>
                <w:szCs w:val="24"/>
              </w:rPr>
              <w:t xml:space="preserve"> a fi </w:t>
            </w:r>
            <w:proofErr w:type="spellStart"/>
            <w:r w:rsidR="00017A63" w:rsidRPr="00017A63">
              <w:rPr>
                <w:rFonts w:ascii="Times New Roman" w:hAnsi="Times New Roman"/>
                <w:sz w:val="24"/>
                <w:szCs w:val="24"/>
              </w:rPr>
              <w:t>repartizate</w:t>
            </w:r>
            <w:proofErr w:type="spellEnd"/>
            <w:r w:rsidR="00017A63" w:rsidRPr="00017A63">
              <w:rPr>
                <w:rFonts w:ascii="Times New Roman" w:hAnsi="Times New Roman"/>
                <w:sz w:val="24"/>
                <w:szCs w:val="24"/>
              </w:rPr>
              <w:t xml:space="preserve"> ulterior </w:t>
            </w:r>
            <w:proofErr w:type="spellStart"/>
            <w:r w:rsidR="00017A63" w:rsidRPr="00017A63">
              <w:rPr>
                <w:rFonts w:ascii="Times New Roman" w:hAnsi="Times New Roman"/>
                <w:sz w:val="24"/>
                <w:szCs w:val="24"/>
              </w:rPr>
              <w:t>în</w:t>
            </w:r>
            <w:proofErr w:type="spellEnd"/>
            <w:r w:rsidR="00017A63" w:rsidRPr="00017A63">
              <w:rPr>
                <w:rFonts w:ascii="Times New Roman" w:hAnsi="Times New Roman"/>
                <w:sz w:val="24"/>
                <w:szCs w:val="24"/>
              </w:rPr>
              <w:t xml:space="preserve"> </w:t>
            </w:r>
            <w:proofErr w:type="spellStart"/>
            <w:r w:rsidR="00017A63" w:rsidRPr="00017A63">
              <w:rPr>
                <w:rFonts w:ascii="Times New Roman" w:hAnsi="Times New Roman"/>
                <w:sz w:val="24"/>
                <w:szCs w:val="24"/>
              </w:rPr>
              <w:t>funcție</w:t>
            </w:r>
            <w:proofErr w:type="spellEnd"/>
            <w:r w:rsidR="00017A63" w:rsidRPr="00017A63">
              <w:rPr>
                <w:rFonts w:ascii="Times New Roman" w:hAnsi="Times New Roman"/>
                <w:sz w:val="24"/>
                <w:szCs w:val="24"/>
              </w:rPr>
              <w:t xml:space="preserve"> de </w:t>
            </w:r>
            <w:proofErr w:type="spellStart"/>
            <w:r w:rsidR="00017A63" w:rsidRPr="00017A63">
              <w:rPr>
                <w:rFonts w:ascii="Times New Roman" w:hAnsi="Times New Roman"/>
                <w:sz w:val="24"/>
                <w:szCs w:val="24"/>
              </w:rPr>
              <w:t>tendințele</w:t>
            </w:r>
            <w:proofErr w:type="spellEnd"/>
            <w:r w:rsidR="00017A63" w:rsidRPr="00017A63">
              <w:rPr>
                <w:rFonts w:ascii="Times New Roman" w:hAnsi="Times New Roman"/>
                <w:sz w:val="24"/>
                <w:szCs w:val="24"/>
              </w:rPr>
              <w:t xml:space="preserve"> </w:t>
            </w:r>
            <w:proofErr w:type="spellStart"/>
            <w:r w:rsidR="00017A63" w:rsidRPr="00017A63">
              <w:rPr>
                <w:rFonts w:ascii="Times New Roman" w:hAnsi="Times New Roman"/>
                <w:sz w:val="24"/>
                <w:szCs w:val="24"/>
              </w:rPr>
              <w:t>solicitărilor</w:t>
            </w:r>
            <w:proofErr w:type="spellEnd"/>
            <w:r w:rsidR="00017A63" w:rsidRPr="00017A63">
              <w:rPr>
                <w:rFonts w:ascii="Times New Roman" w:hAnsi="Times New Roman"/>
                <w:sz w:val="24"/>
                <w:szCs w:val="24"/>
              </w:rPr>
              <w:t xml:space="preserve"> </w:t>
            </w:r>
            <w:proofErr w:type="spellStart"/>
            <w:r w:rsidR="00017A63" w:rsidRPr="00017A63">
              <w:rPr>
                <w:rFonts w:ascii="Times New Roman" w:hAnsi="Times New Roman"/>
                <w:sz w:val="24"/>
                <w:szCs w:val="24"/>
              </w:rPr>
              <w:t>candidaților</w:t>
            </w:r>
            <w:proofErr w:type="spellEnd"/>
            <w:r w:rsidR="00017A63" w:rsidRPr="00017A63">
              <w:rPr>
                <w:rFonts w:ascii="Times New Roman" w:hAnsi="Times New Roman"/>
                <w:sz w:val="24"/>
                <w:szCs w:val="24"/>
              </w:rPr>
              <w:t xml:space="preserve"> </w:t>
            </w:r>
            <w:proofErr w:type="spellStart"/>
            <w:r w:rsidR="00017A63" w:rsidRPr="00017A63">
              <w:rPr>
                <w:rFonts w:ascii="Times New Roman" w:hAnsi="Times New Roman"/>
                <w:sz w:val="24"/>
                <w:szCs w:val="24"/>
              </w:rPr>
              <w:t>pe</w:t>
            </w:r>
            <w:proofErr w:type="spellEnd"/>
            <w:r w:rsidR="00017A63" w:rsidRPr="00017A63">
              <w:rPr>
                <w:rFonts w:ascii="Times New Roman" w:hAnsi="Times New Roman"/>
                <w:sz w:val="24"/>
                <w:szCs w:val="24"/>
              </w:rPr>
              <w:t xml:space="preserve"> </w:t>
            </w:r>
            <w:proofErr w:type="spellStart"/>
            <w:r w:rsidR="00017A63" w:rsidRPr="00017A63">
              <w:rPr>
                <w:rFonts w:ascii="Times New Roman" w:hAnsi="Times New Roman"/>
                <w:sz w:val="24"/>
                <w:szCs w:val="24"/>
              </w:rPr>
              <w:t>parcursul</w:t>
            </w:r>
            <w:proofErr w:type="spellEnd"/>
            <w:r w:rsidR="00017A63" w:rsidRPr="00017A63">
              <w:rPr>
                <w:rFonts w:ascii="Times New Roman" w:hAnsi="Times New Roman"/>
                <w:sz w:val="24"/>
                <w:szCs w:val="24"/>
              </w:rPr>
              <w:t xml:space="preserve"> </w:t>
            </w:r>
            <w:proofErr w:type="spellStart"/>
            <w:r w:rsidR="00017A63" w:rsidRPr="00017A63">
              <w:rPr>
                <w:rFonts w:ascii="Times New Roman" w:hAnsi="Times New Roman"/>
                <w:sz w:val="24"/>
                <w:szCs w:val="24"/>
              </w:rPr>
              <w:t>desfășurării</w:t>
            </w:r>
            <w:proofErr w:type="spellEnd"/>
            <w:r w:rsidR="00017A63" w:rsidRPr="00017A63">
              <w:rPr>
                <w:rFonts w:ascii="Times New Roman" w:hAnsi="Times New Roman"/>
                <w:sz w:val="24"/>
                <w:szCs w:val="24"/>
              </w:rPr>
              <w:t xml:space="preserve"> </w:t>
            </w:r>
            <w:proofErr w:type="spellStart"/>
            <w:r w:rsidR="00017A63" w:rsidRPr="00017A63">
              <w:rPr>
                <w:rFonts w:ascii="Times New Roman" w:hAnsi="Times New Roman"/>
                <w:sz w:val="24"/>
                <w:szCs w:val="24"/>
              </w:rPr>
              <w:t>concursului</w:t>
            </w:r>
            <w:proofErr w:type="spellEnd"/>
            <w:r w:rsidR="00017A63" w:rsidRPr="00017A63">
              <w:rPr>
                <w:rFonts w:ascii="Times New Roman" w:hAnsi="Times New Roman"/>
                <w:sz w:val="24"/>
                <w:szCs w:val="24"/>
              </w:rPr>
              <w:t xml:space="preserve"> de </w:t>
            </w:r>
            <w:proofErr w:type="spellStart"/>
            <w:r w:rsidR="00017A63" w:rsidRPr="00017A63">
              <w:rPr>
                <w:rFonts w:ascii="Times New Roman" w:hAnsi="Times New Roman"/>
                <w:sz w:val="24"/>
                <w:szCs w:val="24"/>
              </w:rPr>
              <w:t>admitere</w:t>
            </w:r>
            <w:proofErr w:type="spellEnd"/>
            <w:r w:rsidR="00017A63" w:rsidRPr="00017A63">
              <w:rPr>
                <w:rFonts w:ascii="Times New Roman" w:hAnsi="Times New Roman"/>
                <w:sz w:val="24"/>
                <w:szCs w:val="24"/>
              </w:rPr>
              <w:t>.</w:t>
            </w:r>
          </w:p>
          <w:p w14:paraId="7CE36DC8" w14:textId="2E074C14" w:rsidR="00780F45" w:rsidRPr="00DB6520" w:rsidRDefault="00780F45" w:rsidP="00780F45">
            <w:pPr>
              <w:ind w:firstLine="397"/>
              <w:rPr>
                <w:rFonts w:ascii="Times New Roman" w:eastAsia="Times New Roman" w:hAnsi="Times New Roman"/>
                <w:sz w:val="24"/>
                <w:szCs w:val="24"/>
                <w:lang w:val="ro-MD"/>
              </w:rPr>
            </w:pPr>
            <w:r w:rsidRPr="00DB6520">
              <w:rPr>
                <w:rFonts w:ascii="Times New Roman" w:eastAsia="Times New Roman" w:hAnsi="Times New Roman"/>
                <w:sz w:val="24"/>
                <w:szCs w:val="24"/>
                <w:lang w:val="ro-MD"/>
              </w:rPr>
              <w:t xml:space="preserve">Anexa nr. 2 include </w:t>
            </w:r>
            <w:r w:rsidR="0056638F">
              <w:rPr>
                <w:rFonts w:ascii="Times New Roman" w:eastAsia="Times New Roman" w:hAnsi="Times New Roman"/>
                <w:sz w:val="24"/>
                <w:szCs w:val="24"/>
                <w:lang w:val="ro-MD"/>
              </w:rPr>
              <w:t>1737</w:t>
            </w:r>
            <w:r w:rsidRPr="00DB6520">
              <w:rPr>
                <w:rFonts w:ascii="Times New Roman" w:eastAsia="Times New Roman" w:hAnsi="Times New Roman"/>
                <w:sz w:val="24"/>
                <w:szCs w:val="24"/>
                <w:lang w:val="ro-MD"/>
              </w:rPr>
              <w:t xml:space="preserve"> locuri </w:t>
            </w:r>
            <w:r>
              <w:rPr>
                <w:rFonts w:ascii="Times New Roman" w:eastAsia="Times New Roman" w:hAnsi="Times New Roman"/>
                <w:sz w:val="24"/>
                <w:szCs w:val="24"/>
                <w:lang w:val="ro-MD"/>
              </w:rPr>
              <w:t>cu finanțare de la bugetul de stat, în învățământul profesional tehnic secundar, învățământ dual, numărul de locuri</w:t>
            </w:r>
            <w:r w:rsidR="00A44B94">
              <w:rPr>
                <w:rFonts w:ascii="Times New Roman" w:eastAsia="Times New Roman" w:hAnsi="Times New Roman"/>
                <w:sz w:val="24"/>
                <w:szCs w:val="24"/>
                <w:lang w:val="ro-MD"/>
              </w:rPr>
              <w:t xml:space="preserve"> fiind </w:t>
            </w:r>
            <w:r w:rsidR="0027751F">
              <w:rPr>
                <w:rFonts w:ascii="Times New Roman" w:eastAsia="Times New Roman" w:hAnsi="Times New Roman"/>
                <w:sz w:val="24"/>
                <w:szCs w:val="24"/>
                <w:lang w:val="ro-RO"/>
              </w:rPr>
              <w:t>în creștere cu 175 de locuri în raport cu</w:t>
            </w:r>
            <w:r w:rsidR="00A44B94">
              <w:rPr>
                <w:rFonts w:ascii="Times New Roman" w:eastAsia="Times New Roman" w:hAnsi="Times New Roman"/>
                <w:sz w:val="24"/>
                <w:szCs w:val="24"/>
                <w:lang w:val="ro-MD"/>
              </w:rPr>
              <w:t xml:space="preserve"> cele</w:t>
            </w:r>
            <w:r>
              <w:rPr>
                <w:rFonts w:ascii="Times New Roman" w:eastAsia="Times New Roman" w:hAnsi="Times New Roman"/>
                <w:sz w:val="24"/>
                <w:szCs w:val="24"/>
                <w:lang w:val="ro-MD"/>
              </w:rPr>
              <w:t xml:space="preserve"> atribuite în </w:t>
            </w:r>
            <w:r w:rsidRPr="00176311">
              <w:rPr>
                <w:rFonts w:ascii="Times New Roman" w:eastAsia="Times New Roman" w:hAnsi="Times New Roman"/>
                <w:i/>
                <w:iCs/>
                <w:sz w:val="24"/>
                <w:szCs w:val="24"/>
                <w:lang w:val="ro-MD"/>
              </w:rPr>
              <w:t>Hotărârea de Guvern nr. 4</w:t>
            </w:r>
            <w:r w:rsidR="00EB4864">
              <w:rPr>
                <w:rFonts w:ascii="Times New Roman" w:eastAsia="Times New Roman" w:hAnsi="Times New Roman"/>
                <w:i/>
                <w:iCs/>
                <w:sz w:val="24"/>
                <w:szCs w:val="24"/>
                <w:lang w:val="ro-MD"/>
              </w:rPr>
              <w:t>64</w:t>
            </w:r>
            <w:r w:rsidRPr="00176311">
              <w:rPr>
                <w:rFonts w:ascii="Times New Roman" w:eastAsia="Times New Roman" w:hAnsi="Times New Roman"/>
                <w:i/>
                <w:iCs/>
                <w:sz w:val="24"/>
                <w:szCs w:val="24"/>
                <w:lang w:val="ro-MD"/>
              </w:rPr>
              <w:t>/202</w:t>
            </w:r>
            <w:r w:rsidR="00EB4864">
              <w:rPr>
                <w:rFonts w:ascii="Times New Roman" w:eastAsia="Times New Roman" w:hAnsi="Times New Roman"/>
                <w:i/>
                <w:iCs/>
                <w:sz w:val="24"/>
                <w:szCs w:val="24"/>
                <w:lang w:val="ro-MD"/>
              </w:rPr>
              <w:t>4</w:t>
            </w:r>
            <w:r w:rsidRPr="00176311">
              <w:rPr>
                <w:rFonts w:ascii="Times New Roman" w:eastAsia="Times New Roman" w:hAnsi="Times New Roman"/>
                <w:i/>
                <w:iCs/>
                <w:sz w:val="24"/>
                <w:szCs w:val="24"/>
                <w:lang w:val="ro-MD"/>
              </w:rPr>
              <w:t xml:space="preserve"> cu privire la planurile (comanda de stat) de pregătire a cadrelor de specialitate pe meserii, specialități în instituțiile de învățământ profesional tehnic pentru anul de studii 202</w:t>
            </w:r>
            <w:r w:rsidR="00EB4864">
              <w:rPr>
                <w:rFonts w:ascii="Times New Roman" w:eastAsia="Times New Roman" w:hAnsi="Times New Roman"/>
                <w:i/>
                <w:iCs/>
                <w:sz w:val="24"/>
                <w:szCs w:val="24"/>
                <w:lang w:val="ro-MD"/>
              </w:rPr>
              <w:t>4</w:t>
            </w:r>
            <w:r w:rsidRPr="00176311">
              <w:rPr>
                <w:rFonts w:ascii="Times New Roman" w:eastAsia="Times New Roman" w:hAnsi="Times New Roman"/>
                <w:i/>
                <w:iCs/>
                <w:sz w:val="24"/>
                <w:szCs w:val="24"/>
                <w:lang w:val="ro-MD"/>
              </w:rPr>
              <w:t>-202</w:t>
            </w:r>
            <w:r w:rsidR="00EB4864">
              <w:rPr>
                <w:rFonts w:ascii="Times New Roman" w:eastAsia="Times New Roman" w:hAnsi="Times New Roman"/>
                <w:i/>
                <w:iCs/>
                <w:sz w:val="24"/>
                <w:szCs w:val="24"/>
                <w:lang w:val="ro-MD"/>
              </w:rPr>
              <w:t>5.</w:t>
            </w:r>
          </w:p>
          <w:p w14:paraId="3BF793E2" w14:textId="5F1ED727" w:rsidR="00780F45" w:rsidRPr="00DB6520" w:rsidRDefault="00780F45" w:rsidP="00780F45">
            <w:pPr>
              <w:ind w:firstLine="397"/>
              <w:rPr>
                <w:rFonts w:ascii="Times New Roman" w:eastAsia="Times New Roman" w:hAnsi="Times New Roman"/>
                <w:sz w:val="24"/>
                <w:szCs w:val="24"/>
                <w:lang w:val="ro-MD"/>
              </w:rPr>
            </w:pPr>
            <w:r w:rsidRPr="006B0E78">
              <w:rPr>
                <w:rFonts w:ascii="Times New Roman" w:eastAsia="Times New Roman" w:hAnsi="Times New Roman"/>
                <w:sz w:val="24"/>
                <w:szCs w:val="24"/>
                <w:lang w:val="ro-MD"/>
              </w:rPr>
              <w:t xml:space="preserve">Comanda de stat pentru învățământul profesional tehnic postsecundar și postsecundar nonterțiar (Anexa nr. 3 și nr. 4) este elaborată în baza </w:t>
            </w:r>
            <w:r w:rsidRPr="006B0E78">
              <w:rPr>
                <w:rFonts w:ascii="Times New Roman" w:eastAsia="Times New Roman" w:hAnsi="Times New Roman"/>
                <w:i/>
                <w:sz w:val="24"/>
                <w:szCs w:val="24"/>
                <w:lang w:val="ro-MD"/>
              </w:rPr>
              <w:t>Nomenclatorului domeniilor de formare profesională, al specialităţilor şi calificărilor pentru învățământul profesional tehnic postsecundar şi postsecundar nonterţiar</w:t>
            </w:r>
            <w:r w:rsidRPr="006B0E78">
              <w:rPr>
                <w:rFonts w:ascii="Times New Roman" w:eastAsia="Times New Roman" w:hAnsi="Times New Roman"/>
                <w:sz w:val="24"/>
                <w:szCs w:val="24"/>
                <w:lang w:val="ro-MD"/>
              </w:rPr>
              <w:t xml:space="preserve">, aprobat prin Hotărârea Guvernului nr. 853/2015 cu modificările ulterioare și prevede admiterea a </w:t>
            </w:r>
            <w:r w:rsidR="00D62B3E" w:rsidRPr="006B0E78">
              <w:rPr>
                <w:rFonts w:ascii="Times New Roman" w:eastAsia="Times New Roman" w:hAnsi="Times New Roman"/>
                <w:sz w:val="24"/>
                <w:szCs w:val="24"/>
                <w:lang w:val="ro-MD"/>
              </w:rPr>
              <w:t>3900</w:t>
            </w:r>
            <w:r w:rsidRPr="006B0E78">
              <w:rPr>
                <w:rFonts w:ascii="Times New Roman" w:eastAsia="Times New Roman" w:hAnsi="Times New Roman"/>
                <w:sz w:val="24"/>
                <w:szCs w:val="24"/>
                <w:lang w:val="ro-MD"/>
              </w:rPr>
              <w:t xml:space="preserve"> persoane cu finanțare bugetară (</w:t>
            </w:r>
            <w:r w:rsidR="00D62B3E" w:rsidRPr="006B0E78">
              <w:rPr>
                <w:rFonts w:ascii="Times New Roman" w:eastAsia="Times New Roman" w:hAnsi="Times New Roman"/>
                <w:sz w:val="24"/>
                <w:szCs w:val="24"/>
                <w:lang w:val="ro-MD"/>
              </w:rPr>
              <w:t>n</w:t>
            </w:r>
            <w:r w:rsidR="007C3E67">
              <w:rPr>
                <w:rFonts w:ascii="Times New Roman" w:eastAsia="Times New Roman" w:hAnsi="Times New Roman"/>
                <w:sz w:val="24"/>
                <w:szCs w:val="24"/>
                <w:lang w:val="ro-MD"/>
              </w:rPr>
              <w:t>umăr de locuri bugetare similar</w:t>
            </w:r>
            <w:r w:rsidR="00D62B3E" w:rsidRPr="006B0E78">
              <w:rPr>
                <w:rFonts w:ascii="Times New Roman" w:eastAsia="Times New Roman" w:hAnsi="Times New Roman"/>
                <w:sz w:val="24"/>
                <w:szCs w:val="24"/>
                <w:lang w:val="ro-MD"/>
              </w:rPr>
              <w:t xml:space="preserve"> cu numărul locurilor bugetare aprobate în anul 2024</w:t>
            </w:r>
            <w:r w:rsidRPr="006B0E78">
              <w:rPr>
                <w:rFonts w:ascii="Times New Roman" w:eastAsia="Times New Roman" w:hAnsi="Times New Roman"/>
                <w:sz w:val="24"/>
                <w:szCs w:val="24"/>
                <w:lang w:val="ro-MD"/>
              </w:rPr>
              <w:t>), dintre ca</w:t>
            </w:r>
            <w:r w:rsidR="00F01C83" w:rsidRPr="006B0E78">
              <w:rPr>
                <w:rFonts w:ascii="Times New Roman" w:eastAsia="Times New Roman" w:hAnsi="Times New Roman"/>
                <w:sz w:val="24"/>
                <w:szCs w:val="24"/>
                <w:lang w:val="ro-MD"/>
              </w:rPr>
              <w:t>re 397</w:t>
            </w:r>
            <w:r w:rsidRPr="006B0E78">
              <w:rPr>
                <w:rFonts w:ascii="Times New Roman" w:eastAsia="Times New Roman" w:hAnsi="Times New Roman"/>
                <w:sz w:val="24"/>
                <w:szCs w:val="24"/>
                <w:lang w:val="ro-MD"/>
              </w:rPr>
              <w:t xml:space="preserve"> pentru instruirea la programe de formare profesională tehnică prin înv</w:t>
            </w:r>
            <w:r w:rsidR="00F01C83" w:rsidRPr="006B0E78">
              <w:rPr>
                <w:rFonts w:ascii="Times New Roman" w:eastAsia="Times New Roman" w:hAnsi="Times New Roman"/>
                <w:sz w:val="24"/>
                <w:szCs w:val="24"/>
                <w:lang w:val="ro-MD"/>
              </w:rPr>
              <w:t>ățământ dual (în creștere cu 63 de locuri față de anul 2024</w:t>
            </w:r>
            <w:r w:rsidRPr="006B0E78">
              <w:rPr>
                <w:rFonts w:ascii="Times New Roman" w:eastAsia="Times New Roman" w:hAnsi="Times New Roman"/>
                <w:sz w:val="24"/>
                <w:szCs w:val="24"/>
                <w:lang w:val="ro-MD"/>
              </w:rPr>
              <w:t>).</w:t>
            </w:r>
            <w:r w:rsidRPr="00DB6520">
              <w:rPr>
                <w:rFonts w:ascii="Times New Roman" w:eastAsia="Times New Roman" w:hAnsi="Times New Roman"/>
                <w:sz w:val="24"/>
                <w:szCs w:val="24"/>
                <w:lang w:val="ro-MD"/>
              </w:rPr>
              <w:t xml:space="preserve">  </w:t>
            </w:r>
          </w:p>
          <w:p w14:paraId="727C6965" w14:textId="3F48BB26" w:rsidR="00780F45" w:rsidRPr="00DB6520" w:rsidRDefault="00780F45" w:rsidP="00780F45">
            <w:pPr>
              <w:ind w:firstLine="397"/>
              <w:rPr>
                <w:rFonts w:ascii="Times New Roman" w:eastAsia="Times New Roman" w:hAnsi="Times New Roman"/>
                <w:sz w:val="24"/>
                <w:szCs w:val="24"/>
                <w:lang w:val="ro-MD"/>
              </w:rPr>
            </w:pPr>
            <w:r w:rsidRPr="00DB6520">
              <w:rPr>
                <w:rFonts w:ascii="Times New Roman" w:eastAsia="Times New Roman" w:hAnsi="Times New Roman"/>
                <w:sz w:val="24"/>
                <w:szCs w:val="24"/>
                <w:lang w:val="ro-MD"/>
              </w:rPr>
              <w:t xml:space="preserve">Planul de admitere pe bază de contract (Anexa nr. 5), cu achitarea taxei de studii, în instituțiile de învățământ publice și private cu programe de formare profesională tehnică secundare publice și private include 393 locuri, iar pentru programe de formare profesională tehnică postsecundară și postsecundară nonterțiară, include </w:t>
            </w:r>
            <w:r w:rsidR="00137657">
              <w:rPr>
                <w:rFonts w:ascii="Times New Roman" w:eastAsia="Times New Roman" w:hAnsi="Times New Roman"/>
                <w:sz w:val="24"/>
                <w:szCs w:val="24"/>
                <w:lang w:val="ro-MD"/>
              </w:rPr>
              <w:t xml:space="preserve">7778 locuri (cu 288 locuri </w:t>
            </w:r>
            <w:r w:rsidR="00112FF4">
              <w:rPr>
                <w:rFonts w:ascii="Times New Roman" w:eastAsia="Times New Roman" w:hAnsi="Times New Roman"/>
                <w:sz w:val="24"/>
                <w:szCs w:val="24"/>
                <w:lang w:val="ro-MD"/>
              </w:rPr>
              <w:t>mai mult comparativ cu anul 2024</w:t>
            </w:r>
            <w:r w:rsidR="00137657">
              <w:rPr>
                <w:rFonts w:ascii="Times New Roman" w:eastAsia="Times New Roman" w:hAnsi="Times New Roman"/>
                <w:sz w:val="24"/>
                <w:szCs w:val="24"/>
                <w:lang w:val="ro-MD"/>
              </w:rPr>
              <w:t xml:space="preserve">). </w:t>
            </w:r>
          </w:p>
          <w:p w14:paraId="6794F486" w14:textId="77777777" w:rsidR="00DB3BA0" w:rsidRDefault="00780F45" w:rsidP="00EB4864">
            <w:pPr>
              <w:ind w:firstLine="397"/>
              <w:rPr>
                <w:rFonts w:ascii="Times New Roman" w:eastAsia="Times New Roman" w:hAnsi="Times New Roman"/>
                <w:sz w:val="24"/>
                <w:szCs w:val="24"/>
                <w:lang w:val="ro-MD"/>
              </w:rPr>
            </w:pPr>
            <w:r w:rsidRPr="00DB6520">
              <w:rPr>
                <w:rFonts w:ascii="Times New Roman" w:eastAsia="Times New Roman" w:hAnsi="Times New Roman"/>
                <w:sz w:val="24"/>
                <w:szCs w:val="24"/>
                <w:lang w:val="ro-MD"/>
              </w:rPr>
              <w:t>Proiectul cuprinde și prevederea privind intrarea în vigoare a Hotărârii Guvernului la data publicării, având în vedere Calendarul admiterii, aprobat prin ordinul Ministerului nr. 648/2022,</w:t>
            </w:r>
            <w:r>
              <w:rPr>
                <w:rFonts w:ascii="Times New Roman" w:eastAsia="Times New Roman" w:hAnsi="Times New Roman"/>
                <w:sz w:val="24"/>
                <w:szCs w:val="24"/>
                <w:lang w:val="ro-MD"/>
              </w:rPr>
              <w:t xml:space="preserve"> cu modificările ulterioare,</w:t>
            </w:r>
            <w:r w:rsidRPr="00DB6520">
              <w:rPr>
                <w:rFonts w:ascii="Times New Roman" w:eastAsia="Times New Roman" w:hAnsi="Times New Roman"/>
                <w:sz w:val="24"/>
                <w:szCs w:val="24"/>
                <w:lang w:val="ro-MD"/>
              </w:rPr>
              <w:t xml:space="preserve"> prin care depunerea dosarelor în turul </w:t>
            </w:r>
            <w:r>
              <w:rPr>
                <w:rFonts w:ascii="Times New Roman" w:eastAsia="Times New Roman" w:hAnsi="Times New Roman"/>
                <w:sz w:val="24"/>
                <w:szCs w:val="24"/>
                <w:lang w:val="ro-MD"/>
              </w:rPr>
              <w:t>I</w:t>
            </w:r>
            <w:r w:rsidRPr="00DB6520">
              <w:rPr>
                <w:rFonts w:ascii="Times New Roman" w:eastAsia="Times New Roman" w:hAnsi="Times New Roman"/>
                <w:sz w:val="24"/>
                <w:szCs w:val="24"/>
                <w:lang w:val="ro-MD"/>
              </w:rPr>
              <w:t xml:space="preserve"> începe în </w:t>
            </w:r>
            <w:r>
              <w:rPr>
                <w:rFonts w:ascii="Times New Roman" w:eastAsia="Times New Roman" w:hAnsi="Times New Roman"/>
                <w:sz w:val="24"/>
                <w:szCs w:val="24"/>
                <w:lang w:val="ro-MD"/>
              </w:rPr>
              <w:t xml:space="preserve">data de </w:t>
            </w:r>
            <w:r w:rsidR="00EB4864">
              <w:rPr>
                <w:rFonts w:ascii="Times New Roman" w:eastAsia="Times New Roman" w:hAnsi="Times New Roman"/>
                <w:sz w:val="24"/>
                <w:szCs w:val="24"/>
                <w:lang w:val="ro-MD"/>
              </w:rPr>
              <w:t>21</w:t>
            </w:r>
            <w:r w:rsidRPr="00DB6520">
              <w:rPr>
                <w:rFonts w:ascii="Times New Roman" w:eastAsia="Times New Roman" w:hAnsi="Times New Roman"/>
                <w:sz w:val="24"/>
                <w:szCs w:val="24"/>
                <w:lang w:val="ro-MD"/>
              </w:rPr>
              <w:t xml:space="preserve"> iulie.</w:t>
            </w:r>
          </w:p>
          <w:p w14:paraId="5E9BE6F6" w14:textId="267BD72B" w:rsidR="00E50E2B" w:rsidRPr="00EB4864" w:rsidRDefault="00E50E2B" w:rsidP="00EB4864">
            <w:pPr>
              <w:ind w:firstLine="397"/>
              <w:rPr>
                <w:rFonts w:ascii="Times New Roman" w:eastAsia="Times New Roman" w:hAnsi="Times New Roman"/>
                <w:sz w:val="24"/>
                <w:szCs w:val="24"/>
                <w:lang w:val="ro-MD"/>
              </w:rPr>
            </w:pPr>
          </w:p>
        </w:tc>
      </w:tr>
      <w:tr w:rsidR="00BB271D" w:rsidRPr="002A6A84" w14:paraId="35EE2402"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D36AF40" w14:textId="77777777" w:rsidR="00BB271D" w:rsidRPr="002A6A84" w:rsidRDefault="00A46A3E" w:rsidP="00972096">
            <w:pPr>
              <w:spacing w:line="276" w:lineRule="auto"/>
              <w:rPr>
                <w:rFonts w:ascii="Times New Roman" w:hAnsi="Times New Roman"/>
                <w:i/>
                <w:iCs/>
                <w:sz w:val="24"/>
                <w:szCs w:val="24"/>
                <w:lang w:val="ro-RO"/>
              </w:rPr>
            </w:pPr>
            <w:r w:rsidRPr="002A6A84">
              <w:rPr>
                <w:rFonts w:ascii="Times New Roman" w:hAnsi="Times New Roman"/>
                <w:i/>
                <w:iCs/>
                <w:sz w:val="24"/>
                <w:szCs w:val="24"/>
                <w:lang w:val="ro-RO"/>
              </w:rPr>
              <w:t>3.2. Opțiunile alternative analizate și motivele pentru care acestea nu au fost luate în considerare</w:t>
            </w:r>
          </w:p>
        </w:tc>
      </w:tr>
      <w:tr w:rsidR="00BB271D" w:rsidRPr="002A6A84" w14:paraId="6812D339"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BE84103" w14:textId="43B0BC50" w:rsidR="001210B2" w:rsidRPr="002A6A84" w:rsidRDefault="00B67164" w:rsidP="00972096">
            <w:pPr>
              <w:spacing w:line="276" w:lineRule="auto"/>
              <w:rPr>
                <w:rFonts w:ascii="Times New Roman" w:hAnsi="Times New Roman"/>
                <w:b/>
                <w:bCs/>
                <w:sz w:val="24"/>
                <w:szCs w:val="24"/>
                <w:lang w:val="ro-RO"/>
              </w:rPr>
            </w:pPr>
            <w:r w:rsidRPr="002A6A84">
              <w:rPr>
                <w:rFonts w:ascii="Times New Roman" w:hAnsi="Times New Roman"/>
                <w:b/>
                <w:bCs/>
                <w:sz w:val="24"/>
                <w:szCs w:val="24"/>
                <w:lang w:val="ro-RO"/>
              </w:rPr>
              <w:t>Nu este aplicabil.</w:t>
            </w:r>
          </w:p>
        </w:tc>
      </w:tr>
      <w:tr w:rsidR="00BB271D" w:rsidRPr="002A6A84" w14:paraId="2C9D99DF" w14:textId="77777777" w:rsidTr="00293CA7">
        <w:trPr>
          <w:trHeight w:val="381"/>
        </w:trPr>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53E2852" w14:textId="3DC2156D" w:rsidR="00BB271D" w:rsidRPr="002A6A84" w:rsidRDefault="00A46A3E" w:rsidP="00972096">
            <w:pPr>
              <w:spacing w:line="276" w:lineRule="auto"/>
              <w:rPr>
                <w:rFonts w:ascii="Times New Roman" w:hAnsi="Times New Roman"/>
                <w:b/>
                <w:bCs/>
                <w:sz w:val="24"/>
                <w:szCs w:val="24"/>
                <w:lang w:val="ro-RO"/>
              </w:rPr>
            </w:pPr>
            <w:r w:rsidRPr="002A6A84">
              <w:rPr>
                <w:rFonts w:ascii="Times New Roman" w:hAnsi="Times New Roman"/>
                <w:b/>
                <w:bCs/>
                <w:sz w:val="24"/>
                <w:szCs w:val="24"/>
                <w:lang w:val="ro-RO"/>
              </w:rPr>
              <w:t xml:space="preserve">4. Analiza impactului de reglementare </w:t>
            </w:r>
          </w:p>
        </w:tc>
      </w:tr>
      <w:tr w:rsidR="00BB271D" w:rsidRPr="002A6A84" w14:paraId="60452332"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524CFD0" w14:textId="77777777" w:rsidR="00BB271D" w:rsidRPr="002A6A84" w:rsidRDefault="00A46A3E" w:rsidP="00972096">
            <w:pPr>
              <w:spacing w:line="276" w:lineRule="auto"/>
              <w:rPr>
                <w:rFonts w:ascii="Times New Roman" w:hAnsi="Times New Roman"/>
                <w:i/>
                <w:iCs/>
                <w:sz w:val="24"/>
                <w:szCs w:val="24"/>
                <w:lang w:val="ro-RO"/>
              </w:rPr>
            </w:pPr>
            <w:r w:rsidRPr="002A6A84">
              <w:rPr>
                <w:rFonts w:ascii="Times New Roman" w:hAnsi="Times New Roman"/>
                <w:i/>
                <w:iCs/>
                <w:sz w:val="24"/>
                <w:szCs w:val="24"/>
                <w:lang w:val="ro-RO"/>
              </w:rPr>
              <w:t>4.1. Impactul asupra sectorului public</w:t>
            </w:r>
          </w:p>
        </w:tc>
      </w:tr>
      <w:tr w:rsidR="00582A96" w:rsidRPr="002A6A84" w14:paraId="657CB555" w14:textId="77777777" w:rsidTr="00582A96">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A1BA87" w14:textId="77777777" w:rsidR="002A32D0" w:rsidRDefault="007F7BDB" w:rsidP="00972096">
            <w:pPr>
              <w:spacing w:line="276" w:lineRule="auto"/>
              <w:rPr>
                <w:rFonts w:ascii="Times New Roman" w:hAnsi="Times New Roman"/>
                <w:bCs/>
                <w:sz w:val="24"/>
                <w:szCs w:val="24"/>
                <w:lang w:val="ro-RO"/>
              </w:rPr>
            </w:pPr>
            <w:r w:rsidRPr="002A6A84">
              <w:rPr>
                <w:rFonts w:ascii="Times New Roman" w:hAnsi="Times New Roman"/>
                <w:bCs/>
                <w:sz w:val="24"/>
                <w:szCs w:val="24"/>
                <w:lang w:val="ro-MD"/>
              </w:rPr>
              <w:t xml:space="preserve">Implementarea </w:t>
            </w:r>
            <w:r w:rsidR="00242B5E" w:rsidRPr="002A6A84">
              <w:rPr>
                <w:rFonts w:ascii="Times New Roman" w:hAnsi="Times New Roman"/>
                <w:bCs/>
                <w:sz w:val="24"/>
                <w:szCs w:val="24"/>
                <w:lang w:val="ro-MD"/>
              </w:rPr>
              <w:t xml:space="preserve"> </w:t>
            </w:r>
            <w:r w:rsidRPr="002A6A84">
              <w:rPr>
                <w:rFonts w:ascii="Times New Roman" w:hAnsi="Times New Roman"/>
                <w:bCs/>
                <w:sz w:val="24"/>
                <w:szCs w:val="24"/>
                <w:lang w:val="ro-MD"/>
              </w:rPr>
              <w:t>prevederilor proiectului va avea un  impact pozitiv asupra institu</w:t>
            </w:r>
            <w:r w:rsidRPr="002A6A84">
              <w:rPr>
                <w:rFonts w:ascii="Times New Roman" w:hAnsi="Times New Roman"/>
                <w:bCs/>
                <w:sz w:val="24"/>
                <w:szCs w:val="24"/>
                <w:lang w:val="ro-RO"/>
              </w:rPr>
              <w:t xml:space="preserve">țiilor de </w:t>
            </w:r>
            <w:r w:rsidR="00544C23" w:rsidRPr="002A6A84">
              <w:rPr>
                <w:rFonts w:ascii="Times New Roman" w:hAnsi="Times New Roman"/>
                <w:bCs/>
                <w:sz w:val="24"/>
                <w:szCs w:val="24"/>
                <w:lang w:val="ro-RO"/>
              </w:rPr>
              <w:t xml:space="preserve">învățământul profesional tehnic, asigurând </w:t>
            </w:r>
            <w:r w:rsidR="00C13E2E">
              <w:rPr>
                <w:rFonts w:ascii="Times New Roman" w:hAnsi="Times New Roman"/>
                <w:bCs/>
                <w:sz w:val="24"/>
                <w:szCs w:val="24"/>
                <w:lang w:val="ro-RO"/>
              </w:rPr>
              <w:t xml:space="preserve">o varietate a calificărilor din programele de studii </w:t>
            </w:r>
            <w:r w:rsidR="00EB4864">
              <w:rPr>
                <w:rFonts w:ascii="Times New Roman" w:hAnsi="Times New Roman"/>
                <w:bCs/>
                <w:sz w:val="24"/>
                <w:szCs w:val="24"/>
                <w:lang w:val="ro-RO"/>
              </w:rPr>
              <w:t xml:space="preserve">și locuri oferite </w:t>
            </w:r>
            <w:r w:rsidR="00C13E2E">
              <w:rPr>
                <w:rFonts w:ascii="Times New Roman" w:hAnsi="Times New Roman"/>
                <w:bCs/>
                <w:sz w:val="24"/>
                <w:szCs w:val="24"/>
                <w:lang w:val="ro-RO"/>
              </w:rPr>
              <w:t>pentru abiturienți în procesul de admitere.</w:t>
            </w:r>
          </w:p>
          <w:p w14:paraId="5E4A5A72" w14:textId="1A7C58CA" w:rsidR="00E50E2B" w:rsidRPr="002A6A84" w:rsidRDefault="00E50E2B" w:rsidP="00972096">
            <w:pPr>
              <w:spacing w:line="276" w:lineRule="auto"/>
              <w:rPr>
                <w:rFonts w:ascii="Times New Roman" w:hAnsi="Times New Roman"/>
                <w:sz w:val="24"/>
                <w:szCs w:val="24"/>
                <w:lang w:val="ro-RO"/>
              </w:rPr>
            </w:pPr>
          </w:p>
        </w:tc>
      </w:tr>
      <w:tr w:rsidR="00BB271D" w:rsidRPr="002A6A84" w14:paraId="36D3D1B0"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7641DB0" w14:textId="77777777" w:rsidR="00BB271D" w:rsidRPr="006E658B" w:rsidRDefault="00A46A3E" w:rsidP="00972096">
            <w:pPr>
              <w:spacing w:line="276" w:lineRule="auto"/>
              <w:rPr>
                <w:rFonts w:ascii="Times New Roman" w:hAnsi="Times New Roman"/>
                <w:i/>
                <w:iCs/>
                <w:sz w:val="24"/>
                <w:szCs w:val="24"/>
                <w:lang w:val="ro-RO"/>
              </w:rPr>
            </w:pPr>
            <w:r w:rsidRPr="006E658B">
              <w:rPr>
                <w:rFonts w:ascii="Times New Roman" w:hAnsi="Times New Roman"/>
                <w:i/>
                <w:iCs/>
                <w:sz w:val="24"/>
                <w:szCs w:val="24"/>
                <w:lang w:val="ro-RO"/>
              </w:rPr>
              <w:lastRenderedPageBreak/>
              <w:t>4.2. Impactul financiar și argumentarea costurilor estimative</w:t>
            </w:r>
          </w:p>
        </w:tc>
      </w:tr>
      <w:tr w:rsidR="00582A96" w:rsidRPr="002A6A84" w14:paraId="5C13B653" w14:textId="77777777" w:rsidTr="00582A96">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4F6FA9D" w14:textId="77777777" w:rsidR="008C21D6" w:rsidRDefault="008C21D6" w:rsidP="00972096">
            <w:pPr>
              <w:spacing w:line="276" w:lineRule="auto"/>
              <w:rPr>
                <w:rFonts w:ascii="Times New Roman" w:hAnsi="Times New Roman"/>
                <w:bCs/>
                <w:sz w:val="24"/>
                <w:szCs w:val="24"/>
                <w:lang w:val="ro-MD"/>
              </w:rPr>
            </w:pPr>
            <w:r w:rsidRPr="002A6A84">
              <w:rPr>
                <w:rFonts w:ascii="Times New Roman" w:hAnsi="Times New Roman"/>
                <w:bCs/>
                <w:sz w:val="24"/>
                <w:szCs w:val="24"/>
                <w:lang w:val="ro-MD"/>
              </w:rPr>
              <w:t xml:space="preserve">Implementarea prevederilor proiectului </w:t>
            </w:r>
            <w:r w:rsidR="00E50E2B">
              <w:rPr>
                <w:rFonts w:ascii="Times New Roman" w:hAnsi="Times New Roman"/>
                <w:bCs/>
                <w:sz w:val="24"/>
                <w:szCs w:val="24"/>
                <w:lang w:val="ro-MD"/>
              </w:rPr>
              <w:t xml:space="preserve">se va realiza în limitele alocate prin Legea bugetului de stat pentru anul 2025 Ministerului Educației și Cercetării, Ministerului Sănătății, Ministerului Afacerilor Interne și Ministerului Apărării și </w:t>
            </w:r>
            <w:r w:rsidRPr="002A6A84">
              <w:rPr>
                <w:rFonts w:ascii="Times New Roman" w:hAnsi="Times New Roman"/>
                <w:bCs/>
                <w:sz w:val="24"/>
                <w:szCs w:val="24"/>
                <w:lang w:val="ro-MD"/>
              </w:rPr>
              <w:t xml:space="preserve">nu necesită </w:t>
            </w:r>
            <w:r w:rsidR="00807AC7" w:rsidRPr="002A6A84">
              <w:rPr>
                <w:rFonts w:ascii="Times New Roman" w:hAnsi="Times New Roman"/>
                <w:bCs/>
                <w:sz w:val="24"/>
                <w:szCs w:val="24"/>
                <w:lang w:val="ro-MD"/>
              </w:rPr>
              <w:t>cheltuieli</w:t>
            </w:r>
            <w:r w:rsidRPr="002A6A84">
              <w:rPr>
                <w:rFonts w:ascii="Times New Roman" w:hAnsi="Times New Roman"/>
                <w:bCs/>
                <w:sz w:val="24"/>
                <w:szCs w:val="24"/>
                <w:lang w:val="ro-MD"/>
              </w:rPr>
              <w:t xml:space="preserve"> </w:t>
            </w:r>
            <w:r w:rsidR="00807AC7" w:rsidRPr="002A6A84">
              <w:rPr>
                <w:rFonts w:ascii="Times New Roman" w:hAnsi="Times New Roman"/>
                <w:bCs/>
                <w:sz w:val="24"/>
                <w:szCs w:val="24"/>
                <w:lang w:val="ro-MD"/>
              </w:rPr>
              <w:t xml:space="preserve">financiare </w:t>
            </w:r>
            <w:r w:rsidRPr="002A6A84">
              <w:rPr>
                <w:rFonts w:ascii="Times New Roman" w:hAnsi="Times New Roman"/>
                <w:bCs/>
                <w:sz w:val="24"/>
                <w:szCs w:val="24"/>
                <w:lang w:val="ro-MD"/>
              </w:rPr>
              <w:t xml:space="preserve">suplimentare din </w:t>
            </w:r>
            <w:r w:rsidR="00807AC7" w:rsidRPr="002A6A84">
              <w:rPr>
                <w:rFonts w:ascii="Times New Roman" w:hAnsi="Times New Roman"/>
                <w:bCs/>
                <w:sz w:val="24"/>
                <w:szCs w:val="24"/>
                <w:lang w:val="ro-MD"/>
              </w:rPr>
              <w:t>bugetul de stat.</w:t>
            </w:r>
            <w:r w:rsidRPr="002A6A84">
              <w:rPr>
                <w:rFonts w:ascii="Times New Roman" w:hAnsi="Times New Roman"/>
                <w:bCs/>
                <w:sz w:val="24"/>
                <w:szCs w:val="24"/>
                <w:lang w:val="ro-MD"/>
              </w:rPr>
              <w:t xml:space="preserve"> </w:t>
            </w:r>
          </w:p>
          <w:p w14:paraId="6CCBA8B2" w14:textId="18D4B502" w:rsidR="00E50E2B" w:rsidRPr="002A6A84" w:rsidRDefault="00E50E2B" w:rsidP="00972096">
            <w:pPr>
              <w:spacing w:line="276" w:lineRule="auto"/>
              <w:rPr>
                <w:rFonts w:ascii="Times New Roman" w:hAnsi="Times New Roman"/>
                <w:bCs/>
                <w:sz w:val="24"/>
                <w:szCs w:val="24"/>
                <w:lang w:val="ro-MD"/>
              </w:rPr>
            </w:pPr>
          </w:p>
        </w:tc>
      </w:tr>
      <w:tr w:rsidR="00BB271D" w:rsidRPr="002A6A84" w14:paraId="271AB65D"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20243A" w14:textId="77777777" w:rsidR="00BB271D" w:rsidRPr="006E658B" w:rsidRDefault="00A46A3E" w:rsidP="00972096">
            <w:pPr>
              <w:spacing w:line="276" w:lineRule="auto"/>
              <w:rPr>
                <w:rFonts w:ascii="Times New Roman" w:hAnsi="Times New Roman"/>
                <w:i/>
                <w:iCs/>
                <w:sz w:val="24"/>
                <w:szCs w:val="24"/>
                <w:lang w:val="ro-RO"/>
              </w:rPr>
            </w:pPr>
            <w:r w:rsidRPr="006E658B">
              <w:rPr>
                <w:rFonts w:ascii="Times New Roman" w:hAnsi="Times New Roman"/>
                <w:i/>
                <w:iCs/>
                <w:sz w:val="24"/>
                <w:szCs w:val="24"/>
                <w:lang w:val="ro-RO"/>
              </w:rPr>
              <w:t>4.3. Impactul asupra sectorului privat</w:t>
            </w:r>
          </w:p>
        </w:tc>
      </w:tr>
      <w:tr w:rsidR="00582A96" w:rsidRPr="002A6A84" w14:paraId="54D6145C" w14:textId="77777777" w:rsidTr="00582A96">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3CE8520" w14:textId="25005492" w:rsidR="00582A96" w:rsidRPr="002A6A84" w:rsidRDefault="00582A96" w:rsidP="00972096">
            <w:pPr>
              <w:spacing w:line="276" w:lineRule="auto"/>
              <w:rPr>
                <w:rFonts w:ascii="Times New Roman" w:hAnsi="Times New Roman"/>
                <w:b/>
                <w:sz w:val="24"/>
                <w:szCs w:val="24"/>
                <w:lang w:val="ro-RO"/>
              </w:rPr>
            </w:pPr>
            <w:r w:rsidRPr="00056CE5">
              <w:rPr>
                <w:rFonts w:ascii="Times New Roman" w:hAnsi="Times New Roman"/>
                <w:b/>
                <w:sz w:val="24"/>
                <w:szCs w:val="24"/>
                <w:lang w:val="ro-MD"/>
              </w:rPr>
              <w:t xml:space="preserve">Nu </w:t>
            </w:r>
            <w:r w:rsidR="00541949" w:rsidRPr="00056CE5">
              <w:rPr>
                <w:rFonts w:ascii="Times New Roman" w:hAnsi="Times New Roman"/>
                <w:b/>
                <w:sz w:val="24"/>
                <w:szCs w:val="24"/>
                <w:lang w:val="ro-MD"/>
              </w:rPr>
              <w:t>este aplicabil</w:t>
            </w:r>
            <w:r w:rsidRPr="00056CE5">
              <w:rPr>
                <w:rFonts w:ascii="Times New Roman" w:hAnsi="Times New Roman"/>
                <w:b/>
                <w:sz w:val="24"/>
                <w:szCs w:val="24"/>
                <w:lang w:val="ro-MD"/>
              </w:rPr>
              <w:t>.</w:t>
            </w:r>
          </w:p>
        </w:tc>
      </w:tr>
      <w:tr w:rsidR="00BB271D" w:rsidRPr="002A6A84" w14:paraId="07471C6B" w14:textId="77777777" w:rsidTr="006E658B">
        <w:tc>
          <w:tcPr>
            <w:tcW w:w="9629" w:type="dxa"/>
            <w:tcBorders>
              <w:top w:val="none" w:sz="4"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54316D9E" w14:textId="465B10E9" w:rsidR="00BB271D" w:rsidRPr="006E658B" w:rsidRDefault="00A46A3E" w:rsidP="00972096">
            <w:pPr>
              <w:spacing w:line="276" w:lineRule="auto"/>
              <w:rPr>
                <w:rFonts w:ascii="Times New Roman" w:hAnsi="Times New Roman"/>
                <w:b/>
                <w:bCs/>
                <w:sz w:val="24"/>
                <w:szCs w:val="24"/>
                <w:lang w:val="ro-RO"/>
              </w:rPr>
            </w:pPr>
            <w:r w:rsidRPr="006E658B">
              <w:rPr>
                <w:rFonts w:ascii="Times New Roman" w:hAnsi="Times New Roman"/>
                <w:b/>
                <w:bCs/>
                <w:sz w:val="24"/>
                <w:szCs w:val="24"/>
                <w:lang w:val="ro-RO"/>
              </w:rPr>
              <w:t>4.4. Impactul social</w:t>
            </w:r>
          </w:p>
        </w:tc>
      </w:tr>
      <w:tr w:rsidR="00541949" w:rsidRPr="002A6A84" w14:paraId="20AF82C3" w14:textId="77777777" w:rsidTr="006E658B">
        <w:trPr>
          <w:trHeight w:val="347"/>
        </w:trPr>
        <w:tc>
          <w:tcPr>
            <w:tcW w:w="9629" w:type="dxa"/>
            <w:tcBorders>
              <w:top w:val="none" w:sz="4" w:space="0" w:color="000000"/>
              <w:left w:val="single" w:sz="8" w:space="0" w:color="000000"/>
              <w:bottom w:val="single" w:sz="4" w:space="0" w:color="auto"/>
              <w:right w:val="single" w:sz="8" w:space="0" w:color="000000"/>
            </w:tcBorders>
            <w:shd w:val="clear" w:color="auto" w:fill="F2F2F2" w:themeFill="background1" w:themeFillShade="F2"/>
            <w:tcMar>
              <w:top w:w="0" w:type="dxa"/>
              <w:left w:w="108" w:type="dxa"/>
              <w:bottom w:w="0" w:type="dxa"/>
              <w:right w:w="108" w:type="dxa"/>
            </w:tcMar>
          </w:tcPr>
          <w:p w14:paraId="139A4757" w14:textId="3C26F851" w:rsidR="00792950" w:rsidRPr="006E658B" w:rsidRDefault="00792950" w:rsidP="00972096">
            <w:pPr>
              <w:spacing w:line="276" w:lineRule="auto"/>
              <w:rPr>
                <w:rFonts w:ascii="Times New Roman" w:hAnsi="Times New Roman"/>
                <w:i/>
                <w:iCs/>
                <w:sz w:val="24"/>
                <w:szCs w:val="24"/>
                <w:lang w:val="ro-RO"/>
              </w:rPr>
            </w:pPr>
            <w:r w:rsidRPr="006E658B">
              <w:rPr>
                <w:rFonts w:ascii="Times New Roman" w:hAnsi="Times New Roman"/>
                <w:i/>
                <w:iCs/>
                <w:sz w:val="24"/>
                <w:szCs w:val="24"/>
                <w:lang w:val="ro-RO"/>
              </w:rPr>
              <w:t>4.4.1. Impactul asupra datelor cu caracter personal</w:t>
            </w:r>
          </w:p>
        </w:tc>
      </w:tr>
      <w:tr w:rsidR="00792950" w:rsidRPr="002A6A84" w14:paraId="23254535" w14:textId="77777777" w:rsidTr="009C1993">
        <w:trPr>
          <w:trHeight w:val="327"/>
        </w:trPr>
        <w:tc>
          <w:tcPr>
            <w:tcW w:w="9629" w:type="dxa"/>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14:paraId="3FCE30CC" w14:textId="77777777" w:rsidR="00792950" w:rsidRDefault="003D1780" w:rsidP="00972096">
            <w:pPr>
              <w:spacing w:line="276" w:lineRule="auto"/>
              <w:ind w:firstLine="0"/>
              <w:rPr>
                <w:rFonts w:ascii="Times New Roman" w:hAnsi="Times New Roman"/>
                <w:bCs/>
                <w:sz w:val="24"/>
                <w:szCs w:val="24"/>
                <w:lang w:val="ro-MD"/>
              </w:rPr>
            </w:pPr>
            <w:r>
              <w:rPr>
                <w:rFonts w:ascii="Times New Roman" w:hAnsi="Times New Roman"/>
                <w:bCs/>
                <w:sz w:val="24"/>
                <w:szCs w:val="24"/>
                <w:lang w:val="ro-MD"/>
              </w:rPr>
              <w:t xml:space="preserve">            În procesul de admitere instituțiile de învățământ profesional tehnic vor respecta prevederile Legii nr. 133/2011 privind protecția datelor cu caracter personal.</w:t>
            </w:r>
          </w:p>
          <w:p w14:paraId="389ABBD9" w14:textId="0EBC30B1" w:rsidR="00E50E2B" w:rsidRPr="008B5705" w:rsidRDefault="00E50E2B" w:rsidP="00972096">
            <w:pPr>
              <w:spacing w:line="276" w:lineRule="auto"/>
              <w:ind w:firstLine="0"/>
              <w:rPr>
                <w:rFonts w:ascii="Times New Roman" w:hAnsi="Times New Roman"/>
                <w:bCs/>
                <w:sz w:val="24"/>
                <w:szCs w:val="24"/>
                <w:lang w:val="ro-MD"/>
              </w:rPr>
            </w:pPr>
          </w:p>
        </w:tc>
      </w:tr>
      <w:tr w:rsidR="006E658B" w:rsidRPr="002A6A84" w14:paraId="3F1186D6" w14:textId="77777777" w:rsidTr="006E658B">
        <w:trPr>
          <w:trHeight w:val="161"/>
        </w:trPr>
        <w:tc>
          <w:tcPr>
            <w:tcW w:w="9629" w:type="dxa"/>
            <w:tcBorders>
              <w:top w:val="single" w:sz="4" w:space="0" w:color="auto"/>
              <w:left w:val="single" w:sz="8" w:space="0" w:color="000000"/>
              <w:bottom w:val="single" w:sz="4" w:space="0" w:color="auto"/>
              <w:right w:val="single" w:sz="8" w:space="0" w:color="000000"/>
            </w:tcBorders>
            <w:shd w:val="clear" w:color="auto" w:fill="D9D9D9" w:themeFill="background1" w:themeFillShade="D9"/>
            <w:tcMar>
              <w:top w:w="0" w:type="dxa"/>
              <w:left w:w="108" w:type="dxa"/>
              <w:bottom w:w="0" w:type="dxa"/>
              <w:right w:w="108" w:type="dxa"/>
            </w:tcMar>
          </w:tcPr>
          <w:p w14:paraId="1E8DC028" w14:textId="15A7880D" w:rsidR="006E658B" w:rsidRPr="006E658B" w:rsidRDefault="006E658B" w:rsidP="00972096">
            <w:pPr>
              <w:spacing w:line="276" w:lineRule="auto"/>
              <w:rPr>
                <w:bCs/>
                <w:i/>
                <w:iCs/>
                <w:sz w:val="24"/>
                <w:szCs w:val="24"/>
                <w:lang w:val="ro-MD"/>
              </w:rPr>
            </w:pPr>
            <w:r w:rsidRPr="006E658B">
              <w:rPr>
                <w:rFonts w:ascii="Times New Roman" w:hAnsi="Times New Roman"/>
                <w:i/>
                <w:iCs/>
                <w:sz w:val="24"/>
                <w:szCs w:val="24"/>
                <w:lang w:val="ro-RO"/>
              </w:rPr>
              <w:t>4.4.2. Impactul asupra echității și egalității de gen</w:t>
            </w:r>
          </w:p>
        </w:tc>
      </w:tr>
      <w:tr w:rsidR="00792950" w:rsidRPr="002A6A84" w14:paraId="74B656A3" w14:textId="77777777" w:rsidTr="00C13E2E">
        <w:trPr>
          <w:trHeight w:val="236"/>
        </w:trPr>
        <w:tc>
          <w:tcPr>
            <w:tcW w:w="9629" w:type="dxa"/>
            <w:tcBorders>
              <w:top w:val="single" w:sz="4" w:space="0" w:color="auto"/>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C52419" w14:textId="3C0691DF" w:rsidR="00792950" w:rsidRDefault="003D1780" w:rsidP="00972096">
            <w:pPr>
              <w:spacing w:line="276" w:lineRule="auto"/>
              <w:rPr>
                <w:rFonts w:ascii="Times New Roman" w:hAnsi="Times New Roman"/>
                <w:sz w:val="24"/>
                <w:szCs w:val="24"/>
                <w:lang w:val="ro-RO"/>
              </w:rPr>
            </w:pPr>
            <w:r w:rsidRPr="002A6A84">
              <w:rPr>
                <w:rFonts w:ascii="Times New Roman" w:hAnsi="Times New Roman"/>
                <w:bCs/>
                <w:sz w:val="24"/>
                <w:szCs w:val="24"/>
                <w:lang w:val="ro-MD"/>
              </w:rPr>
              <w:t xml:space="preserve">Proiectul </w:t>
            </w:r>
            <w:r>
              <w:rPr>
                <w:rFonts w:ascii="Times New Roman" w:hAnsi="Times New Roman"/>
                <w:i/>
                <w:iCs/>
                <w:sz w:val="24"/>
                <w:szCs w:val="24"/>
                <w:lang w:val="ro-RO"/>
              </w:rPr>
              <w:t xml:space="preserve">Hotărârii Guvernului cu privire la planurile (comanda de stat) de pregătire a cadrelor de specialitate pe meserii, specialități în instituțiile de învățământ profesional tehnic pentru anul de studii 2024-2025, </w:t>
            </w:r>
            <w:r w:rsidRPr="002A6A84">
              <w:rPr>
                <w:rFonts w:ascii="Times New Roman" w:hAnsi="Times New Roman"/>
                <w:sz w:val="24"/>
                <w:szCs w:val="24"/>
                <w:lang w:val="ro-RO"/>
              </w:rPr>
              <w:t>va avea un impact pozitiv supra candidaților ce vor dori să acceadă în instituțiile de învățământ profesional tehnic</w:t>
            </w:r>
            <w:r>
              <w:rPr>
                <w:rFonts w:ascii="Times New Roman" w:hAnsi="Times New Roman"/>
                <w:sz w:val="24"/>
                <w:szCs w:val="24"/>
                <w:lang w:val="ro-RO"/>
              </w:rPr>
              <w:t>, respectând în procesul desfășurării concursului de admitere principiul echității și egalității de gen.</w:t>
            </w:r>
          </w:p>
          <w:p w14:paraId="4439B3DF" w14:textId="7AB4349F" w:rsidR="00E50E2B" w:rsidRPr="008B5705" w:rsidRDefault="00E50E2B" w:rsidP="00972096">
            <w:pPr>
              <w:spacing w:line="276" w:lineRule="auto"/>
              <w:rPr>
                <w:rFonts w:ascii="Times New Roman" w:hAnsi="Times New Roman"/>
                <w:sz w:val="24"/>
                <w:szCs w:val="24"/>
                <w:lang w:val="ro-RO"/>
              </w:rPr>
            </w:pPr>
          </w:p>
        </w:tc>
      </w:tr>
      <w:tr w:rsidR="00BB271D" w:rsidRPr="002A6A84" w14:paraId="55F5CD58"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E19FC6D" w14:textId="77777777" w:rsidR="00BB271D" w:rsidRPr="002A6A84" w:rsidRDefault="00A46A3E" w:rsidP="00972096">
            <w:pPr>
              <w:spacing w:line="276" w:lineRule="auto"/>
              <w:rPr>
                <w:rFonts w:ascii="Times New Roman" w:hAnsi="Times New Roman"/>
                <w:sz w:val="24"/>
                <w:szCs w:val="24"/>
                <w:lang w:val="ro-RO"/>
              </w:rPr>
            </w:pPr>
            <w:r w:rsidRPr="002A6A84">
              <w:rPr>
                <w:rFonts w:ascii="Times New Roman" w:hAnsi="Times New Roman"/>
                <w:sz w:val="24"/>
                <w:szCs w:val="24"/>
                <w:lang w:val="ro-RO"/>
              </w:rPr>
              <w:t>4.5. Impactul asupra mediului</w:t>
            </w:r>
          </w:p>
        </w:tc>
      </w:tr>
      <w:tr w:rsidR="00541949" w:rsidRPr="002A6A84" w14:paraId="57100D9D" w14:textId="77777777" w:rsidTr="00541949">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41881F" w14:textId="4CC82CCA" w:rsidR="00541949" w:rsidRPr="002A6A84" w:rsidRDefault="00541949" w:rsidP="00972096">
            <w:pPr>
              <w:spacing w:line="276" w:lineRule="auto"/>
              <w:rPr>
                <w:rFonts w:ascii="Times New Roman" w:hAnsi="Times New Roman"/>
                <w:b/>
                <w:sz w:val="24"/>
                <w:szCs w:val="24"/>
                <w:lang w:val="ro-RO"/>
              </w:rPr>
            </w:pPr>
            <w:r w:rsidRPr="002A6A84">
              <w:rPr>
                <w:rFonts w:ascii="Times New Roman" w:hAnsi="Times New Roman"/>
                <w:b/>
                <w:sz w:val="24"/>
                <w:szCs w:val="24"/>
                <w:lang w:val="ro-MD"/>
              </w:rPr>
              <w:t>Nu este aplicabil.</w:t>
            </w:r>
          </w:p>
        </w:tc>
      </w:tr>
      <w:tr w:rsidR="00BB271D" w:rsidRPr="002A6A84" w14:paraId="3B7343AE"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1D38A73" w14:textId="77777777" w:rsidR="00BB271D" w:rsidRPr="002A6A84" w:rsidRDefault="00A46A3E" w:rsidP="00972096">
            <w:pPr>
              <w:spacing w:line="276" w:lineRule="auto"/>
              <w:rPr>
                <w:rFonts w:ascii="Times New Roman" w:hAnsi="Times New Roman"/>
                <w:sz w:val="24"/>
                <w:szCs w:val="24"/>
                <w:lang w:val="ro-RO"/>
              </w:rPr>
            </w:pPr>
            <w:r w:rsidRPr="002A6A84">
              <w:rPr>
                <w:rFonts w:ascii="Times New Roman" w:hAnsi="Times New Roman"/>
                <w:sz w:val="24"/>
                <w:szCs w:val="24"/>
                <w:lang w:val="ro-RO"/>
              </w:rPr>
              <w:t>4.6. Alte impacturi și informații relevante</w:t>
            </w:r>
          </w:p>
        </w:tc>
      </w:tr>
      <w:tr w:rsidR="00BB271D" w:rsidRPr="002A6A84" w14:paraId="02857654"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FF84540" w14:textId="0BC027B4" w:rsidR="00BB271D" w:rsidRPr="002A6A84" w:rsidRDefault="00541949" w:rsidP="00972096">
            <w:pPr>
              <w:spacing w:line="276" w:lineRule="auto"/>
              <w:rPr>
                <w:rFonts w:ascii="Times New Roman" w:hAnsi="Times New Roman"/>
                <w:b/>
                <w:sz w:val="24"/>
                <w:szCs w:val="24"/>
                <w:lang w:val="ro-RO"/>
              </w:rPr>
            </w:pPr>
            <w:r w:rsidRPr="002A6A84">
              <w:rPr>
                <w:rFonts w:ascii="Times New Roman" w:hAnsi="Times New Roman"/>
                <w:b/>
                <w:sz w:val="24"/>
                <w:szCs w:val="24"/>
                <w:lang w:val="ro-MD"/>
              </w:rPr>
              <w:t>Nu este aplicabil.</w:t>
            </w:r>
          </w:p>
        </w:tc>
      </w:tr>
      <w:tr w:rsidR="00BB271D" w:rsidRPr="002A6A84" w14:paraId="42ACBB1A"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5193255" w14:textId="77777777" w:rsidR="00BB271D" w:rsidRPr="002A6A84" w:rsidRDefault="00A46A3E" w:rsidP="00972096">
            <w:pPr>
              <w:spacing w:line="276" w:lineRule="auto"/>
              <w:rPr>
                <w:rFonts w:ascii="Times New Roman" w:hAnsi="Times New Roman"/>
                <w:b/>
                <w:bCs/>
                <w:sz w:val="24"/>
                <w:szCs w:val="24"/>
                <w:lang w:val="ro-RO"/>
              </w:rPr>
            </w:pPr>
            <w:r w:rsidRPr="002A6A84">
              <w:rPr>
                <w:rFonts w:ascii="Times New Roman" w:hAnsi="Times New Roman"/>
                <w:b/>
                <w:bCs/>
                <w:sz w:val="24"/>
                <w:szCs w:val="24"/>
                <w:lang w:val="ro-RO"/>
              </w:rPr>
              <w:t xml:space="preserve">5. Compatibilitatea proiectului actului normativ cu legislația UE </w:t>
            </w:r>
          </w:p>
        </w:tc>
      </w:tr>
      <w:tr w:rsidR="00BB271D" w:rsidRPr="002A6A84" w14:paraId="4FD927D7"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7792A537" w14:textId="77777777" w:rsidR="00BB271D" w:rsidRPr="002A6A84" w:rsidRDefault="00A46A3E" w:rsidP="00972096">
            <w:pPr>
              <w:spacing w:line="276" w:lineRule="auto"/>
              <w:rPr>
                <w:rFonts w:ascii="Times New Roman" w:hAnsi="Times New Roman"/>
                <w:sz w:val="24"/>
                <w:szCs w:val="24"/>
                <w:lang w:val="ro-RO"/>
              </w:rPr>
            </w:pPr>
            <w:r w:rsidRPr="002A6A84">
              <w:rPr>
                <w:rFonts w:ascii="Times New Roman" w:hAnsi="Times New Roman"/>
                <w:sz w:val="24"/>
                <w:szCs w:val="24"/>
                <w:lang w:val="ro-RO"/>
              </w:rPr>
              <w:t>5.1. Măsuri normative necesare pentru transpunerea actelor juridice ale UE în legislația națională</w:t>
            </w:r>
          </w:p>
        </w:tc>
      </w:tr>
      <w:tr w:rsidR="00541949" w:rsidRPr="002A6A84" w14:paraId="4DA81CC8" w14:textId="77777777" w:rsidTr="00541949">
        <w:tc>
          <w:tcPr>
            <w:tcW w:w="9629"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E1D1B2B" w14:textId="45650E88" w:rsidR="00541949" w:rsidRPr="002A6A84" w:rsidRDefault="00541949" w:rsidP="00972096">
            <w:pPr>
              <w:spacing w:line="276" w:lineRule="auto"/>
              <w:rPr>
                <w:rFonts w:ascii="Times New Roman" w:hAnsi="Times New Roman"/>
                <w:b/>
                <w:sz w:val="24"/>
                <w:szCs w:val="24"/>
                <w:lang w:val="ro-RO"/>
              </w:rPr>
            </w:pPr>
            <w:r w:rsidRPr="002A6A84">
              <w:rPr>
                <w:rFonts w:ascii="Times New Roman" w:hAnsi="Times New Roman"/>
                <w:b/>
                <w:sz w:val="24"/>
                <w:szCs w:val="24"/>
                <w:lang w:val="ro-MD"/>
              </w:rPr>
              <w:t>Nu este aplicabil.</w:t>
            </w:r>
          </w:p>
        </w:tc>
      </w:tr>
      <w:tr w:rsidR="00BB271D" w:rsidRPr="002A6A84" w14:paraId="474FA25D"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8DA3C7E" w14:textId="77777777" w:rsidR="00BB271D" w:rsidRPr="002A6A84" w:rsidRDefault="00A46A3E" w:rsidP="00972096">
            <w:pPr>
              <w:spacing w:line="276" w:lineRule="auto"/>
              <w:rPr>
                <w:rFonts w:ascii="Times New Roman" w:hAnsi="Times New Roman"/>
                <w:sz w:val="24"/>
                <w:szCs w:val="24"/>
                <w:lang w:val="ro-RO"/>
              </w:rPr>
            </w:pPr>
            <w:r w:rsidRPr="002A6A84">
              <w:rPr>
                <w:rFonts w:ascii="Times New Roman" w:hAnsi="Times New Roman"/>
                <w:sz w:val="24"/>
                <w:szCs w:val="24"/>
                <w:lang w:val="ro-RO"/>
              </w:rPr>
              <w:t>5.2. Măsuri normative care urmăresc crearea cadrului juridic intern necesar pentru implementarea legislației UE</w:t>
            </w:r>
          </w:p>
        </w:tc>
      </w:tr>
      <w:tr w:rsidR="00BB271D" w:rsidRPr="002A6A84" w14:paraId="11B99B1D"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3853BA5" w14:textId="77777777" w:rsidR="005F5F6D" w:rsidRDefault="00541949" w:rsidP="00972096">
            <w:pPr>
              <w:spacing w:line="276" w:lineRule="auto"/>
              <w:rPr>
                <w:rFonts w:ascii="Times New Roman" w:hAnsi="Times New Roman"/>
                <w:sz w:val="24"/>
                <w:szCs w:val="24"/>
                <w:lang w:val="ro-RO"/>
              </w:rPr>
            </w:pPr>
            <w:r w:rsidRPr="002A6A84">
              <w:rPr>
                <w:rFonts w:ascii="Times New Roman" w:hAnsi="Times New Roman"/>
                <w:sz w:val="24"/>
                <w:szCs w:val="24"/>
                <w:lang w:val="ro-RO"/>
              </w:rPr>
              <w:t>Proiectul respectă prevederile legislației naționale și nu intră în contradicție cu prevederile legislației UE.</w:t>
            </w:r>
          </w:p>
          <w:p w14:paraId="55149589" w14:textId="25587B85" w:rsidR="00E50E2B" w:rsidRPr="002A6A84" w:rsidRDefault="00E50E2B" w:rsidP="00972096">
            <w:pPr>
              <w:spacing w:line="276" w:lineRule="auto"/>
              <w:rPr>
                <w:rFonts w:ascii="Times New Roman" w:hAnsi="Times New Roman"/>
                <w:sz w:val="24"/>
                <w:szCs w:val="24"/>
                <w:lang w:val="ro-RO"/>
              </w:rPr>
            </w:pPr>
          </w:p>
        </w:tc>
      </w:tr>
      <w:tr w:rsidR="00BB271D" w:rsidRPr="002A6A84" w14:paraId="103E879C"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880620F" w14:textId="77777777" w:rsidR="00BB271D" w:rsidRPr="002A6A84" w:rsidRDefault="00A46A3E" w:rsidP="00972096">
            <w:pPr>
              <w:spacing w:line="276" w:lineRule="auto"/>
              <w:rPr>
                <w:rFonts w:ascii="Times New Roman" w:hAnsi="Times New Roman"/>
                <w:b/>
                <w:bCs/>
                <w:sz w:val="24"/>
                <w:szCs w:val="24"/>
                <w:lang w:val="ro-RO"/>
              </w:rPr>
            </w:pPr>
            <w:r w:rsidRPr="002A6A84">
              <w:rPr>
                <w:rFonts w:ascii="Times New Roman" w:hAnsi="Times New Roman"/>
                <w:b/>
                <w:bCs/>
                <w:sz w:val="24"/>
                <w:szCs w:val="24"/>
                <w:lang w:val="ro-RO"/>
              </w:rPr>
              <w:t>6. Avizarea și consultarea publică a proiectului actului normativ</w:t>
            </w:r>
          </w:p>
        </w:tc>
      </w:tr>
      <w:tr w:rsidR="00BB271D" w:rsidRPr="002A6A84" w14:paraId="7547CDB7"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C764430" w14:textId="135A4670" w:rsidR="003D1780" w:rsidRPr="00E50E2B" w:rsidRDefault="005F5F6D" w:rsidP="003D1780">
            <w:pPr>
              <w:spacing w:line="276" w:lineRule="auto"/>
              <w:ind w:firstLine="750"/>
              <w:rPr>
                <w:rFonts w:ascii="Times New Roman" w:hAnsi="Times New Roman"/>
                <w:sz w:val="24"/>
                <w:szCs w:val="24"/>
              </w:rPr>
            </w:pPr>
            <w:r w:rsidRPr="002A6A84">
              <w:rPr>
                <w:rFonts w:ascii="Times New Roman" w:hAnsi="Times New Roman"/>
                <w:sz w:val="24"/>
                <w:szCs w:val="24"/>
                <w:lang w:val="ro-MD"/>
              </w:rPr>
              <w:t>În scopul respectării prevederilor Legii nr. 239/2008 privind transparența în procesul decizional</w:t>
            </w:r>
            <w:r w:rsidRPr="00E50E2B">
              <w:rPr>
                <w:rFonts w:ascii="Times New Roman" w:hAnsi="Times New Roman"/>
                <w:sz w:val="24"/>
                <w:szCs w:val="24"/>
                <w:lang w:val="ro-MD"/>
              </w:rPr>
              <w:t xml:space="preserve">, anunțul privind </w:t>
            </w:r>
            <w:r w:rsidR="005D0C30" w:rsidRPr="00E50E2B">
              <w:rPr>
                <w:rFonts w:ascii="Times New Roman" w:hAnsi="Times New Roman"/>
                <w:sz w:val="24"/>
                <w:szCs w:val="24"/>
                <w:lang w:val="ro-MD"/>
              </w:rPr>
              <w:t>ini</w:t>
            </w:r>
            <w:r w:rsidR="005D0C30" w:rsidRPr="00E50E2B">
              <w:rPr>
                <w:rFonts w:ascii="Times New Roman" w:hAnsi="Times New Roman"/>
                <w:sz w:val="24"/>
                <w:szCs w:val="24"/>
                <w:lang w:val="ro-RO"/>
              </w:rPr>
              <w:t xml:space="preserve">țierea </w:t>
            </w:r>
            <w:r w:rsidR="00792950" w:rsidRPr="00E50E2B">
              <w:rPr>
                <w:rFonts w:ascii="Times New Roman" w:hAnsi="Times New Roman"/>
                <w:sz w:val="24"/>
                <w:szCs w:val="24"/>
                <w:lang w:val="ro-MD"/>
              </w:rPr>
              <w:t xml:space="preserve">procesului de consultare publică a </w:t>
            </w:r>
            <w:r w:rsidR="005D0C30" w:rsidRPr="00E50E2B">
              <w:rPr>
                <w:rFonts w:ascii="Times New Roman" w:hAnsi="Times New Roman"/>
                <w:sz w:val="24"/>
                <w:szCs w:val="24"/>
                <w:lang w:val="ro-MD"/>
              </w:rPr>
              <w:t xml:space="preserve">proiectului </w:t>
            </w:r>
            <w:r w:rsidRPr="00E50E2B">
              <w:rPr>
                <w:rFonts w:ascii="Times New Roman" w:hAnsi="Times New Roman"/>
                <w:sz w:val="24"/>
                <w:szCs w:val="24"/>
                <w:lang w:val="ro-MD"/>
              </w:rPr>
              <w:t xml:space="preserve">a fost plasat pe pagina web oficială a Ministerului Educației și Cercetării, </w:t>
            </w:r>
            <w:hyperlink r:id="rId11" w:history="1">
              <w:r w:rsidRPr="00E50E2B">
                <w:rPr>
                  <w:rStyle w:val="Hyperlink"/>
                  <w:rFonts w:ascii="Times New Roman" w:hAnsi="Times New Roman"/>
                  <w:sz w:val="24"/>
                  <w:szCs w:val="24"/>
                  <w:lang w:val="ro-MD"/>
                </w:rPr>
                <w:t>www.mec.gov.md</w:t>
              </w:r>
            </w:hyperlink>
            <w:r w:rsidRPr="00E50E2B">
              <w:rPr>
                <w:rFonts w:ascii="Times New Roman" w:hAnsi="Times New Roman"/>
                <w:sz w:val="24"/>
                <w:szCs w:val="24"/>
                <w:lang w:val="ro-MD"/>
              </w:rPr>
              <w:t xml:space="preserve">, la compartimentul Transparența decizională, precum și pe pagina web </w:t>
            </w:r>
            <w:hyperlink r:id="rId12" w:history="1">
              <w:r w:rsidR="005D0C30" w:rsidRPr="00E50E2B">
                <w:rPr>
                  <w:rStyle w:val="Hyperlink"/>
                  <w:rFonts w:ascii="Times New Roman" w:hAnsi="Times New Roman"/>
                  <w:sz w:val="24"/>
                  <w:szCs w:val="24"/>
                  <w:lang w:val="ro-MD"/>
                </w:rPr>
                <w:t>www.particip.gov.md</w:t>
              </w:r>
            </w:hyperlink>
            <w:r w:rsidR="005D0C30" w:rsidRPr="00E50E2B">
              <w:rPr>
                <w:rFonts w:ascii="Times New Roman" w:hAnsi="Times New Roman"/>
                <w:sz w:val="24"/>
                <w:szCs w:val="24"/>
                <w:lang w:val="ro-MD"/>
              </w:rPr>
              <w:t xml:space="preserve">. </w:t>
            </w:r>
            <w:r w:rsidR="00C13E2E" w:rsidRPr="00E50E2B">
              <w:rPr>
                <w:rFonts w:ascii="Times New Roman" w:hAnsi="Times New Roman"/>
                <w:sz w:val="24"/>
                <w:szCs w:val="24"/>
                <w:lang w:val="ro-MD"/>
              </w:rPr>
              <w:t xml:space="preserve">Link de acces: </w:t>
            </w:r>
            <w:hyperlink r:id="rId13" w:history="1">
              <w:r w:rsidR="00DD4847" w:rsidRPr="00E50E2B">
                <w:rPr>
                  <w:rStyle w:val="Hyperlink"/>
                  <w:rFonts w:ascii="Times New Roman" w:hAnsi="Times New Roman"/>
                  <w:sz w:val="24"/>
                  <w:szCs w:val="24"/>
                  <w:shd w:val="clear" w:color="auto" w:fill="FFFFFF"/>
                </w:rPr>
                <w:t>https://particip.gov.md/ro/document/stages/*/14230</w:t>
              </w:r>
            </w:hyperlink>
            <w:r w:rsidR="00DD4847" w:rsidRPr="00E50E2B">
              <w:rPr>
                <w:rFonts w:ascii="Times New Roman" w:hAnsi="Times New Roman"/>
                <w:color w:val="005A95"/>
                <w:sz w:val="24"/>
                <w:szCs w:val="24"/>
                <w:shd w:val="clear" w:color="auto" w:fill="FFFFFF"/>
              </w:rPr>
              <w:t xml:space="preserve"> </w:t>
            </w:r>
          </w:p>
          <w:p w14:paraId="2C0ABB2A" w14:textId="6A3BB86A" w:rsidR="005D0C30" w:rsidRDefault="00F048CE" w:rsidP="00972096">
            <w:pPr>
              <w:spacing w:line="276" w:lineRule="auto"/>
              <w:ind w:firstLine="0"/>
              <w:rPr>
                <w:rFonts w:ascii="Times New Roman" w:hAnsi="Times New Roman"/>
                <w:sz w:val="24"/>
                <w:szCs w:val="24"/>
                <w:lang w:val="ro-RO"/>
              </w:rPr>
            </w:pPr>
            <w:r w:rsidRPr="00E50E2B">
              <w:rPr>
                <w:rFonts w:ascii="Times New Roman" w:hAnsi="Times New Roman"/>
                <w:sz w:val="24"/>
                <w:szCs w:val="24"/>
              </w:rPr>
              <w:t xml:space="preserve">             </w:t>
            </w:r>
            <w:proofErr w:type="spellStart"/>
            <w:r w:rsidR="005D0C30" w:rsidRPr="00E50E2B">
              <w:rPr>
                <w:rFonts w:ascii="Times New Roman" w:hAnsi="Times New Roman"/>
                <w:sz w:val="24"/>
                <w:szCs w:val="24"/>
              </w:rPr>
              <w:t>Proiectul</w:t>
            </w:r>
            <w:proofErr w:type="spellEnd"/>
            <w:r w:rsidR="005D0C30" w:rsidRPr="00E50E2B">
              <w:rPr>
                <w:rFonts w:ascii="Times New Roman" w:hAnsi="Times New Roman"/>
                <w:sz w:val="24"/>
                <w:szCs w:val="24"/>
              </w:rPr>
              <w:t xml:space="preserve"> </w:t>
            </w:r>
            <w:proofErr w:type="spellStart"/>
            <w:r w:rsidR="005D0C30" w:rsidRPr="00E50E2B">
              <w:rPr>
                <w:rFonts w:ascii="Times New Roman" w:hAnsi="Times New Roman"/>
                <w:sz w:val="24"/>
                <w:szCs w:val="24"/>
              </w:rPr>
              <w:t>urmează</w:t>
            </w:r>
            <w:proofErr w:type="spellEnd"/>
            <w:r w:rsidR="005D0C30" w:rsidRPr="00E50E2B">
              <w:rPr>
                <w:rFonts w:ascii="Times New Roman" w:hAnsi="Times New Roman"/>
                <w:sz w:val="24"/>
                <w:szCs w:val="24"/>
              </w:rPr>
              <w:t xml:space="preserve"> a fi </w:t>
            </w:r>
            <w:proofErr w:type="spellStart"/>
            <w:r w:rsidR="005D0C30" w:rsidRPr="00E50E2B">
              <w:rPr>
                <w:rFonts w:ascii="Times New Roman" w:hAnsi="Times New Roman"/>
                <w:sz w:val="24"/>
                <w:szCs w:val="24"/>
              </w:rPr>
              <w:t>avizat</w:t>
            </w:r>
            <w:proofErr w:type="spellEnd"/>
            <w:r w:rsidR="005D0C30" w:rsidRPr="00E50E2B">
              <w:rPr>
                <w:rFonts w:ascii="Times New Roman" w:hAnsi="Times New Roman"/>
                <w:sz w:val="24"/>
                <w:szCs w:val="24"/>
              </w:rPr>
              <w:t xml:space="preserve"> la</w:t>
            </w:r>
            <w:r w:rsidR="005C53B2" w:rsidRPr="00E50E2B">
              <w:rPr>
                <w:rFonts w:ascii="Times New Roman" w:hAnsi="Times New Roman"/>
                <w:sz w:val="24"/>
                <w:szCs w:val="24"/>
              </w:rPr>
              <w:t xml:space="preserve"> </w:t>
            </w:r>
            <w:r w:rsidRPr="00E50E2B">
              <w:rPr>
                <w:rFonts w:ascii="Times New Roman" w:hAnsi="Times New Roman"/>
                <w:sz w:val="24"/>
                <w:szCs w:val="24"/>
                <w:lang w:val="ro-RO"/>
              </w:rPr>
              <w:t>Ministerul Finanțelor, Ministerul Muncii și Protecției Sociale, Ministerul Infrastructurii și Dezvoltării Regionale, Ministerul Dezvoltării Economice</w:t>
            </w:r>
            <w:r w:rsidRPr="00F048CE">
              <w:rPr>
                <w:rFonts w:ascii="Times New Roman" w:hAnsi="Times New Roman"/>
                <w:sz w:val="24"/>
                <w:szCs w:val="24"/>
                <w:lang w:val="ro-RO"/>
              </w:rPr>
              <w:t xml:space="preserve"> și </w:t>
            </w:r>
            <w:r w:rsidRPr="00F048CE">
              <w:rPr>
                <w:rFonts w:ascii="Times New Roman" w:hAnsi="Times New Roman"/>
                <w:sz w:val="24"/>
                <w:szCs w:val="24"/>
                <w:lang w:val="ro-RO"/>
              </w:rPr>
              <w:lastRenderedPageBreak/>
              <w:t xml:space="preserve">Digitalizării, Ministerul Apărării, Ministerul Afacerilor Interne, Ministerul Sănătății, </w:t>
            </w:r>
            <w:r w:rsidR="003D1780">
              <w:rPr>
                <w:rFonts w:ascii="Times New Roman" w:hAnsi="Times New Roman"/>
                <w:sz w:val="24"/>
                <w:szCs w:val="24"/>
                <w:lang w:val="ro-RO"/>
              </w:rPr>
              <w:t>Camera de Comerț și Industrie.</w:t>
            </w:r>
          </w:p>
          <w:p w14:paraId="49E51AF4" w14:textId="09C62A1D" w:rsidR="00E50E2B" w:rsidRPr="00F048CE" w:rsidRDefault="00E50E2B" w:rsidP="00972096">
            <w:pPr>
              <w:spacing w:line="276" w:lineRule="auto"/>
              <w:ind w:firstLine="0"/>
              <w:rPr>
                <w:rFonts w:ascii="Times New Roman" w:hAnsi="Times New Roman"/>
                <w:b/>
                <w:bCs/>
                <w:sz w:val="24"/>
                <w:szCs w:val="24"/>
                <w:lang w:val="ro-RO"/>
              </w:rPr>
            </w:pPr>
          </w:p>
        </w:tc>
      </w:tr>
      <w:tr w:rsidR="00BB271D" w:rsidRPr="002A6A84" w14:paraId="039CFC11"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5EABE5D5" w14:textId="77777777" w:rsidR="00BB271D" w:rsidRPr="002A6A84" w:rsidRDefault="00A46A3E" w:rsidP="00972096">
            <w:pPr>
              <w:spacing w:line="276" w:lineRule="auto"/>
              <w:rPr>
                <w:rFonts w:ascii="Times New Roman" w:hAnsi="Times New Roman"/>
                <w:b/>
                <w:bCs/>
                <w:sz w:val="24"/>
                <w:szCs w:val="24"/>
                <w:lang w:val="ro-RO"/>
              </w:rPr>
            </w:pPr>
            <w:r w:rsidRPr="002A6A84">
              <w:rPr>
                <w:rFonts w:ascii="Times New Roman" w:hAnsi="Times New Roman"/>
                <w:b/>
                <w:bCs/>
                <w:sz w:val="24"/>
                <w:szCs w:val="24"/>
                <w:lang w:val="ro-RO"/>
              </w:rPr>
              <w:lastRenderedPageBreak/>
              <w:t>7. Concluziile expertizelor</w:t>
            </w:r>
          </w:p>
        </w:tc>
      </w:tr>
      <w:tr w:rsidR="00BB271D" w:rsidRPr="002A6A84" w14:paraId="73157A50"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B52B388" w14:textId="77777777" w:rsidR="005F5F6D" w:rsidRDefault="004A3C07" w:rsidP="00972096">
            <w:pPr>
              <w:spacing w:line="276" w:lineRule="auto"/>
              <w:rPr>
                <w:rFonts w:ascii="Times New Roman" w:hAnsi="Times New Roman"/>
                <w:sz w:val="24"/>
                <w:szCs w:val="24"/>
                <w:lang w:val="ro-RO"/>
              </w:rPr>
            </w:pPr>
            <w:r w:rsidRPr="002A6A84">
              <w:rPr>
                <w:rFonts w:ascii="Times New Roman" w:hAnsi="Times New Roman"/>
                <w:sz w:val="24"/>
                <w:szCs w:val="24"/>
                <w:lang w:val="ro-RO"/>
              </w:rPr>
              <w:t xml:space="preserve">Proiectul urmează a fi supus </w:t>
            </w:r>
            <w:r w:rsidR="005C53B2" w:rsidRPr="002A6A84">
              <w:rPr>
                <w:rFonts w:ascii="Times New Roman" w:hAnsi="Times New Roman"/>
                <w:sz w:val="24"/>
                <w:szCs w:val="24"/>
                <w:lang w:val="ro-RO"/>
              </w:rPr>
              <w:t>expertizei juridice la Ministerul Justiției și expertizei anticorupție la Centrul Național Anticorupție.</w:t>
            </w:r>
          </w:p>
          <w:p w14:paraId="387EC9EE" w14:textId="39BE4CBB" w:rsidR="00E50E2B" w:rsidRPr="002A6A84" w:rsidRDefault="00E50E2B" w:rsidP="00972096">
            <w:pPr>
              <w:spacing w:line="276" w:lineRule="auto"/>
              <w:rPr>
                <w:rFonts w:ascii="Times New Roman" w:hAnsi="Times New Roman"/>
                <w:b/>
                <w:bCs/>
                <w:sz w:val="24"/>
                <w:szCs w:val="24"/>
                <w:lang w:val="ro-RO"/>
              </w:rPr>
            </w:pPr>
          </w:p>
        </w:tc>
      </w:tr>
      <w:tr w:rsidR="00BB271D" w:rsidRPr="002A6A84" w14:paraId="628B7959"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A023A83" w14:textId="77777777" w:rsidR="00BB271D" w:rsidRPr="002A6A84" w:rsidRDefault="00A46A3E" w:rsidP="00972096">
            <w:pPr>
              <w:spacing w:line="276" w:lineRule="auto"/>
              <w:rPr>
                <w:rFonts w:ascii="Times New Roman" w:hAnsi="Times New Roman"/>
                <w:b/>
                <w:bCs/>
                <w:sz w:val="24"/>
                <w:szCs w:val="24"/>
                <w:lang w:val="ro-RO"/>
              </w:rPr>
            </w:pPr>
            <w:r w:rsidRPr="002A6A84">
              <w:rPr>
                <w:rFonts w:ascii="Times New Roman" w:hAnsi="Times New Roman"/>
                <w:b/>
                <w:bCs/>
                <w:sz w:val="24"/>
                <w:szCs w:val="24"/>
                <w:lang w:val="ro-RO"/>
              </w:rPr>
              <w:t>8. Modul de încorporare a actului în cadrul normativ existent</w:t>
            </w:r>
          </w:p>
        </w:tc>
      </w:tr>
      <w:tr w:rsidR="00BB271D" w:rsidRPr="002A6A84" w14:paraId="762BF38A"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BBB294B" w14:textId="502E67F1" w:rsidR="005F5F6D" w:rsidRPr="002A6A84" w:rsidRDefault="005C53B2" w:rsidP="00972096">
            <w:pPr>
              <w:spacing w:line="276" w:lineRule="auto"/>
              <w:rPr>
                <w:rFonts w:ascii="Times New Roman" w:hAnsi="Times New Roman"/>
                <w:b/>
                <w:bCs/>
                <w:sz w:val="24"/>
                <w:szCs w:val="24"/>
                <w:lang w:val="ro-RO"/>
              </w:rPr>
            </w:pPr>
            <w:r w:rsidRPr="002A6A84">
              <w:rPr>
                <w:rFonts w:ascii="Times New Roman" w:hAnsi="Times New Roman"/>
                <w:b/>
                <w:bCs/>
                <w:sz w:val="24"/>
                <w:szCs w:val="24"/>
                <w:lang w:val="ro-RO"/>
              </w:rPr>
              <w:t>Nu este aplicabil.</w:t>
            </w:r>
            <w:r w:rsidR="00A46A3E" w:rsidRPr="002A6A84">
              <w:rPr>
                <w:rFonts w:ascii="Times New Roman" w:hAnsi="Times New Roman"/>
                <w:b/>
                <w:bCs/>
                <w:sz w:val="24"/>
                <w:szCs w:val="24"/>
                <w:lang w:val="ro-RO"/>
              </w:rPr>
              <w:t xml:space="preserve"> </w:t>
            </w:r>
          </w:p>
        </w:tc>
      </w:tr>
      <w:tr w:rsidR="00BB271D" w:rsidRPr="002A6A84" w14:paraId="7E88909C" w14:textId="77777777" w:rsidTr="00293CA7">
        <w:tc>
          <w:tcPr>
            <w:tcW w:w="962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0F2AF869" w14:textId="77777777" w:rsidR="00BB271D" w:rsidRPr="002A6A84" w:rsidRDefault="00A46A3E" w:rsidP="00972096">
            <w:pPr>
              <w:spacing w:line="276" w:lineRule="auto"/>
              <w:rPr>
                <w:rFonts w:ascii="Times New Roman" w:hAnsi="Times New Roman"/>
                <w:b/>
                <w:bCs/>
                <w:sz w:val="24"/>
                <w:szCs w:val="24"/>
                <w:lang w:val="ro-RO"/>
              </w:rPr>
            </w:pPr>
            <w:r w:rsidRPr="002A6A84">
              <w:rPr>
                <w:rFonts w:ascii="Times New Roman" w:hAnsi="Times New Roman"/>
                <w:b/>
                <w:bCs/>
                <w:sz w:val="24"/>
                <w:szCs w:val="24"/>
                <w:lang w:val="ro-RO"/>
              </w:rPr>
              <w:t>9. Măsurile necesare pentru implementarea prevederilor proiectului actului normativ</w:t>
            </w:r>
          </w:p>
        </w:tc>
      </w:tr>
      <w:tr w:rsidR="00BB271D" w:rsidRPr="002A6A84" w14:paraId="76CA0EBD" w14:textId="77777777" w:rsidTr="00293CA7">
        <w:tc>
          <w:tcPr>
            <w:tcW w:w="962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A63DDAA" w14:textId="1B13A6B9" w:rsidR="002A6A84" w:rsidRPr="002A6A84" w:rsidRDefault="002A6A84" w:rsidP="00972096">
            <w:pPr>
              <w:spacing w:line="276" w:lineRule="auto"/>
              <w:rPr>
                <w:rFonts w:ascii="Times New Roman" w:hAnsi="Times New Roman"/>
                <w:sz w:val="24"/>
                <w:szCs w:val="24"/>
                <w:lang w:val="ro-RO"/>
              </w:rPr>
            </w:pPr>
            <w:r w:rsidRPr="002A6A84">
              <w:rPr>
                <w:rFonts w:ascii="Times New Roman" w:hAnsi="Times New Roman"/>
                <w:sz w:val="24"/>
                <w:szCs w:val="24"/>
                <w:lang w:val="ro-RO"/>
              </w:rPr>
              <w:t>Pentru implementarea prevederilor proiectului actului normativ nu sunt nece</w:t>
            </w:r>
            <w:r w:rsidR="00BF2073">
              <w:rPr>
                <w:rFonts w:ascii="Times New Roman" w:hAnsi="Times New Roman"/>
                <w:sz w:val="24"/>
                <w:szCs w:val="24"/>
                <w:lang w:val="ro-RO"/>
              </w:rPr>
              <w:t>s</w:t>
            </w:r>
            <w:r w:rsidRPr="002A6A84">
              <w:rPr>
                <w:rFonts w:ascii="Times New Roman" w:hAnsi="Times New Roman"/>
                <w:sz w:val="24"/>
                <w:szCs w:val="24"/>
                <w:lang w:val="ro-RO"/>
              </w:rPr>
              <w:t>are măsuri</w:t>
            </w:r>
          </w:p>
          <w:p w14:paraId="273097D5" w14:textId="77777777" w:rsidR="00BB271D" w:rsidRDefault="002A6A84" w:rsidP="00972096">
            <w:pPr>
              <w:spacing w:line="276" w:lineRule="auto"/>
              <w:ind w:firstLine="0"/>
              <w:rPr>
                <w:rFonts w:ascii="Times New Roman" w:hAnsi="Times New Roman"/>
                <w:sz w:val="24"/>
                <w:szCs w:val="24"/>
                <w:lang w:val="ro-RO"/>
              </w:rPr>
            </w:pPr>
            <w:r w:rsidRPr="002A6A84">
              <w:rPr>
                <w:rFonts w:ascii="Times New Roman" w:hAnsi="Times New Roman"/>
                <w:sz w:val="24"/>
                <w:szCs w:val="24"/>
                <w:lang w:val="ro-RO"/>
              </w:rPr>
              <w:t>suplimentare.</w:t>
            </w:r>
          </w:p>
          <w:p w14:paraId="5820A0EA" w14:textId="743BB026" w:rsidR="00E50E2B" w:rsidRPr="002A6A84" w:rsidRDefault="00E50E2B" w:rsidP="00972096">
            <w:pPr>
              <w:spacing w:line="276" w:lineRule="auto"/>
              <w:ind w:firstLine="0"/>
              <w:rPr>
                <w:rFonts w:ascii="Times New Roman" w:hAnsi="Times New Roman"/>
                <w:sz w:val="24"/>
                <w:szCs w:val="24"/>
                <w:lang w:val="ro-RO"/>
              </w:rPr>
            </w:pPr>
          </w:p>
        </w:tc>
      </w:tr>
    </w:tbl>
    <w:p w14:paraId="03538015" w14:textId="250B5F4E" w:rsidR="00BB271D" w:rsidRPr="002A6A84" w:rsidRDefault="00BB271D" w:rsidP="00834AB9">
      <w:pPr>
        <w:pBdr>
          <w:top w:val="none" w:sz="4" w:space="0" w:color="000000"/>
          <w:left w:val="none" w:sz="4" w:space="0" w:color="000000"/>
          <w:bottom w:val="none" w:sz="4" w:space="0" w:color="000000"/>
          <w:right w:val="none" w:sz="4" w:space="0" w:color="000000"/>
        </w:pBdr>
        <w:tabs>
          <w:tab w:val="left" w:pos="884"/>
          <w:tab w:val="left" w:pos="1196"/>
        </w:tabs>
        <w:rPr>
          <w:sz w:val="24"/>
          <w:szCs w:val="24"/>
          <w:lang w:val="ro-RO"/>
        </w:rPr>
      </w:pPr>
    </w:p>
    <w:p w14:paraId="36C76A90" w14:textId="77777777" w:rsidR="009C1993" w:rsidRDefault="009C1993" w:rsidP="00834AB9">
      <w:pPr>
        <w:ind w:firstLine="708"/>
        <w:jc w:val="center"/>
        <w:rPr>
          <w:b/>
          <w:sz w:val="24"/>
          <w:szCs w:val="24"/>
          <w:lang w:val="ro-MD"/>
        </w:rPr>
      </w:pPr>
    </w:p>
    <w:p w14:paraId="62727438" w14:textId="77777777" w:rsidR="009C1993" w:rsidRDefault="009C1993" w:rsidP="00834AB9">
      <w:pPr>
        <w:ind w:firstLine="708"/>
        <w:jc w:val="center"/>
        <w:rPr>
          <w:b/>
          <w:sz w:val="24"/>
          <w:szCs w:val="24"/>
          <w:lang w:val="ro-MD"/>
        </w:rPr>
      </w:pPr>
    </w:p>
    <w:p w14:paraId="0D2FA64B" w14:textId="322D5B3C" w:rsidR="00834AB9" w:rsidRDefault="00834AB9" w:rsidP="00472ED4">
      <w:pPr>
        <w:ind w:right="283" w:firstLine="0"/>
        <w:jc w:val="center"/>
        <w:rPr>
          <w:b/>
          <w:sz w:val="24"/>
          <w:szCs w:val="24"/>
          <w:lang w:val="ro-MD"/>
        </w:rPr>
      </w:pPr>
      <w:r w:rsidRPr="002A6A84">
        <w:rPr>
          <w:b/>
          <w:sz w:val="24"/>
          <w:szCs w:val="24"/>
          <w:lang w:val="ro-MD"/>
        </w:rPr>
        <w:t xml:space="preserve">Ministru </w:t>
      </w:r>
      <w:r w:rsidRPr="002A6A84">
        <w:rPr>
          <w:b/>
          <w:sz w:val="24"/>
          <w:szCs w:val="24"/>
          <w:lang w:val="ro-MD"/>
        </w:rPr>
        <w:tab/>
      </w:r>
      <w:r w:rsidRPr="002A6A84">
        <w:rPr>
          <w:b/>
          <w:sz w:val="24"/>
          <w:szCs w:val="24"/>
          <w:lang w:val="ro-MD"/>
        </w:rPr>
        <w:tab/>
      </w:r>
      <w:r w:rsidRPr="002A6A84">
        <w:rPr>
          <w:b/>
          <w:sz w:val="24"/>
          <w:szCs w:val="24"/>
          <w:lang w:val="ro-MD"/>
        </w:rPr>
        <w:tab/>
      </w:r>
      <w:r w:rsidRPr="002A6A84">
        <w:rPr>
          <w:b/>
          <w:sz w:val="24"/>
          <w:szCs w:val="24"/>
          <w:lang w:val="ro-MD"/>
        </w:rPr>
        <w:tab/>
      </w:r>
      <w:r w:rsidRPr="002A6A84">
        <w:rPr>
          <w:b/>
          <w:sz w:val="24"/>
          <w:szCs w:val="24"/>
          <w:lang w:val="ro-MD"/>
        </w:rPr>
        <w:tab/>
        <w:t>Dan PERCIUN</w:t>
      </w:r>
    </w:p>
    <w:p w14:paraId="1DBF2013" w14:textId="77777777" w:rsidR="002A6A84" w:rsidRDefault="002A6A84" w:rsidP="002A6A84">
      <w:pPr>
        <w:ind w:left="-567"/>
        <w:rPr>
          <w:sz w:val="16"/>
          <w:szCs w:val="16"/>
          <w:lang w:val="ro-RO"/>
        </w:rPr>
      </w:pPr>
    </w:p>
    <w:p w14:paraId="217BE3B4" w14:textId="5BE184CC" w:rsidR="002A6A84" w:rsidRDefault="002A6A84" w:rsidP="000700E6">
      <w:pPr>
        <w:ind w:firstLine="0"/>
        <w:rPr>
          <w:sz w:val="16"/>
          <w:szCs w:val="16"/>
          <w:lang w:val="ro-RO"/>
        </w:rPr>
      </w:pPr>
    </w:p>
    <w:p w14:paraId="0369C6C3" w14:textId="77777777" w:rsidR="00E50E2B" w:rsidRDefault="00E50E2B" w:rsidP="000700E6">
      <w:pPr>
        <w:ind w:firstLine="0"/>
        <w:rPr>
          <w:sz w:val="16"/>
          <w:szCs w:val="16"/>
          <w:lang w:val="ro-RO"/>
        </w:rPr>
      </w:pPr>
    </w:p>
    <w:p w14:paraId="31E0E3BD" w14:textId="77777777" w:rsidR="00E50E2B" w:rsidRDefault="00E50E2B" w:rsidP="000700E6">
      <w:pPr>
        <w:ind w:firstLine="0"/>
        <w:rPr>
          <w:sz w:val="16"/>
          <w:szCs w:val="16"/>
          <w:lang w:val="ro-RO"/>
        </w:rPr>
      </w:pPr>
    </w:p>
    <w:p w14:paraId="1F25EC75" w14:textId="77777777" w:rsidR="00E50E2B" w:rsidRDefault="00E50E2B" w:rsidP="000700E6">
      <w:pPr>
        <w:ind w:firstLine="0"/>
        <w:rPr>
          <w:sz w:val="16"/>
          <w:szCs w:val="16"/>
          <w:lang w:val="ro-RO"/>
        </w:rPr>
      </w:pPr>
    </w:p>
    <w:p w14:paraId="7B5C598F" w14:textId="77777777" w:rsidR="00E50E2B" w:rsidRDefault="00E50E2B" w:rsidP="000700E6">
      <w:pPr>
        <w:ind w:firstLine="0"/>
        <w:rPr>
          <w:sz w:val="16"/>
          <w:szCs w:val="16"/>
          <w:lang w:val="ro-RO"/>
        </w:rPr>
      </w:pPr>
    </w:p>
    <w:p w14:paraId="7FFAA51F" w14:textId="77777777" w:rsidR="00E50E2B" w:rsidRDefault="00E50E2B" w:rsidP="000700E6">
      <w:pPr>
        <w:ind w:firstLine="0"/>
        <w:rPr>
          <w:sz w:val="16"/>
          <w:szCs w:val="16"/>
          <w:lang w:val="ro-RO"/>
        </w:rPr>
      </w:pPr>
    </w:p>
    <w:p w14:paraId="330F34A1" w14:textId="77777777" w:rsidR="00E50E2B" w:rsidRDefault="00E50E2B" w:rsidP="000700E6">
      <w:pPr>
        <w:ind w:firstLine="0"/>
        <w:rPr>
          <w:sz w:val="16"/>
          <w:szCs w:val="16"/>
          <w:lang w:val="ro-RO"/>
        </w:rPr>
      </w:pPr>
    </w:p>
    <w:p w14:paraId="0F4BC176" w14:textId="77777777" w:rsidR="00E50E2B" w:rsidRDefault="00E50E2B" w:rsidP="000700E6">
      <w:pPr>
        <w:ind w:firstLine="0"/>
        <w:rPr>
          <w:sz w:val="16"/>
          <w:szCs w:val="16"/>
          <w:lang w:val="ro-RO"/>
        </w:rPr>
      </w:pPr>
    </w:p>
    <w:p w14:paraId="669E8507" w14:textId="77777777" w:rsidR="00E50E2B" w:rsidRDefault="00E50E2B" w:rsidP="000700E6">
      <w:pPr>
        <w:ind w:firstLine="0"/>
        <w:rPr>
          <w:sz w:val="16"/>
          <w:szCs w:val="16"/>
          <w:lang w:val="ro-RO"/>
        </w:rPr>
      </w:pPr>
    </w:p>
    <w:p w14:paraId="56BC87B6" w14:textId="77777777" w:rsidR="00E50E2B" w:rsidRDefault="00E50E2B" w:rsidP="000700E6">
      <w:pPr>
        <w:ind w:firstLine="0"/>
        <w:rPr>
          <w:sz w:val="16"/>
          <w:szCs w:val="16"/>
          <w:lang w:val="ro-RO"/>
        </w:rPr>
      </w:pPr>
    </w:p>
    <w:p w14:paraId="6F88B0C0" w14:textId="77777777" w:rsidR="00E50E2B" w:rsidRDefault="00E50E2B" w:rsidP="000700E6">
      <w:pPr>
        <w:ind w:firstLine="0"/>
        <w:rPr>
          <w:sz w:val="16"/>
          <w:szCs w:val="16"/>
          <w:lang w:val="ro-RO"/>
        </w:rPr>
      </w:pPr>
    </w:p>
    <w:p w14:paraId="7914C101" w14:textId="77777777" w:rsidR="00E50E2B" w:rsidRDefault="00E50E2B" w:rsidP="000700E6">
      <w:pPr>
        <w:ind w:firstLine="0"/>
        <w:rPr>
          <w:sz w:val="16"/>
          <w:szCs w:val="16"/>
          <w:lang w:val="ro-RO"/>
        </w:rPr>
      </w:pPr>
    </w:p>
    <w:p w14:paraId="415F3126" w14:textId="77777777" w:rsidR="00E50E2B" w:rsidRDefault="00E50E2B" w:rsidP="000700E6">
      <w:pPr>
        <w:ind w:firstLine="0"/>
        <w:rPr>
          <w:sz w:val="16"/>
          <w:szCs w:val="16"/>
          <w:lang w:val="ro-RO"/>
        </w:rPr>
      </w:pPr>
    </w:p>
    <w:p w14:paraId="5CFE11A3" w14:textId="77777777" w:rsidR="00E50E2B" w:rsidRDefault="00E50E2B" w:rsidP="000700E6">
      <w:pPr>
        <w:ind w:firstLine="0"/>
        <w:rPr>
          <w:sz w:val="16"/>
          <w:szCs w:val="16"/>
          <w:lang w:val="ro-RO"/>
        </w:rPr>
      </w:pPr>
    </w:p>
    <w:p w14:paraId="45824AE1" w14:textId="77777777" w:rsidR="00E50E2B" w:rsidRDefault="00E50E2B" w:rsidP="000700E6">
      <w:pPr>
        <w:ind w:firstLine="0"/>
        <w:rPr>
          <w:sz w:val="16"/>
          <w:szCs w:val="16"/>
          <w:lang w:val="ro-RO"/>
        </w:rPr>
      </w:pPr>
    </w:p>
    <w:p w14:paraId="5D28D5F5" w14:textId="77777777" w:rsidR="00E50E2B" w:rsidRDefault="00E50E2B" w:rsidP="000700E6">
      <w:pPr>
        <w:ind w:firstLine="0"/>
        <w:rPr>
          <w:sz w:val="16"/>
          <w:szCs w:val="16"/>
          <w:lang w:val="ro-RO"/>
        </w:rPr>
      </w:pPr>
    </w:p>
    <w:p w14:paraId="0C2C852A" w14:textId="77777777" w:rsidR="00E50E2B" w:rsidRDefault="00E50E2B" w:rsidP="000700E6">
      <w:pPr>
        <w:ind w:firstLine="0"/>
        <w:rPr>
          <w:sz w:val="16"/>
          <w:szCs w:val="16"/>
          <w:lang w:val="ro-RO"/>
        </w:rPr>
      </w:pPr>
    </w:p>
    <w:p w14:paraId="68E35F3D" w14:textId="77777777" w:rsidR="00E50E2B" w:rsidRDefault="00E50E2B" w:rsidP="000700E6">
      <w:pPr>
        <w:ind w:firstLine="0"/>
        <w:rPr>
          <w:sz w:val="16"/>
          <w:szCs w:val="16"/>
          <w:lang w:val="ro-RO"/>
        </w:rPr>
      </w:pPr>
    </w:p>
    <w:p w14:paraId="525ED0FE" w14:textId="77777777" w:rsidR="00E50E2B" w:rsidRDefault="00E50E2B" w:rsidP="000700E6">
      <w:pPr>
        <w:ind w:firstLine="0"/>
        <w:rPr>
          <w:sz w:val="16"/>
          <w:szCs w:val="16"/>
          <w:lang w:val="ro-RO"/>
        </w:rPr>
      </w:pPr>
    </w:p>
    <w:p w14:paraId="67EE74F6" w14:textId="77777777" w:rsidR="00E50E2B" w:rsidRDefault="00E50E2B" w:rsidP="000700E6">
      <w:pPr>
        <w:ind w:firstLine="0"/>
        <w:rPr>
          <w:sz w:val="16"/>
          <w:szCs w:val="16"/>
          <w:lang w:val="ro-RO"/>
        </w:rPr>
      </w:pPr>
    </w:p>
    <w:p w14:paraId="14C2D186" w14:textId="77777777" w:rsidR="00E50E2B" w:rsidRDefault="00E50E2B" w:rsidP="000700E6">
      <w:pPr>
        <w:ind w:firstLine="0"/>
        <w:rPr>
          <w:sz w:val="16"/>
          <w:szCs w:val="16"/>
          <w:lang w:val="ro-RO"/>
        </w:rPr>
      </w:pPr>
    </w:p>
    <w:p w14:paraId="66C2F09C" w14:textId="77777777" w:rsidR="00E50E2B" w:rsidRDefault="00E50E2B" w:rsidP="000700E6">
      <w:pPr>
        <w:ind w:firstLine="0"/>
        <w:rPr>
          <w:sz w:val="16"/>
          <w:szCs w:val="16"/>
          <w:lang w:val="ro-RO"/>
        </w:rPr>
      </w:pPr>
    </w:p>
    <w:p w14:paraId="076AF87B" w14:textId="77777777" w:rsidR="00E50E2B" w:rsidRDefault="00E50E2B" w:rsidP="000700E6">
      <w:pPr>
        <w:ind w:firstLine="0"/>
        <w:rPr>
          <w:sz w:val="16"/>
          <w:szCs w:val="16"/>
          <w:lang w:val="ro-RO"/>
        </w:rPr>
      </w:pPr>
    </w:p>
    <w:p w14:paraId="6B62E775" w14:textId="77777777" w:rsidR="00E50E2B" w:rsidRDefault="00E50E2B" w:rsidP="000700E6">
      <w:pPr>
        <w:ind w:firstLine="0"/>
        <w:rPr>
          <w:sz w:val="16"/>
          <w:szCs w:val="16"/>
          <w:lang w:val="ro-RO"/>
        </w:rPr>
      </w:pPr>
    </w:p>
    <w:p w14:paraId="28B09A63" w14:textId="77777777" w:rsidR="00E50E2B" w:rsidRDefault="00E50E2B" w:rsidP="000700E6">
      <w:pPr>
        <w:ind w:firstLine="0"/>
        <w:rPr>
          <w:sz w:val="16"/>
          <w:szCs w:val="16"/>
          <w:lang w:val="ro-RO"/>
        </w:rPr>
      </w:pPr>
    </w:p>
    <w:p w14:paraId="469E3AE7" w14:textId="77777777" w:rsidR="00E50E2B" w:rsidRDefault="00E50E2B" w:rsidP="000700E6">
      <w:pPr>
        <w:ind w:firstLine="0"/>
        <w:rPr>
          <w:sz w:val="16"/>
          <w:szCs w:val="16"/>
          <w:lang w:val="ro-RO"/>
        </w:rPr>
      </w:pPr>
    </w:p>
    <w:p w14:paraId="0E5C5D75" w14:textId="77777777" w:rsidR="00E50E2B" w:rsidRDefault="00E50E2B" w:rsidP="000700E6">
      <w:pPr>
        <w:ind w:firstLine="0"/>
        <w:rPr>
          <w:sz w:val="16"/>
          <w:szCs w:val="16"/>
          <w:lang w:val="ro-RO"/>
        </w:rPr>
      </w:pPr>
    </w:p>
    <w:p w14:paraId="4B464C8E" w14:textId="77777777" w:rsidR="00E50E2B" w:rsidRDefault="00E50E2B" w:rsidP="000700E6">
      <w:pPr>
        <w:ind w:firstLine="0"/>
        <w:rPr>
          <w:sz w:val="16"/>
          <w:szCs w:val="16"/>
          <w:lang w:val="ro-RO"/>
        </w:rPr>
      </w:pPr>
    </w:p>
    <w:p w14:paraId="3BF8ED4C" w14:textId="77777777" w:rsidR="00E50E2B" w:rsidRDefault="00E50E2B" w:rsidP="000700E6">
      <w:pPr>
        <w:ind w:firstLine="0"/>
        <w:rPr>
          <w:sz w:val="16"/>
          <w:szCs w:val="16"/>
          <w:lang w:val="ro-RO"/>
        </w:rPr>
      </w:pPr>
    </w:p>
    <w:p w14:paraId="399F4B65" w14:textId="77777777" w:rsidR="00E50E2B" w:rsidRDefault="00E50E2B" w:rsidP="000700E6">
      <w:pPr>
        <w:ind w:firstLine="0"/>
        <w:rPr>
          <w:sz w:val="16"/>
          <w:szCs w:val="16"/>
          <w:lang w:val="ro-RO"/>
        </w:rPr>
      </w:pPr>
    </w:p>
    <w:p w14:paraId="666461C3" w14:textId="77777777" w:rsidR="00E50E2B" w:rsidRDefault="00E50E2B" w:rsidP="000700E6">
      <w:pPr>
        <w:ind w:firstLine="0"/>
        <w:rPr>
          <w:sz w:val="16"/>
          <w:szCs w:val="16"/>
          <w:lang w:val="ro-RO"/>
        </w:rPr>
      </w:pPr>
    </w:p>
    <w:p w14:paraId="194BE395" w14:textId="77777777" w:rsidR="00E50E2B" w:rsidRDefault="00E50E2B" w:rsidP="000700E6">
      <w:pPr>
        <w:ind w:firstLine="0"/>
        <w:rPr>
          <w:sz w:val="16"/>
          <w:szCs w:val="16"/>
          <w:lang w:val="ro-RO"/>
        </w:rPr>
      </w:pPr>
    </w:p>
    <w:p w14:paraId="6AC8E9D5" w14:textId="77777777" w:rsidR="00E50E2B" w:rsidRDefault="00E50E2B" w:rsidP="000700E6">
      <w:pPr>
        <w:ind w:firstLine="0"/>
        <w:rPr>
          <w:sz w:val="16"/>
          <w:szCs w:val="16"/>
          <w:lang w:val="ro-RO"/>
        </w:rPr>
      </w:pPr>
    </w:p>
    <w:p w14:paraId="239F8967" w14:textId="77777777" w:rsidR="00E50E2B" w:rsidRDefault="00E50E2B" w:rsidP="000700E6">
      <w:pPr>
        <w:ind w:firstLine="0"/>
        <w:rPr>
          <w:sz w:val="16"/>
          <w:szCs w:val="16"/>
          <w:lang w:val="ro-RO"/>
        </w:rPr>
      </w:pPr>
    </w:p>
    <w:p w14:paraId="1DBD759C" w14:textId="77777777" w:rsidR="00E50E2B" w:rsidRDefault="00E50E2B" w:rsidP="000700E6">
      <w:pPr>
        <w:ind w:firstLine="0"/>
        <w:rPr>
          <w:sz w:val="16"/>
          <w:szCs w:val="16"/>
          <w:lang w:val="ro-RO"/>
        </w:rPr>
      </w:pPr>
    </w:p>
    <w:p w14:paraId="57C5F346" w14:textId="77777777" w:rsidR="00E50E2B" w:rsidRDefault="00E50E2B" w:rsidP="000700E6">
      <w:pPr>
        <w:ind w:firstLine="0"/>
        <w:rPr>
          <w:sz w:val="16"/>
          <w:szCs w:val="16"/>
          <w:lang w:val="ro-RO"/>
        </w:rPr>
      </w:pPr>
    </w:p>
    <w:p w14:paraId="4956804F" w14:textId="77777777" w:rsidR="00E50E2B" w:rsidRDefault="00E50E2B" w:rsidP="000700E6">
      <w:pPr>
        <w:ind w:firstLine="0"/>
        <w:rPr>
          <w:sz w:val="16"/>
          <w:szCs w:val="16"/>
          <w:lang w:val="ro-RO"/>
        </w:rPr>
      </w:pPr>
    </w:p>
    <w:p w14:paraId="1113B3BE" w14:textId="77777777" w:rsidR="00E50E2B" w:rsidRDefault="00E50E2B" w:rsidP="000700E6">
      <w:pPr>
        <w:ind w:firstLine="0"/>
        <w:rPr>
          <w:sz w:val="16"/>
          <w:szCs w:val="16"/>
          <w:lang w:val="ro-RO"/>
        </w:rPr>
      </w:pPr>
    </w:p>
    <w:p w14:paraId="1A20FA4C" w14:textId="77777777" w:rsidR="00E50E2B" w:rsidRDefault="00E50E2B" w:rsidP="000700E6">
      <w:pPr>
        <w:ind w:firstLine="0"/>
        <w:rPr>
          <w:sz w:val="16"/>
          <w:szCs w:val="16"/>
          <w:lang w:val="ro-RO"/>
        </w:rPr>
      </w:pPr>
    </w:p>
    <w:p w14:paraId="6CC9F375" w14:textId="77777777" w:rsidR="00E50E2B" w:rsidRDefault="00E50E2B" w:rsidP="000700E6">
      <w:pPr>
        <w:ind w:firstLine="0"/>
        <w:rPr>
          <w:sz w:val="16"/>
          <w:szCs w:val="16"/>
          <w:lang w:val="ro-RO"/>
        </w:rPr>
      </w:pPr>
    </w:p>
    <w:p w14:paraId="4C2432FC" w14:textId="77777777" w:rsidR="00E50E2B" w:rsidRDefault="00E50E2B" w:rsidP="000700E6">
      <w:pPr>
        <w:ind w:firstLine="0"/>
        <w:rPr>
          <w:sz w:val="16"/>
          <w:szCs w:val="16"/>
          <w:lang w:val="ro-RO"/>
        </w:rPr>
      </w:pPr>
    </w:p>
    <w:p w14:paraId="66661F41" w14:textId="46B1E866" w:rsidR="003D1780" w:rsidRPr="002A6A84" w:rsidRDefault="00472ED4" w:rsidP="00472ED4">
      <w:pPr>
        <w:ind w:firstLine="0"/>
        <w:rPr>
          <w:sz w:val="16"/>
          <w:szCs w:val="16"/>
          <w:lang w:val="ro-RO"/>
        </w:rPr>
      </w:pPr>
      <w:r>
        <w:rPr>
          <w:sz w:val="16"/>
          <w:szCs w:val="16"/>
          <w:lang w:val="ro-RO"/>
        </w:rPr>
        <w:t xml:space="preserve">   </w:t>
      </w:r>
      <w:r w:rsidR="003D1780" w:rsidRPr="002A6A84">
        <w:rPr>
          <w:sz w:val="16"/>
          <w:szCs w:val="16"/>
          <w:lang w:val="ro-RO"/>
        </w:rPr>
        <w:t xml:space="preserve">Ex: Nani–Secrieru Carolina, tel.:022277508 </w:t>
      </w:r>
    </w:p>
    <w:p w14:paraId="76C9FF2A" w14:textId="77777777" w:rsidR="003D1780" w:rsidRDefault="003D1780" w:rsidP="003D1780">
      <w:pPr>
        <w:ind w:left="-567"/>
        <w:rPr>
          <w:sz w:val="16"/>
          <w:szCs w:val="16"/>
          <w:lang w:val="ro-RO"/>
        </w:rPr>
      </w:pPr>
      <w:r w:rsidRPr="002A6A84">
        <w:rPr>
          <w:sz w:val="16"/>
          <w:szCs w:val="16"/>
          <w:lang w:val="ro-RO"/>
        </w:rPr>
        <w:t xml:space="preserve">Email: </w:t>
      </w:r>
      <w:hyperlink r:id="rId14" w:history="1">
        <w:r w:rsidRPr="002A6A84">
          <w:rPr>
            <w:rStyle w:val="Hyperlink"/>
            <w:rFonts w:eastAsia="Arial"/>
            <w:sz w:val="16"/>
            <w:szCs w:val="16"/>
            <w:lang w:val="ro-RO"/>
          </w:rPr>
          <w:t>carolina.nani-secrieru@mec.gov.md</w:t>
        </w:r>
      </w:hyperlink>
      <w:r w:rsidRPr="002A6A84">
        <w:rPr>
          <w:sz w:val="16"/>
          <w:szCs w:val="16"/>
          <w:lang w:val="ro-RO"/>
        </w:rPr>
        <w:t xml:space="preserve"> </w:t>
      </w:r>
    </w:p>
    <w:p w14:paraId="3E4EE671" w14:textId="77777777" w:rsidR="003D1780" w:rsidRDefault="003D1780" w:rsidP="003D1780">
      <w:pPr>
        <w:ind w:left="-567"/>
        <w:rPr>
          <w:sz w:val="16"/>
          <w:szCs w:val="16"/>
          <w:lang w:val="ro-RO"/>
        </w:rPr>
      </w:pPr>
      <w:r>
        <w:rPr>
          <w:sz w:val="16"/>
          <w:szCs w:val="16"/>
          <w:lang w:val="ro-RO"/>
        </w:rPr>
        <w:t>Ex: Plamadeala Valentina, tel: 022210377</w:t>
      </w:r>
    </w:p>
    <w:p w14:paraId="42B182B7" w14:textId="73EB6460" w:rsidR="00EC7CE3" w:rsidRPr="002A6A84" w:rsidRDefault="003D1780" w:rsidP="003D1780">
      <w:pPr>
        <w:ind w:left="-567"/>
        <w:rPr>
          <w:sz w:val="16"/>
          <w:szCs w:val="16"/>
          <w:lang w:val="ro-RO"/>
        </w:rPr>
      </w:pPr>
      <w:r>
        <w:rPr>
          <w:sz w:val="16"/>
          <w:szCs w:val="16"/>
          <w:lang w:val="ro-RO"/>
        </w:rPr>
        <w:t xml:space="preserve">Email: </w:t>
      </w:r>
      <w:hyperlink r:id="rId15" w:history="1">
        <w:r w:rsidRPr="001C04AA">
          <w:rPr>
            <w:rStyle w:val="Hyperlink"/>
            <w:rFonts w:eastAsia="Arial"/>
            <w:sz w:val="16"/>
            <w:szCs w:val="16"/>
            <w:lang w:val="ro-RO"/>
          </w:rPr>
          <w:t>valentina.plamadeala@mec.gov.md</w:t>
        </w:r>
      </w:hyperlink>
    </w:p>
    <w:sectPr w:rsidR="00EC7CE3" w:rsidRPr="002A6A84" w:rsidSect="00E50E2B">
      <w:headerReference w:type="default" r:id="rId16"/>
      <w:headerReference w:type="first" r:id="rId17"/>
      <w:pgSz w:w="12240" w:h="15840" w:code="1"/>
      <w:pgMar w:top="851" w:right="851" w:bottom="851" w:left="1418" w:header="709" w:footer="709"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90F31" w14:textId="77777777" w:rsidR="00A461C2" w:rsidRDefault="00A461C2">
      <w:r>
        <w:separator/>
      </w:r>
    </w:p>
  </w:endnote>
  <w:endnote w:type="continuationSeparator" w:id="0">
    <w:p w14:paraId="37CFADCD" w14:textId="77777777" w:rsidR="00A461C2" w:rsidRDefault="00A46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43"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2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4FAFE8" w14:textId="77777777" w:rsidR="00A461C2" w:rsidRDefault="00A461C2">
      <w:r>
        <w:separator/>
      </w:r>
    </w:p>
  </w:footnote>
  <w:footnote w:type="continuationSeparator" w:id="0">
    <w:p w14:paraId="147C1324" w14:textId="77777777" w:rsidR="00A461C2" w:rsidRDefault="00A46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B0428" w14:textId="77777777" w:rsidR="00BB271D" w:rsidRDefault="00BB271D">
    <w:pPr>
      <w:pStyle w:val="Header"/>
      <w:ind w:firstLine="0"/>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17B488" w14:textId="77777777" w:rsidR="00BB271D" w:rsidRDefault="00BB271D">
    <w:pPr>
      <w:pStyle w:val="Header"/>
      <w:ind w:firstLine="0"/>
      <w:rPr>
        <w:sz w:val="28"/>
        <w:szCs w:val="28"/>
        <w:lang w:val="ro-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6863CD"/>
    <w:multiLevelType w:val="hybridMultilevel"/>
    <w:tmpl w:val="6AD4C132"/>
    <w:lvl w:ilvl="0" w:tplc="06D47720">
      <w:start w:val="3"/>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580D352B"/>
    <w:multiLevelType w:val="hybridMultilevel"/>
    <w:tmpl w:val="7EAE64A6"/>
    <w:lvl w:ilvl="0" w:tplc="8388876A">
      <w:start w:val="3"/>
      <w:numFmt w:val="bullet"/>
      <w:lvlText w:val="-"/>
      <w:lvlJc w:val="left"/>
      <w:pPr>
        <w:ind w:left="1069" w:hanging="360"/>
      </w:pPr>
      <w:rPr>
        <w:rFonts w:ascii="Times New Roman" w:eastAsia="Calibri" w:hAnsi="Times New Roman" w:cs="Times New Roman" w:hint="default"/>
        <w:color w:val="auto"/>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2">
    <w:nsid w:val="7DB01373"/>
    <w:multiLevelType w:val="multilevel"/>
    <w:tmpl w:val="966886C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num w:numId="1">
    <w:abstractNumId w:val="0"/>
  </w:num>
  <w:num w:numId="2">
    <w:abstractNumId w:val="1"/>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71D"/>
    <w:rsid w:val="00003E0E"/>
    <w:rsid w:val="00005095"/>
    <w:rsid w:val="000065CA"/>
    <w:rsid w:val="000171C1"/>
    <w:rsid w:val="00017A63"/>
    <w:rsid w:val="00036766"/>
    <w:rsid w:val="00036F71"/>
    <w:rsid w:val="00037E3C"/>
    <w:rsid w:val="00056CE5"/>
    <w:rsid w:val="000700E6"/>
    <w:rsid w:val="000A19B0"/>
    <w:rsid w:val="000B3428"/>
    <w:rsid w:val="000F18B6"/>
    <w:rsid w:val="001048CB"/>
    <w:rsid w:val="00112FF4"/>
    <w:rsid w:val="001210B2"/>
    <w:rsid w:val="001253AF"/>
    <w:rsid w:val="00137657"/>
    <w:rsid w:val="001A671E"/>
    <w:rsid w:val="001C006E"/>
    <w:rsid w:val="00242B5E"/>
    <w:rsid w:val="00242E94"/>
    <w:rsid w:val="002556CA"/>
    <w:rsid w:val="0027751F"/>
    <w:rsid w:val="00293CA7"/>
    <w:rsid w:val="002A32D0"/>
    <w:rsid w:val="002A6A84"/>
    <w:rsid w:val="002C23D8"/>
    <w:rsid w:val="00310341"/>
    <w:rsid w:val="00316D40"/>
    <w:rsid w:val="003766A7"/>
    <w:rsid w:val="003A6E76"/>
    <w:rsid w:val="003D1780"/>
    <w:rsid w:val="00402D23"/>
    <w:rsid w:val="0043562F"/>
    <w:rsid w:val="00472ED4"/>
    <w:rsid w:val="00473DCB"/>
    <w:rsid w:val="004A0E47"/>
    <w:rsid w:val="004A3C07"/>
    <w:rsid w:val="004B3A4F"/>
    <w:rsid w:val="004C0104"/>
    <w:rsid w:val="004C1113"/>
    <w:rsid w:val="004D6913"/>
    <w:rsid w:val="004E249E"/>
    <w:rsid w:val="004E74B9"/>
    <w:rsid w:val="0053515C"/>
    <w:rsid w:val="00541949"/>
    <w:rsid w:val="00543817"/>
    <w:rsid w:val="00544C23"/>
    <w:rsid w:val="00546D55"/>
    <w:rsid w:val="005537F5"/>
    <w:rsid w:val="0056432B"/>
    <w:rsid w:val="0056638F"/>
    <w:rsid w:val="00582A96"/>
    <w:rsid w:val="005A1F96"/>
    <w:rsid w:val="005A69F8"/>
    <w:rsid w:val="005C53B2"/>
    <w:rsid w:val="005D0BC3"/>
    <w:rsid w:val="005D0C30"/>
    <w:rsid w:val="005F5F6D"/>
    <w:rsid w:val="0061434F"/>
    <w:rsid w:val="00622506"/>
    <w:rsid w:val="00624ED8"/>
    <w:rsid w:val="00627848"/>
    <w:rsid w:val="00651E6D"/>
    <w:rsid w:val="006650BF"/>
    <w:rsid w:val="006821E2"/>
    <w:rsid w:val="006B0E78"/>
    <w:rsid w:val="006B78D0"/>
    <w:rsid w:val="006D0B21"/>
    <w:rsid w:val="006E658B"/>
    <w:rsid w:val="00705084"/>
    <w:rsid w:val="007362A4"/>
    <w:rsid w:val="00761151"/>
    <w:rsid w:val="00780F45"/>
    <w:rsid w:val="00792950"/>
    <w:rsid w:val="00794C44"/>
    <w:rsid w:val="007957B6"/>
    <w:rsid w:val="007C3E67"/>
    <w:rsid w:val="007E1F94"/>
    <w:rsid w:val="007F7BDB"/>
    <w:rsid w:val="00807AC7"/>
    <w:rsid w:val="00822691"/>
    <w:rsid w:val="008271F8"/>
    <w:rsid w:val="00834AB9"/>
    <w:rsid w:val="00871F91"/>
    <w:rsid w:val="00886BF2"/>
    <w:rsid w:val="0088794F"/>
    <w:rsid w:val="008B5705"/>
    <w:rsid w:val="008C21D6"/>
    <w:rsid w:val="008C248C"/>
    <w:rsid w:val="008E3ECD"/>
    <w:rsid w:val="009108CD"/>
    <w:rsid w:val="0092312E"/>
    <w:rsid w:val="00934E88"/>
    <w:rsid w:val="00943662"/>
    <w:rsid w:val="0095156D"/>
    <w:rsid w:val="00972096"/>
    <w:rsid w:val="0099326B"/>
    <w:rsid w:val="009A5379"/>
    <w:rsid w:val="009C1993"/>
    <w:rsid w:val="009C7300"/>
    <w:rsid w:val="00A218DB"/>
    <w:rsid w:val="00A44B94"/>
    <w:rsid w:val="00A461C2"/>
    <w:rsid w:val="00A46A3E"/>
    <w:rsid w:val="00A66ACA"/>
    <w:rsid w:val="00A66EB1"/>
    <w:rsid w:val="00A753E2"/>
    <w:rsid w:val="00AA31CF"/>
    <w:rsid w:val="00AB21DD"/>
    <w:rsid w:val="00AB304E"/>
    <w:rsid w:val="00AC2507"/>
    <w:rsid w:val="00AF2279"/>
    <w:rsid w:val="00AF4B41"/>
    <w:rsid w:val="00B01351"/>
    <w:rsid w:val="00B57555"/>
    <w:rsid w:val="00B67164"/>
    <w:rsid w:val="00B74CAD"/>
    <w:rsid w:val="00B85ACE"/>
    <w:rsid w:val="00BA295E"/>
    <w:rsid w:val="00BB271D"/>
    <w:rsid w:val="00BC37F5"/>
    <w:rsid w:val="00BC7189"/>
    <w:rsid w:val="00BF2073"/>
    <w:rsid w:val="00C01DB3"/>
    <w:rsid w:val="00C13E2E"/>
    <w:rsid w:val="00C17A9F"/>
    <w:rsid w:val="00C43082"/>
    <w:rsid w:val="00C745AF"/>
    <w:rsid w:val="00C77993"/>
    <w:rsid w:val="00C90243"/>
    <w:rsid w:val="00CA03F9"/>
    <w:rsid w:val="00CB3839"/>
    <w:rsid w:val="00D17814"/>
    <w:rsid w:val="00D378FB"/>
    <w:rsid w:val="00D62B3E"/>
    <w:rsid w:val="00D64271"/>
    <w:rsid w:val="00D74614"/>
    <w:rsid w:val="00D91A7E"/>
    <w:rsid w:val="00DA45BA"/>
    <w:rsid w:val="00DB3BA0"/>
    <w:rsid w:val="00DB7F17"/>
    <w:rsid w:val="00DD4847"/>
    <w:rsid w:val="00DF3539"/>
    <w:rsid w:val="00E033CA"/>
    <w:rsid w:val="00E14188"/>
    <w:rsid w:val="00E50471"/>
    <w:rsid w:val="00E50E2B"/>
    <w:rsid w:val="00E52D2E"/>
    <w:rsid w:val="00E6521E"/>
    <w:rsid w:val="00EA56A3"/>
    <w:rsid w:val="00EB4864"/>
    <w:rsid w:val="00EC69FF"/>
    <w:rsid w:val="00EC747F"/>
    <w:rsid w:val="00EC7CE3"/>
    <w:rsid w:val="00ED3020"/>
    <w:rsid w:val="00ED6F56"/>
    <w:rsid w:val="00EE2972"/>
    <w:rsid w:val="00EF6563"/>
    <w:rsid w:val="00F01C83"/>
    <w:rsid w:val="00F048CE"/>
    <w:rsid w:val="00F20938"/>
    <w:rsid w:val="00F53502"/>
    <w:rsid w:val="00F842F1"/>
    <w:rsid w:val="00FA06D8"/>
    <w:rsid w:val="00FA32EC"/>
    <w:rsid w:val="00FD7207"/>
    <w:rsid w:val="00FF7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48470"/>
  <w15:docId w15:val="{D9EC1AA2-423F-4300-9BFB-8C1B9D5C4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customStyle="1" w:styleId="TableGridLight1">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lainTable1">
    <w:name w:val="Plain Table 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21">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0">
    <w:name w:val="Table Grid Light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1">
    <w:name w:val="Plain Table 11"/>
    <w:basedOn w:val="TableNormal"/>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0">
    <w:name w:val="Grid Table 1 Light - Accent 1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0">
    <w:name w:val="Grid Table 1 Light - Accent 21"/>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0">
    <w:name w:val="Grid Table 1 Light - Accent 31"/>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0">
    <w:name w:val="Grid Table 1 Light - Accent 41"/>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0">
    <w:name w:val="Grid Table 1 Light - Accent 51"/>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0">
    <w:name w:val="Grid Table 1 Light - Accent 61"/>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0">
    <w:name w:val="Grid Table 2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0">
    <w:name w:val="Grid Table 2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0">
    <w:name w:val="Grid Table 2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0">
    <w:name w:val="Grid Table 2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0">
    <w:name w:val="Grid Table 2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0">
    <w:name w:val="Grid Table 2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0">
    <w:name w:val="Grid Table 3 - Accent 11"/>
    <w:basedOn w:val="TableNormal"/>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0">
    <w:name w:val="Grid Table 3 - Accent 21"/>
    <w:basedOn w:val="TableNormal"/>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0">
    <w:name w:val="Grid Table 3 - Accent 31"/>
    <w:basedOn w:val="TableNormal"/>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0">
    <w:name w:val="Grid Table 3 - Accent 41"/>
    <w:basedOn w:val="TableNormal"/>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0">
    <w:name w:val="Grid Table 3 - Accent 51"/>
    <w:basedOn w:val="TableNormal"/>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0">
    <w:name w:val="Grid Table 3 - Accent 61"/>
    <w:basedOn w:val="TableNormal"/>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0">
    <w:name w:val="Grid Table 4 - Accent 11"/>
    <w:basedOn w:val="TableNormal"/>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0">
    <w:name w:val="Grid Table 4 - Accent 21"/>
    <w:basedOn w:val="TableNormal"/>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0">
    <w:name w:val="Grid Table 4 - Accent 31"/>
    <w:basedOn w:val="TableNormal"/>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0">
    <w:name w:val="Grid Table 4 - Accent 41"/>
    <w:basedOn w:val="TableNormal"/>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0">
    <w:name w:val="Grid Table 4 - Accent 51"/>
    <w:basedOn w:val="TableNormal"/>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0">
    <w:name w:val="Grid Table 4 - Accent 61"/>
    <w:basedOn w:val="TableNormal"/>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0">
    <w:name w:val="Grid Table 5 Dark - Accent 2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0">
    <w:name w:val="Grid Table 5 Dark - Accent 3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0">
    <w:name w:val="Grid Table 5 Dark - Accent 5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0">
    <w:name w:val="Grid Table 5 Dark - Accent 61"/>
    <w:basedOn w:val="TableNormal"/>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0">
    <w:name w:val="Grid Table 6 Colorful - Accent 11"/>
    <w:basedOn w:val="TableNormal"/>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0">
    <w:name w:val="Grid Table 6 Colorful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0">
    <w:name w:val="Grid Table 6 Colorful - Accent 31"/>
    <w:basedOn w:val="TableNormal"/>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0">
    <w:name w:val="Grid Table 6 Colorful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0">
    <w:name w:val="Grid Table 6 Colorful - Accent 51"/>
    <w:basedOn w:val="TableNormal"/>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0">
    <w:name w:val="Grid Table 6 Colorful - Accent 61"/>
    <w:basedOn w:val="TableNormal"/>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0">
    <w:name w:val="Grid Table 7 Colorful - Accent 11"/>
    <w:basedOn w:val="TableNormal"/>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0">
    <w:name w:val="Grid Table 7 Colorful - Accent 21"/>
    <w:basedOn w:val="TableNormal"/>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0">
    <w:name w:val="Grid Table 7 Colorful - Accent 31"/>
    <w:basedOn w:val="TableNormal"/>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0">
    <w:name w:val="Grid Table 7 Colorful - Accent 41"/>
    <w:basedOn w:val="TableNormal"/>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0">
    <w:name w:val="Grid Table 7 Colorful - Accent 51"/>
    <w:basedOn w:val="TableNormal"/>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0">
    <w:name w:val="Grid Table 7 Colorful - Accent 61"/>
    <w:basedOn w:val="TableNormal"/>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0">
    <w:name w:val="List Table 1 Light - Accent 1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0">
    <w:name w:val="List Table 1 Light - Accent 2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0">
    <w:name w:val="List Table 1 Light - Accent 3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0">
    <w:name w:val="List Table 1 Light - Accent 4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0">
    <w:name w:val="List Table 1 Light - Accent 5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0">
    <w:name w:val="List Table 1 Light - Accent 61"/>
    <w:basedOn w:val="TableNormal"/>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0">
    <w:name w:val="List Table 2 - Accent 11"/>
    <w:basedOn w:val="TableNormal"/>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0">
    <w:name w:val="List Table 2 - Accent 21"/>
    <w:basedOn w:val="TableNormal"/>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0">
    <w:name w:val="List Table 2 - Accent 31"/>
    <w:basedOn w:val="TableNormal"/>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0">
    <w:name w:val="List Table 2 - Accent 41"/>
    <w:basedOn w:val="TableNormal"/>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0">
    <w:name w:val="List Table 2 - Accent 51"/>
    <w:basedOn w:val="TableNormal"/>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0">
    <w:name w:val="List Table 2 - Accent 61"/>
    <w:basedOn w:val="TableNormal"/>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0">
    <w:name w:val="List Table 3 - Accent 11"/>
    <w:basedOn w:val="TableNormal"/>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0">
    <w:name w:val="List Table 3 - Accent 21"/>
    <w:basedOn w:val="TableNormal"/>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0">
    <w:name w:val="List Table 3 - Accent 31"/>
    <w:basedOn w:val="TableNormal"/>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0">
    <w:name w:val="List Table 3 - Accent 41"/>
    <w:basedOn w:val="TableNormal"/>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0">
    <w:name w:val="List Table 3 - Accent 51"/>
    <w:basedOn w:val="TableNormal"/>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0">
    <w:name w:val="List Table 3 - Accent 61"/>
    <w:basedOn w:val="TableNormal"/>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0">
    <w:name w:val="List Table 4 - Accent 11"/>
    <w:basedOn w:val="TableNormal"/>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0">
    <w:name w:val="List Table 4 - Accent 21"/>
    <w:basedOn w:val="TableNormal"/>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0">
    <w:name w:val="List Table 4 - Accent 31"/>
    <w:basedOn w:val="TableNormal"/>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0">
    <w:name w:val="List Table 4 - Accent 41"/>
    <w:basedOn w:val="TableNormal"/>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0">
    <w:name w:val="List Table 4 - Accent 51"/>
    <w:basedOn w:val="TableNormal"/>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0">
    <w:name w:val="List Table 4 - Accent 61"/>
    <w:basedOn w:val="TableNormal"/>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0">
    <w:name w:val="List Table 5 Dark - Accent 11"/>
    <w:basedOn w:val="TableNormal"/>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0">
    <w:name w:val="List Table 5 Dark - Accent 21"/>
    <w:basedOn w:val="TableNormal"/>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0">
    <w:name w:val="List Table 5 Dark - Accent 31"/>
    <w:basedOn w:val="TableNormal"/>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0">
    <w:name w:val="List Table 5 Dark - Accent 41"/>
    <w:basedOn w:val="TableNormal"/>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0">
    <w:name w:val="List Table 5 Dark - Accent 51"/>
    <w:basedOn w:val="TableNormal"/>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0">
    <w:name w:val="List Table 5 Dark - Accent 61"/>
    <w:basedOn w:val="TableNormal"/>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0">
    <w:name w:val="List Table 6 Colorful - Accent 11"/>
    <w:basedOn w:val="TableNormal"/>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0">
    <w:name w:val="List Table 6 Colorful - Accent 21"/>
    <w:basedOn w:val="TableNormal"/>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0">
    <w:name w:val="List Table 6 Colorful - Accent 31"/>
    <w:basedOn w:val="TableNormal"/>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0">
    <w:name w:val="List Table 6 Colorful - Accent 41"/>
    <w:basedOn w:val="TableNormal"/>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0">
    <w:name w:val="List Table 6 Colorful - Accent 51"/>
    <w:basedOn w:val="TableNormal"/>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0">
    <w:name w:val="List Table 6 Colorful - Accent 61"/>
    <w:basedOn w:val="TableNormal"/>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0">
    <w:name w:val="List Table 7 Colorful - Accent 11"/>
    <w:basedOn w:val="TableNormal"/>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0">
    <w:name w:val="List Table 7 Colorful - Accent 21"/>
    <w:basedOn w:val="TableNormal"/>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0">
    <w:name w:val="List Table 7 Colorful - Accent 31"/>
    <w:basedOn w:val="TableNormal"/>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0">
    <w:name w:val="List Table 7 Colorful - Accent 41"/>
    <w:basedOn w:val="TableNormal"/>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0">
    <w:name w:val="List Table 7 Colorful - Accent 51"/>
    <w:basedOn w:val="TableNormal"/>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0">
    <w:name w:val="List Table 7 Colorful - Accent 61"/>
    <w:basedOn w:val="TableNormal"/>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9A5379"/>
    <w:rPr>
      <w:color w:val="605E5C"/>
      <w:shd w:val="clear" w:color="auto" w:fill="E1DFDD"/>
    </w:rPr>
  </w:style>
  <w:style w:type="character" w:customStyle="1" w:styleId="UnresolvedMention">
    <w:name w:val="Unresolved Mention"/>
    <w:basedOn w:val="DefaultParagraphFont"/>
    <w:uiPriority w:val="99"/>
    <w:semiHidden/>
    <w:unhideWhenUsed/>
    <w:rsid w:val="00DD48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99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articip.gov.md/ro/document/stages/*/142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cip.gov.m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c.gov.md" TargetMode="External"/><Relationship Id="rId5" Type="http://schemas.openxmlformats.org/officeDocument/2006/relationships/numbering" Target="numbering.xml"/><Relationship Id="rId15" Type="http://schemas.openxmlformats.org/officeDocument/2006/relationships/hyperlink" Target="mailto:valentina.plamadeala@mec.gov.m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olina.nani-secrieru@mec.gov.md"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A41ED7F7-ACE7-49C0-A370-2FE6BBA37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1553</Words>
  <Characters>8856</Characters>
  <Application>Microsoft Office Word</Application>
  <DocSecurity>0</DocSecurity>
  <Lines>73</Lines>
  <Paragraphs>20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435.2023.ro</vt:lpstr>
      <vt:lpstr>435.2023.ro</vt:lpstr>
    </vt:vector>
  </TitlesOfParts>
  <Company>Cancelaria Guvernului</Company>
  <LinksUpToDate>false</LinksUpToDate>
  <CharactersWithSpaces>10389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Balan R</cp:lastModifiedBy>
  <cp:revision>8</cp:revision>
  <cp:lastPrinted>2025-02-24T14:29:00Z</cp:lastPrinted>
  <dcterms:created xsi:type="dcterms:W3CDTF">2025-04-11T12:21:00Z</dcterms:created>
  <dcterms:modified xsi:type="dcterms:W3CDTF">2025-04-24T07:50:00Z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