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D727C" w14:textId="2B2187C6" w:rsidR="008B156E" w:rsidRPr="00C22F32" w:rsidRDefault="008B156E" w:rsidP="00EB24A9">
      <w:pPr>
        <w:pStyle w:val="tt"/>
        <w:rPr>
          <w:caps/>
          <w:sz w:val="28"/>
          <w:szCs w:val="28"/>
        </w:rPr>
      </w:pPr>
    </w:p>
    <w:p w14:paraId="1F52E00C" w14:textId="34FB2C40" w:rsidR="002919E1" w:rsidRPr="00C22F32" w:rsidRDefault="002919E1" w:rsidP="00EB24A9">
      <w:pPr>
        <w:pStyle w:val="tt"/>
        <w:rPr>
          <w:caps/>
          <w:sz w:val="28"/>
          <w:szCs w:val="28"/>
        </w:rPr>
      </w:pPr>
      <w:r w:rsidRPr="00C22F32">
        <w:rPr>
          <w:caps/>
          <w:sz w:val="28"/>
          <w:szCs w:val="28"/>
        </w:rPr>
        <w:t>Guvernul republicii moldova</w:t>
      </w:r>
    </w:p>
    <w:p w14:paraId="4969EB00" w14:textId="77777777" w:rsidR="002919E1" w:rsidRPr="00C22F32" w:rsidRDefault="002919E1" w:rsidP="00EB24A9">
      <w:pPr>
        <w:pStyle w:val="tt"/>
        <w:rPr>
          <w:sz w:val="28"/>
          <w:szCs w:val="28"/>
        </w:rPr>
      </w:pPr>
      <w:r w:rsidRPr="00C22F32">
        <w:rPr>
          <w:sz w:val="28"/>
          <w:szCs w:val="28"/>
        </w:rPr>
        <w:t>H O T Ă R Â R E</w:t>
      </w:r>
    </w:p>
    <w:p w14:paraId="7F693324" w14:textId="77777777" w:rsidR="002919E1" w:rsidRPr="00C22F32" w:rsidRDefault="002919E1" w:rsidP="00EB24A9">
      <w:pPr>
        <w:pStyle w:val="tt"/>
        <w:rPr>
          <w:b w:val="0"/>
          <w:bCs w:val="0"/>
          <w:sz w:val="28"/>
          <w:szCs w:val="28"/>
        </w:rPr>
      </w:pPr>
      <w:r w:rsidRPr="00C22F32">
        <w:rPr>
          <w:b w:val="0"/>
          <w:bCs w:val="0"/>
          <w:sz w:val="28"/>
          <w:szCs w:val="28"/>
        </w:rPr>
        <w:t>Nr. ________</w:t>
      </w:r>
    </w:p>
    <w:p w14:paraId="02A23416" w14:textId="0352B3FF" w:rsidR="002919E1" w:rsidRPr="00C22F32" w:rsidRDefault="002919E1" w:rsidP="00EB24A9">
      <w:pPr>
        <w:pStyle w:val="tt"/>
        <w:spacing w:after="120"/>
        <w:rPr>
          <w:b w:val="0"/>
          <w:bCs w:val="0"/>
          <w:sz w:val="28"/>
          <w:szCs w:val="28"/>
        </w:rPr>
      </w:pPr>
      <w:r w:rsidRPr="00C22F32">
        <w:rPr>
          <w:b w:val="0"/>
          <w:bCs w:val="0"/>
          <w:sz w:val="28"/>
          <w:szCs w:val="28"/>
        </w:rPr>
        <w:t>din ___________________</w:t>
      </w:r>
    </w:p>
    <w:p w14:paraId="4A57A49C" w14:textId="77777777" w:rsidR="002919E1" w:rsidRPr="00C22F32" w:rsidRDefault="002919E1" w:rsidP="00EB24A9">
      <w:pPr>
        <w:pStyle w:val="tt"/>
        <w:rPr>
          <w:sz w:val="28"/>
          <w:szCs w:val="28"/>
        </w:rPr>
      </w:pPr>
    </w:p>
    <w:p w14:paraId="49ABB9E8" w14:textId="77777777" w:rsidR="00440B55" w:rsidRPr="00C22F32" w:rsidRDefault="00440B55" w:rsidP="00EB24A9">
      <w:pPr>
        <w:pStyle w:val="tt"/>
        <w:rPr>
          <w:sz w:val="28"/>
          <w:szCs w:val="28"/>
        </w:rPr>
      </w:pPr>
      <w:r w:rsidRPr="00C22F32">
        <w:rPr>
          <w:sz w:val="28"/>
          <w:szCs w:val="28"/>
        </w:rPr>
        <w:t>privind modificarea Hotărârii Guvernului nr. 828/2013 pentru aprobarea Metodologiei cu privire la evaluarea rețelelor de gaze naturale, proprietate publică</w:t>
      </w:r>
    </w:p>
    <w:p w14:paraId="5C07D9F0" w14:textId="77777777" w:rsidR="00440B55" w:rsidRPr="00C22F32" w:rsidRDefault="00440B55" w:rsidP="00EB24A9">
      <w:pPr>
        <w:pStyle w:val="cb"/>
        <w:rPr>
          <w:sz w:val="28"/>
          <w:szCs w:val="28"/>
        </w:rPr>
      </w:pPr>
      <w:r w:rsidRPr="00C22F32">
        <w:rPr>
          <w:sz w:val="28"/>
          <w:szCs w:val="28"/>
        </w:rPr>
        <w:t>  </w:t>
      </w:r>
    </w:p>
    <w:p w14:paraId="6BD3EA0E" w14:textId="77777777" w:rsidR="00AF600A" w:rsidRPr="00C22F32" w:rsidRDefault="00440B55" w:rsidP="00EB24A9">
      <w:pPr>
        <w:pStyle w:val="NormalWeb"/>
        <w:rPr>
          <w:sz w:val="28"/>
          <w:szCs w:val="28"/>
        </w:rPr>
      </w:pPr>
      <w:r w:rsidRPr="00C22F32">
        <w:rPr>
          <w:sz w:val="28"/>
          <w:szCs w:val="28"/>
        </w:rPr>
        <w:t>În temeiul</w:t>
      </w:r>
      <w:r w:rsidR="00BE2407" w:rsidRPr="00C22F32">
        <w:rPr>
          <w:sz w:val="28"/>
          <w:szCs w:val="28"/>
        </w:rPr>
        <w:t xml:space="preserve"> </w:t>
      </w:r>
      <w:r w:rsidR="006F7562" w:rsidRPr="00C22F32">
        <w:rPr>
          <w:sz w:val="28"/>
          <w:szCs w:val="28"/>
        </w:rPr>
        <w:t>Legii nr.</w:t>
      </w:r>
      <w:r w:rsidR="004C7673" w:rsidRPr="00C22F32">
        <w:rPr>
          <w:sz w:val="28"/>
          <w:szCs w:val="28"/>
        </w:rPr>
        <w:t xml:space="preserve"> </w:t>
      </w:r>
      <w:r w:rsidR="006F7562" w:rsidRPr="00C22F32">
        <w:rPr>
          <w:sz w:val="28"/>
          <w:szCs w:val="28"/>
        </w:rPr>
        <w:t>989/2002 cu privire la activitatea de evaluare</w:t>
      </w:r>
      <w:r w:rsidR="00042BF5" w:rsidRPr="00C22F32">
        <w:rPr>
          <w:sz w:val="28"/>
          <w:szCs w:val="28"/>
        </w:rPr>
        <w:t xml:space="preserve"> (Monitorul Oficial al Republicii Moldova, 2002, nr.102, art.</w:t>
      </w:r>
      <w:r w:rsidR="00BC6217" w:rsidRPr="00C22F32">
        <w:rPr>
          <w:sz w:val="28"/>
          <w:szCs w:val="28"/>
        </w:rPr>
        <w:t xml:space="preserve"> </w:t>
      </w:r>
      <w:r w:rsidR="00042BF5" w:rsidRPr="00C22F32">
        <w:rPr>
          <w:sz w:val="28"/>
          <w:szCs w:val="28"/>
        </w:rPr>
        <w:t>773)</w:t>
      </w:r>
      <w:r w:rsidR="006F7562" w:rsidRPr="00C22F32">
        <w:rPr>
          <w:sz w:val="28"/>
          <w:szCs w:val="28"/>
        </w:rPr>
        <w:t xml:space="preserve"> și Hotărârii Parlamentului</w:t>
      </w:r>
      <w:r w:rsidR="00394708" w:rsidRPr="00C22F32">
        <w:rPr>
          <w:sz w:val="28"/>
          <w:szCs w:val="28"/>
        </w:rPr>
        <w:t xml:space="preserve">            </w:t>
      </w:r>
      <w:r w:rsidR="006F7562" w:rsidRPr="00C22F32">
        <w:rPr>
          <w:sz w:val="28"/>
          <w:szCs w:val="28"/>
        </w:rPr>
        <w:t xml:space="preserve"> nr. 39/2023 privind rezultatele audierii Raportul auditului </w:t>
      </w:r>
      <w:r w:rsidR="007E1FA3" w:rsidRPr="00C22F32">
        <w:rPr>
          <w:sz w:val="28"/>
          <w:szCs w:val="28"/>
        </w:rPr>
        <w:t>conformității</w:t>
      </w:r>
      <w:r w:rsidR="006F7562" w:rsidRPr="00C22F32">
        <w:rPr>
          <w:sz w:val="28"/>
          <w:szCs w:val="28"/>
        </w:rPr>
        <w:t xml:space="preserve"> asupra cheltuielilor şi </w:t>
      </w:r>
      <w:r w:rsidR="007E1FA3" w:rsidRPr="00C22F32">
        <w:rPr>
          <w:sz w:val="28"/>
          <w:szCs w:val="28"/>
        </w:rPr>
        <w:t>investițiilor</w:t>
      </w:r>
      <w:r w:rsidR="006F7562" w:rsidRPr="00C22F32">
        <w:rPr>
          <w:sz w:val="28"/>
          <w:szCs w:val="28"/>
        </w:rPr>
        <w:t xml:space="preserve"> capitale la întreprinderile de gaze naturale cărora le-au fost impuse </w:t>
      </w:r>
      <w:r w:rsidR="007E1FA3" w:rsidRPr="00C22F32">
        <w:rPr>
          <w:sz w:val="28"/>
          <w:szCs w:val="28"/>
        </w:rPr>
        <w:t>obligații</w:t>
      </w:r>
      <w:r w:rsidR="006F7562" w:rsidRPr="00C22F32">
        <w:rPr>
          <w:sz w:val="28"/>
          <w:szCs w:val="28"/>
        </w:rPr>
        <w:t xml:space="preserve"> de serviciu public, precum şi la întreprinderile înrudite, astfel cum sunt definite în </w:t>
      </w:r>
      <w:hyperlink r:id="rId8" w:history="1">
        <w:r w:rsidR="006F7562" w:rsidRPr="00C22F32">
          <w:rPr>
            <w:rStyle w:val="Hyperlink"/>
            <w:color w:val="auto"/>
            <w:sz w:val="28"/>
            <w:szCs w:val="28"/>
            <w:u w:val="none"/>
          </w:rPr>
          <w:t>Legea nr.108/2016</w:t>
        </w:r>
      </w:hyperlink>
      <w:r w:rsidR="006F7562" w:rsidRPr="00C22F32">
        <w:rPr>
          <w:sz w:val="28"/>
          <w:szCs w:val="28"/>
        </w:rPr>
        <w:t xml:space="preserve"> cu privire la gazele naturale, inclusiv la cele deţinute indirect, Guvernul</w:t>
      </w:r>
      <w:r w:rsidR="00635438" w:rsidRPr="00C22F32">
        <w:rPr>
          <w:sz w:val="28"/>
          <w:szCs w:val="28"/>
        </w:rPr>
        <w:t xml:space="preserve"> </w:t>
      </w:r>
    </w:p>
    <w:p w14:paraId="61F215A8" w14:textId="39C59438" w:rsidR="00440B55" w:rsidRPr="00C22F32" w:rsidRDefault="00440B55" w:rsidP="00EB24A9">
      <w:pPr>
        <w:pStyle w:val="NormalWeb"/>
        <w:jc w:val="center"/>
        <w:rPr>
          <w:b/>
          <w:sz w:val="28"/>
          <w:szCs w:val="28"/>
        </w:rPr>
      </w:pPr>
      <w:r w:rsidRPr="00C22F32">
        <w:rPr>
          <w:b/>
          <w:sz w:val="28"/>
          <w:szCs w:val="28"/>
        </w:rPr>
        <w:t>HOTĂRĂŞTE:</w:t>
      </w:r>
    </w:p>
    <w:p w14:paraId="2A7637C5" w14:textId="77A6A1DD" w:rsidR="00552167" w:rsidRPr="00C22F32" w:rsidRDefault="000C3B3A" w:rsidP="00EB24A9">
      <w:pPr>
        <w:pStyle w:val="NormalWeb"/>
        <w:numPr>
          <w:ilvl w:val="0"/>
          <w:numId w:val="6"/>
        </w:numPr>
        <w:tabs>
          <w:tab w:val="left" w:pos="680"/>
        </w:tabs>
        <w:ind w:left="0" w:firstLine="284"/>
        <w:rPr>
          <w:b/>
          <w:bCs/>
          <w:sz w:val="28"/>
          <w:szCs w:val="28"/>
        </w:rPr>
      </w:pPr>
      <w:r w:rsidRPr="00C22F32">
        <w:rPr>
          <w:sz w:val="28"/>
          <w:szCs w:val="28"/>
        </w:rPr>
        <w:t>Hotărârea</w:t>
      </w:r>
      <w:r w:rsidR="004B0FCE" w:rsidRPr="00C22F32">
        <w:rPr>
          <w:sz w:val="28"/>
          <w:szCs w:val="28"/>
        </w:rPr>
        <w:t xml:space="preserve"> Guvernului nr. 828/2013</w:t>
      </w:r>
      <w:r w:rsidR="00AC5484" w:rsidRPr="00C22F32">
        <w:rPr>
          <w:rFonts w:eastAsia="Times New Roman"/>
          <w:b/>
          <w:bCs/>
          <w:i/>
          <w:iCs/>
        </w:rPr>
        <w:t xml:space="preserve"> </w:t>
      </w:r>
      <w:r w:rsidR="00AC5484" w:rsidRPr="00C22F32">
        <w:rPr>
          <w:rFonts w:eastAsia="Times New Roman"/>
          <w:sz w:val="28"/>
          <w:szCs w:val="28"/>
        </w:rPr>
        <w:t>p</w:t>
      </w:r>
      <w:r w:rsidR="00AC5484" w:rsidRPr="00C22F32">
        <w:rPr>
          <w:sz w:val="28"/>
          <w:szCs w:val="28"/>
        </w:rPr>
        <w:t>entru aprobarea Metodologiei cu privire la evaluarea reţelelor de gaze naturale, proprietate publică</w:t>
      </w:r>
      <w:r w:rsidR="004B0FCE" w:rsidRPr="00C22F32">
        <w:rPr>
          <w:sz w:val="28"/>
          <w:szCs w:val="28"/>
        </w:rPr>
        <w:t xml:space="preserve">, cu modificările </w:t>
      </w:r>
      <w:r w:rsidR="00124E20" w:rsidRPr="00C22F32">
        <w:rPr>
          <w:sz w:val="28"/>
          <w:szCs w:val="28"/>
        </w:rPr>
        <w:t xml:space="preserve">şi completările </w:t>
      </w:r>
      <w:r w:rsidR="004B0FCE" w:rsidRPr="00C22F32">
        <w:rPr>
          <w:sz w:val="28"/>
          <w:szCs w:val="28"/>
        </w:rPr>
        <w:t>ulterioare, se modifică după cum urmează:</w:t>
      </w:r>
    </w:p>
    <w:p w14:paraId="35878A1E" w14:textId="3BB6FFE0" w:rsidR="00552167" w:rsidRPr="00C22F32" w:rsidRDefault="00164AE7" w:rsidP="00EB24A9">
      <w:pPr>
        <w:pStyle w:val="NormalWeb"/>
        <w:numPr>
          <w:ilvl w:val="0"/>
          <w:numId w:val="7"/>
        </w:numPr>
        <w:tabs>
          <w:tab w:val="left" w:pos="964"/>
        </w:tabs>
        <w:ind w:left="0" w:firstLine="561"/>
        <w:rPr>
          <w:sz w:val="28"/>
          <w:szCs w:val="28"/>
        </w:rPr>
      </w:pPr>
      <w:r w:rsidRPr="00C22F32">
        <w:rPr>
          <w:sz w:val="28"/>
          <w:szCs w:val="28"/>
        </w:rPr>
        <w:t>În denumirea Hotărârii și pe întreg textul acesteia, după cuvintele: „proprietate publică” se completează cu textul: „</w:t>
      </w:r>
      <w:r w:rsidR="00C5645B" w:rsidRPr="00C22F32">
        <w:rPr>
          <w:sz w:val="28"/>
          <w:szCs w:val="28"/>
        </w:rPr>
        <w:t xml:space="preserve"> , </w:t>
      </w:r>
      <w:r w:rsidR="004C0495" w:rsidRPr="00C22F32">
        <w:rPr>
          <w:bCs/>
          <w:sz w:val="28"/>
          <w:szCs w:val="28"/>
        </w:rPr>
        <w:t>din proprietatea terţilor</w:t>
      </w:r>
      <w:r w:rsidR="004E4AC0" w:rsidRPr="00C22F32">
        <w:rPr>
          <w:bCs/>
          <w:sz w:val="28"/>
          <w:szCs w:val="28"/>
        </w:rPr>
        <w:t xml:space="preserve"> şi fără proprietar</w:t>
      </w:r>
      <w:r w:rsidRPr="00C22F32">
        <w:rPr>
          <w:sz w:val="28"/>
          <w:szCs w:val="28"/>
        </w:rPr>
        <w:t>”;</w:t>
      </w:r>
    </w:p>
    <w:p w14:paraId="279B2455" w14:textId="5DC3A46B" w:rsidR="00164AE7" w:rsidRPr="00C22F32" w:rsidRDefault="00164AE7" w:rsidP="00EB24A9">
      <w:pPr>
        <w:pStyle w:val="NormalWeb"/>
        <w:numPr>
          <w:ilvl w:val="0"/>
          <w:numId w:val="7"/>
        </w:numPr>
        <w:tabs>
          <w:tab w:val="left" w:pos="964"/>
        </w:tabs>
        <w:spacing w:after="120"/>
        <w:ind w:left="0" w:firstLine="561"/>
        <w:rPr>
          <w:sz w:val="28"/>
          <w:szCs w:val="28"/>
        </w:rPr>
      </w:pPr>
      <w:r w:rsidRPr="00C22F32">
        <w:rPr>
          <w:sz w:val="28"/>
          <w:szCs w:val="28"/>
        </w:rPr>
        <w:t>La pct. 2</w:t>
      </w:r>
      <w:r w:rsidRPr="00C22F32">
        <w:rPr>
          <w:b/>
          <w:sz w:val="28"/>
          <w:szCs w:val="28"/>
        </w:rPr>
        <w:t xml:space="preserve"> </w:t>
      </w:r>
      <w:r w:rsidRPr="00C22F32">
        <w:rPr>
          <w:sz w:val="28"/>
          <w:szCs w:val="28"/>
        </w:rPr>
        <w:t>al Hotărârii</w:t>
      </w:r>
      <w:r w:rsidR="004E50D4" w:rsidRPr="00C22F32">
        <w:rPr>
          <w:sz w:val="28"/>
          <w:szCs w:val="28"/>
        </w:rPr>
        <w:t>,</w:t>
      </w:r>
      <w:r w:rsidRPr="00C22F32">
        <w:rPr>
          <w:b/>
          <w:sz w:val="28"/>
          <w:szCs w:val="28"/>
        </w:rPr>
        <w:t xml:space="preserve"> </w:t>
      </w:r>
      <w:r w:rsidRPr="00C22F32">
        <w:rPr>
          <w:sz w:val="28"/>
          <w:szCs w:val="28"/>
        </w:rPr>
        <w:t>textul:</w:t>
      </w:r>
      <w:r w:rsidRPr="00C22F32">
        <w:rPr>
          <w:b/>
          <w:sz w:val="28"/>
          <w:szCs w:val="28"/>
        </w:rPr>
        <w:t xml:space="preserve"> </w:t>
      </w:r>
      <w:r w:rsidRPr="00C22F32">
        <w:rPr>
          <w:sz w:val="28"/>
          <w:szCs w:val="28"/>
        </w:rPr>
        <w:t>„Ministerul Economiei și Infrastructurii” se substituie cu textul „Ministerul Energiei”;</w:t>
      </w:r>
    </w:p>
    <w:p w14:paraId="2B6AA50A" w14:textId="77777777" w:rsidR="00552167" w:rsidRPr="00C22F32" w:rsidRDefault="000C3B3A" w:rsidP="00EB24A9">
      <w:pPr>
        <w:pStyle w:val="NormalWeb"/>
        <w:numPr>
          <w:ilvl w:val="0"/>
          <w:numId w:val="6"/>
        </w:numPr>
        <w:tabs>
          <w:tab w:val="left" w:pos="680"/>
        </w:tabs>
        <w:ind w:left="0" w:firstLine="284"/>
        <w:rPr>
          <w:sz w:val="28"/>
          <w:szCs w:val="28"/>
        </w:rPr>
      </w:pPr>
      <w:r w:rsidRPr="00C22F32">
        <w:rPr>
          <w:bCs/>
          <w:sz w:val="28"/>
          <w:szCs w:val="28"/>
        </w:rPr>
        <w:t>Metodologia cu privire la evaluarea reţelelor de gaze naturale, proprietate publică, aprobată</w:t>
      </w:r>
      <w:r w:rsidRPr="00C22F32">
        <w:rPr>
          <w:sz w:val="28"/>
          <w:szCs w:val="28"/>
        </w:rPr>
        <w:t xml:space="preserve"> </w:t>
      </w:r>
      <w:r w:rsidRPr="00C22F32">
        <w:rPr>
          <w:bCs/>
          <w:sz w:val="28"/>
          <w:szCs w:val="28"/>
        </w:rPr>
        <w:t xml:space="preserve">Hotărârea Guvernului nr. 828/2013, </w:t>
      </w:r>
      <w:r w:rsidRPr="00C22F32">
        <w:rPr>
          <w:sz w:val="28"/>
          <w:szCs w:val="28"/>
        </w:rPr>
        <w:t>se modifică după cum urmează:</w:t>
      </w:r>
    </w:p>
    <w:p w14:paraId="4DA3E58F" w14:textId="375230FB" w:rsidR="00E77C95" w:rsidRPr="00C22F32" w:rsidRDefault="00F4431A" w:rsidP="00EB24A9">
      <w:pPr>
        <w:pStyle w:val="NormalWeb"/>
        <w:numPr>
          <w:ilvl w:val="0"/>
          <w:numId w:val="8"/>
        </w:numPr>
        <w:tabs>
          <w:tab w:val="left" w:pos="964"/>
        </w:tabs>
        <w:ind w:left="0" w:firstLine="561"/>
        <w:rPr>
          <w:sz w:val="28"/>
          <w:szCs w:val="28"/>
        </w:rPr>
      </w:pPr>
      <w:r w:rsidRPr="00C22F32">
        <w:rPr>
          <w:bCs/>
          <w:sz w:val="28"/>
          <w:szCs w:val="28"/>
        </w:rPr>
        <w:t xml:space="preserve">În denumirea Metodologiei și pe întreg textul acesteia, </w:t>
      </w:r>
      <w:r w:rsidRPr="00C22F32">
        <w:rPr>
          <w:sz w:val="28"/>
          <w:szCs w:val="28"/>
        </w:rPr>
        <w:t>după cuvintele: „proprietate publică” se completează cu textul: „</w:t>
      </w:r>
      <w:r w:rsidR="00AE2A4E" w:rsidRPr="00C22F32">
        <w:rPr>
          <w:sz w:val="28"/>
          <w:szCs w:val="28"/>
        </w:rPr>
        <w:t xml:space="preserve"> , </w:t>
      </w:r>
      <w:r w:rsidR="003311B6" w:rsidRPr="00C22F32">
        <w:rPr>
          <w:bCs/>
          <w:sz w:val="28"/>
          <w:szCs w:val="28"/>
        </w:rPr>
        <w:t>din proprietatea terţilor şi fără proprietar</w:t>
      </w:r>
      <w:r w:rsidRPr="00C22F32">
        <w:rPr>
          <w:sz w:val="28"/>
          <w:szCs w:val="28"/>
        </w:rPr>
        <w:t>”</w:t>
      </w:r>
      <w:r w:rsidR="00DF39BE" w:rsidRPr="00C22F32">
        <w:rPr>
          <w:sz w:val="28"/>
          <w:szCs w:val="28"/>
        </w:rPr>
        <w:t>, cu excepția cazurilor în care modificările ce urmează stabilesc altfel</w:t>
      </w:r>
      <w:r w:rsidRPr="00C22F32">
        <w:rPr>
          <w:sz w:val="28"/>
          <w:szCs w:val="28"/>
        </w:rPr>
        <w:t>;</w:t>
      </w:r>
    </w:p>
    <w:p w14:paraId="26A6DC7F" w14:textId="7DF8D22C" w:rsidR="008A2F9D" w:rsidRPr="00C22F32" w:rsidRDefault="00164AE7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20"/>
        <w:ind w:left="0" w:firstLine="561"/>
        <w:rPr>
          <w:sz w:val="28"/>
          <w:szCs w:val="28"/>
        </w:rPr>
      </w:pPr>
      <w:r w:rsidRPr="00C22F32">
        <w:rPr>
          <w:bCs/>
          <w:sz w:val="28"/>
          <w:szCs w:val="28"/>
        </w:rPr>
        <w:t xml:space="preserve">Pct. 3 </w:t>
      </w:r>
      <w:r w:rsidR="008A2F9D" w:rsidRPr="00C22F32">
        <w:rPr>
          <w:bCs/>
          <w:sz w:val="28"/>
          <w:szCs w:val="28"/>
        </w:rPr>
        <w:t>va avea următorul cuprins</w:t>
      </w:r>
      <w:r w:rsidRPr="00C22F32">
        <w:rPr>
          <w:bCs/>
          <w:sz w:val="28"/>
          <w:szCs w:val="28"/>
        </w:rPr>
        <w:t>:</w:t>
      </w:r>
    </w:p>
    <w:p w14:paraId="53018213" w14:textId="62026ADD" w:rsidR="00164AE7" w:rsidRPr="00C22F32" w:rsidRDefault="00164AE7" w:rsidP="00EB24A9">
      <w:pPr>
        <w:pStyle w:val="NormalWeb"/>
        <w:rPr>
          <w:sz w:val="28"/>
          <w:szCs w:val="28"/>
        </w:rPr>
      </w:pPr>
      <w:r w:rsidRPr="00C22F32">
        <w:rPr>
          <w:bCs/>
          <w:sz w:val="28"/>
          <w:szCs w:val="28"/>
        </w:rPr>
        <w:t xml:space="preserve"> „</w:t>
      </w:r>
      <w:r w:rsidR="008A2F9D" w:rsidRPr="00C22F32">
        <w:rPr>
          <w:bCs/>
          <w:sz w:val="28"/>
          <w:szCs w:val="28"/>
        </w:rPr>
        <w:t xml:space="preserve">3. </w:t>
      </w:r>
      <w:r w:rsidRPr="00C22F32">
        <w:rPr>
          <w:sz w:val="28"/>
          <w:szCs w:val="28"/>
        </w:rPr>
        <w:t>Valoarea de piaţă estimată în urma evaluării reţelelor de gaze naturale, proprietate publică</w:t>
      </w:r>
      <w:r w:rsidR="00F91063" w:rsidRPr="00C22F32">
        <w:rPr>
          <w:sz w:val="28"/>
          <w:szCs w:val="28"/>
        </w:rPr>
        <w:t>,</w:t>
      </w:r>
      <w:r w:rsidRPr="00C22F32">
        <w:rPr>
          <w:sz w:val="28"/>
          <w:szCs w:val="28"/>
        </w:rPr>
        <w:t xml:space="preserve"> </w:t>
      </w:r>
      <w:r w:rsidR="00F91063" w:rsidRPr="00C22F32">
        <w:rPr>
          <w:bCs/>
          <w:sz w:val="28"/>
          <w:szCs w:val="28"/>
        </w:rPr>
        <w:t>din proprietatea terţilor şi fără proprietar</w:t>
      </w:r>
      <w:r w:rsidRPr="00C22F32">
        <w:rPr>
          <w:sz w:val="28"/>
          <w:szCs w:val="28"/>
        </w:rPr>
        <w:t>, determinată conform prezentei Metodologii, se va utiliza în scopuri financiar-contabile”;</w:t>
      </w:r>
    </w:p>
    <w:p w14:paraId="6C2B820E" w14:textId="5D2F1C70" w:rsidR="00B253C4" w:rsidRPr="00C22F32" w:rsidRDefault="00B253C4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 xml:space="preserve">Pct. 4 se completează cu o noțiune nouă, care va avea următorul cuprins: </w:t>
      </w:r>
    </w:p>
    <w:p w14:paraId="2D8F77B1" w14:textId="672DCBD2" w:rsidR="00B253C4" w:rsidRPr="00C22F32" w:rsidRDefault="00B253C4" w:rsidP="00EB24A9">
      <w:pPr>
        <w:pStyle w:val="NormalWeb"/>
        <w:spacing w:after="120"/>
        <w:rPr>
          <w:sz w:val="28"/>
          <w:szCs w:val="28"/>
        </w:rPr>
      </w:pPr>
      <w:r w:rsidRPr="00C22F32">
        <w:rPr>
          <w:sz w:val="28"/>
          <w:szCs w:val="28"/>
        </w:rPr>
        <w:t>„</w:t>
      </w:r>
      <w:r w:rsidRPr="00C22F32">
        <w:rPr>
          <w:b/>
          <w:bCs/>
          <w:i/>
          <w:iCs/>
          <w:sz w:val="28"/>
          <w:szCs w:val="28"/>
        </w:rPr>
        <w:t>rețele de gaze naturale din proprietatea terților</w:t>
      </w:r>
      <w:r w:rsidRPr="00C22F32">
        <w:rPr>
          <w:sz w:val="28"/>
          <w:szCs w:val="28"/>
        </w:rPr>
        <w:t xml:space="preserve"> – rețele de gaze naturale construite din contribuțiile financiare ale persoanelor fizice și/sau juridice care nu reprezintă întreprinderi de gaze naturale”</w:t>
      </w:r>
      <w:r w:rsidR="00AE2A4E" w:rsidRPr="00C22F32">
        <w:rPr>
          <w:sz w:val="28"/>
          <w:szCs w:val="28"/>
        </w:rPr>
        <w:t>;</w:t>
      </w:r>
    </w:p>
    <w:p w14:paraId="7A5082C4" w14:textId="54B1769E" w:rsidR="000A57CE" w:rsidRPr="00C22F32" w:rsidRDefault="000C3B3A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 xml:space="preserve">Pct. 5 se completează cu o nouă literă cu următorul cuprins: </w:t>
      </w:r>
    </w:p>
    <w:p w14:paraId="7BE7F31B" w14:textId="3EB9D5EC" w:rsidR="000C3B3A" w:rsidRPr="00C22F32" w:rsidRDefault="000C3B3A" w:rsidP="00EB24A9">
      <w:pPr>
        <w:pStyle w:val="NormalWeb"/>
        <w:spacing w:after="120"/>
        <w:rPr>
          <w:sz w:val="28"/>
          <w:szCs w:val="28"/>
        </w:rPr>
      </w:pPr>
      <w:r w:rsidRPr="00C22F32">
        <w:rPr>
          <w:sz w:val="28"/>
          <w:szCs w:val="28"/>
        </w:rPr>
        <w:t>„c) abordarea prin metoda veniturilor”;</w:t>
      </w:r>
    </w:p>
    <w:p w14:paraId="60B9C9AE" w14:textId="36273AE3" w:rsidR="00314C84" w:rsidRPr="00C22F32" w:rsidRDefault="00314C84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>S</w:t>
      </w:r>
      <w:r w:rsidR="000C3B3A" w:rsidRPr="00C22F32">
        <w:rPr>
          <w:sz w:val="28"/>
          <w:szCs w:val="28"/>
        </w:rPr>
        <w:t>e completează cu punct</w:t>
      </w:r>
      <w:r w:rsidRPr="00C22F32">
        <w:rPr>
          <w:sz w:val="28"/>
          <w:szCs w:val="28"/>
        </w:rPr>
        <w:t>ul 11</w:t>
      </w:r>
      <w:r w:rsidRPr="00C22F32">
        <w:rPr>
          <w:sz w:val="28"/>
          <w:szCs w:val="28"/>
          <w:vertAlign w:val="superscript"/>
        </w:rPr>
        <w:t>1</w:t>
      </w:r>
      <w:r w:rsidR="000C3B3A" w:rsidRPr="00C22F32">
        <w:rPr>
          <w:sz w:val="28"/>
          <w:szCs w:val="28"/>
        </w:rPr>
        <w:t xml:space="preserve"> cu următorul </w:t>
      </w:r>
      <w:r w:rsidRPr="00C22F32">
        <w:rPr>
          <w:sz w:val="28"/>
          <w:szCs w:val="28"/>
        </w:rPr>
        <w:t>cuprins</w:t>
      </w:r>
      <w:r w:rsidR="000C3B3A" w:rsidRPr="00C22F32">
        <w:rPr>
          <w:sz w:val="28"/>
          <w:szCs w:val="28"/>
        </w:rPr>
        <w:t xml:space="preserve">: </w:t>
      </w:r>
    </w:p>
    <w:p w14:paraId="0C665BB5" w14:textId="166479E9" w:rsidR="00164AE7" w:rsidRPr="00C22F32" w:rsidRDefault="000C3B3A" w:rsidP="00EB24A9">
      <w:pPr>
        <w:pStyle w:val="NormalWeb"/>
        <w:spacing w:after="120"/>
        <w:rPr>
          <w:sz w:val="28"/>
          <w:szCs w:val="28"/>
        </w:rPr>
      </w:pPr>
      <w:r w:rsidRPr="00C22F32">
        <w:rPr>
          <w:sz w:val="28"/>
          <w:szCs w:val="28"/>
        </w:rPr>
        <w:lastRenderedPageBreak/>
        <w:t>„11</w:t>
      </w:r>
      <w:r w:rsidRPr="00C22F32">
        <w:rPr>
          <w:sz w:val="28"/>
          <w:szCs w:val="28"/>
          <w:vertAlign w:val="superscript"/>
        </w:rPr>
        <w:t>1</w:t>
      </w:r>
      <w:r w:rsidRPr="00C22F32">
        <w:rPr>
          <w:sz w:val="28"/>
          <w:szCs w:val="28"/>
        </w:rPr>
        <w:t xml:space="preserve">. Abordarea prin </w:t>
      </w:r>
      <w:r w:rsidR="00FF114E" w:rsidRPr="00C22F32">
        <w:rPr>
          <w:sz w:val="28"/>
          <w:szCs w:val="28"/>
        </w:rPr>
        <w:t xml:space="preserve">metoda </w:t>
      </w:r>
      <w:r w:rsidRPr="00C22F32">
        <w:rPr>
          <w:sz w:val="28"/>
          <w:szCs w:val="28"/>
        </w:rPr>
        <w:t>venit</w:t>
      </w:r>
      <w:r w:rsidR="00FF114E" w:rsidRPr="00C22F32">
        <w:rPr>
          <w:sz w:val="28"/>
          <w:szCs w:val="28"/>
        </w:rPr>
        <w:t>urilor</w:t>
      </w:r>
      <w:r w:rsidRPr="00C22F32">
        <w:rPr>
          <w:sz w:val="28"/>
          <w:szCs w:val="28"/>
        </w:rPr>
        <w:t xml:space="preserve"> </w:t>
      </w:r>
      <w:r w:rsidR="00E3538B" w:rsidRPr="00C22F32">
        <w:rPr>
          <w:sz w:val="28"/>
          <w:szCs w:val="28"/>
        </w:rPr>
        <w:t>se bazează pe</w:t>
      </w:r>
      <w:r w:rsidRPr="00C22F32">
        <w:rPr>
          <w:sz w:val="28"/>
          <w:szCs w:val="28"/>
        </w:rPr>
        <w:t xml:space="preserve"> estimarea valorii prin metoda actualizării veniturilor operaționale nete pe durata de </w:t>
      </w:r>
      <w:r w:rsidR="00504A79" w:rsidRPr="00C22F32">
        <w:rPr>
          <w:sz w:val="28"/>
          <w:szCs w:val="28"/>
        </w:rPr>
        <w:t>utilizare</w:t>
      </w:r>
      <w:r w:rsidRPr="00C22F32">
        <w:rPr>
          <w:sz w:val="28"/>
          <w:szCs w:val="28"/>
        </w:rPr>
        <w:t xml:space="preserve"> </w:t>
      </w:r>
      <w:r w:rsidR="00504A79" w:rsidRPr="00C22F32">
        <w:rPr>
          <w:sz w:val="28"/>
          <w:szCs w:val="28"/>
        </w:rPr>
        <w:t xml:space="preserve">rămasă </w:t>
      </w:r>
      <w:r w:rsidRPr="00C22F32">
        <w:rPr>
          <w:sz w:val="28"/>
          <w:szCs w:val="28"/>
        </w:rPr>
        <w:t xml:space="preserve">a rețelei </w:t>
      </w:r>
      <w:r w:rsidRPr="00E636F2">
        <w:rPr>
          <w:sz w:val="28"/>
          <w:szCs w:val="28"/>
        </w:rPr>
        <w:t>de gaze naturale</w:t>
      </w:r>
      <w:r w:rsidR="00504A79" w:rsidRPr="00E636F2">
        <w:rPr>
          <w:sz w:val="28"/>
          <w:szCs w:val="28"/>
        </w:rPr>
        <w:t xml:space="preserve">. Durata </w:t>
      </w:r>
      <w:r w:rsidR="00E029C3" w:rsidRPr="00E636F2">
        <w:rPr>
          <w:sz w:val="28"/>
          <w:szCs w:val="28"/>
        </w:rPr>
        <w:t>maximă</w:t>
      </w:r>
      <w:r w:rsidRPr="00E636F2">
        <w:rPr>
          <w:sz w:val="28"/>
          <w:szCs w:val="28"/>
        </w:rPr>
        <w:t xml:space="preserve"> </w:t>
      </w:r>
      <w:r w:rsidR="00504A79" w:rsidRPr="00E636F2">
        <w:rPr>
          <w:sz w:val="28"/>
          <w:szCs w:val="28"/>
        </w:rPr>
        <w:t xml:space="preserve">de utilizare </w:t>
      </w:r>
      <w:r w:rsidR="00E029C3" w:rsidRPr="00E636F2">
        <w:rPr>
          <w:sz w:val="28"/>
          <w:szCs w:val="28"/>
        </w:rPr>
        <w:t>se consideră durata stabilită conform coloanei 4 din Anexa la Catalogul mijloacelor fixe</w:t>
      </w:r>
      <w:r w:rsidRPr="00E636F2">
        <w:rPr>
          <w:sz w:val="28"/>
          <w:szCs w:val="28"/>
        </w:rPr>
        <w:t xml:space="preserve">, aprobat prin </w:t>
      </w:r>
      <w:r w:rsidR="00AE376C" w:rsidRPr="00E636F2">
        <w:rPr>
          <w:sz w:val="28"/>
          <w:szCs w:val="28"/>
        </w:rPr>
        <w:t>Hotărârea Guvernului</w:t>
      </w:r>
      <w:r w:rsidR="00AE376C" w:rsidRPr="00C22F32">
        <w:rPr>
          <w:sz w:val="28"/>
          <w:szCs w:val="28"/>
        </w:rPr>
        <w:t xml:space="preserve"> nr. 941/2020</w:t>
      </w:r>
      <w:r w:rsidRPr="00C22F32">
        <w:rPr>
          <w:sz w:val="28"/>
          <w:szCs w:val="28"/>
        </w:rPr>
        <w:t>”;</w:t>
      </w:r>
    </w:p>
    <w:p w14:paraId="4DD8DCD6" w14:textId="38CD0C9C" w:rsidR="000C3B3A" w:rsidRPr="00C22F32" w:rsidRDefault="000C3B3A" w:rsidP="00EB24A9">
      <w:pPr>
        <w:pStyle w:val="NormalWeb"/>
        <w:numPr>
          <w:ilvl w:val="0"/>
          <w:numId w:val="8"/>
        </w:numPr>
        <w:tabs>
          <w:tab w:val="left" w:pos="964"/>
        </w:tabs>
        <w:ind w:left="0" w:firstLine="567"/>
        <w:rPr>
          <w:sz w:val="28"/>
          <w:szCs w:val="28"/>
        </w:rPr>
      </w:pPr>
      <w:r w:rsidRPr="00C22F32">
        <w:rPr>
          <w:sz w:val="28"/>
          <w:szCs w:val="28"/>
        </w:rPr>
        <w:t>La pct. 12</w:t>
      </w:r>
      <w:r w:rsidR="00E3538B" w:rsidRPr="00C22F32">
        <w:rPr>
          <w:sz w:val="28"/>
          <w:szCs w:val="28"/>
        </w:rPr>
        <w:t>,</w:t>
      </w:r>
      <w:r w:rsidR="00F4431A" w:rsidRPr="00C22F32">
        <w:rPr>
          <w:sz w:val="28"/>
          <w:szCs w:val="28"/>
        </w:rPr>
        <w:t xml:space="preserve"> </w:t>
      </w:r>
      <w:r w:rsidR="00AE2A4E" w:rsidRPr="00C22F32">
        <w:rPr>
          <w:sz w:val="28"/>
          <w:szCs w:val="28"/>
        </w:rPr>
        <w:t xml:space="preserve">după cuvintele „prin cost” </w:t>
      </w:r>
      <w:r w:rsidR="00F4431A" w:rsidRPr="00C22F32">
        <w:rPr>
          <w:sz w:val="28"/>
          <w:szCs w:val="28"/>
        </w:rPr>
        <w:t>textul: „cît şi abordarea de piață” se substituie cu textul: „</w:t>
      </w:r>
      <w:r w:rsidR="00AE2A4E" w:rsidRPr="00C22F32">
        <w:rPr>
          <w:sz w:val="28"/>
          <w:szCs w:val="28"/>
        </w:rPr>
        <w:t xml:space="preserve"> , </w:t>
      </w:r>
      <w:r w:rsidR="00F4431A" w:rsidRPr="00C22F32">
        <w:rPr>
          <w:sz w:val="28"/>
          <w:szCs w:val="28"/>
        </w:rPr>
        <w:t xml:space="preserve">abordarea de piaţă, cât şi abordarea prin </w:t>
      </w:r>
      <w:r w:rsidR="006718DD" w:rsidRPr="00C22F32">
        <w:rPr>
          <w:sz w:val="28"/>
          <w:szCs w:val="28"/>
        </w:rPr>
        <w:t>metoda veniturilor</w:t>
      </w:r>
      <w:r w:rsidR="00F4431A" w:rsidRPr="00C22F32">
        <w:rPr>
          <w:sz w:val="28"/>
          <w:szCs w:val="28"/>
        </w:rPr>
        <w:t>”;</w:t>
      </w:r>
    </w:p>
    <w:p w14:paraId="139CCC6C" w14:textId="4E00BCDA" w:rsidR="00F4431A" w:rsidRPr="00C22F32" w:rsidRDefault="00F4431A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>La pct. 16</w:t>
      </w:r>
      <w:r w:rsidR="00CD5368" w:rsidRPr="00C22F32">
        <w:rPr>
          <w:sz w:val="28"/>
          <w:szCs w:val="28"/>
        </w:rPr>
        <w:t>,</w:t>
      </w:r>
      <w:r w:rsidRPr="00C22F32">
        <w:rPr>
          <w:sz w:val="28"/>
          <w:szCs w:val="28"/>
        </w:rPr>
        <w:t xml:space="preserve"> textul: „Acest patrimoniu public constă” se substituie cu textul: „Activele supuse evaluării</w:t>
      </w:r>
      <w:r w:rsidR="00FE7D62" w:rsidRPr="00C22F32">
        <w:rPr>
          <w:sz w:val="28"/>
          <w:szCs w:val="28"/>
        </w:rPr>
        <w:t xml:space="preserve"> sunt constituite</w:t>
      </w:r>
      <w:r w:rsidRPr="00C22F32">
        <w:rPr>
          <w:sz w:val="28"/>
          <w:szCs w:val="28"/>
        </w:rPr>
        <w:t>”</w:t>
      </w:r>
      <w:r w:rsidR="00FE7D62" w:rsidRPr="00C22F32">
        <w:rPr>
          <w:sz w:val="28"/>
          <w:szCs w:val="28"/>
        </w:rPr>
        <w:t>;</w:t>
      </w:r>
    </w:p>
    <w:p w14:paraId="015AF413" w14:textId="5E249FDC" w:rsidR="00FE7D62" w:rsidRPr="00C22F32" w:rsidRDefault="00FE7D62" w:rsidP="00EB24A9">
      <w:pPr>
        <w:pStyle w:val="NormalWeb"/>
        <w:numPr>
          <w:ilvl w:val="0"/>
          <w:numId w:val="8"/>
        </w:numPr>
        <w:tabs>
          <w:tab w:val="left" w:pos="964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>La pct. 17</w:t>
      </w:r>
      <w:r w:rsidR="002862A7" w:rsidRPr="00C22F32">
        <w:rPr>
          <w:sz w:val="28"/>
          <w:szCs w:val="28"/>
        </w:rPr>
        <w:t>:</w:t>
      </w:r>
      <w:r w:rsidRPr="00C22F32">
        <w:rPr>
          <w:sz w:val="28"/>
          <w:szCs w:val="28"/>
        </w:rPr>
        <w:t xml:space="preserve"> </w:t>
      </w:r>
    </w:p>
    <w:p w14:paraId="3E9F4803" w14:textId="77777777" w:rsidR="00D1363B" w:rsidRPr="00C22F32" w:rsidRDefault="00D1363B" w:rsidP="00EB24A9">
      <w:pPr>
        <w:pStyle w:val="msonormal0"/>
        <w:rPr>
          <w:sz w:val="28"/>
          <w:szCs w:val="28"/>
        </w:rPr>
      </w:pPr>
      <w:r w:rsidRPr="00C22F32">
        <w:rPr>
          <w:sz w:val="28"/>
          <w:szCs w:val="28"/>
        </w:rPr>
        <w:t>a)</w:t>
      </w:r>
      <w:r w:rsidR="00FE7D62" w:rsidRPr="00C22F32">
        <w:rPr>
          <w:sz w:val="28"/>
          <w:szCs w:val="28"/>
        </w:rPr>
        <w:t xml:space="preserve"> lit. c)</w:t>
      </w:r>
      <w:r w:rsidRPr="00C22F32">
        <w:rPr>
          <w:sz w:val="28"/>
          <w:szCs w:val="28"/>
        </w:rPr>
        <w:t xml:space="preserve"> va avea următorul cuprins:</w:t>
      </w:r>
    </w:p>
    <w:p w14:paraId="4749C749" w14:textId="5EE916A2" w:rsidR="00D1363B" w:rsidRPr="00C22F32" w:rsidRDefault="00D1363B" w:rsidP="00EB24A9">
      <w:pPr>
        <w:pStyle w:val="msonormal0"/>
        <w:rPr>
          <w:sz w:val="28"/>
          <w:szCs w:val="28"/>
        </w:rPr>
      </w:pPr>
      <w:r w:rsidRPr="00C22F32">
        <w:rPr>
          <w:sz w:val="28"/>
          <w:szCs w:val="28"/>
        </w:rPr>
        <w:t>„c)</w:t>
      </w:r>
      <w:r w:rsidR="00FE7D62" w:rsidRPr="00C22F32">
        <w:rPr>
          <w:sz w:val="28"/>
          <w:szCs w:val="28"/>
        </w:rPr>
        <w:t xml:space="preserve"> </w:t>
      </w:r>
      <w:r w:rsidRPr="00C22F32">
        <w:rPr>
          <w:sz w:val="28"/>
          <w:szCs w:val="28"/>
        </w:rPr>
        <w:t xml:space="preserve">informaţia detaliată privind reţelele de gaze naturale, proprietate publică, din proprietatea terţilor şi fără proprietar, întocmită ca urmare a inventarierii acestora conform prevederilor </w:t>
      </w:r>
      <w:r w:rsidR="00AE2A4E" w:rsidRPr="00C22F32">
        <w:rPr>
          <w:sz w:val="28"/>
          <w:szCs w:val="28"/>
        </w:rPr>
        <w:t xml:space="preserve">Regulamentului privind </w:t>
      </w:r>
      <w:r w:rsidR="003A7C48" w:rsidRPr="00C22F32">
        <w:rPr>
          <w:sz w:val="28"/>
          <w:szCs w:val="28"/>
        </w:rPr>
        <w:t>inventarierea rețelelor de gaze naturale proprietate publică, din proprietatea terţilor şi fără proprietar</w:t>
      </w:r>
      <w:r w:rsidR="00AE2A4E" w:rsidRPr="00C22F32">
        <w:rPr>
          <w:sz w:val="28"/>
          <w:szCs w:val="28"/>
        </w:rPr>
        <w:t>, aprobat de Guvern</w:t>
      </w:r>
      <w:r w:rsidR="003A7C48" w:rsidRPr="00C22F32">
        <w:rPr>
          <w:sz w:val="28"/>
          <w:szCs w:val="28"/>
        </w:rPr>
        <w:t>”</w:t>
      </w:r>
      <w:r w:rsidR="00075FD5" w:rsidRPr="00C22F32">
        <w:rPr>
          <w:sz w:val="28"/>
          <w:szCs w:val="28"/>
        </w:rPr>
        <w:t>;</w:t>
      </w:r>
    </w:p>
    <w:p w14:paraId="010E2B4E" w14:textId="1503DFE7" w:rsidR="00FE7D62" w:rsidRPr="00C22F32" w:rsidRDefault="00D1363B" w:rsidP="00EB24A9">
      <w:pPr>
        <w:pStyle w:val="msonormal0"/>
        <w:rPr>
          <w:sz w:val="28"/>
          <w:szCs w:val="28"/>
        </w:rPr>
      </w:pPr>
      <w:r w:rsidRPr="00C22F32">
        <w:rPr>
          <w:sz w:val="28"/>
          <w:szCs w:val="28"/>
        </w:rPr>
        <w:t>b)</w:t>
      </w:r>
      <w:r w:rsidR="00FE7D62" w:rsidRPr="00C22F32">
        <w:rPr>
          <w:sz w:val="28"/>
          <w:szCs w:val="28"/>
        </w:rPr>
        <w:t xml:space="preserve"> la lit. f) textul</w:t>
      </w:r>
      <w:r w:rsidR="002C6E3E" w:rsidRPr="00C22F32">
        <w:rPr>
          <w:sz w:val="28"/>
          <w:szCs w:val="28"/>
        </w:rPr>
        <w:t>:</w:t>
      </w:r>
      <w:r w:rsidR="00FE7D62" w:rsidRPr="00C22F32">
        <w:rPr>
          <w:sz w:val="28"/>
          <w:szCs w:val="28"/>
        </w:rPr>
        <w:t xml:space="preserve"> „Ministerul Economiei și Infrastructurii” se substituie cu textul: „autoritățile publice centrale de </w:t>
      </w:r>
      <w:r w:rsidR="002C6E3E" w:rsidRPr="00C22F32">
        <w:rPr>
          <w:sz w:val="28"/>
          <w:szCs w:val="28"/>
        </w:rPr>
        <w:t>specialitate</w:t>
      </w:r>
      <w:r w:rsidR="00FE7D62" w:rsidRPr="00C22F32">
        <w:rPr>
          <w:sz w:val="28"/>
          <w:szCs w:val="28"/>
        </w:rPr>
        <w:t>”</w:t>
      </w:r>
      <w:r w:rsidR="002C6E3E" w:rsidRPr="00C22F32">
        <w:rPr>
          <w:sz w:val="28"/>
          <w:szCs w:val="28"/>
        </w:rPr>
        <w:t>;</w:t>
      </w:r>
    </w:p>
    <w:p w14:paraId="179FF3DE" w14:textId="77453ADC" w:rsidR="002C6E3E" w:rsidRPr="00C22F32" w:rsidRDefault="00F86D81" w:rsidP="00EB24A9">
      <w:pPr>
        <w:pStyle w:val="msonormal0"/>
        <w:rPr>
          <w:sz w:val="28"/>
          <w:szCs w:val="28"/>
        </w:rPr>
      </w:pPr>
      <w:r w:rsidRPr="00C22F32">
        <w:rPr>
          <w:sz w:val="28"/>
          <w:szCs w:val="28"/>
        </w:rPr>
        <w:t>c)</w:t>
      </w:r>
      <w:r w:rsidR="002C6E3E" w:rsidRPr="00C22F32">
        <w:rPr>
          <w:sz w:val="28"/>
          <w:szCs w:val="28"/>
        </w:rPr>
        <w:t xml:space="preserve"> la lit. n) textul: „</w:t>
      </w:r>
      <w:r w:rsidR="00EF39BE" w:rsidRPr="00C22F32">
        <w:rPr>
          <w:sz w:val="28"/>
          <w:szCs w:val="28"/>
        </w:rPr>
        <w:t xml:space="preserve">aprobate de </w:t>
      </w:r>
      <w:r w:rsidR="002C6E3E" w:rsidRPr="00C22F32">
        <w:rPr>
          <w:sz w:val="28"/>
          <w:szCs w:val="28"/>
        </w:rPr>
        <w:t>Ministerul Economiei și Infrastructurii” se exclude;</w:t>
      </w:r>
    </w:p>
    <w:p w14:paraId="0BBC2174" w14:textId="17E25F96" w:rsidR="007175B7" w:rsidRPr="00C22F32" w:rsidRDefault="00DF39BE" w:rsidP="00EB24A9">
      <w:pPr>
        <w:pStyle w:val="NormalWeb"/>
        <w:numPr>
          <w:ilvl w:val="0"/>
          <w:numId w:val="8"/>
        </w:numPr>
        <w:tabs>
          <w:tab w:val="left" w:pos="964"/>
        </w:tabs>
        <w:ind w:left="0" w:firstLine="567"/>
        <w:rPr>
          <w:sz w:val="28"/>
          <w:szCs w:val="28"/>
        </w:rPr>
      </w:pPr>
      <w:r w:rsidRPr="00C22F32">
        <w:rPr>
          <w:sz w:val="28"/>
          <w:szCs w:val="28"/>
        </w:rPr>
        <w:t>P</w:t>
      </w:r>
      <w:r w:rsidR="002C6E3E" w:rsidRPr="00C22F32">
        <w:rPr>
          <w:sz w:val="28"/>
          <w:szCs w:val="28"/>
        </w:rPr>
        <w:t xml:space="preserve">ct. 18 </w:t>
      </w:r>
      <w:r w:rsidRPr="00C22F32">
        <w:rPr>
          <w:sz w:val="28"/>
          <w:szCs w:val="28"/>
        </w:rPr>
        <w:t>se completează cu liter</w:t>
      </w:r>
      <w:r w:rsidR="007175B7" w:rsidRPr="00C22F32">
        <w:rPr>
          <w:sz w:val="28"/>
          <w:szCs w:val="28"/>
        </w:rPr>
        <w:t>a c)</w:t>
      </w:r>
      <w:r w:rsidRPr="00C22F32">
        <w:rPr>
          <w:sz w:val="28"/>
          <w:szCs w:val="28"/>
        </w:rPr>
        <w:t xml:space="preserve"> cu următorul </w:t>
      </w:r>
      <w:r w:rsidR="007175B7" w:rsidRPr="00C22F32">
        <w:rPr>
          <w:sz w:val="28"/>
          <w:szCs w:val="28"/>
        </w:rPr>
        <w:t>cuprins</w:t>
      </w:r>
      <w:r w:rsidRPr="00C22F32">
        <w:rPr>
          <w:sz w:val="28"/>
          <w:szCs w:val="28"/>
        </w:rPr>
        <w:t xml:space="preserve">: </w:t>
      </w:r>
    </w:p>
    <w:p w14:paraId="6E5B4109" w14:textId="48B2BAFC" w:rsidR="002C6E3E" w:rsidRPr="00C22F32" w:rsidRDefault="00DF39BE" w:rsidP="00EB24A9">
      <w:pPr>
        <w:pStyle w:val="msonormal0"/>
        <w:rPr>
          <w:sz w:val="28"/>
          <w:szCs w:val="28"/>
        </w:rPr>
      </w:pPr>
      <w:r w:rsidRPr="00C22F32">
        <w:rPr>
          <w:sz w:val="28"/>
          <w:szCs w:val="28"/>
        </w:rPr>
        <w:t>„c) metoda veniturilor”;</w:t>
      </w:r>
    </w:p>
    <w:p w14:paraId="3DDAD880" w14:textId="0E56FD49" w:rsidR="00DF39BE" w:rsidRPr="00C22F32" w:rsidRDefault="00DF39BE" w:rsidP="00EB24A9">
      <w:pPr>
        <w:pStyle w:val="NormalWeb"/>
        <w:numPr>
          <w:ilvl w:val="0"/>
          <w:numId w:val="8"/>
        </w:numPr>
        <w:tabs>
          <w:tab w:val="left" w:pos="1077"/>
        </w:tabs>
        <w:ind w:left="0" w:firstLine="567"/>
        <w:rPr>
          <w:sz w:val="28"/>
          <w:szCs w:val="28"/>
        </w:rPr>
      </w:pPr>
      <w:r w:rsidRPr="00C22F32">
        <w:rPr>
          <w:sz w:val="28"/>
          <w:szCs w:val="28"/>
        </w:rPr>
        <w:t>La pct. 19 cuvintele: „proprietate publică” se exclud;</w:t>
      </w:r>
    </w:p>
    <w:p w14:paraId="0FB08570" w14:textId="08004B57" w:rsidR="00DF39BE" w:rsidRPr="00C22F32" w:rsidRDefault="00DF39BE" w:rsidP="00EB24A9">
      <w:pPr>
        <w:pStyle w:val="NormalWeb"/>
        <w:numPr>
          <w:ilvl w:val="0"/>
          <w:numId w:val="8"/>
        </w:numPr>
        <w:tabs>
          <w:tab w:val="left" w:pos="1077"/>
        </w:tabs>
        <w:ind w:left="0" w:firstLine="561"/>
        <w:rPr>
          <w:sz w:val="28"/>
          <w:szCs w:val="28"/>
        </w:rPr>
      </w:pPr>
      <w:r w:rsidRPr="00C22F32">
        <w:rPr>
          <w:sz w:val="28"/>
          <w:szCs w:val="28"/>
        </w:rPr>
        <w:t xml:space="preserve">La pct. 27 cuvintele </w:t>
      </w:r>
      <w:r w:rsidR="008C56D5" w:rsidRPr="00C22F32">
        <w:rPr>
          <w:sz w:val="28"/>
          <w:szCs w:val="28"/>
        </w:rPr>
        <w:t>„</w:t>
      </w:r>
      <w:r w:rsidRPr="00C22F32">
        <w:rPr>
          <w:sz w:val="28"/>
          <w:szCs w:val="28"/>
        </w:rPr>
        <w:t>proprietate publică</w:t>
      </w:r>
      <w:r w:rsidR="008C56D5" w:rsidRPr="00C22F32">
        <w:rPr>
          <w:sz w:val="28"/>
          <w:szCs w:val="28"/>
        </w:rPr>
        <w:t>”</w:t>
      </w:r>
      <w:r w:rsidRPr="00C22F32">
        <w:rPr>
          <w:sz w:val="28"/>
          <w:szCs w:val="28"/>
        </w:rPr>
        <w:t xml:space="preserve"> se substituie cu cuvintele „supuse evaluării”;</w:t>
      </w:r>
    </w:p>
    <w:p w14:paraId="1890D2C2" w14:textId="070FE63C" w:rsidR="004C7673" w:rsidRPr="00C22F32" w:rsidRDefault="00DF39BE" w:rsidP="00EB24A9">
      <w:pPr>
        <w:pStyle w:val="NormalWeb"/>
        <w:numPr>
          <w:ilvl w:val="0"/>
          <w:numId w:val="8"/>
        </w:numPr>
        <w:tabs>
          <w:tab w:val="left" w:pos="1077"/>
        </w:tabs>
        <w:ind w:left="0" w:firstLine="561"/>
        <w:rPr>
          <w:sz w:val="28"/>
          <w:szCs w:val="28"/>
        </w:rPr>
      </w:pPr>
      <w:r w:rsidRPr="00C22F32">
        <w:rPr>
          <w:sz w:val="28"/>
          <w:szCs w:val="28"/>
        </w:rPr>
        <w:t xml:space="preserve">Metodologia se completează cu o nouă secțiune cu următorul conținut: </w:t>
      </w:r>
    </w:p>
    <w:p w14:paraId="44DE0317" w14:textId="2A4A91AF" w:rsidR="00F27B22" w:rsidRPr="00C22F32" w:rsidRDefault="00753E25" w:rsidP="00EB24A9">
      <w:pPr>
        <w:pStyle w:val="cp"/>
        <w:rPr>
          <w:sz w:val="28"/>
          <w:szCs w:val="28"/>
        </w:rPr>
      </w:pPr>
      <w:r w:rsidRPr="00C22F32">
        <w:rPr>
          <w:b w:val="0"/>
          <w:bCs w:val="0"/>
          <w:sz w:val="28"/>
          <w:szCs w:val="28"/>
        </w:rPr>
        <w:t>„</w:t>
      </w:r>
      <w:r w:rsidR="006A0322" w:rsidRPr="00C22F32">
        <w:rPr>
          <w:b w:val="0"/>
          <w:bCs w:val="0"/>
          <w:sz w:val="28"/>
          <w:szCs w:val="28"/>
        </w:rPr>
        <w:t xml:space="preserve"> </w:t>
      </w:r>
      <w:r w:rsidR="00F27B22" w:rsidRPr="00C22F32">
        <w:rPr>
          <w:sz w:val="28"/>
          <w:szCs w:val="28"/>
        </w:rPr>
        <w:t>Secţiunea 3</w:t>
      </w:r>
    </w:p>
    <w:p w14:paraId="142962D3" w14:textId="439C8BE2" w:rsidR="00F27B22" w:rsidRPr="00C22F32" w:rsidRDefault="00F27B22" w:rsidP="00EB24A9">
      <w:pPr>
        <w:pStyle w:val="cp"/>
        <w:spacing w:after="120"/>
        <w:rPr>
          <w:sz w:val="28"/>
          <w:szCs w:val="28"/>
        </w:rPr>
      </w:pPr>
      <w:r w:rsidRPr="00C22F32">
        <w:rPr>
          <w:sz w:val="28"/>
          <w:szCs w:val="28"/>
        </w:rPr>
        <w:t xml:space="preserve">Metoda veniturilor </w:t>
      </w:r>
    </w:p>
    <w:p w14:paraId="12C0E77C" w14:textId="721AD64C" w:rsidR="00F27B22" w:rsidRPr="00C22F32" w:rsidRDefault="00F27B22" w:rsidP="00EB24A9">
      <w:pPr>
        <w:pStyle w:val="NormalWeb"/>
        <w:rPr>
          <w:sz w:val="28"/>
          <w:szCs w:val="28"/>
        </w:rPr>
      </w:pPr>
      <w:r w:rsidRPr="00C22F32">
        <w:rPr>
          <w:bCs/>
          <w:sz w:val="28"/>
          <w:szCs w:val="28"/>
        </w:rPr>
        <w:t>30</w:t>
      </w:r>
      <w:r w:rsidRPr="00C22F32">
        <w:rPr>
          <w:bCs/>
          <w:sz w:val="28"/>
          <w:szCs w:val="28"/>
          <w:vertAlign w:val="superscript"/>
        </w:rPr>
        <w:t>1</w:t>
      </w:r>
      <w:r w:rsidRPr="00C22F32">
        <w:rPr>
          <w:bCs/>
          <w:sz w:val="28"/>
          <w:szCs w:val="28"/>
        </w:rPr>
        <w:t>.</w:t>
      </w:r>
      <w:r w:rsidRPr="00C22F32">
        <w:rPr>
          <w:sz w:val="28"/>
          <w:szCs w:val="28"/>
        </w:rPr>
        <w:t xml:space="preserve"> </w:t>
      </w:r>
      <w:r w:rsidR="00E145E2" w:rsidRPr="00C22F32">
        <w:rPr>
          <w:sz w:val="28"/>
          <w:szCs w:val="28"/>
        </w:rPr>
        <w:t xml:space="preserve">Determinarea valorii rețelelor de gaze naturale prin metoda veniturilor </w:t>
      </w:r>
      <w:r w:rsidR="00F1420C" w:rsidRPr="00C22F32">
        <w:rPr>
          <w:sz w:val="28"/>
          <w:szCs w:val="28"/>
        </w:rPr>
        <w:t>se bazează pe</w:t>
      </w:r>
      <w:r w:rsidR="00E145E2" w:rsidRPr="00C22F32">
        <w:rPr>
          <w:sz w:val="28"/>
          <w:szCs w:val="28"/>
        </w:rPr>
        <w:t xml:space="preserve"> estimarea valorii acestora în baza </w:t>
      </w:r>
      <w:r w:rsidR="009E0D03" w:rsidRPr="00C22F32">
        <w:rPr>
          <w:sz w:val="28"/>
          <w:szCs w:val="28"/>
        </w:rPr>
        <w:t>V</w:t>
      </w:r>
      <w:r w:rsidR="00E145E2" w:rsidRPr="00C22F32">
        <w:rPr>
          <w:sz w:val="28"/>
          <w:szCs w:val="28"/>
        </w:rPr>
        <w:t xml:space="preserve">enitului </w:t>
      </w:r>
      <w:r w:rsidR="009E0D03" w:rsidRPr="00C22F32">
        <w:rPr>
          <w:sz w:val="28"/>
          <w:szCs w:val="28"/>
        </w:rPr>
        <w:t>A</w:t>
      </w:r>
      <w:r w:rsidR="00E145E2" w:rsidRPr="00C22F32">
        <w:rPr>
          <w:sz w:val="28"/>
          <w:szCs w:val="28"/>
        </w:rPr>
        <w:t>ctualizat</w:t>
      </w:r>
      <w:r w:rsidR="00D82838" w:rsidRPr="00C22F32">
        <w:rPr>
          <w:sz w:val="28"/>
          <w:szCs w:val="28"/>
        </w:rPr>
        <w:t>,</w:t>
      </w:r>
      <w:r w:rsidR="00E145E2" w:rsidRPr="00C22F32">
        <w:rPr>
          <w:sz w:val="28"/>
          <w:szCs w:val="28"/>
        </w:rPr>
        <w:t xml:space="preserve"> ce poate fi generat prin exploatarea comercială a rețelelor respective. </w:t>
      </w:r>
    </w:p>
    <w:p w14:paraId="09C0A779" w14:textId="0A9C1095" w:rsidR="00E145E2" w:rsidRPr="00C22F32" w:rsidRDefault="00F27B22" w:rsidP="00EB24A9">
      <w:pPr>
        <w:pStyle w:val="NormalWeb"/>
        <w:rPr>
          <w:sz w:val="28"/>
          <w:szCs w:val="28"/>
        </w:rPr>
      </w:pPr>
      <w:r w:rsidRPr="00C22F32">
        <w:rPr>
          <w:bCs/>
          <w:sz w:val="28"/>
          <w:szCs w:val="28"/>
        </w:rPr>
        <w:t>30</w:t>
      </w:r>
      <w:r w:rsidRPr="00C22F32">
        <w:rPr>
          <w:bCs/>
          <w:sz w:val="28"/>
          <w:szCs w:val="28"/>
          <w:vertAlign w:val="superscript"/>
        </w:rPr>
        <w:t>2</w:t>
      </w:r>
      <w:r w:rsidRPr="00C22F32">
        <w:rPr>
          <w:bCs/>
          <w:sz w:val="28"/>
          <w:szCs w:val="28"/>
        </w:rPr>
        <w:t>.</w:t>
      </w:r>
      <w:r w:rsidRPr="00C22F32">
        <w:rPr>
          <w:sz w:val="28"/>
          <w:szCs w:val="28"/>
        </w:rPr>
        <w:t xml:space="preserve"> </w:t>
      </w:r>
      <w:r w:rsidR="0081711B" w:rsidRPr="00C22F32">
        <w:rPr>
          <w:sz w:val="28"/>
          <w:szCs w:val="28"/>
        </w:rPr>
        <w:t xml:space="preserve"> </w:t>
      </w:r>
      <w:r w:rsidR="00E145E2" w:rsidRPr="00C22F32">
        <w:rPr>
          <w:sz w:val="28"/>
          <w:szCs w:val="28"/>
        </w:rPr>
        <w:t xml:space="preserve">Venitul actualizat se va determina luând în considerare volumele de gaze naturale efectiv livrate prin rețelele respective de către operatorii de sistem, care desfășoară activitate licențiată pe teritoriul respectiv.  </w:t>
      </w:r>
    </w:p>
    <w:p w14:paraId="4C316AD8" w14:textId="601AC697" w:rsidR="00D06A36" w:rsidRPr="00C22F32" w:rsidRDefault="00E145E2" w:rsidP="00EB24A9">
      <w:pPr>
        <w:pStyle w:val="NormalWeb"/>
        <w:rPr>
          <w:sz w:val="28"/>
          <w:szCs w:val="28"/>
        </w:rPr>
      </w:pPr>
      <w:r w:rsidRPr="00C22F32">
        <w:rPr>
          <w:sz w:val="28"/>
          <w:szCs w:val="28"/>
        </w:rPr>
        <w:t>30</w:t>
      </w:r>
      <w:r w:rsidRPr="00C22F32">
        <w:rPr>
          <w:sz w:val="28"/>
          <w:szCs w:val="28"/>
          <w:vertAlign w:val="superscript"/>
        </w:rPr>
        <w:t>3</w:t>
      </w:r>
      <w:r w:rsidRPr="00C22F32">
        <w:rPr>
          <w:sz w:val="28"/>
          <w:szCs w:val="28"/>
        </w:rPr>
        <w:t xml:space="preserve">. </w:t>
      </w:r>
      <w:r w:rsidR="0081711B" w:rsidRPr="00C22F32">
        <w:rPr>
          <w:sz w:val="28"/>
          <w:szCs w:val="28"/>
        </w:rPr>
        <w:t xml:space="preserve">Calcularea venitul actualizat (în continuare – VA), se determină conform </w:t>
      </w:r>
      <w:r w:rsidR="0025728B" w:rsidRPr="00C22F32">
        <w:rPr>
          <w:sz w:val="28"/>
          <w:szCs w:val="28"/>
        </w:rPr>
        <w:t>formulei</w:t>
      </w:r>
      <w:r w:rsidR="0081711B" w:rsidRPr="00C22F32">
        <w:rPr>
          <w:sz w:val="28"/>
          <w:szCs w:val="28"/>
        </w:rPr>
        <w:t>:</w:t>
      </w:r>
    </w:p>
    <w:p w14:paraId="419AEC3B" w14:textId="299B2C6E" w:rsidR="00AB4E7D" w:rsidRPr="00C22F32" w:rsidRDefault="00D06A36" w:rsidP="00EB24A9">
      <m:oMathPara>
        <m:oMath>
          <m:r>
            <w:rPr>
              <w:rFonts w:ascii="Cambria Math" w:hAnsi="Cambria Math"/>
              <w:sz w:val="28"/>
              <w:szCs w:val="28"/>
            </w:rPr>
            <m:t>VA=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CFi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14:paraId="155CF4F1" w14:textId="4104437D" w:rsidR="00D06A36" w:rsidRPr="00C22F32" w:rsidRDefault="00D06A36" w:rsidP="00EB24A9">
      <w:pPr>
        <w:pStyle w:val="NormalWeb"/>
        <w:rPr>
          <w:sz w:val="28"/>
          <w:szCs w:val="28"/>
        </w:rPr>
      </w:pPr>
    </w:p>
    <w:p w14:paraId="1AEADB88" w14:textId="77777777" w:rsidR="001A7E88" w:rsidRPr="00C22F32" w:rsidRDefault="0025728B" w:rsidP="00EB24A9">
      <w:pPr>
        <w:jc w:val="both"/>
        <w:rPr>
          <w:rFonts w:eastAsia="Times New Roman"/>
          <w:sz w:val="28"/>
          <w:szCs w:val="28"/>
        </w:rPr>
      </w:pPr>
      <w:r w:rsidRPr="00C22F32">
        <w:rPr>
          <w:rFonts w:eastAsia="Times New Roman"/>
          <w:sz w:val="28"/>
          <w:szCs w:val="28"/>
        </w:rPr>
        <w:t>unde:</w:t>
      </w:r>
    </w:p>
    <w:p w14:paraId="5BBAA59E" w14:textId="4842A731" w:rsidR="001B4019" w:rsidRPr="00C22F32" w:rsidRDefault="0025728B" w:rsidP="00EB24A9">
      <w:pPr>
        <w:ind w:firstLine="720"/>
        <w:jc w:val="both"/>
        <w:rPr>
          <w:rFonts w:eastAsia="Times New Roman"/>
          <w:sz w:val="28"/>
          <w:szCs w:val="28"/>
        </w:rPr>
      </w:pPr>
      <w:r w:rsidRPr="00C22F32">
        <w:rPr>
          <w:rFonts w:eastAsia="Times New Roman"/>
          <w:i/>
          <w:iCs/>
          <w:sz w:val="28"/>
          <w:szCs w:val="28"/>
        </w:rPr>
        <w:t>r</w:t>
      </w:r>
      <w:r w:rsidR="001B4019" w:rsidRPr="00C22F32">
        <w:rPr>
          <w:rFonts w:eastAsia="Times New Roman"/>
          <w:i/>
          <w:iCs/>
          <w:sz w:val="28"/>
          <w:szCs w:val="28"/>
        </w:rPr>
        <w:t xml:space="preserve"> </w:t>
      </w:r>
      <w:r w:rsidR="006F24C0" w:rsidRPr="00C22F32">
        <w:rPr>
          <w:rFonts w:eastAsia="Times New Roman"/>
          <w:sz w:val="28"/>
          <w:szCs w:val="28"/>
        </w:rPr>
        <w:t>–</w:t>
      </w:r>
      <w:r w:rsidRPr="00C22F32">
        <w:rPr>
          <w:rFonts w:eastAsia="Times New Roman"/>
          <w:sz w:val="28"/>
          <w:szCs w:val="28"/>
        </w:rPr>
        <w:t xml:space="preserve"> rata de actualizare (se va considera egală cu rata reglementată a rentabilității imobilizărilor corporale și necorporale</w:t>
      </w:r>
      <w:r w:rsidRPr="00C22F32">
        <w:rPr>
          <w:rFonts w:eastAsia="Times New Roman"/>
          <w:i/>
          <w:iCs/>
          <w:sz w:val="28"/>
          <w:szCs w:val="28"/>
        </w:rPr>
        <w:t>,</w:t>
      </w:r>
      <w:r w:rsidRPr="00C22F32">
        <w:rPr>
          <w:rFonts w:eastAsia="Times New Roman"/>
          <w:sz w:val="28"/>
          <w:szCs w:val="28"/>
        </w:rPr>
        <w:t> inclusă în tariful</w:t>
      </w:r>
      <w:r w:rsidR="00690FD5" w:rsidRPr="00C22F32">
        <w:rPr>
          <w:rFonts w:eastAsia="Times New Roman"/>
          <w:sz w:val="28"/>
          <w:szCs w:val="28"/>
        </w:rPr>
        <w:t xml:space="preserve"> în vigoare</w:t>
      </w:r>
      <w:r w:rsidRPr="00C22F32">
        <w:rPr>
          <w:rFonts w:eastAsia="Times New Roman"/>
          <w:sz w:val="28"/>
          <w:szCs w:val="28"/>
        </w:rPr>
        <w:t xml:space="preserve"> pentru serviciul de distribuție </w:t>
      </w:r>
      <w:r w:rsidR="00690FD5" w:rsidRPr="00C22F32">
        <w:rPr>
          <w:rFonts w:eastAsia="Times New Roman"/>
          <w:sz w:val="28"/>
          <w:szCs w:val="28"/>
        </w:rPr>
        <w:t xml:space="preserve">sau de transport </w:t>
      </w:r>
      <w:r w:rsidRPr="00C22F32">
        <w:rPr>
          <w:rFonts w:eastAsia="Times New Roman"/>
          <w:sz w:val="28"/>
          <w:szCs w:val="28"/>
        </w:rPr>
        <w:t>a</w:t>
      </w:r>
      <w:r w:rsidR="00690FD5" w:rsidRPr="00C22F32">
        <w:rPr>
          <w:rFonts w:eastAsia="Times New Roman"/>
          <w:sz w:val="28"/>
          <w:szCs w:val="28"/>
        </w:rPr>
        <w:t>l</w:t>
      </w:r>
      <w:r w:rsidRPr="00C22F32">
        <w:rPr>
          <w:rFonts w:eastAsia="Times New Roman"/>
          <w:sz w:val="28"/>
          <w:szCs w:val="28"/>
        </w:rPr>
        <w:t xml:space="preserve"> gazelor naturale</w:t>
      </w:r>
      <w:r w:rsidR="00690FD5" w:rsidRPr="00C22F32">
        <w:rPr>
          <w:rFonts w:eastAsia="Times New Roman"/>
          <w:sz w:val="28"/>
          <w:szCs w:val="28"/>
        </w:rPr>
        <w:t>, după caz</w:t>
      </w:r>
      <w:r w:rsidRPr="00C22F32">
        <w:rPr>
          <w:rFonts w:eastAsia="Times New Roman"/>
          <w:sz w:val="28"/>
          <w:szCs w:val="28"/>
        </w:rPr>
        <w:t>);</w:t>
      </w:r>
    </w:p>
    <w:p w14:paraId="285E6B58" w14:textId="157778DD" w:rsidR="00C2612E" w:rsidRPr="00C22F32" w:rsidRDefault="0025728B" w:rsidP="00EB24A9">
      <w:pPr>
        <w:ind w:firstLine="720"/>
        <w:jc w:val="both"/>
        <w:rPr>
          <w:rFonts w:eastAsia="Times New Roman"/>
          <w:sz w:val="28"/>
          <w:szCs w:val="28"/>
        </w:rPr>
      </w:pPr>
      <w:r w:rsidRPr="00C22F32">
        <w:rPr>
          <w:rFonts w:eastAsia="Times New Roman"/>
          <w:i/>
          <w:iCs/>
          <w:sz w:val="28"/>
          <w:szCs w:val="28"/>
        </w:rPr>
        <w:lastRenderedPageBreak/>
        <w:t>n</w:t>
      </w:r>
      <w:r w:rsidRPr="00C22F32">
        <w:rPr>
          <w:rFonts w:eastAsia="Times New Roman"/>
          <w:sz w:val="28"/>
          <w:szCs w:val="28"/>
        </w:rPr>
        <w:t> – durata de utilizare a rețelei de gaze naturale (se determină conform</w:t>
      </w:r>
      <w:r w:rsidR="001D610D" w:rsidRPr="00C22F32">
        <w:rPr>
          <w:sz w:val="28"/>
          <w:szCs w:val="28"/>
        </w:rPr>
        <w:t xml:space="preserve"> Catalogului mijloacelor fixe, aprobat prin </w:t>
      </w:r>
      <w:r w:rsidR="00A80B09" w:rsidRPr="00C22F32">
        <w:rPr>
          <w:sz w:val="28"/>
          <w:szCs w:val="28"/>
        </w:rPr>
        <w:t>Hotărârea Guvernului nr. 941/2020</w:t>
      </w:r>
      <w:r w:rsidRPr="00C22F32">
        <w:rPr>
          <w:rFonts w:eastAsia="Times New Roman"/>
          <w:sz w:val="28"/>
          <w:szCs w:val="28"/>
        </w:rPr>
        <w:t>);</w:t>
      </w:r>
      <w:r w:rsidR="001D610D" w:rsidRPr="00C22F32">
        <w:rPr>
          <w:rFonts w:eastAsia="Times New Roman"/>
          <w:sz w:val="28"/>
          <w:szCs w:val="28"/>
        </w:rPr>
        <w:tab/>
      </w:r>
      <w:r w:rsidRPr="00C22F32">
        <w:rPr>
          <w:rFonts w:eastAsia="Times New Roman"/>
          <w:sz w:val="28"/>
          <w:szCs w:val="28"/>
        </w:rPr>
        <w:br/>
      </w:r>
      <w:r w:rsidR="00166764" w:rsidRPr="00C22F32">
        <w:rPr>
          <w:rFonts w:eastAsia="Times New Roman"/>
          <w:sz w:val="28"/>
          <w:szCs w:val="28"/>
        </w:rPr>
        <w:t xml:space="preserve">           </w:t>
      </w:r>
      <w:r w:rsidRPr="00C22F32">
        <w:rPr>
          <w:rFonts w:eastAsia="Times New Roman"/>
          <w:i/>
          <w:iCs/>
          <w:sz w:val="28"/>
          <w:szCs w:val="28"/>
        </w:rPr>
        <w:t>CF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i</w:t>
      </w:r>
      <w:r w:rsidRPr="00C22F32">
        <w:rPr>
          <w:rFonts w:eastAsia="Times New Roman"/>
          <w:sz w:val="28"/>
          <w:szCs w:val="28"/>
        </w:rPr>
        <w:t> </w:t>
      </w:r>
      <w:r w:rsidR="006F24C0" w:rsidRPr="00C22F32">
        <w:rPr>
          <w:rFonts w:eastAsia="Times New Roman"/>
          <w:sz w:val="28"/>
          <w:szCs w:val="28"/>
        </w:rPr>
        <w:t>–</w:t>
      </w:r>
      <w:r w:rsidRPr="00C22F32">
        <w:rPr>
          <w:rFonts w:eastAsia="Times New Roman"/>
          <w:sz w:val="28"/>
          <w:szCs w:val="28"/>
        </w:rPr>
        <w:t xml:space="preserve"> încasările la sfârșitul anului </w:t>
      </w:r>
      <w:r w:rsidRPr="00C22F32">
        <w:rPr>
          <w:rFonts w:eastAsia="Times New Roman"/>
          <w:i/>
          <w:iCs/>
          <w:sz w:val="28"/>
          <w:szCs w:val="28"/>
        </w:rPr>
        <w:t>i</w:t>
      </w:r>
      <w:r w:rsidRPr="00C22F32">
        <w:rPr>
          <w:rFonts w:eastAsia="Times New Roman"/>
          <w:sz w:val="28"/>
          <w:szCs w:val="28"/>
        </w:rPr>
        <w:t>, care rezultă din</w:t>
      </w:r>
      <w:r w:rsidR="00166764" w:rsidRPr="00C22F32">
        <w:rPr>
          <w:rFonts w:eastAsia="Times New Roman"/>
          <w:sz w:val="28"/>
          <w:szCs w:val="28"/>
        </w:rPr>
        <w:t xml:space="preserve"> utilizarea rețelei respective de către operatorul de sistem;</w:t>
      </w:r>
    </w:p>
    <w:p w14:paraId="7700272F" w14:textId="4948CF2F" w:rsidR="0025728B" w:rsidRPr="00C22F32" w:rsidRDefault="0025728B" w:rsidP="00EB24A9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C22F32">
        <w:rPr>
          <w:rFonts w:eastAsia="Times New Roman"/>
          <w:sz w:val="28"/>
          <w:szCs w:val="28"/>
        </w:rPr>
        <w:t>Valoarea</w:t>
      </w:r>
      <w:r w:rsidRPr="00C22F32">
        <w:rPr>
          <w:rFonts w:eastAsia="Times New Roman"/>
          <w:i/>
          <w:iCs/>
          <w:sz w:val="28"/>
          <w:szCs w:val="28"/>
        </w:rPr>
        <w:t> CF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 xml:space="preserve">i </w:t>
      </w:r>
      <w:r w:rsidR="00E145E2" w:rsidRPr="00C22F32">
        <w:rPr>
          <w:rFonts w:eastAsia="Times New Roman"/>
          <w:i/>
          <w:iCs/>
          <w:sz w:val="28"/>
          <w:szCs w:val="28"/>
          <w:vertAlign w:val="subscript"/>
        </w:rPr>
        <w:t xml:space="preserve"> </w:t>
      </w:r>
      <w:r w:rsidRPr="00C22F32">
        <w:rPr>
          <w:rFonts w:eastAsia="Times New Roman"/>
          <w:sz w:val="28"/>
          <w:szCs w:val="28"/>
        </w:rPr>
        <w:t>se determină conform</w:t>
      </w:r>
      <w:r w:rsidR="00E145E2" w:rsidRPr="00C22F32">
        <w:rPr>
          <w:rFonts w:eastAsia="Times New Roman"/>
          <w:sz w:val="28"/>
          <w:szCs w:val="28"/>
        </w:rPr>
        <w:t xml:space="preserve"> următoarei formule</w:t>
      </w:r>
      <w:r w:rsidRPr="00C22F32">
        <w:rPr>
          <w:rFonts w:eastAsia="Times New Roman"/>
          <w:sz w:val="28"/>
          <w:szCs w:val="28"/>
        </w:rPr>
        <w:t>:</w:t>
      </w:r>
    </w:p>
    <w:p w14:paraId="5BEC2125" w14:textId="660CC474" w:rsidR="0025728B" w:rsidRPr="00C22F32" w:rsidRDefault="0025728B" w:rsidP="00EB24A9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C22F32">
        <w:rPr>
          <w:rFonts w:eastAsia="Times New Roman"/>
          <w:i/>
          <w:iCs/>
          <w:sz w:val="28"/>
          <w:szCs w:val="28"/>
        </w:rPr>
        <w:t>CF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i</w:t>
      </w:r>
      <w:r w:rsidRPr="00C22F32">
        <w:rPr>
          <w:rFonts w:eastAsia="Times New Roman"/>
          <w:sz w:val="28"/>
          <w:szCs w:val="28"/>
        </w:rPr>
        <w:t> = </w:t>
      </w:r>
      <w:r w:rsidRPr="00C22F32">
        <w:rPr>
          <w:rFonts w:eastAsia="Times New Roman"/>
          <w:i/>
          <w:iCs/>
          <w:sz w:val="28"/>
          <w:szCs w:val="28"/>
        </w:rPr>
        <w:t>V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med</w:t>
      </w:r>
      <w:r w:rsidRPr="00C22F32">
        <w:rPr>
          <w:rFonts w:eastAsia="Times New Roman"/>
          <w:sz w:val="28"/>
          <w:szCs w:val="28"/>
        </w:rPr>
        <w:t> </w:t>
      </w:r>
      <w:r w:rsidRPr="00C22F32">
        <w:rPr>
          <w:rFonts w:eastAsia="Times New Roman"/>
          <w:sz w:val="28"/>
          <w:szCs w:val="28"/>
          <w:vertAlign w:val="superscript"/>
        </w:rPr>
        <w:t>. </w:t>
      </w:r>
      <w:r w:rsidRPr="00C22F32">
        <w:rPr>
          <w:rFonts w:eastAsia="Times New Roman"/>
          <w:i/>
          <w:iCs/>
          <w:sz w:val="28"/>
          <w:szCs w:val="28"/>
        </w:rPr>
        <w:t>T</w:t>
      </w:r>
      <w:r w:rsidRPr="00C22F32">
        <w:rPr>
          <w:rFonts w:eastAsia="Times New Roman"/>
          <w:sz w:val="28"/>
          <w:szCs w:val="28"/>
          <w:vertAlign w:val="superscript"/>
        </w:rPr>
        <w:t>. </w:t>
      </w:r>
      <w:r w:rsidRPr="00C22F32">
        <w:rPr>
          <w:rFonts w:eastAsia="Times New Roman"/>
          <w:i/>
          <w:iCs/>
          <w:sz w:val="28"/>
          <w:szCs w:val="28"/>
        </w:rPr>
        <w:t>N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i </w:t>
      </w:r>
      <w:r w:rsidR="00494CB9" w:rsidRPr="00C22F32">
        <w:rPr>
          <w:rFonts w:eastAsia="Times New Roman"/>
          <w:sz w:val="28"/>
          <w:szCs w:val="28"/>
        </w:rPr>
        <w:t xml:space="preserve"> </w:t>
      </w:r>
    </w:p>
    <w:p w14:paraId="305000ED" w14:textId="5E66D765" w:rsidR="00F27B22" w:rsidRPr="00C22F32" w:rsidRDefault="0025728B" w:rsidP="00EB24A9">
      <w:pPr>
        <w:pStyle w:val="NormalWeb"/>
        <w:spacing w:after="120"/>
        <w:ind w:firstLine="0"/>
        <w:rPr>
          <w:sz w:val="28"/>
          <w:szCs w:val="28"/>
        </w:rPr>
      </w:pPr>
      <w:r w:rsidRPr="00C22F32">
        <w:rPr>
          <w:rFonts w:eastAsia="Times New Roman"/>
          <w:sz w:val="28"/>
          <w:szCs w:val="28"/>
        </w:rPr>
        <w:t>unde:</w:t>
      </w:r>
      <w:r w:rsidR="00E26E3F" w:rsidRPr="00C22F32">
        <w:rPr>
          <w:rFonts w:eastAsia="Times New Roman"/>
          <w:sz w:val="28"/>
          <w:szCs w:val="28"/>
        </w:rPr>
        <w:tab/>
      </w:r>
      <w:r w:rsidRPr="00C22F32">
        <w:rPr>
          <w:rFonts w:eastAsia="Times New Roman"/>
          <w:sz w:val="28"/>
          <w:szCs w:val="28"/>
        </w:rPr>
        <w:br/>
      </w:r>
      <w:r w:rsidRPr="00C22F32">
        <w:rPr>
          <w:rFonts w:eastAsia="Times New Roman"/>
          <w:i/>
          <w:sz w:val="28"/>
          <w:szCs w:val="28"/>
        </w:rPr>
        <w:t>            V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med</w:t>
      </w:r>
      <w:r w:rsidRPr="00C22F32">
        <w:rPr>
          <w:rFonts w:eastAsia="Times New Roman"/>
          <w:i/>
          <w:iCs/>
          <w:sz w:val="28"/>
          <w:szCs w:val="28"/>
        </w:rPr>
        <w:t> </w:t>
      </w:r>
      <w:r w:rsidRPr="00C22F32">
        <w:rPr>
          <w:rFonts w:eastAsia="Times New Roman"/>
          <w:sz w:val="28"/>
          <w:szCs w:val="28"/>
        </w:rPr>
        <w:t xml:space="preserve">– consumul mediu </w:t>
      </w:r>
      <w:r w:rsidR="00E07E54" w:rsidRPr="00C22F32">
        <w:rPr>
          <w:rFonts w:eastAsia="Times New Roman"/>
          <w:sz w:val="28"/>
          <w:szCs w:val="28"/>
        </w:rPr>
        <w:t xml:space="preserve">anual </w:t>
      </w:r>
      <w:r w:rsidRPr="00C22F32">
        <w:rPr>
          <w:rFonts w:eastAsia="Times New Roman"/>
          <w:sz w:val="28"/>
          <w:szCs w:val="28"/>
        </w:rPr>
        <w:t>de gaze naturale</w:t>
      </w:r>
      <w:r w:rsidR="00224DE9" w:rsidRPr="00C22F32">
        <w:rPr>
          <w:rFonts w:eastAsia="Times New Roman"/>
          <w:sz w:val="28"/>
          <w:szCs w:val="28"/>
        </w:rPr>
        <w:t xml:space="preserve"> pentru ultimii 5 ani, </w:t>
      </w:r>
      <w:r w:rsidR="00494CB9" w:rsidRPr="00C22F32">
        <w:rPr>
          <w:rFonts w:eastAsia="Times New Roman"/>
          <w:sz w:val="28"/>
          <w:szCs w:val="28"/>
        </w:rPr>
        <w:t xml:space="preserve">conform datelor prezentate de </w:t>
      </w:r>
      <w:r w:rsidR="00A30B12" w:rsidRPr="00C22F32">
        <w:rPr>
          <w:rFonts w:eastAsia="Times New Roman"/>
          <w:sz w:val="28"/>
          <w:szCs w:val="28"/>
        </w:rPr>
        <w:t xml:space="preserve">operatorul sistemului de distribuție </w:t>
      </w:r>
      <w:r w:rsidR="00494CB9" w:rsidRPr="00C22F32">
        <w:rPr>
          <w:rFonts w:eastAsia="Times New Roman"/>
          <w:sz w:val="28"/>
          <w:szCs w:val="28"/>
        </w:rPr>
        <w:t>autorizat în teritoriul respectiv</w:t>
      </w:r>
      <w:r w:rsidRPr="00C22F32">
        <w:rPr>
          <w:rFonts w:eastAsia="Times New Roman"/>
          <w:sz w:val="28"/>
          <w:szCs w:val="28"/>
        </w:rPr>
        <w:t>;</w:t>
      </w:r>
      <w:r w:rsidRPr="00C22F32">
        <w:rPr>
          <w:rFonts w:eastAsia="Times New Roman"/>
          <w:sz w:val="28"/>
          <w:szCs w:val="28"/>
        </w:rPr>
        <w:br/>
        <w:t xml:space="preserve">            </w:t>
      </w:r>
      <w:r w:rsidRPr="00C22F32">
        <w:rPr>
          <w:rFonts w:eastAsia="Times New Roman"/>
          <w:i/>
          <w:iCs/>
          <w:sz w:val="28"/>
          <w:szCs w:val="28"/>
        </w:rPr>
        <w:t>T</w:t>
      </w:r>
      <w:r w:rsidRPr="00C22F32">
        <w:rPr>
          <w:rFonts w:eastAsia="Times New Roman"/>
          <w:sz w:val="28"/>
          <w:szCs w:val="28"/>
        </w:rPr>
        <w:t xml:space="preserve"> – tariful </w:t>
      </w:r>
      <w:r w:rsidR="00E145E2" w:rsidRPr="00C22F32">
        <w:rPr>
          <w:rFonts w:eastAsia="Times New Roman"/>
          <w:sz w:val="28"/>
          <w:szCs w:val="28"/>
        </w:rPr>
        <w:t xml:space="preserve">reglementat </w:t>
      </w:r>
      <w:r w:rsidR="009A4C83" w:rsidRPr="00C22F32">
        <w:rPr>
          <w:rFonts w:eastAsia="Times New Roman"/>
          <w:sz w:val="28"/>
          <w:szCs w:val="28"/>
        </w:rPr>
        <w:t xml:space="preserve">în vigoare </w:t>
      </w:r>
      <w:r w:rsidRPr="00C22F32">
        <w:rPr>
          <w:rFonts w:eastAsia="Times New Roman"/>
          <w:sz w:val="28"/>
          <w:szCs w:val="28"/>
        </w:rPr>
        <w:t xml:space="preserve">pentru serviciul de distribuție </w:t>
      </w:r>
      <w:r w:rsidR="00E145E2" w:rsidRPr="00C22F32">
        <w:rPr>
          <w:rFonts w:eastAsia="Times New Roman"/>
          <w:sz w:val="28"/>
          <w:szCs w:val="28"/>
        </w:rPr>
        <w:t xml:space="preserve">sau de transport </w:t>
      </w:r>
      <w:r w:rsidRPr="00C22F32">
        <w:rPr>
          <w:rFonts w:eastAsia="Times New Roman"/>
          <w:sz w:val="28"/>
          <w:szCs w:val="28"/>
        </w:rPr>
        <w:t>a</w:t>
      </w:r>
      <w:r w:rsidR="00FF04EF" w:rsidRPr="00C22F32">
        <w:rPr>
          <w:rFonts w:eastAsia="Times New Roman"/>
          <w:sz w:val="28"/>
          <w:szCs w:val="28"/>
        </w:rPr>
        <w:t>l</w:t>
      </w:r>
      <w:r w:rsidRPr="00C22F32">
        <w:rPr>
          <w:rFonts w:eastAsia="Times New Roman"/>
          <w:sz w:val="28"/>
          <w:szCs w:val="28"/>
        </w:rPr>
        <w:t xml:space="preserve"> gazelor naturale pentru operatorul sistemului de distribuție din teritoriul autorizat</w:t>
      </w:r>
      <w:r w:rsidR="00E145E2" w:rsidRPr="00C22F32">
        <w:rPr>
          <w:rFonts w:eastAsia="Times New Roman"/>
          <w:sz w:val="28"/>
          <w:szCs w:val="28"/>
        </w:rPr>
        <w:t xml:space="preserve"> respectiv sau al operatorului sistemului de transport, în funcție de caz</w:t>
      </w:r>
      <w:r w:rsidRPr="00C22F32">
        <w:rPr>
          <w:rFonts w:eastAsia="Times New Roman"/>
          <w:sz w:val="28"/>
          <w:szCs w:val="28"/>
        </w:rPr>
        <w:t>;</w:t>
      </w:r>
      <w:r w:rsidR="00E26E3F" w:rsidRPr="00C22F32">
        <w:rPr>
          <w:rFonts w:eastAsia="Times New Roman"/>
          <w:sz w:val="28"/>
          <w:szCs w:val="28"/>
        </w:rPr>
        <w:tab/>
      </w:r>
      <w:r w:rsidRPr="00C22F32">
        <w:rPr>
          <w:rFonts w:eastAsia="Times New Roman"/>
          <w:sz w:val="28"/>
          <w:szCs w:val="28"/>
        </w:rPr>
        <w:br/>
        <w:t xml:space="preserve">            </w:t>
      </w:r>
      <w:r w:rsidRPr="00C22F32">
        <w:rPr>
          <w:rFonts w:eastAsia="Times New Roman"/>
          <w:i/>
          <w:iCs/>
          <w:sz w:val="28"/>
          <w:szCs w:val="28"/>
        </w:rPr>
        <w:t>N</w:t>
      </w:r>
      <w:r w:rsidRPr="00C22F32">
        <w:rPr>
          <w:rFonts w:eastAsia="Times New Roman"/>
          <w:i/>
          <w:iCs/>
          <w:sz w:val="28"/>
          <w:szCs w:val="28"/>
          <w:vertAlign w:val="subscript"/>
        </w:rPr>
        <w:t>i</w:t>
      </w:r>
      <w:r w:rsidRPr="00C22F32">
        <w:rPr>
          <w:rFonts w:eastAsia="Times New Roman"/>
          <w:i/>
          <w:iCs/>
          <w:sz w:val="28"/>
          <w:szCs w:val="28"/>
        </w:rPr>
        <w:t> </w:t>
      </w:r>
      <w:r w:rsidRPr="00C22F32">
        <w:rPr>
          <w:rFonts w:eastAsia="Times New Roman"/>
          <w:sz w:val="28"/>
          <w:szCs w:val="28"/>
        </w:rPr>
        <w:t xml:space="preserve">– numărul de consumatori în anul </w:t>
      </w:r>
      <w:r w:rsidRPr="00C22F32">
        <w:rPr>
          <w:rFonts w:eastAsia="Times New Roman"/>
          <w:i/>
          <w:iCs/>
          <w:sz w:val="28"/>
          <w:szCs w:val="28"/>
        </w:rPr>
        <w:t>i</w:t>
      </w:r>
      <w:r w:rsidR="00885F79" w:rsidRPr="00C22F32">
        <w:rPr>
          <w:rFonts w:eastAsia="Times New Roman"/>
          <w:sz w:val="28"/>
          <w:szCs w:val="28"/>
        </w:rPr>
        <w:t>.</w:t>
      </w:r>
      <w:r w:rsidR="00E145E2" w:rsidRPr="00C22F32">
        <w:rPr>
          <w:rFonts w:eastAsia="Times New Roman"/>
          <w:sz w:val="28"/>
          <w:szCs w:val="28"/>
        </w:rPr>
        <w:t xml:space="preserve"> </w:t>
      </w:r>
      <w:r w:rsidR="00B801EC" w:rsidRPr="00C22F32">
        <w:rPr>
          <w:rFonts w:eastAsia="Times New Roman"/>
          <w:sz w:val="28"/>
          <w:szCs w:val="28"/>
        </w:rPr>
        <w:t xml:space="preserve">Pentru primul an de calcul al </w:t>
      </w:r>
      <w:r w:rsidR="00B801EC" w:rsidRPr="00C22F32">
        <w:rPr>
          <w:rFonts w:eastAsia="Times New Roman"/>
          <w:i/>
          <w:iCs/>
          <w:sz w:val="28"/>
          <w:szCs w:val="28"/>
        </w:rPr>
        <w:t>CFi</w:t>
      </w:r>
      <w:r w:rsidR="00B801EC" w:rsidRPr="00C22F32">
        <w:rPr>
          <w:rFonts w:eastAsia="Times New Roman"/>
          <w:sz w:val="28"/>
          <w:szCs w:val="28"/>
        </w:rPr>
        <w:t xml:space="preserve">, numărul consumatorilor finali se va considera </w:t>
      </w:r>
      <w:r w:rsidR="00C21915" w:rsidRPr="00C22F32">
        <w:rPr>
          <w:rFonts w:eastAsia="Times New Roman"/>
          <w:sz w:val="28"/>
          <w:szCs w:val="28"/>
        </w:rPr>
        <w:t xml:space="preserve">conform datelor </w:t>
      </w:r>
      <w:r w:rsidR="00C5497E" w:rsidRPr="00C22F32">
        <w:rPr>
          <w:rFonts w:eastAsia="Times New Roman"/>
          <w:sz w:val="28"/>
          <w:szCs w:val="28"/>
        </w:rPr>
        <w:t xml:space="preserve">efective, </w:t>
      </w:r>
      <w:r w:rsidR="00C21915" w:rsidRPr="00C22F32">
        <w:rPr>
          <w:rFonts w:eastAsia="Times New Roman"/>
          <w:sz w:val="28"/>
          <w:szCs w:val="28"/>
        </w:rPr>
        <w:t xml:space="preserve">prezentate de operatorul sistemului de </w:t>
      </w:r>
      <w:r w:rsidR="00B801EC" w:rsidRPr="00C22F32">
        <w:rPr>
          <w:rFonts w:eastAsia="Times New Roman"/>
          <w:sz w:val="28"/>
          <w:szCs w:val="28"/>
        </w:rPr>
        <w:t xml:space="preserve">transport sau de </w:t>
      </w:r>
      <w:r w:rsidR="00C21915" w:rsidRPr="00C22F32">
        <w:rPr>
          <w:rFonts w:eastAsia="Times New Roman"/>
          <w:sz w:val="28"/>
          <w:szCs w:val="28"/>
        </w:rPr>
        <w:t>distribuție autorizat în teritoriul respectiv</w:t>
      </w:r>
      <w:r w:rsidR="00EF53B1" w:rsidRPr="00C22F32">
        <w:rPr>
          <w:rFonts w:eastAsia="Times New Roman"/>
          <w:sz w:val="28"/>
          <w:szCs w:val="28"/>
        </w:rPr>
        <w:t>,</w:t>
      </w:r>
      <w:r w:rsidR="00C21915" w:rsidRPr="00C22F32">
        <w:rPr>
          <w:rFonts w:eastAsia="Times New Roman"/>
          <w:sz w:val="28"/>
          <w:szCs w:val="28"/>
        </w:rPr>
        <w:t xml:space="preserve"> </w:t>
      </w:r>
      <w:r w:rsidR="00B801EC" w:rsidRPr="00C22F32">
        <w:rPr>
          <w:rFonts w:eastAsia="Times New Roman"/>
          <w:sz w:val="28"/>
          <w:szCs w:val="28"/>
        </w:rPr>
        <w:t xml:space="preserve">iar pentru următorii ani se va considera că numărul de consumatori </w:t>
      </w:r>
      <w:r w:rsidR="00C5497E" w:rsidRPr="00C22F32">
        <w:rPr>
          <w:rFonts w:eastAsia="Times New Roman"/>
          <w:sz w:val="28"/>
          <w:szCs w:val="28"/>
        </w:rPr>
        <w:t xml:space="preserve">va rămâne neschimbat </w:t>
      </w:r>
      <w:r w:rsidRPr="00C22F32">
        <w:rPr>
          <w:rFonts w:eastAsia="Times New Roman"/>
          <w:sz w:val="28"/>
          <w:szCs w:val="28"/>
        </w:rPr>
        <w:t xml:space="preserve">pe </w:t>
      </w:r>
      <w:r w:rsidR="00FF04EF" w:rsidRPr="00C22F32">
        <w:rPr>
          <w:rFonts w:eastAsia="Times New Roman"/>
          <w:sz w:val="28"/>
          <w:szCs w:val="28"/>
        </w:rPr>
        <w:t>durata</w:t>
      </w:r>
      <w:r w:rsidRPr="00C22F32">
        <w:rPr>
          <w:rFonts w:eastAsia="Times New Roman"/>
          <w:sz w:val="28"/>
          <w:szCs w:val="28"/>
        </w:rPr>
        <w:t xml:space="preserve"> de utilizare a</w:t>
      </w:r>
      <w:r w:rsidR="00E145E2" w:rsidRPr="00C22F32">
        <w:rPr>
          <w:rFonts w:eastAsia="Times New Roman"/>
          <w:sz w:val="28"/>
          <w:szCs w:val="28"/>
        </w:rPr>
        <w:t xml:space="preserve"> rețelei </w:t>
      </w:r>
      <w:r w:rsidR="00737189" w:rsidRPr="00C22F32">
        <w:rPr>
          <w:rFonts w:eastAsia="Times New Roman"/>
          <w:sz w:val="28"/>
          <w:szCs w:val="28"/>
        </w:rPr>
        <w:t xml:space="preserve">de gaze </w:t>
      </w:r>
      <w:r w:rsidR="00E145E2" w:rsidRPr="00C22F32">
        <w:rPr>
          <w:rFonts w:eastAsia="Times New Roman"/>
          <w:sz w:val="28"/>
          <w:szCs w:val="28"/>
        </w:rPr>
        <w:t>respective</w:t>
      </w:r>
      <w:r w:rsidRPr="00C22F32">
        <w:rPr>
          <w:rFonts w:eastAsia="Times New Roman"/>
          <w:sz w:val="28"/>
          <w:szCs w:val="28"/>
        </w:rPr>
        <w:t>.</w:t>
      </w:r>
      <w:r w:rsidR="00A82556" w:rsidRPr="00C22F32">
        <w:rPr>
          <w:rFonts w:eastAsia="Times New Roman"/>
          <w:sz w:val="28"/>
          <w:szCs w:val="28"/>
        </w:rPr>
        <w:t>”</w:t>
      </w:r>
    </w:p>
    <w:p w14:paraId="2D877A42" w14:textId="273E27BC" w:rsidR="00A7027D" w:rsidRPr="00C22F32" w:rsidRDefault="00965438" w:rsidP="00EB24A9">
      <w:pPr>
        <w:pStyle w:val="NormalWeb"/>
        <w:numPr>
          <w:ilvl w:val="0"/>
          <w:numId w:val="8"/>
        </w:numPr>
        <w:tabs>
          <w:tab w:val="left" w:pos="1077"/>
        </w:tabs>
        <w:ind w:left="0" w:firstLine="567"/>
        <w:rPr>
          <w:sz w:val="28"/>
          <w:szCs w:val="28"/>
        </w:rPr>
      </w:pPr>
      <w:r w:rsidRPr="00C22F32">
        <w:rPr>
          <w:sz w:val="28"/>
          <w:szCs w:val="28"/>
        </w:rPr>
        <w:t>Pct. 46 se completează la început cu următoarea propoziție: „</w:t>
      </w:r>
      <w:r w:rsidR="00A7027D" w:rsidRPr="00C22F32">
        <w:rPr>
          <w:sz w:val="28"/>
          <w:szCs w:val="28"/>
        </w:rPr>
        <w:t>Evaluarea rețelelor se va realiza de către evaluatori, titulari ai certificatelor de calificare a evaluatorilor bunurilor imobile, eliberate în modul stabilit de legislaţia în vigoare</w:t>
      </w:r>
      <w:r w:rsidRPr="00C22F32">
        <w:rPr>
          <w:sz w:val="28"/>
          <w:szCs w:val="28"/>
        </w:rPr>
        <w:t xml:space="preserve">.”; </w:t>
      </w:r>
      <w:r w:rsidR="00F130A6" w:rsidRPr="00C22F32">
        <w:rPr>
          <w:sz w:val="28"/>
          <w:szCs w:val="28"/>
        </w:rPr>
        <w:t xml:space="preserve"> </w:t>
      </w:r>
      <w:r w:rsidR="00440B55" w:rsidRPr="00C22F32">
        <w:rPr>
          <w:sz w:val="28"/>
          <w:szCs w:val="28"/>
        </w:rPr>
        <w:t> </w:t>
      </w:r>
    </w:p>
    <w:p w14:paraId="470B3023" w14:textId="637982B0" w:rsidR="00113D21" w:rsidRPr="00E636F2" w:rsidRDefault="00113D21" w:rsidP="00EB24A9">
      <w:pPr>
        <w:pStyle w:val="NormalWeb"/>
        <w:numPr>
          <w:ilvl w:val="0"/>
          <w:numId w:val="8"/>
        </w:numPr>
        <w:tabs>
          <w:tab w:val="left" w:pos="1077"/>
        </w:tabs>
        <w:spacing w:before="100"/>
        <w:ind w:left="0" w:firstLine="562"/>
        <w:rPr>
          <w:sz w:val="28"/>
          <w:szCs w:val="28"/>
        </w:rPr>
      </w:pPr>
      <w:r w:rsidRPr="00E636F2">
        <w:rPr>
          <w:sz w:val="28"/>
          <w:szCs w:val="28"/>
        </w:rPr>
        <w:t>Se completează cu punctul 47</w:t>
      </w:r>
      <w:r w:rsidRPr="00E636F2">
        <w:rPr>
          <w:sz w:val="28"/>
          <w:szCs w:val="28"/>
          <w:vertAlign w:val="superscript"/>
        </w:rPr>
        <w:t>1</w:t>
      </w:r>
      <w:r w:rsidRPr="00E636F2">
        <w:rPr>
          <w:sz w:val="28"/>
          <w:szCs w:val="28"/>
        </w:rPr>
        <w:t xml:space="preserve"> cu următorul cuprins:</w:t>
      </w:r>
    </w:p>
    <w:p w14:paraId="1D26B295" w14:textId="52EEE000" w:rsidR="00113D21" w:rsidRPr="00C22F32" w:rsidRDefault="00113D21" w:rsidP="00EB24A9">
      <w:pPr>
        <w:pStyle w:val="NormalWeb"/>
        <w:tabs>
          <w:tab w:val="left" w:pos="1077"/>
        </w:tabs>
        <w:spacing w:before="100"/>
        <w:rPr>
          <w:sz w:val="28"/>
          <w:szCs w:val="28"/>
        </w:rPr>
      </w:pPr>
      <w:r w:rsidRPr="00E636F2">
        <w:rPr>
          <w:sz w:val="28"/>
          <w:szCs w:val="28"/>
        </w:rPr>
        <w:t>„47</w:t>
      </w:r>
      <w:r w:rsidRPr="00E636F2">
        <w:rPr>
          <w:sz w:val="28"/>
          <w:szCs w:val="28"/>
          <w:vertAlign w:val="superscript"/>
        </w:rPr>
        <w:t>1</w:t>
      </w:r>
      <w:r w:rsidRPr="00E636F2">
        <w:rPr>
          <w:sz w:val="28"/>
          <w:szCs w:val="28"/>
        </w:rPr>
        <w:t xml:space="preserve">. </w:t>
      </w:r>
      <w:r w:rsidR="00A734E4" w:rsidRPr="00E636F2">
        <w:rPr>
          <w:sz w:val="28"/>
          <w:szCs w:val="28"/>
        </w:rPr>
        <w:t>În procesul de reconciliere a rezultatelor evaluării, evaluatorul va determina mărimea valorii finale a obiectului evaluării.</w:t>
      </w:r>
      <w:r w:rsidR="006D538E" w:rsidRPr="00E636F2">
        <w:rPr>
          <w:sz w:val="28"/>
          <w:szCs w:val="28"/>
        </w:rPr>
        <w:t xml:space="preserve"> </w:t>
      </w:r>
      <w:r w:rsidR="002E346E" w:rsidRPr="00E636F2">
        <w:rPr>
          <w:sz w:val="28"/>
          <w:szCs w:val="28"/>
        </w:rPr>
        <w:t>Dacă</w:t>
      </w:r>
      <w:r w:rsidR="006D538E" w:rsidRPr="00E636F2">
        <w:rPr>
          <w:sz w:val="28"/>
          <w:szCs w:val="28"/>
        </w:rPr>
        <w:t xml:space="preserve"> valoarea obiectului evaluării, obţinută prin metoda veniturilor, este mai mică decât valoarea obţinută prin metoda costurilor, valoarea finală nu va fi mai mare decât </w:t>
      </w:r>
      <w:r w:rsidR="00567A9F" w:rsidRPr="00E636F2">
        <w:rPr>
          <w:sz w:val="28"/>
          <w:szCs w:val="28"/>
        </w:rPr>
        <w:t>rezultatul</w:t>
      </w:r>
      <w:r w:rsidR="006D538E" w:rsidRPr="00E636F2">
        <w:rPr>
          <w:sz w:val="28"/>
          <w:szCs w:val="28"/>
        </w:rPr>
        <w:t xml:space="preserve"> obţinut prin metoda veniturilor.”</w:t>
      </w:r>
    </w:p>
    <w:p w14:paraId="4E48601B" w14:textId="199A1458" w:rsidR="00440B55" w:rsidRPr="00C22F32" w:rsidRDefault="00F130A6" w:rsidP="00EB24A9">
      <w:pPr>
        <w:pStyle w:val="NormalWeb"/>
        <w:numPr>
          <w:ilvl w:val="0"/>
          <w:numId w:val="8"/>
        </w:numPr>
        <w:tabs>
          <w:tab w:val="left" w:pos="1077"/>
        </w:tabs>
        <w:spacing w:before="100"/>
        <w:ind w:left="0" w:firstLine="562"/>
        <w:rPr>
          <w:sz w:val="28"/>
          <w:szCs w:val="28"/>
        </w:rPr>
      </w:pPr>
      <w:r w:rsidRPr="00C22F32">
        <w:rPr>
          <w:sz w:val="28"/>
          <w:szCs w:val="28"/>
        </w:rPr>
        <w:t>Pct. 48 textul: „Ministerul Economiei și Infrastructurii (beneficiarul serviciului de evaluare)” și „beneficiarul</w:t>
      </w:r>
      <w:r w:rsidR="0041111C" w:rsidRPr="00C22F32">
        <w:rPr>
          <w:sz w:val="28"/>
          <w:szCs w:val="28"/>
        </w:rPr>
        <w:t>ui</w:t>
      </w:r>
      <w:r w:rsidRPr="00C22F32">
        <w:rPr>
          <w:sz w:val="28"/>
          <w:szCs w:val="28"/>
        </w:rPr>
        <w:t xml:space="preserve"> serviciului de evaluare” se substituie cu textul „Ministerul Energiei”, </w:t>
      </w:r>
      <w:r w:rsidR="00D00268" w:rsidRPr="00C22F32">
        <w:rPr>
          <w:sz w:val="28"/>
          <w:szCs w:val="28"/>
        </w:rPr>
        <w:t xml:space="preserve">iar </w:t>
      </w:r>
      <w:r w:rsidRPr="00C22F32">
        <w:rPr>
          <w:sz w:val="28"/>
          <w:szCs w:val="28"/>
        </w:rPr>
        <w:t>cuv</w:t>
      </w:r>
      <w:r w:rsidR="00F07833" w:rsidRPr="00C22F32">
        <w:rPr>
          <w:sz w:val="28"/>
          <w:szCs w:val="28"/>
        </w:rPr>
        <w:t>intele</w:t>
      </w:r>
      <w:r w:rsidRPr="00C22F32">
        <w:rPr>
          <w:sz w:val="28"/>
          <w:szCs w:val="28"/>
        </w:rPr>
        <w:t xml:space="preserve"> „</w:t>
      </w:r>
      <w:r w:rsidR="00F07833" w:rsidRPr="00C22F32">
        <w:rPr>
          <w:sz w:val="28"/>
          <w:szCs w:val="28"/>
        </w:rPr>
        <w:t xml:space="preserve">şi </w:t>
      </w:r>
      <w:r w:rsidRPr="00C22F32">
        <w:rPr>
          <w:sz w:val="28"/>
          <w:szCs w:val="28"/>
        </w:rPr>
        <w:t>legalizat” se exclud.</w:t>
      </w:r>
    </w:p>
    <w:p w14:paraId="3A5D83B6" w14:textId="77777777" w:rsidR="00ED36A2" w:rsidRPr="00C22F32" w:rsidRDefault="00ED36A2" w:rsidP="00EB24A9">
      <w:pPr>
        <w:pStyle w:val="NormalWeb"/>
        <w:ind w:firstLine="0"/>
        <w:rPr>
          <w:color w:val="FF0000"/>
          <w:sz w:val="28"/>
          <w:szCs w:val="28"/>
        </w:rPr>
      </w:pPr>
    </w:p>
    <w:p w14:paraId="789E1A59" w14:textId="77777777" w:rsidR="00942AE9" w:rsidRPr="00C22F32" w:rsidRDefault="00942AE9" w:rsidP="00EB24A9">
      <w:pPr>
        <w:pStyle w:val="NormalWeb"/>
        <w:ind w:firstLine="0"/>
        <w:rPr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3357"/>
      </w:tblGrid>
      <w:tr w:rsidR="00440B55" w:rsidRPr="00C22F32" w14:paraId="6A7BE5EC" w14:textId="77777777" w:rsidTr="00AE52DB">
        <w:trPr>
          <w:jc w:val="center"/>
        </w:trPr>
        <w:tc>
          <w:tcPr>
            <w:tcW w:w="426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9DBA2" w14:textId="77777777" w:rsidR="00440B55" w:rsidRPr="00C22F32" w:rsidRDefault="00440B55" w:rsidP="00EB24A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22F32">
              <w:rPr>
                <w:rFonts w:eastAsia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335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BCF2A" w14:textId="77777777" w:rsidR="00440B55" w:rsidRPr="00C22F32" w:rsidRDefault="00D21050" w:rsidP="00EB24A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22F32">
              <w:rPr>
                <w:rFonts w:eastAsia="Times New Roman"/>
                <w:b/>
                <w:bCs/>
                <w:sz w:val="28"/>
                <w:szCs w:val="28"/>
              </w:rPr>
              <w:t xml:space="preserve">      </w:t>
            </w:r>
            <w:r w:rsidR="00440B55" w:rsidRPr="00C22F32">
              <w:rPr>
                <w:rFonts w:eastAsia="Times New Roman"/>
                <w:b/>
                <w:bCs/>
                <w:sz w:val="28"/>
                <w:szCs w:val="28"/>
              </w:rPr>
              <w:t>Dorin RECEAN</w:t>
            </w:r>
          </w:p>
          <w:p w14:paraId="770734A7" w14:textId="77777777" w:rsidR="00440B55" w:rsidRPr="00C22F32" w:rsidRDefault="00440B55" w:rsidP="00EB24A9">
            <w:pPr>
              <w:pStyle w:val="NormalWeb"/>
              <w:rPr>
                <w:b/>
                <w:bCs/>
                <w:sz w:val="28"/>
                <w:szCs w:val="28"/>
              </w:rPr>
            </w:pPr>
            <w:r w:rsidRPr="00C22F3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40B55" w:rsidRPr="00C22F32" w14:paraId="587DC676" w14:textId="77777777" w:rsidTr="00AE52DB">
        <w:trPr>
          <w:jc w:val="center"/>
        </w:trPr>
        <w:tc>
          <w:tcPr>
            <w:tcW w:w="426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30874C" w14:textId="77777777" w:rsidR="00440B55" w:rsidRPr="00C22F32" w:rsidRDefault="00440B55" w:rsidP="00EB24A9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357" w:type="dxa"/>
            <w:vAlign w:val="center"/>
            <w:hideMark/>
          </w:tcPr>
          <w:p w14:paraId="16C32C0E" w14:textId="77777777" w:rsidR="00440B55" w:rsidRPr="00C22F32" w:rsidRDefault="00440B55" w:rsidP="00EB24A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21050" w:rsidRPr="00C22F32" w14:paraId="07A9E0D0" w14:textId="77777777" w:rsidTr="00AE52DB">
        <w:trPr>
          <w:jc w:val="center"/>
        </w:trPr>
        <w:tc>
          <w:tcPr>
            <w:tcW w:w="426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3919A" w14:textId="77777777" w:rsidR="00D21050" w:rsidRPr="00C22F32" w:rsidRDefault="00D21050" w:rsidP="00EB24A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22F32">
              <w:rPr>
                <w:rFonts w:eastAsia="Times New Roman"/>
                <w:b/>
                <w:bCs/>
                <w:sz w:val="28"/>
                <w:szCs w:val="28"/>
              </w:rPr>
              <w:t>Contrasemnează:</w:t>
            </w:r>
          </w:p>
        </w:tc>
        <w:tc>
          <w:tcPr>
            <w:tcW w:w="3357" w:type="dxa"/>
            <w:vAlign w:val="center"/>
            <w:hideMark/>
          </w:tcPr>
          <w:p w14:paraId="1165C100" w14:textId="77777777" w:rsidR="00D21050" w:rsidRPr="00C22F32" w:rsidRDefault="00D21050" w:rsidP="00EB24A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21050" w:rsidRPr="00C22F32" w14:paraId="160FFEBE" w14:textId="77777777" w:rsidTr="00AE52DB">
        <w:trPr>
          <w:jc w:val="center"/>
        </w:trPr>
        <w:tc>
          <w:tcPr>
            <w:tcW w:w="426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224DCD" w14:textId="10F67245" w:rsidR="00D21050" w:rsidRPr="00C22F32" w:rsidRDefault="00D21050" w:rsidP="00EB24A9">
            <w:pPr>
              <w:rPr>
                <w:rFonts w:eastAsia="Times New Roman"/>
                <w:sz w:val="28"/>
                <w:szCs w:val="28"/>
              </w:rPr>
            </w:pPr>
            <w:r w:rsidRPr="00C22F32">
              <w:rPr>
                <w:rFonts w:eastAsia="Times New Roman"/>
                <w:sz w:val="28"/>
                <w:szCs w:val="28"/>
              </w:rPr>
              <w:t>Ministrul energiei</w:t>
            </w:r>
          </w:p>
        </w:tc>
        <w:tc>
          <w:tcPr>
            <w:tcW w:w="3357" w:type="dxa"/>
          </w:tcPr>
          <w:p w14:paraId="02E7EA31" w14:textId="4767A472" w:rsidR="00D21050" w:rsidRPr="00C22F32" w:rsidRDefault="00D21050" w:rsidP="00EB24A9">
            <w:pPr>
              <w:rPr>
                <w:rFonts w:eastAsia="Times New Roman"/>
                <w:sz w:val="28"/>
                <w:szCs w:val="28"/>
              </w:rPr>
            </w:pPr>
            <w:r w:rsidRPr="00C22F32">
              <w:rPr>
                <w:rFonts w:eastAsia="Times New Roman"/>
                <w:sz w:val="28"/>
                <w:szCs w:val="28"/>
              </w:rPr>
              <w:t xml:space="preserve">       </w:t>
            </w:r>
            <w:r w:rsidR="00A80B09" w:rsidRPr="00C22F32">
              <w:rPr>
                <w:rFonts w:eastAsia="Times New Roman"/>
                <w:sz w:val="28"/>
                <w:szCs w:val="28"/>
              </w:rPr>
              <w:t>Dorin JUNGHIETU</w:t>
            </w:r>
          </w:p>
        </w:tc>
      </w:tr>
    </w:tbl>
    <w:p w14:paraId="57C2192F" w14:textId="77777777" w:rsidR="00EB24A9" w:rsidRPr="00C22F32" w:rsidRDefault="00EB24A9" w:rsidP="00183C8E">
      <w:pPr>
        <w:pStyle w:val="NormalWeb"/>
        <w:ind w:firstLine="0"/>
        <w:rPr>
          <w:b/>
          <w:sz w:val="28"/>
          <w:szCs w:val="28"/>
        </w:rPr>
      </w:pPr>
      <w:bookmarkStart w:id="0" w:name="_GoBack"/>
      <w:bookmarkEnd w:id="0"/>
    </w:p>
    <w:sectPr w:rsidR="00EB24A9" w:rsidRPr="00C22F32" w:rsidSect="00AE52DB">
      <w:pgSz w:w="12240" w:h="15840"/>
      <w:pgMar w:top="1134" w:right="851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A1558" w14:textId="77777777" w:rsidR="00672A82" w:rsidRPr="00C22F32" w:rsidRDefault="00672A82" w:rsidP="00873F47">
      <w:r w:rsidRPr="00C22F32">
        <w:separator/>
      </w:r>
    </w:p>
  </w:endnote>
  <w:endnote w:type="continuationSeparator" w:id="0">
    <w:p w14:paraId="16CAB5F5" w14:textId="77777777" w:rsidR="00672A82" w:rsidRPr="00C22F32" w:rsidRDefault="00672A82" w:rsidP="00873F47">
      <w:r w:rsidRPr="00C22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AAD3D" w14:textId="77777777" w:rsidR="00672A82" w:rsidRPr="00C22F32" w:rsidRDefault="00672A82" w:rsidP="00873F47">
      <w:r w:rsidRPr="00C22F32">
        <w:separator/>
      </w:r>
    </w:p>
  </w:footnote>
  <w:footnote w:type="continuationSeparator" w:id="0">
    <w:p w14:paraId="1EF1FA03" w14:textId="77777777" w:rsidR="00672A82" w:rsidRPr="00C22F32" w:rsidRDefault="00672A82" w:rsidP="00873F47">
      <w:r w:rsidRPr="00C22F32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011"/>
    <w:multiLevelType w:val="hybridMultilevel"/>
    <w:tmpl w:val="5C7EE392"/>
    <w:lvl w:ilvl="0" w:tplc="48DA3F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B4E"/>
    <w:multiLevelType w:val="hybridMultilevel"/>
    <w:tmpl w:val="A142C864"/>
    <w:lvl w:ilvl="0" w:tplc="369E92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7BFE"/>
    <w:multiLevelType w:val="hybridMultilevel"/>
    <w:tmpl w:val="EB3C1EA6"/>
    <w:lvl w:ilvl="0" w:tplc="9F424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C7467"/>
    <w:multiLevelType w:val="hybridMultilevel"/>
    <w:tmpl w:val="D7B4AC08"/>
    <w:lvl w:ilvl="0" w:tplc="FA124C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43C02"/>
    <w:multiLevelType w:val="hybridMultilevel"/>
    <w:tmpl w:val="3D601EB4"/>
    <w:lvl w:ilvl="0" w:tplc="ADA417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DB2534"/>
    <w:multiLevelType w:val="hybridMultilevel"/>
    <w:tmpl w:val="29F27538"/>
    <w:lvl w:ilvl="0" w:tplc="278EC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663"/>
    <w:multiLevelType w:val="hybridMultilevel"/>
    <w:tmpl w:val="16ECB4C2"/>
    <w:lvl w:ilvl="0" w:tplc="AD340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32917"/>
    <w:multiLevelType w:val="hybridMultilevel"/>
    <w:tmpl w:val="AD8EB7FE"/>
    <w:lvl w:ilvl="0" w:tplc="3E36F4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F13EAA"/>
    <w:multiLevelType w:val="hybridMultilevel"/>
    <w:tmpl w:val="900A6032"/>
    <w:lvl w:ilvl="0" w:tplc="B19C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D7903"/>
    <w:multiLevelType w:val="hybridMultilevel"/>
    <w:tmpl w:val="7AA6A5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F7"/>
    <w:rsid w:val="000002C6"/>
    <w:rsid w:val="000017C8"/>
    <w:rsid w:val="00001CCB"/>
    <w:rsid w:val="00003EEB"/>
    <w:rsid w:val="00020722"/>
    <w:rsid w:val="00025BA8"/>
    <w:rsid w:val="00031705"/>
    <w:rsid w:val="000330FB"/>
    <w:rsid w:val="00034161"/>
    <w:rsid w:val="00042BF5"/>
    <w:rsid w:val="00043310"/>
    <w:rsid w:val="00045084"/>
    <w:rsid w:val="00046BE1"/>
    <w:rsid w:val="00047961"/>
    <w:rsid w:val="00075FD5"/>
    <w:rsid w:val="00083A04"/>
    <w:rsid w:val="000904E2"/>
    <w:rsid w:val="00091370"/>
    <w:rsid w:val="00091A93"/>
    <w:rsid w:val="00092D30"/>
    <w:rsid w:val="000979DC"/>
    <w:rsid w:val="000A2163"/>
    <w:rsid w:val="000A57CE"/>
    <w:rsid w:val="000C3B3A"/>
    <w:rsid w:val="000F3056"/>
    <w:rsid w:val="00101510"/>
    <w:rsid w:val="00103E34"/>
    <w:rsid w:val="00113D21"/>
    <w:rsid w:val="00124E20"/>
    <w:rsid w:val="00136C01"/>
    <w:rsid w:val="00164AE7"/>
    <w:rsid w:val="00166764"/>
    <w:rsid w:val="00183C8E"/>
    <w:rsid w:val="00183E9F"/>
    <w:rsid w:val="00190A90"/>
    <w:rsid w:val="00191777"/>
    <w:rsid w:val="001A4889"/>
    <w:rsid w:val="001A7E88"/>
    <w:rsid w:val="001B21F8"/>
    <w:rsid w:val="001B2CF1"/>
    <w:rsid w:val="001B4019"/>
    <w:rsid w:val="001B5E9C"/>
    <w:rsid w:val="001D610D"/>
    <w:rsid w:val="001F2796"/>
    <w:rsid w:val="001F4050"/>
    <w:rsid w:val="00204BCE"/>
    <w:rsid w:val="002053C2"/>
    <w:rsid w:val="002066BF"/>
    <w:rsid w:val="00214807"/>
    <w:rsid w:val="0021657A"/>
    <w:rsid w:val="0021767E"/>
    <w:rsid w:val="00220DBF"/>
    <w:rsid w:val="00223222"/>
    <w:rsid w:val="00224DE9"/>
    <w:rsid w:val="00235105"/>
    <w:rsid w:val="002372FA"/>
    <w:rsid w:val="002378EF"/>
    <w:rsid w:val="00237FFC"/>
    <w:rsid w:val="0025728B"/>
    <w:rsid w:val="00260ACA"/>
    <w:rsid w:val="00276915"/>
    <w:rsid w:val="0028424D"/>
    <w:rsid w:val="002862A7"/>
    <w:rsid w:val="00287042"/>
    <w:rsid w:val="002919E1"/>
    <w:rsid w:val="00295396"/>
    <w:rsid w:val="002B1AEE"/>
    <w:rsid w:val="002C5947"/>
    <w:rsid w:val="002C6E3E"/>
    <w:rsid w:val="002D2B57"/>
    <w:rsid w:val="002D7A51"/>
    <w:rsid w:val="002E346E"/>
    <w:rsid w:val="00304864"/>
    <w:rsid w:val="003136B5"/>
    <w:rsid w:val="00314C84"/>
    <w:rsid w:val="00315F25"/>
    <w:rsid w:val="0032230D"/>
    <w:rsid w:val="0032694B"/>
    <w:rsid w:val="003311B6"/>
    <w:rsid w:val="0035061A"/>
    <w:rsid w:val="0036268E"/>
    <w:rsid w:val="00366703"/>
    <w:rsid w:val="00387542"/>
    <w:rsid w:val="00394708"/>
    <w:rsid w:val="00396D87"/>
    <w:rsid w:val="003A5A9B"/>
    <w:rsid w:val="003A7C48"/>
    <w:rsid w:val="003C424E"/>
    <w:rsid w:val="003D1298"/>
    <w:rsid w:val="003E21F4"/>
    <w:rsid w:val="003E4766"/>
    <w:rsid w:val="003F793E"/>
    <w:rsid w:val="0041111C"/>
    <w:rsid w:val="0042590C"/>
    <w:rsid w:val="00431DA8"/>
    <w:rsid w:val="00440B55"/>
    <w:rsid w:val="004456EF"/>
    <w:rsid w:val="004808A1"/>
    <w:rsid w:val="004938A0"/>
    <w:rsid w:val="00494CB9"/>
    <w:rsid w:val="004B0FCE"/>
    <w:rsid w:val="004C0495"/>
    <w:rsid w:val="004C7673"/>
    <w:rsid w:val="004D099F"/>
    <w:rsid w:val="004D3F21"/>
    <w:rsid w:val="004E4AC0"/>
    <w:rsid w:val="004E4C40"/>
    <w:rsid w:val="004E50D4"/>
    <w:rsid w:val="005018AC"/>
    <w:rsid w:val="00501EE2"/>
    <w:rsid w:val="00504A79"/>
    <w:rsid w:val="005112F9"/>
    <w:rsid w:val="0051331B"/>
    <w:rsid w:val="005212F4"/>
    <w:rsid w:val="00521DFF"/>
    <w:rsid w:val="0052449B"/>
    <w:rsid w:val="00532CB7"/>
    <w:rsid w:val="00537290"/>
    <w:rsid w:val="00552167"/>
    <w:rsid w:val="005562B1"/>
    <w:rsid w:val="00556897"/>
    <w:rsid w:val="00567A9F"/>
    <w:rsid w:val="00570814"/>
    <w:rsid w:val="00574385"/>
    <w:rsid w:val="00577B27"/>
    <w:rsid w:val="0059189D"/>
    <w:rsid w:val="005974AB"/>
    <w:rsid w:val="005A0AE7"/>
    <w:rsid w:val="005B2D3F"/>
    <w:rsid w:val="005B40C4"/>
    <w:rsid w:val="005D34DD"/>
    <w:rsid w:val="005E366D"/>
    <w:rsid w:val="005E50C9"/>
    <w:rsid w:val="005E5931"/>
    <w:rsid w:val="00605D9A"/>
    <w:rsid w:val="006068AD"/>
    <w:rsid w:val="00611124"/>
    <w:rsid w:val="00623134"/>
    <w:rsid w:val="00634C26"/>
    <w:rsid w:val="00635438"/>
    <w:rsid w:val="00636426"/>
    <w:rsid w:val="006500E3"/>
    <w:rsid w:val="0065143B"/>
    <w:rsid w:val="00651E09"/>
    <w:rsid w:val="00653B1F"/>
    <w:rsid w:val="006542B4"/>
    <w:rsid w:val="00654F0C"/>
    <w:rsid w:val="006635C7"/>
    <w:rsid w:val="006718DD"/>
    <w:rsid w:val="00672A82"/>
    <w:rsid w:val="00676340"/>
    <w:rsid w:val="00690FD5"/>
    <w:rsid w:val="00696C28"/>
    <w:rsid w:val="006A0069"/>
    <w:rsid w:val="006A0322"/>
    <w:rsid w:val="006B17D8"/>
    <w:rsid w:val="006C045E"/>
    <w:rsid w:val="006C5232"/>
    <w:rsid w:val="006C5866"/>
    <w:rsid w:val="006C6594"/>
    <w:rsid w:val="006D1779"/>
    <w:rsid w:val="006D538E"/>
    <w:rsid w:val="006D7F3A"/>
    <w:rsid w:val="006F0DEF"/>
    <w:rsid w:val="006F24C0"/>
    <w:rsid w:val="006F7562"/>
    <w:rsid w:val="007016FE"/>
    <w:rsid w:val="00701DCB"/>
    <w:rsid w:val="00702915"/>
    <w:rsid w:val="007127B1"/>
    <w:rsid w:val="007175B7"/>
    <w:rsid w:val="00731FBF"/>
    <w:rsid w:val="00737189"/>
    <w:rsid w:val="007416D3"/>
    <w:rsid w:val="00751EB4"/>
    <w:rsid w:val="00753E25"/>
    <w:rsid w:val="00760A69"/>
    <w:rsid w:val="00770CC7"/>
    <w:rsid w:val="00781CA7"/>
    <w:rsid w:val="00794A4C"/>
    <w:rsid w:val="007A64BD"/>
    <w:rsid w:val="007A7A82"/>
    <w:rsid w:val="007B21BD"/>
    <w:rsid w:val="007C4532"/>
    <w:rsid w:val="007C49AA"/>
    <w:rsid w:val="007D14B4"/>
    <w:rsid w:val="007E1FA3"/>
    <w:rsid w:val="007E24E9"/>
    <w:rsid w:val="007E3FB1"/>
    <w:rsid w:val="007E70F7"/>
    <w:rsid w:val="007F6B8E"/>
    <w:rsid w:val="0081042C"/>
    <w:rsid w:val="00816576"/>
    <w:rsid w:val="0081711B"/>
    <w:rsid w:val="00824F91"/>
    <w:rsid w:val="00825E65"/>
    <w:rsid w:val="00834306"/>
    <w:rsid w:val="00835788"/>
    <w:rsid w:val="008412A0"/>
    <w:rsid w:val="00844E27"/>
    <w:rsid w:val="00855255"/>
    <w:rsid w:val="0085570A"/>
    <w:rsid w:val="00873F47"/>
    <w:rsid w:val="00875695"/>
    <w:rsid w:val="00880C10"/>
    <w:rsid w:val="00885F79"/>
    <w:rsid w:val="0089629C"/>
    <w:rsid w:val="008A2F9D"/>
    <w:rsid w:val="008B0D60"/>
    <w:rsid w:val="008B156E"/>
    <w:rsid w:val="008B2053"/>
    <w:rsid w:val="008B44DF"/>
    <w:rsid w:val="008C56D5"/>
    <w:rsid w:val="008D7F02"/>
    <w:rsid w:val="008E3239"/>
    <w:rsid w:val="008E43C7"/>
    <w:rsid w:val="00925F96"/>
    <w:rsid w:val="00942AE9"/>
    <w:rsid w:val="00947D0F"/>
    <w:rsid w:val="00965438"/>
    <w:rsid w:val="009774A6"/>
    <w:rsid w:val="00985C66"/>
    <w:rsid w:val="009A0AF7"/>
    <w:rsid w:val="009A4C83"/>
    <w:rsid w:val="009B0FBD"/>
    <w:rsid w:val="009D735E"/>
    <w:rsid w:val="009E0D03"/>
    <w:rsid w:val="009F23B5"/>
    <w:rsid w:val="009F457A"/>
    <w:rsid w:val="00A03CB6"/>
    <w:rsid w:val="00A05181"/>
    <w:rsid w:val="00A14FD3"/>
    <w:rsid w:val="00A156BA"/>
    <w:rsid w:val="00A308CB"/>
    <w:rsid w:val="00A30B12"/>
    <w:rsid w:val="00A34063"/>
    <w:rsid w:val="00A4379D"/>
    <w:rsid w:val="00A7027D"/>
    <w:rsid w:val="00A734E4"/>
    <w:rsid w:val="00A80B09"/>
    <w:rsid w:val="00A82556"/>
    <w:rsid w:val="00A8640E"/>
    <w:rsid w:val="00A86D24"/>
    <w:rsid w:val="00A87D51"/>
    <w:rsid w:val="00A947D6"/>
    <w:rsid w:val="00AB0CE4"/>
    <w:rsid w:val="00AB4E7D"/>
    <w:rsid w:val="00AB6FE9"/>
    <w:rsid w:val="00AC444B"/>
    <w:rsid w:val="00AC5484"/>
    <w:rsid w:val="00AC5AC0"/>
    <w:rsid w:val="00AD7FDF"/>
    <w:rsid w:val="00AE0F4A"/>
    <w:rsid w:val="00AE2A4E"/>
    <w:rsid w:val="00AE376C"/>
    <w:rsid w:val="00AE52DB"/>
    <w:rsid w:val="00AF03B7"/>
    <w:rsid w:val="00AF4531"/>
    <w:rsid w:val="00AF600A"/>
    <w:rsid w:val="00B03903"/>
    <w:rsid w:val="00B03C17"/>
    <w:rsid w:val="00B05068"/>
    <w:rsid w:val="00B06F33"/>
    <w:rsid w:val="00B11E6F"/>
    <w:rsid w:val="00B22D1B"/>
    <w:rsid w:val="00B253C4"/>
    <w:rsid w:val="00B2551D"/>
    <w:rsid w:val="00B4559A"/>
    <w:rsid w:val="00B801EC"/>
    <w:rsid w:val="00B82C28"/>
    <w:rsid w:val="00B86296"/>
    <w:rsid w:val="00BA4272"/>
    <w:rsid w:val="00BA7B36"/>
    <w:rsid w:val="00BB2CF3"/>
    <w:rsid w:val="00BC0C93"/>
    <w:rsid w:val="00BC6217"/>
    <w:rsid w:val="00BE2407"/>
    <w:rsid w:val="00C02920"/>
    <w:rsid w:val="00C21915"/>
    <w:rsid w:val="00C22F32"/>
    <w:rsid w:val="00C2612E"/>
    <w:rsid w:val="00C27098"/>
    <w:rsid w:val="00C3091B"/>
    <w:rsid w:val="00C361E8"/>
    <w:rsid w:val="00C36201"/>
    <w:rsid w:val="00C5497E"/>
    <w:rsid w:val="00C5645B"/>
    <w:rsid w:val="00C57629"/>
    <w:rsid w:val="00C60535"/>
    <w:rsid w:val="00C638B2"/>
    <w:rsid w:val="00C72B85"/>
    <w:rsid w:val="00C814DA"/>
    <w:rsid w:val="00C90D80"/>
    <w:rsid w:val="00CA46AF"/>
    <w:rsid w:val="00CB3B1C"/>
    <w:rsid w:val="00CB3B7B"/>
    <w:rsid w:val="00CC0F03"/>
    <w:rsid w:val="00CC23CC"/>
    <w:rsid w:val="00CC4B38"/>
    <w:rsid w:val="00CD4665"/>
    <w:rsid w:val="00CD5368"/>
    <w:rsid w:val="00CE74A7"/>
    <w:rsid w:val="00D00268"/>
    <w:rsid w:val="00D06A36"/>
    <w:rsid w:val="00D115FE"/>
    <w:rsid w:val="00D1363B"/>
    <w:rsid w:val="00D21050"/>
    <w:rsid w:val="00D248C7"/>
    <w:rsid w:val="00D449E9"/>
    <w:rsid w:val="00D54C2D"/>
    <w:rsid w:val="00D57E95"/>
    <w:rsid w:val="00D666E6"/>
    <w:rsid w:val="00D77898"/>
    <w:rsid w:val="00D82838"/>
    <w:rsid w:val="00D8465B"/>
    <w:rsid w:val="00DA1331"/>
    <w:rsid w:val="00DA219B"/>
    <w:rsid w:val="00DA40E5"/>
    <w:rsid w:val="00DB5D47"/>
    <w:rsid w:val="00DC2E7F"/>
    <w:rsid w:val="00DD77D9"/>
    <w:rsid w:val="00DE5C8C"/>
    <w:rsid w:val="00DF39BE"/>
    <w:rsid w:val="00DF7FD7"/>
    <w:rsid w:val="00E029C3"/>
    <w:rsid w:val="00E03DF0"/>
    <w:rsid w:val="00E07E54"/>
    <w:rsid w:val="00E100FB"/>
    <w:rsid w:val="00E1169D"/>
    <w:rsid w:val="00E125CE"/>
    <w:rsid w:val="00E145E2"/>
    <w:rsid w:val="00E26E3F"/>
    <w:rsid w:val="00E32037"/>
    <w:rsid w:val="00E3538B"/>
    <w:rsid w:val="00E358DD"/>
    <w:rsid w:val="00E37533"/>
    <w:rsid w:val="00E47C98"/>
    <w:rsid w:val="00E55137"/>
    <w:rsid w:val="00E636F2"/>
    <w:rsid w:val="00E64582"/>
    <w:rsid w:val="00E70B09"/>
    <w:rsid w:val="00E77C95"/>
    <w:rsid w:val="00E9187D"/>
    <w:rsid w:val="00E937DB"/>
    <w:rsid w:val="00EB24A9"/>
    <w:rsid w:val="00EC16E7"/>
    <w:rsid w:val="00EC21FD"/>
    <w:rsid w:val="00EC610B"/>
    <w:rsid w:val="00ED1BE2"/>
    <w:rsid w:val="00ED36A2"/>
    <w:rsid w:val="00EF39BE"/>
    <w:rsid w:val="00EF53B1"/>
    <w:rsid w:val="00EF5FAB"/>
    <w:rsid w:val="00F012EC"/>
    <w:rsid w:val="00F032AD"/>
    <w:rsid w:val="00F07833"/>
    <w:rsid w:val="00F122BD"/>
    <w:rsid w:val="00F130A6"/>
    <w:rsid w:val="00F1420C"/>
    <w:rsid w:val="00F145B4"/>
    <w:rsid w:val="00F24F2C"/>
    <w:rsid w:val="00F27B22"/>
    <w:rsid w:val="00F31CF6"/>
    <w:rsid w:val="00F4431A"/>
    <w:rsid w:val="00F47E03"/>
    <w:rsid w:val="00F50049"/>
    <w:rsid w:val="00F559C9"/>
    <w:rsid w:val="00F622D3"/>
    <w:rsid w:val="00F62E1D"/>
    <w:rsid w:val="00F6503D"/>
    <w:rsid w:val="00F6608C"/>
    <w:rsid w:val="00F70E35"/>
    <w:rsid w:val="00F76B86"/>
    <w:rsid w:val="00F85CE1"/>
    <w:rsid w:val="00F86D81"/>
    <w:rsid w:val="00F91063"/>
    <w:rsid w:val="00F920C9"/>
    <w:rsid w:val="00F96704"/>
    <w:rsid w:val="00FA1C34"/>
    <w:rsid w:val="00FA3189"/>
    <w:rsid w:val="00FA40B2"/>
    <w:rsid w:val="00FA568F"/>
    <w:rsid w:val="00FB3992"/>
    <w:rsid w:val="00FB682D"/>
    <w:rsid w:val="00FD1A91"/>
    <w:rsid w:val="00FE7D62"/>
    <w:rsid w:val="00FF04EF"/>
    <w:rsid w:val="00FF114E"/>
    <w:rsid w:val="00FF59D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5609"/>
  <w15:chartTrackingRefBased/>
  <w15:docId w15:val="{C3AB4662-ED46-4C1D-8950-7B0F8DC5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B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440B55"/>
    <w:pPr>
      <w:ind w:firstLine="567"/>
      <w:jc w:val="both"/>
    </w:pPr>
  </w:style>
  <w:style w:type="paragraph" w:customStyle="1" w:styleId="tt">
    <w:name w:val="tt"/>
    <w:basedOn w:val="Normal"/>
    <w:rsid w:val="00440B55"/>
    <w:pPr>
      <w:jc w:val="center"/>
    </w:pPr>
    <w:rPr>
      <w:b/>
      <w:bCs/>
    </w:rPr>
  </w:style>
  <w:style w:type="paragraph" w:customStyle="1" w:styleId="cn">
    <w:name w:val="cn"/>
    <w:basedOn w:val="Normal"/>
    <w:rsid w:val="00440B55"/>
    <w:pPr>
      <w:jc w:val="center"/>
    </w:pPr>
  </w:style>
  <w:style w:type="paragraph" w:customStyle="1" w:styleId="cb">
    <w:name w:val="cb"/>
    <w:basedOn w:val="Normal"/>
    <w:rsid w:val="00440B55"/>
    <w:pPr>
      <w:jc w:val="center"/>
    </w:pPr>
    <w:rPr>
      <w:b/>
      <w:bCs/>
    </w:rPr>
  </w:style>
  <w:style w:type="paragraph" w:customStyle="1" w:styleId="rg">
    <w:name w:val="rg"/>
    <w:basedOn w:val="Normal"/>
    <w:rsid w:val="00440B55"/>
    <w:pPr>
      <w:jc w:val="right"/>
    </w:pPr>
  </w:style>
  <w:style w:type="character" w:styleId="Hyperlink">
    <w:name w:val="Hyperlink"/>
    <w:basedOn w:val="DefaultParagraphFont"/>
    <w:uiPriority w:val="99"/>
    <w:unhideWhenUsed/>
    <w:rsid w:val="00440B55"/>
    <w:rPr>
      <w:color w:val="0000FF"/>
      <w:u w:val="single"/>
    </w:rPr>
  </w:style>
  <w:style w:type="paragraph" w:customStyle="1" w:styleId="msonormal0">
    <w:name w:val="msonormal"/>
    <w:basedOn w:val="Normal"/>
    <w:rsid w:val="00F4431A"/>
    <w:pPr>
      <w:ind w:firstLine="567"/>
      <w:jc w:val="both"/>
    </w:pPr>
  </w:style>
  <w:style w:type="paragraph" w:customStyle="1" w:styleId="cp">
    <w:name w:val="cp"/>
    <w:basedOn w:val="Normal"/>
    <w:rsid w:val="00F27B2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27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B22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2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3510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235105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23510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rmalWebChar">
    <w:name w:val="Normal (Web) Char"/>
    <w:aliases w:val="Знак Char,webb Char, Знак Char"/>
    <w:link w:val="NormalWeb"/>
    <w:uiPriority w:val="99"/>
    <w:rsid w:val="00235105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aliases w:val="List Paragraph1,List Paragraph (numbered (a)),Lapis Bulleted List,List Paragraph 1,Scriptoria bullet points,Bullet List,FooterText,Colorful List Accent 1,numbered,Paragraphe de liste1,列出段落,列出段落1,Bulletr List Paragraph,List Paragraph2"/>
    <w:basedOn w:val="Normal"/>
    <w:link w:val="ListParagraphChar"/>
    <w:qFormat/>
    <w:rsid w:val="00235105"/>
    <w:pPr>
      <w:ind w:left="720" w:right="45"/>
      <w:contextualSpacing/>
    </w:pPr>
    <w:rPr>
      <w:rFonts w:eastAsia="Times New Roman"/>
      <w:lang w:eastAsia="ru-RU"/>
    </w:rPr>
  </w:style>
  <w:style w:type="character" w:customStyle="1" w:styleId="ListParagraphChar">
    <w:name w:val="List Paragraph Char"/>
    <w:aliases w:val="List Paragraph1 Char,List Paragraph (numbered (a)) Char,Lapis Bulleted List Char,List Paragraph 1 Char,Scriptoria bullet points Char,Bullet List Char,FooterText Char,Colorful List Accent 1 Char,numbered Char,Paragraphe de liste1 Char"/>
    <w:link w:val="ListParagraph"/>
    <w:qFormat/>
    <w:locked/>
    <w:rsid w:val="00235105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ableParagraph">
    <w:name w:val="Table Paragraph"/>
    <w:basedOn w:val="Normal"/>
    <w:uiPriority w:val="1"/>
    <w:qFormat/>
    <w:rsid w:val="00235105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2D2B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779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6A36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F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F47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3F4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05271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86CF-7AC1-4A42-8DD9-662116EB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Baiesu</dc:creator>
  <cp:keywords/>
  <dc:description/>
  <cp:lastModifiedBy>Oprea Sandu</cp:lastModifiedBy>
  <cp:revision>16</cp:revision>
  <dcterms:created xsi:type="dcterms:W3CDTF">2025-02-25T18:24:00Z</dcterms:created>
  <dcterms:modified xsi:type="dcterms:W3CDTF">2025-04-18T08:07:00Z</dcterms:modified>
</cp:coreProperties>
</file>