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Pr="00172941" w:rsidRDefault="008B4BE6" w:rsidP="00F37ED4">
      <w:pPr>
        <w:pBdr>
          <w:top w:val="none" w:sz="4" w:space="0" w:color="000000"/>
          <w:left w:val="none" w:sz="4" w:space="0" w:color="000000"/>
          <w:bottom w:val="none" w:sz="4" w:space="0" w:color="000000"/>
          <w:right w:val="none" w:sz="4" w:space="0" w:color="000000"/>
        </w:pBdr>
        <w:tabs>
          <w:tab w:val="left" w:pos="884"/>
          <w:tab w:val="left" w:pos="1196"/>
        </w:tabs>
      </w:pPr>
    </w:p>
    <w:p w14:paraId="19B5E71F" w14:textId="7A61C0EE" w:rsidR="008B4BE6" w:rsidRPr="00A10374" w:rsidRDefault="006933C3" w:rsidP="000C2594">
      <w:pPr>
        <w:jc w:val="center"/>
        <w:rPr>
          <w:rFonts w:eastAsia="Calibri"/>
          <w:b/>
          <w:lang w:val="ro-RO"/>
        </w:rPr>
      </w:pPr>
      <w:r w:rsidRPr="00A10374">
        <w:rPr>
          <w:rFonts w:eastAsia="Calibri"/>
          <w:b/>
          <w:lang w:val="ro-RO"/>
        </w:rPr>
        <w:t>NOTA</w:t>
      </w:r>
      <w:r w:rsidR="00032B46" w:rsidRPr="00A10374">
        <w:rPr>
          <w:rFonts w:eastAsia="Calibri"/>
          <w:b/>
          <w:lang w:val="ro-RO"/>
        </w:rPr>
        <w:t xml:space="preserve"> </w:t>
      </w:r>
      <w:r w:rsidRPr="00A10374">
        <w:rPr>
          <w:rFonts w:eastAsia="Calibri"/>
          <w:b/>
          <w:lang w:val="ro-RO"/>
        </w:rPr>
        <w:t>DE</w:t>
      </w:r>
      <w:r w:rsidR="00032B46" w:rsidRPr="00A10374">
        <w:rPr>
          <w:rFonts w:eastAsia="Calibri"/>
          <w:b/>
          <w:lang w:val="ro-RO"/>
        </w:rPr>
        <w:t xml:space="preserve"> </w:t>
      </w:r>
      <w:r w:rsidRPr="00A10374">
        <w:rPr>
          <w:rFonts w:eastAsia="Calibri"/>
          <w:b/>
          <w:lang w:val="ro-RO"/>
        </w:rPr>
        <w:t>FUNDAMENTARE</w:t>
      </w:r>
    </w:p>
    <w:p w14:paraId="581CF8BF" w14:textId="66F7B5F4" w:rsidR="008B4BE6" w:rsidRPr="00A10374" w:rsidRDefault="006933C3" w:rsidP="003368B8">
      <w:pPr>
        <w:spacing w:before="120" w:after="120"/>
        <w:jc w:val="center"/>
        <w:rPr>
          <w:rFonts w:eastAsia="Calibri"/>
          <w:b/>
          <w:lang w:val="ro-RO"/>
        </w:rPr>
      </w:pPr>
      <w:r w:rsidRPr="00A10374">
        <w:rPr>
          <w:rFonts w:eastAsia="Calibri"/>
          <w:b/>
          <w:lang w:val="ro-RO"/>
        </w:rPr>
        <w:t>la</w:t>
      </w:r>
      <w:r w:rsidR="00032B46" w:rsidRPr="00A10374">
        <w:rPr>
          <w:rFonts w:eastAsia="Calibri"/>
          <w:b/>
          <w:lang w:val="ro-RO"/>
        </w:rPr>
        <w:t xml:space="preserve"> </w:t>
      </w:r>
      <w:r w:rsidRPr="00A10374">
        <w:rPr>
          <w:rFonts w:eastAsia="Calibri"/>
          <w:b/>
          <w:lang w:val="ro-RO"/>
        </w:rPr>
        <w:t>proiectul</w:t>
      </w:r>
      <w:r w:rsidR="00032B46" w:rsidRPr="00A10374">
        <w:rPr>
          <w:rFonts w:eastAsia="Calibri"/>
          <w:b/>
          <w:lang w:val="ro-RO"/>
        </w:rPr>
        <w:t xml:space="preserve"> </w:t>
      </w:r>
      <w:r w:rsidR="00AB0105" w:rsidRPr="00A10374">
        <w:rPr>
          <w:rFonts w:eastAsia="Calibri"/>
          <w:b/>
          <w:lang w:val="ro-RO"/>
        </w:rPr>
        <w:t>de Lege privind modificarea Legii 139/2018 cu privire la eficiența energetică</w:t>
      </w:r>
      <w:r w:rsidR="0088682B">
        <w:rPr>
          <w:rFonts w:eastAsia="Calibri"/>
          <w:b/>
          <w:lang w:val="ro-RO"/>
        </w:rPr>
        <w:t xml:space="preserve"> </w:t>
      </w:r>
      <w:r w:rsidR="0088682B" w:rsidRPr="0088682B">
        <w:rPr>
          <w:rFonts w:eastAsia="Calibri"/>
          <w:b/>
          <w:lang w:val="ro-RO"/>
        </w:rPr>
        <w:t>(facilitarea implementării proiectelor de eficiență energetică)</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6D3EB7" w:rsidRPr="00997304"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A10374" w:rsidRDefault="0036135C" w:rsidP="000E1660">
            <w:pPr>
              <w:rPr>
                <w:rFonts w:ascii="Times New Roman" w:hAnsi="Times New Roman"/>
                <w:b/>
                <w:bCs/>
                <w:lang w:val="ro-RO"/>
              </w:rPr>
            </w:pPr>
            <w:r w:rsidRPr="00A10374">
              <w:rPr>
                <w:rFonts w:ascii="Times New Roman" w:hAnsi="Times New Roman"/>
                <w:b/>
                <w:bCs/>
                <w:lang w:val="ro-RO"/>
              </w:rPr>
              <w:t>1.</w:t>
            </w:r>
            <w:r w:rsidR="00032B46" w:rsidRPr="00A10374">
              <w:rPr>
                <w:rFonts w:ascii="Times New Roman" w:hAnsi="Times New Roman"/>
                <w:b/>
                <w:bCs/>
                <w:lang w:val="ro-RO"/>
              </w:rPr>
              <w:t xml:space="preserve"> </w:t>
            </w:r>
            <w:r w:rsidR="006933C3" w:rsidRPr="00A10374">
              <w:rPr>
                <w:rFonts w:ascii="Times New Roman" w:hAnsi="Times New Roman"/>
                <w:b/>
                <w:bCs/>
                <w:lang w:val="ro-RO"/>
              </w:rPr>
              <w:t>Denumirea</w:t>
            </w:r>
            <w:r w:rsidR="00032B46" w:rsidRPr="00A10374">
              <w:rPr>
                <w:rFonts w:ascii="Times New Roman" w:hAnsi="Times New Roman"/>
                <w:b/>
                <w:bCs/>
                <w:lang w:val="ro-RO"/>
              </w:rPr>
              <w:t xml:space="preserve"> </w:t>
            </w:r>
            <w:r w:rsidR="006933C3" w:rsidRPr="00A10374">
              <w:rPr>
                <w:rFonts w:ascii="Times New Roman" w:hAnsi="Times New Roman"/>
                <w:b/>
                <w:bCs/>
                <w:lang w:val="ro-RO"/>
              </w:rPr>
              <w:t>sau</w:t>
            </w:r>
            <w:r w:rsidR="00032B46" w:rsidRPr="00A10374">
              <w:rPr>
                <w:rFonts w:ascii="Times New Roman" w:hAnsi="Times New Roman"/>
                <w:b/>
                <w:bCs/>
                <w:lang w:val="ro-RO"/>
              </w:rPr>
              <w:t xml:space="preserve"> </w:t>
            </w:r>
            <w:r w:rsidR="006933C3" w:rsidRPr="00A10374">
              <w:rPr>
                <w:rFonts w:ascii="Times New Roman" w:hAnsi="Times New Roman"/>
                <w:b/>
                <w:bCs/>
                <w:lang w:val="ro-RO"/>
              </w:rPr>
              <w:t>numele</w:t>
            </w:r>
            <w:r w:rsidR="00032B46" w:rsidRPr="00A10374">
              <w:rPr>
                <w:rFonts w:ascii="Times New Roman" w:hAnsi="Times New Roman"/>
                <w:b/>
                <w:bCs/>
                <w:lang w:val="ro-RO"/>
              </w:rPr>
              <w:t xml:space="preserve"> </w:t>
            </w:r>
            <w:r w:rsidR="006933C3" w:rsidRPr="00A10374">
              <w:rPr>
                <w:rFonts w:ascii="Times New Roman" w:hAnsi="Times New Roman"/>
                <w:b/>
                <w:bCs/>
                <w:lang w:val="ro-RO"/>
              </w:rPr>
              <w:t>autorului</w:t>
            </w:r>
            <w:r w:rsidR="00032B46" w:rsidRPr="00A10374">
              <w:rPr>
                <w:rFonts w:ascii="Times New Roman" w:hAnsi="Times New Roman"/>
                <w:b/>
                <w:bCs/>
                <w:lang w:val="ro-RO"/>
              </w:rPr>
              <w:t xml:space="preserve"> </w:t>
            </w:r>
            <w:r w:rsidR="00863417" w:rsidRPr="00A10374">
              <w:rPr>
                <w:rFonts w:ascii="Times New Roman" w:hAnsi="Times New Roman"/>
                <w:b/>
                <w:bCs/>
                <w:lang w:val="ro-RO"/>
              </w:rPr>
              <w:t>ș</w:t>
            </w:r>
            <w:r w:rsidR="006933C3" w:rsidRPr="00A10374">
              <w:rPr>
                <w:rFonts w:ascii="Times New Roman" w:hAnsi="Times New Roman"/>
                <w:b/>
                <w:bCs/>
                <w:lang w:val="ro-RO"/>
              </w:rPr>
              <w:t>i,</w:t>
            </w:r>
            <w:r w:rsidR="00032B46" w:rsidRPr="00A10374">
              <w:rPr>
                <w:rFonts w:ascii="Times New Roman" w:hAnsi="Times New Roman"/>
                <w:b/>
                <w:bCs/>
                <w:lang w:val="ro-RO"/>
              </w:rPr>
              <w:t xml:space="preserve"> </w:t>
            </w:r>
            <w:r w:rsidR="006933C3" w:rsidRPr="00A10374">
              <w:rPr>
                <w:rFonts w:ascii="Times New Roman" w:hAnsi="Times New Roman"/>
                <w:b/>
                <w:bCs/>
                <w:lang w:val="ro-RO"/>
              </w:rPr>
              <w:t>după</w:t>
            </w:r>
            <w:r w:rsidR="00032B46" w:rsidRPr="00A10374">
              <w:rPr>
                <w:rFonts w:ascii="Times New Roman" w:hAnsi="Times New Roman"/>
                <w:b/>
                <w:bCs/>
                <w:lang w:val="ro-RO"/>
              </w:rPr>
              <w:t xml:space="preserve"> </w:t>
            </w:r>
            <w:r w:rsidR="006933C3" w:rsidRPr="00A10374">
              <w:rPr>
                <w:rFonts w:ascii="Times New Roman" w:hAnsi="Times New Roman"/>
                <w:b/>
                <w:bCs/>
                <w:lang w:val="ro-RO"/>
              </w:rPr>
              <w:t>caz,</w:t>
            </w:r>
            <w:r w:rsidR="00032B46" w:rsidRPr="00A10374">
              <w:rPr>
                <w:rFonts w:ascii="Times New Roman" w:hAnsi="Times New Roman"/>
                <w:b/>
                <w:bCs/>
                <w:lang w:val="ro-RO"/>
              </w:rPr>
              <w:t xml:space="preserve"> </w:t>
            </w:r>
            <w:r w:rsidR="006933C3" w:rsidRPr="00A10374">
              <w:rPr>
                <w:rFonts w:ascii="Times New Roman" w:hAnsi="Times New Roman"/>
                <w:b/>
                <w:bCs/>
                <w:lang w:val="ro-RO"/>
              </w:rPr>
              <w:t>a</w:t>
            </w:r>
            <w:r w:rsidR="00E94FA8" w:rsidRPr="00A10374">
              <w:rPr>
                <w:rFonts w:ascii="Times New Roman" w:hAnsi="Times New Roman"/>
                <w:b/>
                <w:bCs/>
                <w:lang w:val="ro-RO"/>
              </w:rPr>
              <w:t>/al</w:t>
            </w:r>
            <w:r w:rsidR="00032B46" w:rsidRPr="00A10374">
              <w:rPr>
                <w:rFonts w:ascii="Times New Roman" w:hAnsi="Times New Roman"/>
                <w:b/>
                <w:bCs/>
                <w:lang w:val="ro-RO"/>
              </w:rPr>
              <w:t xml:space="preserve"> </w:t>
            </w:r>
            <w:r w:rsidR="006933C3" w:rsidRPr="00A10374">
              <w:rPr>
                <w:rFonts w:ascii="Times New Roman" w:hAnsi="Times New Roman"/>
                <w:b/>
                <w:bCs/>
                <w:lang w:val="ro-RO"/>
              </w:rPr>
              <w:t>participan</w:t>
            </w:r>
            <w:r w:rsidR="00863417" w:rsidRPr="00A10374">
              <w:rPr>
                <w:rFonts w:ascii="Times New Roman" w:hAnsi="Times New Roman"/>
                <w:b/>
                <w:bCs/>
                <w:lang w:val="ro-RO"/>
              </w:rPr>
              <w:t>ț</w:t>
            </w:r>
            <w:r w:rsidR="006933C3" w:rsidRPr="00A10374">
              <w:rPr>
                <w:rFonts w:ascii="Times New Roman" w:hAnsi="Times New Roman"/>
                <w:b/>
                <w:bCs/>
                <w:lang w:val="ro-RO"/>
              </w:rPr>
              <w:t>ilor</w:t>
            </w:r>
            <w:r w:rsidR="00032B46" w:rsidRPr="00A10374">
              <w:rPr>
                <w:rFonts w:ascii="Times New Roman" w:hAnsi="Times New Roman"/>
                <w:b/>
                <w:bCs/>
                <w:lang w:val="ro-RO"/>
              </w:rPr>
              <w:t xml:space="preserve"> </w:t>
            </w:r>
            <w:r w:rsidR="006933C3" w:rsidRPr="00A10374">
              <w:rPr>
                <w:rFonts w:ascii="Times New Roman" w:hAnsi="Times New Roman"/>
                <w:b/>
                <w:bCs/>
                <w:lang w:val="ro-RO"/>
              </w:rPr>
              <w:t>la</w:t>
            </w:r>
            <w:r w:rsidR="00032B46" w:rsidRPr="00A10374">
              <w:rPr>
                <w:rFonts w:ascii="Times New Roman" w:hAnsi="Times New Roman"/>
                <w:b/>
                <w:bCs/>
                <w:lang w:val="ro-RO"/>
              </w:rPr>
              <w:t xml:space="preserve"> </w:t>
            </w:r>
            <w:r w:rsidR="006933C3" w:rsidRPr="00A10374">
              <w:rPr>
                <w:rFonts w:ascii="Times New Roman" w:hAnsi="Times New Roman"/>
                <w:b/>
                <w:bCs/>
                <w:lang w:val="ro-RO"/>
              </w:rPr>
              <w:t>elaborarea</w:t>
            </w:r>
            <w:r w:rsidR="00032B46" w:rsidRPr="00A10374">
              <w:rPr>
                <w:rFonts w:ascii="Times New Roman" w:hAnsi="Times New Roman"/>
                <w:b/>
                <w:bCs/>
                <w:lang w:val="ro-RO"/>
              </w:rPr>
              <w:t xml:space="preserve"> </w:t>
            </w:r>
            <w:r w:rsidR="006933C3" w:rsidRPr="00A10374">
              <w:rPr>
                <w:rFonts w:ascii="Times New Roman" w:hAnsi="Times New Roman"/>
                <w:b/>
                <w:bCs/>
                <w:lang w:val="ro-RO"/>
              </w:rPr>
              <w:t>proiectului</w:t>
            </w:r>
            <w:r w:rsidR="00032B46" w:rsidRPr="00A10374">
              <w:rPr>
                <w:rFonts w:ascii="Times New Roman" w:hAnsi="Times New Roman"/>
                <w:b/>
                <w:bCs/>
                <w:lang w:val="ro-RO"/>
              </w:rPr>
              <w:t xml:space="preserve"> </w:t>
            </w:r>
            <w:r w:rsidR="006933C3" w:rsidRPr="00A10374">
              <w:rPr>
                <w:rFonts w:ascii="Times New Roman" w:hAnsi="Times New Roman"/>
                <w:b/>
                <w:bCs/>
                <w:lang w:val="ro-RO"/>
              </w:rPr>
              <w:t>actului</w:t>
            </w:r>
            <w:r w:rsidR="00032B46" w:rsidRPr="00A10374">
              <w:rPr>
                <w:rFonts w:ascii="Times New Roman" w:hAnsi="Times New Roman"/>
                <w:b/>
                <w:bCs/>
                <w:lang w:val="ro-RO"/>
              </w:rPr>
              <w:t xml:space="preserve"> </w:t>
            </w:r>
            <w:r w:rsidR="006933C3" w:rsidRPr="00A10374">
              <w:rPr>
                <w:rFonts w:ascii="Times New Roman" w:hAnsi="Times New Roman"/>
                <w:b/>
                <w:bCs/>
                <w:lang w:val="ro-RO"/>
              </w:rPr>
              <w:t>normativ</w:t>
            </w:r>
          </w:p>
        </w:tc>
      </w:tr>
      <w:tr w:rsidR="006D3EB7" w:rsidRPr="00997304"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D9E646D" w:rsidR="008B4BE6" w:rsidRPr="00A10374" w:rsidRDefault="000E1660" w:rsidP="001A76A5">
            <w:pPr>
              <w:jc w:val="both"/>
              <w:rPr>
                <w:rFonts w:ascii="Times New Roman" w:hAnsi="Times New Roman"/>
                <w:lang w:val="ro-RO"/>
              </w:rPr>
            </w:pPr>
            <w:r w:rsidRPr="00A10374">
              <w:rPr>
                <w:rFonts w:ascii="Times New Roman" w:hAnsi="Times New Roman"/>
                <w:lang w:val="ro-RO"/>
              </w:rPr>
              <w:t>Proiectul de</w:t>
            </w:r>
            <w:r w:rsidR="00AF64D3" w:rsidRPr="00A10374">
              <w:rPr>
                <w:rFonts w:ascii="Times New Roman" w:hAnsi="Times New Roman"/>
                <w:lang w:val="ro-RO"/>
              </w:rPr>
              <w:t xml:space="preserve"> lege</w:t>
            </w:r>
            <w:r w:rsidRPr="00A10374">
              <w:rPr>
                <w:rFonts w:ascii="Times New Roman" w:hAnsi="Times New Roman"/>
                <w:lang w:val="ro-RO"/>
              </w:rPr>
              <w:t xml:space="preserve"> </w:t>
            </w:r>
            <w:r w:rsidR="000D5CFA" w:rsidRPr="00A10374">
              <w:rPr>
                <w:rFonts w:ascii="Times New Roman" w:hAnsi="Times New Roman"/>
                <w:lang w:val="ro-RO"/>
              </w:rPr>
              <w:t>pentru modificarea Legii nr. 139/2018 cu privire la eficiența energetică</w:t>
            </w:r>
            <w:r w:rsidR="0088682B">
              <w:rPr>
                <w:rFonts w:ascii="Times New Roman" w:hAnsi="Times New Roman"/>
                <w:lang w:val="ro-RO"/>
              </w:rPr>
              <w:t xml:space="preserve"> </w:t>
            </w:r>
            <w:r w:rsidR="0088682B" w:rsidRPr="0088682B">
              <w:rPr>
                <w:rFonts w:ascii="Times New Roman" w:hAnsi="Times New Roman"/>
                <w:lang w:val="ro-RO"/>
              </w:rPr>
              <w:t>(facilitarea implementării proiectelor de eficiență energetică)</w:t>
            </w:r>
            <w:r w:rsidR="000D5CFA" w:rsidRPr="00A10374">
              <w:rPr>
                <w:rFonts w:ascii="Times New Roman" w:hAnsi="Times New Roman"/>
                <w:lang w:val="ro-RO"/>
              </w:rPr>
              <w:t xml:space="preserve"> </w:t>
            </w:r>
            <w:r w:rsidRPr="00A10374">
              <w:rPr>
                <w:rFonts w:ascii="Times New Roman" w:hAnsi="Times New Roman"/>
                <w:lang w:val="ro-RO"/>
              </w:rPr>
              <w:t xml:space="preserve">a fost elaborat de către Ministerul Energiei cu suportul „Moldovan Green </w:t>
            </w:r>
            <w:proofErr w:type="spellStart"/>
            <w:r w:rsidRPr="00A10374">
              <w:rPr>
                <w:rFonts w:ascii="Times New Roman" w:hAnsi="Times New Roman"/>
                <w:lang w:val="ro-RO"/>
              </w:rPr>
              <w:t>Transition</w:t>
            </w:r>
            <w:proofErr w:type="spellEnd"/>
            <w:r w:rsidRPr="00A10374">
              <w:rPr>
                <w:rFonts w:ascii="Times New Roman" w:hAnsi="Times New Roman"/>
                <w:lang w:val="ro-RO"/>
              </w:rPr>
              <w:t xml:space="preserve"> </w:t>
            </w:r>
            <w:proofErr w:type="spellStart"/>
            <w:r w:rsidRPr="00A10374">
              <w:rPr>
                <w:rFonts w:ascii="Times New Roman" w:hAnsi="Times New Roman"/>
                <w:lang w:val="ro-RO"/>
              </w:rPr>
              <w:t>Technical</w:t>
            </w:r>
            <w:proofErr w:type="spellEnd"/>
            <w:r w:rsidRPr="00A10374">
              <w:rPr>
                <w:rFonts w:ascii="Times New Roman" w:hAnsi="Times New Roman"/>
                <w:lang w:val="ro-RO"/>
              </w:rPr>
              <w:t xml:space="preserve"> </w:t>
            </w:r>
            <w:proofErr w:type="spellStart"/>
            <w:r w:rsidRPr="00A10374">
              <w:rPr>
                <w:rFonts w:ascii="Times New Roman" w:hAnsi="Times New Roman"/>
                <w:lang w:val="ro-RO"/>
              </w:rPr>
              <w:t>Assistance</w:t>
            </w:r>
            <w:proofErr w:type="spellEnd"/>
            <w:r w:rsidRPr="00A10374">
              <w:rPr>
                <w:rFonts w:ascii="Times New Roman" w:hAnsi="Times New Roman"/>
                <w:lang w:val="ro-RO"/>
              </w:rPr>
              <w:t xml:space="preserve"> </w:t>
            </w:r>
            <w:proofErr w:type="spellStart"/>
            <w:r w:rsidRPr="00A10374">
              <w:rPr>
                <w:rFonts w:ascii="Times New Roman" w:hAnsi="Times New Roman"/>
                <w:lang w:val="ro-RO"/>
              </w:rPr>
              <w:t>Facility</w:t>
            </w:r>
            <w:proofErr w:type="spellEnd"/>
            <w:r w:rsidRPr="00A10374">
              <w:rPr>
                <w:rFonts w:ascii="Times New Roman" w:hAnsi="Times New Roman"/>
                <w:lang w:val="ro-RO"/>
              </w:rPr>
              <w:t xml:space="preserve"> </w:t>
            </w:r>
            <w:proofErr w:type="spellStart"/>
            <w:r w:rsidRPr="00A10374">
              <w:rPr>
                <w:rFonts w:ascii="Times New Roman" w:hAnsi="Times New Roman"/>
                <w:lang w:val="ro-RO"/>
              </w:rPr>
              <w:t>project</w:t>
            </w:r>
            <w:proofErr w:type="spellEnd"/>
            <w:r w:rsidRPr="00A10374">
              <w:rPr>
                <w:rFonts w:ascii="Times New Roman" w:hAnsi="Times New Roman"/>
                <w:lang w:val="ro-RO"/>
              </w:rPr>
              <w:t xml:space="preserve">” implementat de către </w:t>
            </w:r>
            <w:proofErr w:type="spellStart"/>
            <w:r w:rsidRPr="00A10374">
              <w:rPr>
                <w:rFonts w:ascii="Times New Roman" w:hAnsi="Times New Roman"/>
                <w:lang w:val="ro-RO"/>
              </w:rPr>
              <w:t>Expertise</w:t>
            </w:r>
            <w:proofErr w:type="spellEnd"/>
            <w:r w:rsidRPr="00A10374">
              <w:rPr>
                <w:rFonts w:ascii="Times New Roman" w:hAnsi="Times New Roman"/>
                <w:lang w:val="ro-RO"/>
              </w:rPr>
              <w:t xml:space="preserve"> France. </w:t>
            </w:r>
          </w:p>
        </w:tc>
      </w:tr>
      <w:tr w:rsidR="006D3EB7" w:rsidRPr="00997304"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A10374" w:rsidRDefault="006933C3" w:rsidP="000E1660">
            <w:pPr>
              <w:rPr>
                <w:rFonts w:ascii="Times New Roman" w:hAnsi="Times New Roman"/>
                <w:b/>
                <w:bCs/>
                <w:lang w:val="ro-RO"/>
              </w:rPr>
            </w:pPr>
            <w:r w:rsidRPr="00A10374">
              <w:rPr>
                <w:rFonts w:ascii="Times New Roman" w:hAnsi="Times New Roman"/>
                <w:b/>
                <w:bCs/>
                <w:lang w:val="ro-RO"/>
              </w:rPr>
              <w:t>2.</w:t>
            </w:r>
            <w:r w:rsidR="00032B46" w:rsidRPr="00A10374">
              <w:rPr>
                <w:rFonts w:ascii="Times New Roman" w:hAnsi="Times New Roman"/>
                <w:b/>
                <w:bCs/>
                <w:lang w:val="ro-RO"/>
              </w:rPr>
              <w:t xml:space="preserve"> </w:t>
            </w:r>
            <w:r w:rsidRPr="00A10374">
              <w:rPr>
                <w:rFonts w:ascii="Times New Roman" w:hAnsi="Times New Roman"/>
                <w:b/>
                <w:bCs/>
                <w:lang w:val="ro-RO"/>
              </w:rPr>
              <w:t>Condi</w:t>
            </w:r>
            <w:r w:rsidR="00863417" w:rsidRPr="00A10374">
              <w:rPr>
                <w:rFonts w:ascii="Times New Roman" w:hAnsi="Times New Roman"/>
                <w:b/>
                <w:bCs/>
                <w:lang w:val="ro-RO"/>
              </w:rPr>
              <w:t>ț</w:t>
            </w:r>
            <w:r w:rsidRPr="00A10374">
              <w:rPr>
                <w:rFonts w:ascii="Times New Roman" w:hAnsi="Times New Roman"/>
                <w:b/>
                <w:bCs/>
                <w:lang w:val="ro-RO"/>
              </w:rPr>
              <w:t>iile</w:t>
            </w:r>
            <w:r w:rsidR="00032B46" w:rsidRPr="00A10374">
              <w:rPr>
                <w:rFonts w:ascii="Times New Roman" w:hAnsi="Times New Roman"/>
                <w:b/>
                <w:bCs/>
                <w:lang w:val="ro-RO"/>
              </w:rPr>
              <w:t xml:space="preserve"> </w:t>
            </w:r>
            <w:r w:rsidRPr="00A10374">
              <w:rPr>
                <w:rFonts w:ascii="Times New Roman" w:hAnsi="Times New Roman"/>
                <w:b/>
                <w:bCs/>
                <w:lang w:val="ro-RO"/>
              </w:rPr>
              <w:t>ce</w:t>
            </w:r>
            <w:r w:rsidR="00032B46" w:rsidRPr="00A10374">
              <w:rPr>
                <w:rFonts w:ascii="Times New Roman" w:hAnsi="Times New Roman"/>
                <w:b/>
                <w:bCs/>
                <w:lang w:val="ro-RO"/>
              </w:rPr>
              <w:t xml:space="preserve"> </w:t>
            </w:r>
            <w:r w:rsidRPr="00A10374">
              <w:rPr>
                <w:rFonts w:ascii="Times New Roman" w:hAnsi="Times New Roman"/>
                <w:b/>
                <w:bCs/>
                <w:lang w:val="ro-RO"/>
              </w:rPr>
              <w:t>au</w:t>
            </w:r>
            <w:r w:rsidR="00032B46" w:rsidRPr="00A10374">
              <w:rPr>
                <w:rFonts w:ascii="Times New Roman" w:hAnsi="Times New Roman"/>
                <w:b/>
                <w:bCs/>
                <w:lang w:val="ro-RO"/>
              </w:rPr>
              <w:t xml:space="preserve"> </w:t>
            </w:r>
            <w:r w:rsidRPr="00A10374">
              <w:rPr>
                <w:rFonts w:ascii="Times New Roman" w:hAnsi="Times New Roman"/>
                <w:b/>
                <w:bCs/>
                <w:lang w:val="ro-RO"/>
              </w:rPr>
              <w:t>impus</w:t>
            </w:r>
            <w:r w:rsidR="00032B46" w:rsidRPr="00A10374">
              <w:rPr>
                <w:rFonts w:ascii="Times New Roman" w:hAnsi="Times New Roman"/>
                <w:b/>
                <w:bCs/>
                <w:lang w:val="ro-RO"/>
              </w:rPr>
              <w:t xml:space="preserve"> </w:t>
            </w:r>
            <w:r w:rsidRPr="00A10374">
              <w:rPr>
                <w:rFonts w:ascii="Times New Roman" w:hAnsi="Times New Roman"/>
                <w:b/>
                <w:bCs/>
                <w:lang w:val="ro-RO"/>
              </w:rPr>
              <w:t>elaborarea</w:t>
            </w:r>
            <w:r w:rsidR="00032B46" w:rsidRPr="00A10374">
              <w:rPr>
                <w:rFonts w:ascii="Times New Roman" w:hAnsi="Times New Roman"/>
                <w:b/>
                <w:bCs/>
                <w:lang w:val="ro-RO"/>
              </w:rPr>
              <w:t xml:space="preserve"> </w:t>
            </w:r>
            <w:r w:rsidRPr="00A10374">
              <w:rPr>
                <w:rFonts w:ascii="Times New Roman" w:hAnsi="Times New Roman"/>
                <w:b/>
                <w:bCs/>
                <w:lang w:val="ro-RO"/>
              </w:rPr>
              <w:t>proiectului</w:t>
            </w:r>
            <w:r w:rsidR="00032B46" w:rsidRPr="00A10374">
              <w:rPr>
                <w:rFonts w:ascii="Times New Roman" w:hAnsi="Times New Roman"/>
                <w:b/>
                <w:bCs/>
                <w:lang w:val="ro-RO"/>
              </w:rPr>
              <w:t xml:space="preserve"> </w:t>
            </w:r>
            <w:r w:rsidRPr="00A10374">
              <w:rPr>
                <w:rFonts w:ascii="Times New Roman" w:hAnsi="Times New Roman"/>
                <w:b/>
                <w:bCs/>
                <w:lang w:val="ro-RO"/>
              </w:rPr>
              <w:t>actului</w:t>
            </w:r>
            <w:r w:rsidR="00032B46" w:rsidRPr="00A10374">
              <w:rPr>
                <w:rFonts w:ascii="Times New Roman" w:hAnsi="Times New Roman"/>
                <w:b/>
                <w:bCs/>
                <w:lang w:val="ro-RO"/>
              </w:rPr>
              <w:t xml:space="preserve"> </w:t>
            </w:r>
            <w:r w:rsidRPr="00A10374">
              <w:rPr>
                <w:rFonts w:ascii="Times New Roman" w:hAnsi="Times New Roman"/>
                <w:b/>
                <w:bCs/>
                <w:lang w:val="ro-RO"/>
              </w:rPr>
              <w:t>normativ</w:t>
            </w:r>
          </w:p>
        </w:tc>
      </w:tr>
      <w:tr w:rsidR="006D3EB7" w:rsidRPr="00997304" w14:paraId="4F79667C" w14:textId="77777777" w:rsidTr="00764A7B">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05F2CC" w14:textId="77777777" w:rsidR="008B4BE6" w:rsidRPr="00A10374" w:rsidRDefault="006933C3" w:rsidP="000E1660">
            <w:pPr>
              <w:rPr>
                <w:rFonts w:ascii="Times New Roman" w:hAnsi="Times New Roman"/>
                <w:i/>
                <w:lang w:val="ro-RO"/>
              </w:rPr>
            </w:pPr>
            <w:r w:rsidRPr="00A10374">
              <w:rPr>
                <w:rFonts w:ascii="Times New Roman" w:hAnsi="Times New Roman"/>
                <w:i/>
                <w:lang w:val="ro-RO"/>
              </w:rPr>
              <w:t>2.1.</w:t>
            </w:r>
            <w:r w:rsidR="00032B46" w:rsidRPr="00A10374">
              <w:rPr>
                <w:rFonts w:ascii="Times New Roman" w:hAnsi="Times New Roman"/>
                <w:i/>
                <w:lang w:val="ro-RO"/>
              </w:rPr>
              <w:t xml:space="preserve"> </w:t>
            </w:r>
            <w:r w:rsidRPr="00A10374">
              <w:rPr>
                <w:rFonts w:ascii="Times New Roman" w:hAnsi="Times New Roman"/>
                <w:i/>
                <w:lang w:val="ro-RO"/>
              </w:rPr>
              <w:t>Temeiul</w:t>
            </w:r>
            <w:r w:rsidR="00032B46" w:rsidRPr="00A10374">
              <w:rPr>
                <w:rFonts w:ascii="Times New Roman" w:hAnsi="Times New Roman"/>
                <w:i/>
                <w:lang w:val="ro-RO"/>
              </w:rPr>
              <w:t xml:space="preserve"> </w:t>
            </w:r>
            <w:r w:rsidRPr="00A10374">
              <w:rPr>
                <w:rFonts w:ascii="Times New Roman" w:hAnsi="Times New Roman"/>
                <w:i/>
                <w:lang w:val="ro-RO"/>
              </w:rPr>
              <w:t>legal</w:t>
            </w:r>
            <w:r w:rsidR="00825DC9" w:rsidRPr="00A10374">
              <w:rPr>
                <w:rFonts w:ascii="Times New Roman" w:hAnsi="Times New Roman"/>
                <w:i/>
                <w:lang w:val="ro-RO"/>
              </w:rPr>
              <w:t xml:space="preserve"> sau</w:t>
            </w:r>
            <w:r w:rsidRPr="00A10374">
              <w:rPr>
                <w:rFonts w:ascii="Times New Roman" w:hAnsi="Times New Roman"/>
                <w:i/>
                <w:lang w:val="ro-RO"/>
              </w:rPr>
              <w:t>,</w:t>
            </w:r>
            <w:r w:rsidR="00032B46" w:rsidRPr="00A10374">
              <w:rPr>
                <w:rFonts w:ascii="Times New Roman" w:hAnsi="Times New Roman"/>
                <w:i/>
                <w:lang w:val="ro-RO"/>
              </w:rPr>
              <w:t xml:space="preserve"> </w:t>
            </w:r>
            <w:r w:rsidRPr="00A10374">
              <w:rPr>
                <w:rFonts w:ascii="Times New Roman" w:hAnsi="Times New Roman"/>
                <w:i/>
                <w:lang w:val="ro-RO"/>
              </w:rPr>
              <w:t>după</w:t>
            </w:r>
            <w:r w:rsidR="00032B46" w:rsidRPr="00A10374">
              <w:rPr>
                <w:rFonts w:ascii="Times New Roman" w:hAnsi="Times New Roman"/>
                <w:i/>
                <w:lang w:val="ro-RO"/>
              </w:rPr>
              <w:t xml:space="preserve"> </w:t>
            </w:r>
            <w:r w:rsidRPr="00A10374">
              <w:rPr>
                <w:rFonts w:ascii="Times New Roman" w:hAnsi="Times New Roman"/>
                <w:i/>
                <w:lang w:val="ro-RO"/>
              </w:rPr>
              <w:t>caz</w:t>
            </w:r>
            <w:r w:rsidR="00825DC9" w:rsidRPr="00A10374">
              <w:rPr>
                <w:rFonts w:ascii="Times New Roman" w:hAnsi="Times New Roman"/>
                <w:i/>
                <w:lang w:val="ro-RO"/>
              </w:rPr>
              <w:t>,</w:t>
            </w:r>
            <w:r w:rsidR="00032B46" w:rsidRPr="00A10374">
              <w:rPr>
                <w:rFonts w:ascii="Times New Roman" w:hAnsi="Times New Roman"/>
                <w:i/>
                <w:lang w:val="ro-RO"/>
              </w:rPr>
              <w:t xml:space="preserve"> </w:t>
            </w:r>
            <w:r w:rsidRPr="00A10374">
              <w:rPr>
                <w:rFonts w:ascii="Times New Roman" w:hAnsi="Times New Roman"/>
                <w:i/>
                <w:lang w:val="ro-RO"/>
              </w:rPr>
              <w:t>sursa</w:t>
            </w:r>
            <w:r w:rsidR="00032B46" w:rsidRPr="00A10374">
              <w:rPr>
                <w:rFonts w:ascii="Times New Roman" w:hAnsi="Times New Roman"/>
                <w:i/>
                <w:lang w:val="ro-RO"/>
              </w:rPr>
              <w:t xml:space="preserve"> </w:t>
            </w:r>
            <w:r w:rsidRPr="00A10374">
              <w:rPr>
                <w:rFonts w:ascii="Times New Roman" w:hAnsi="Times New Roman"/>
                <w:i/>
                <w:lang w:val="ro-RO"/>
              </w:rPr>
              <w:t>proiectului</w:t>
            </w:r>
            <w:r w:rsidR="00032B46" w:rsidRPr="00A10374">
              <w:rPr>
                <w:rFonts w:ascii="Times New Roman" w:hAnsi="Times New Roman"/>
                <w:i/>
                <w:lang w:val="ro-RO"/>
              </w:rPr>
              <w:t xml:space="preserve"> </w:t>
            </w:r>
            <w:r w:rsidRPr="00A10374">
              <w:rPr>
                <w:rFonts w:ascii="Times New Roman" w:hAnsi="Times New Roman"/>
                <w:i/>
                <w:lang w:val="ro-RO"/>
              </w:rPr>
              <w:t>actului</w:t>
            </w:r>
            <w:r w:rsidR="00032B46" w:rsidRPr="00A10374">
              <w:rPr>
                <w:rFonts w:ascii="Times New Roman" w:hAnsi="Times New Roman"/>
                <w:i/>
                <w:lang w:val="ro-RO"/>
              </w:rPr>
              <w:t xml:space="preserve"> </w:t>
            </w:r>
            <w:r w:rsidRPr="00A10374">
              <w:rPr>
                <w:rFonts w:ascii="Times New Roman" w:hAnsi="Times New Roman"/>
                <w:i/>
                <w:lang w:val="ro-RO"/>
              </w:rPr>
              <w:t>normativ</w:t>
            </w:r>
          </w:p>
          <w:p w14:paraId="2E2152FC" w14:textId="239F931A" w:rsidR="00D76764" w:rsidRPr="00A10374" w:rsidRDefault="000E1660" w:rsidP="001A76A5">
            <w:pPr>
              <w:jc w:val="both"/>
              <w:rPr>
                <w:rFonts w:ascii="Times New Roman" w:hAnsi="Times New Roman"/>
                <w:lang w:val="ro-RO"/>
              </w:rPr>
            </w:pPr>
            <w:r w:rsidRPr="00A10374">
              <w:rPr>
                <w:rFonts w:ascii="Times New Roman" w:hAnsi="Times New Roman"/>
                <w:lang w:val="ro-RO"/>
              </w:rPr>
              <w:t xml:space="preserve">Proiectul </w:t>
            </w:r>
            <w:r w:rsidR="000D5CFA" w:rsidRPr="00A10374">
              <w:rPr>
                <w:rFonts w:ascii="Times New Roman" w:hAnsi="Times New Roman"/>
                <w:lang w:val="ro-RO"/>
              </w:rPr>
              <w:t>de lege pentru modificarea Legii nr. 139/2018 cu privire la eficiența energetică</w:t>
            </w:r>
            <w:r w:rsidR="0088682B">
              <w:rPr>
                <w:rFonts w:ascii="Times New Roman" w:hAnsi="Times New Roman"/>
                <w:lang w:val="ro-RO"/>
              </w:rPr>
              <w:t xml:space="preserve"> </w:t>
            </w:r>
            <w:r w:rsidR="0088682B" w:rsidRPr="0088682B">
              <w:rPr>
                <w:rFonts w:ascii="Times New Roman" w:hAnsi="Times New Roman"/>
                <w:lang w:val="ro-RO"/>
              </w:rPr>
              <w:t>(facilitarea implementării proiectelor de eficiență energetică)</w:t>
            </w:r>
            <w:r w:rsidR="000D5CFA" w:rsidRPr="00A10374">
              <w:rPr>
                <w:rFonts w:ascii="Times New Roman" w:hAnsi="Times New Roman"/>
                <w:lang w:val="ro-RO"/>
              </w:rPr>
              <w:t xml:space="preserve"> a fost elaborat pentru a opera modificările necesare și </w:t>
            </w:r>
            <w:r w:rsidR="00E03AB6" w:rsidRPr="00A10374">
              <w:rPr>
                <w:rFonts w:ascii="Times New Roman" w:hAnsi="Times New Roman"/>
                <w:lang w:val="ro-RO"/>
              </w:rPr>
              <w:t xml:space="preserve">elimina </w:t>
            </w:r>
            <w:r w:rsidR="000D5CFA" w:rsidRPr="00A10374">
              <w:rPr>
                <w:rFonts w:ascii="Times New Roman" w:hAnsi="Times New Roman"/>
                <w:lang w:val="ro-RO"/>
              </w:rPr>
              <w:t xml:space="preserve">deficiențele/lacunele identificate în textul legii nr. 139/2018 cu privire la eficiența energetică pe parcursul implementării politicilor în domeniul eficienței energetice, inclusiv cu luarea în considerare a cadrului normativ și instituțional elaborat și aprobat în acest sens.   </w:t>
            </w:r>
          </w:p>
        </w:tc>
      </w:tr>
      <w:tr w:rsidR="006D3EB7" w:rsidRPr="00997304" w14:paraId="6F56D62C" w14:textId="77777777" w:rsidTr="00764A7B">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0AD9EB" w14:textId="5D900D2C" w:rsidR="008B4BE6" w:rsidRPr="00A10374" w:rsidRDefault="006933C3" w:rsidP="000E1660">
            <w:pPr>
              <w:rPr>
                <w:rFonts w:ascii="Times New Roman" w:hAnsi="Times New Roman"/>
                <w:i/>
                <w:lang w:val="ro-RO"/>
              </w:rPr>
            </w:pPr>
            <w:r w:rsidRPr="00A10374">
              <w:rPr>
                <w:rFonts w:ascii="Times New Roman" w:hAnsi="Times New Roman"/>
                <w:i/>
                <w:lang w:val="ro-RO"/>
              </w:rPr>
              <w:t>2.2.</w:t>
            </w:r>
            <w:r w:rsidR="00032B46" w:rsidRPr="00A10374">
              <w:rPr>
                <w:rFonts w:ascii="Times New Roman" w:hAnsi="Times New Roman"/>
                <w:i/>
                <w:lang w:val="ro-RO"/>
              </w:rPr>
              <w:t xml:space="preserve"> </w:t>
            </w:r>
            <w:r w:rsidRPr="00A10374">
              <w:rPr>
                <w:rFonts w:ascii="Times New Roman" w:hAnsi="Times New Roman"/>
                <w:i/>
                <w:lang w:val="ro-RO"/>
              </w:rPr>
              <w:t>Descrierea</w:t>
            </w:r>
            <w:r w:rsidR="00032B46" w:rsidRPr="00A10374">
              <w:rPr>
                <w:rFonts w:ascii="Times New Roman" w:hAnsi="Times New Roman"/>
                <w:i/>
                <w:lang w:val="ro-RO"/>
              </w:rPr>
              <w:t xml:space="preserve"> </w:t>
            </w:r>
            <w:r w:rsidRPr="00A10374">
              <w:rPr>
                <w:rFonts w:ascii="Times New Roman" w:hAnsi="Times New Roman"/>
                <w:i/>
                <w:lang w:val="ro-RO"/>
              </w:rPr>
              <w:t>situa</w:t>
            </w:r>
            <w:r w:rsidR="00863417" w:rsidRPr="00A10374">
              <w:rPr>
                <w:rFonts w:ascii="Times New Roman" w:hAnsi="Times New Roman"/>
                <w:i/>
                <w:lang w:val="ro-RO"/>
              </w:rPr>
              <w:t>ț</w:t>
            </w:r>
            <w:r w:rsidRPr="00A10374">
              <w:rPr>
                <w:rFonts w:ascii="Times New Roman" w:hAnsi="Times New Roman"/>
                <w:i/>
                <w:lang w:val="ro-RO"/>
              </w:rPr>
              <w:t>iei</w:t>
            </w:r>
            <w:r w:rsidR="00032B46" w:rsidRPr="00A10374">
              <w:rPr>
                <w:rFonts w:ascii="Times New Roman" w:hAnsi="Times New Roman"/>
                <w:i/>
                <w:lang w:val="ro-RO"/>
              </w:rPr>
              <w:t xml:space="preserve"> </w:t>
            </w:r>
            <w:r w:rsidRPr="00A10374">
              <w:rPr>
                <w:rFonts w:ascii="Times New Roman" w:hAnsi="Times New Roman"/>
                <w:i/>
                <w:lang w:val="ro-RO"/>
              </w:rPr>
              <w:t>actuale</w:t>
            </w:r>
            <w:r w:rsidR="00032B46" w:rsidRPr="00A10374">
              <w:rPr>
                <w:rFonts w:ascii="Times New Roman" w:hAnsi="Times New Roman"/>
                <w:i/>
                <w:lang w:val="ro-RO"/>
              </w:rPr>
              <w:t xml:space="preserve"> </w:t>
            </w:r>
            <w:r w:rsidR="00863417" w:rsidRPr="00A10374">
              <w:rPr>
                <w:rFonts w:ascii="Times New Roman" w:hAnsi="Times New Roman"/>
                <w:i/>
                <w:lang w:val="ro-RO"/>
              </w:rPr>
              <w:t>ș</w:t>
            </w:r>
            <w:r w:rsidRPr="00A10374">
              <w:rPr>
                <w:rFonts w:ascii="Times New Roman" w:hAnsi="Times New Roman"/>
                <w:i/>
                <w:lang w:val="ro-RO"/>
              </w:rPr>
              <w:t>i</w:t>
            </w:r>
            <w:r w:rsidR="00032B46" w:rsidRPr="00A10374">
              <w:rPr>
                <w:rFonts w:ascii="Times New Roman" w:hAnsi="Times New Roman"/>
                <w:i/>
                <w:lang w:val="ro-RO"/>
              </w:rPr>
              <w:t xml:space="preserve"> </w:t>
            </w:r>
            <w:r w:rsidRPr="00A10374">
              <w:rPr>
                <w:rFonts w:ascii="Times New Roman" w:hAnsi="Times New Roman"/>
                <w:i/>
                <w:lang w:val="ro-RO"/>
              </w:rPr>
              <w:t>a</w:t>
            </w:r>
            <w:r w:rsidR="00032B46" w:rsidRPr="00A10374">
              <w:rPr>
                <w:rFonts w:ascii="Times New Roman" w:hAnsi="Times New Roman"/>
                <w:i/>
                <w:lang w:val="ro-RO"/>
              </w:rPr>
              <w:t xml:space="preserve"> </w:t>
            </w:r>
            <w:r w:rsidRPr="00A10374">
              <w:rPr>
                <w:rFonts w:ascii="Times New Roman" w:hAnsi="Times New Roman"/>
                <w:i/>
                <w:lang w:val="ro-RO"/>
              </w:rPr>
              <w:t>problemelor</w:t>
            </w:r>
            <w:r w:rsidR="00032B46" w:rsidRPr="00A10374">
              <w:rPr>
                <w:rFonts w:ascii="Times New Roman" w:hAnsi="Times New Roman"/>
                <w:i/>
                <w:lang w:val="ro-RO"/>
              </w:rPr>
              <w:t xml:space="preserve"> </w:t>
            </w:r>
            <w:r w:rsidRPr="00A10374">
              <w:rPr>
                <w:rFonts w:ascii="Times New Roman" w:hAnsi="Times New Roman"/>
                <w:i/>
                <w:lang w:val="ro-RO"/>
              </w:rPr>
              <w:t>care</w:t>
            </w:r>
            <w:r w:rsidR="00032B46" w:rsidRPr="00A10374">
              <w:rPr>
                <w:rFonts w:ascii="Times New Roman" w:hAnsi="Times New Roman"/>
                <w:i/>
                <w:lang w:val="ro-RO"/>
              </w:rPr>
              <w:t xml:space="preserve"> </w:t>
            </w:r>
            <w:r w:rsidRPr="00A10374">
              <w:rPr>
                <w:rFonts w:ascii="Times New Roman" w:hAnsi="Times New Roman"/>
                <w:i/>
                <w:lang w:val="ro-RO"/>
              </w:rPr>
              <w:t>impun</w:t>
            </w:r>
            <w:r w:rsidR="00032B46" w:rsidRPr="00A10374">
              <w:rPr>
                <w:rFonts w:ascii="Times New Roman" w:hAnsi="Times New Roman"/>
                <w:i/>
                <w:lang w:val="ro-RO"/>
              </w:rPr>
              <w:t xml:space="preserve"> </w:t>
            </w:r>
            <w:r w:rsidRPr="00A10374">
              <w:rPr>
                <w:rFonts w:ascii="Times New Roman" w:hAnsi="Times New Roman"/>
                <w:i/>
                <w:lang w:val="ro-RO"/>
              </w:rPr>
              <w:t>interven</w:t>
            </w:r>
            <w:r w:rsidR="00863417" w:rsidRPr="00A10374">
              <w:rPr>
                <w:rFonts w:ascii="Times New Roman" w:hAnsi="Times New Roman"/>
                <w:i/>
                <w:lang w:val="ro-RO"/>
              </w:rPr>
              <w:t>ț</w:t>
            </w:r>
            <w:r w:rsidRPr="00A10374">
              <w:rPr>
                <w:rFonts w:ascii="Times New Roman" w:hAnsi="Times New Roman"/>
                <w:i/>
                <w:lang w:val="ro-RO"/>
              </w:rPr>
              <w:t>ia,</w:t>
            </w:r>
            <w:r w:rsidR="00032B46" w:rsidRPr="00A10374">
              <w:rPr>
                <w:rFonts w:ascii="Times New Roman" w:hAnsi="Times New Roman"/>
                <w:i/>
                <w:lang w:val="ro-RO"/>
              </w:rPr>
              <w:t xml:space="preserve"> </w:t>
            </w:r>
            <w:r w:rsidRPr="00A10374">
              <w:rPr>
                <w:rFonts w:ascii="Times New Roman" w:hAnsi="Times New Roman"/>
                <w:i/>
                <w:lang w:val="ro-RO"/>
              </w:rPr>
              <w:t>inclusiv</w:t>
            </w:r>
            <w:r w:rsidR="00032B46" w:rsidRPr="00A10374">
              <w:rPr>
                <w:rFonts w:ascii="Times New Roman" w:hAnsi="Times New Roman"/>
                <w:i/>
                <w:lang w:val="ro-RO"/>
              </w:rPr>
              <w:t xml:space="preserve"> </w:t>
            </w:r>
            <w:r w:rsidR="005C7769" w:rsidRPr="00A10374">
              <w:rPr>
                <w:rFonts w:ascii="Times New Roman" w:hAnsi="Times New Roman"/>
                <w:i/>
                <w:lang w:val="ro-RO"/>
              </w:rPr>
              <w:t xml:space="preserve">a </w:t>
            </w:r>
            <w:r w:rsidRPr="00A10374">
              <w:rPr>
                <w:rFonts w:ascii="Times New Roman" w:hAnsi="Times New Roman"/>
                <w:i/>
                <w:lang w:val="ro-RO"/>
              </w:rPr>
              <w:t>cadrul</w:t>
            </w:r>
            <w:r w:rsidR="005C7769" w:rsidRPr="00A10374">
              <w:rPr>
                <w:rFonts w:ascii="Times New Roman" w:hAnsi="Times New Roman"/>
                <w:i/>
                <w:lang w:val="ro-RO"/>
              </w:rPr>
              <w:t>ui</w:t>
            </w:r>
            <w:r w:rsidR="00032B46" w:rsidRPr="00A10374">
              <w:rPr>
                <w:rFonts w:ascii="Times New Roman" w:hAnsi="Times New Roman"/>
                <w:i/>
                <w:lang w:val="ro-RO"/>
              </w:rPr>
              <w:t xml:space="preserve"> </w:t>
            </w:r>
            <w:r w:rsidRPr="00A10374">
              <w:rPr>
                <w:rFonts w:ascii="Times New Roman" w:hAnsi="Times New Roman"/>
                <w:i/>
                <w:lang w:val="ro-RO"/>
              </w:rPr>
              <w:t>normativ</w:t>
            </w:r>
            <w:r w:rsidR="00032B46" w:rsidRPr="00A10374">
              <w:rPr>
                <w:rFonts w:ascii="Times New Roman" w:hAnsi="Times New Roman"/>
                <w:i/>
                <w:lang w:val="ro-RO"/>
              </w:rPr>
              <w:t xml:space="preserve"> </w:t>
            </w:r>
            <w:r w:rsidRPr="00A10374">
              <w:rPr>
                <w:rFonts w:ascii="Times New Roman" w:hAnsi="Times New Roman"/>
                <w:i/>
                <w:lang w:val="ro-RO"/>
              </w:rPr>
              <w:t>aplicabil</w:t>
            </w:r>
            <w:r w:rsidR="00032B46" w:rsidRPr="00A10374">
              <w:rPr>
                <w:rFonts w:ascii="Times New Roman" w:hAnsi="Times New Roman"/>
                <w:i/>
                <w:lang w:val="ro-RO"/>
              </w:rPr>
              <w:t xml:space="preserve"> </w:t>
            </w:r>
            <w:r w:rsidR="00863417" w:rsidRPr="00A10374">
              <w:rPr>
                <w:rFonts w:ascii="Times New Roman" w:hAnsi="Times New Roman"/>
                <w:i/>
                <w:lang w:val="ro-RO"/>
              </w:rPr>
              <w:t>ș</w:t>
            </w:r>
            <w:r w:rsidRPr="00A10374">
              <w:rPr>
                <w:rFonts w:ascii="Times New Roman" w:hAnsi="Times New Roman"/>
                <w:i/>
                <w:lang w:val="ro-RO"/>
              </w:rPr>
              <w:t>i</w:t>
            </w:r>
            <w:r w:rsidR="00032B46" w:rsidRPr="00A10374">
              <w:rPr>
                <w:rFonts w:ascii="Times New Roman" w:hAnsi="Times New Roman"/>
                <w:i/>
                <w:lang w:val="ro-RO"/>
              </w:rPr>
              <w:t xml:space="preserve"> </w:t>
            </w:r>
            <w:r w:rsidR="005C7769" w:rsidRPr="00A10374">
              <w:rPr>
                <w:rFonts w:ascii="Times New Roman" w:hAnsi="Times New Roman"/>
                <w:i/>
                <w:lang w:val="ro-RO"/>
              </w:rPr>
              <w:t xml:space="preserve">a </w:t>
            </w:r>
            <w:r w:rsidRPr="00A10374">
              <w:rPr>
                <w:rFonts w:ascii="Times New Roman" w:hAnsi="Times New Roman"/>
                <w:i/>
                <w:lang w:val="ro-RO"/>
              </w:rPr>
              <w:t>deficien</w:t>
            </w:r>
            <w:r w:rsidR="00863417" w:rsidRPr="00A10374">
              <w:rPr>
                <w:rFonts w:ascii="Times New Roman" w:hAnsi="Times New Roman"/>
                <w:i/>
                <w:lang w:val="ro-RO"/>
              </w:rPr>
              <w:t>ț</w:t>
            </w:r>
            <w:r w:rsidRPr="00A10374">
              <w:rPr>
                <w:rFonts w:ascii="Times New Roman" w:hAnsi="Times New Roman"/>
                <w:i/>
                <w:lang w:val="ro-RO"/>
              </w:rPr>
              <w:t>el</w:t>
            </w:r>
            <w:r w:rsidR="005C7769" w:rsidRPr="00A10374">
              <w:rPr>
                <w:rFonts w:ascii="Times New Roman" w:hAnsi="Times New Roman"/>
                <w:i/>
                <w:lang w:val="ro-RO"/>
              </w:rPr>
              <w:t>or</w:t>
            </w:r>
            <w:r w:rsidRPr="00A10374">
              <w:rPr>
                <w:rFonts w:ascii="Times New Roman" w:hAnsi="Times New Roman"/>
                <w:i/>
                <w:lang w:val="ro-RO"/>
              </w:rPr>
              <w:t>/lacunel</w:t>
            </w:r>
            <w:r w:rsidR="005C7769" w:rsidRPr="00A10374">
              <w:rPr>
                <w:rFonts w:ascii="Times New Roman" w:hAnsi="Times New Roman"/>
                <w:i/>
                <w:lang w:val="ro-RO"/>
              </w:rPr>
              <w:t>or</w:t>
            </w:r>
            <w:r w:rsidR="00032B46" w:rsidRPr="00A10374">
              <w:rPr>
                <w:rFonts w:ascii="Times New Roman" w:hAnsi="Times New Roman"/>
                <w:i/>
                <w:lang w:val="ro-RO"/>
              </w:rPr>
              <w:t xml:space="preserve"> </w:t>
            </w:r>
            <w:r w:rsidRPr="00A10374">
              <w:rPr>
                <w:rFonts w:ascii="Times New Roman" w:hAnsi="Times New Roman"/>
                <w:i/>
                <w:lang w:val="ro-RO"/>
              </w:rPr>
              <w:t>normative</w:t>
            </w:r>
          </w:p>
        </w:tc>
      </w:tr>
      <w:tr w:rsidR="00452C6C" w:rsidRPr="00997304" w14:paraId="30963134" w14:textId="77777777" w:rsidTr="00764A7B">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B34E95" w14:textId="77777777" w:rsidR="007D172F" w:rsidRPr="0088682B" w:rsidRDefault="007D172F" w:rsidP="001A76A5">
            <w:pPr>
              <w:spacing w:before="120" w:after="120"/>
              <w:jc w:val="both"/>
              <w:rPr>
                <w:rFonts w:ascii="Times New Roman" w:hAnsi="Times New Roman"/>
                <w:lang w:val="pt-BR"/>
              </w:rPr>
            </w:pPr>
            <w:r w:rsidRPr="0088682B">
              <w:rPr>
                <w:rFonts w:ascii="Times New Roman" w:hAnsi="Times New Roman"/>
                <w:lang w:val="ro-RO"/>
              </w:rPr>
              <w:t>Conform prevederilor art. 5 alin (5) din Legea nr. 139/2018 cu privire la eficiența energetică este menționat că p</w:t>
            </w:r>
            <w:r w:rsidRPr="0088682B">
              <w:rPr>
                <w:rFonts w:ascii="Times New Roman" w:hAnsi="Times New Roman"/>
                <w:lang w:val="pt-BR"/>
              </w:rPr>
              <w:t>olitica de stat în domeniul eficienței energetice și în cel al energiei regenerabile, stabilită în conformitate cu Legea nr.10/2016 privind promovarea utilizării energiei din surse regenerabile, este implementată în coordonare și cu sprijinul instituției publice care asigură suportul în implementarea politicii statului în domeniul eficienței energetice și al promovării utilizării energiei din surse regenerabile (în continuare –</w:t>
            </w:r>
            <w:r w:rsidRPr="0088682B">
              <w:rPr>
                <w:rFonts w:ascii="Times New Roman" w:hAnsi="Times New Roman"/>
                <w:i/>
                <w:iCs/>
                <w:lang w:val="pt-BR"/>
              </w:rPr>
              <w:t>instituție publică de suport</w:t>
            </w:r>
            <w:r w:rsidRPr="0088682B">
              <w:rPr>
                <w:rFonts w:ascii="Times New Roman" w:hAnsi="Times New Roman"/>
                <w:lang w:val="pt-BR"/>
              </w:rPr>
              <w:t>).</w:t>
            </w:r>
          </w:p>
          <w:p w14:paraId="70303515" w14:textId="1BA4407D" w:rsidR="007D172F" w:rsidRPr="0088682B" w:rsidRDefault="007D172F" w:rsidP="001A76A5">
            <w:pPr>
              <w:spacing w:before="120" w:after="120"/>
              <w:jc w:val="both"/>
              <w:rPr>
                <w:rFonts w:ascii="Times New Roman" w:hAnsi="Times New Roman"/>
                <w:lang w:val="ro-RO"/>
              </w:rPr>
            </w:pPr>
            <w:r w:rsidRPr="0088682B">
              <w:rPr>
                <w:rFonts w:ascii="Times New Roman" w:hAnsi="Times New Roman"/>
                <w:lang w:val="pt-BR"/>
              </w:rPr>
              <w:t xml:space="preserve">Astfel, avînd în vedere că aceste atribuții sunt asigurate la moment de către </w:t>
            </w:r>
            <w:r w:rsidRPr="0088682B">
              <w:rPr>
                <w:rFonts w:ascii="Times New Roman" w:hAnsi="Times New Roman"/>
                <w:shd w:val="clear" w:color="auto" w:fill="FFFFFF"/>
                <w:lang w:val="ro-RO"/>
              </w:rPr>
              <w:t>Instituția Publică Centrul Național pentru Energie Durabilă (în continuare IP CNED), a fost identificată necesitate de înlocuire pe tot textul legii a sintagmei „</w:t>
            </w:r>
            <w:r w:rsidRPr="0088682B">
              <w:rPr>
                <w:rFonts w:ascii="Times New Roman" w:hAnsi="Times New Roman"/>
                <w:i/>
                <w:iCs/>
                <w:lang w:val="pt-BR"/>
              </w:rPr>
              <w:t xml:space="preserve">instituție publică de suport” </w:t>
            </w:r>
            <w:r w:rsidRPr="0088682B">
              <w:rPr>
                <w:rFonts w:ascii="Times New Roman" w:hAnsi="Times New Roman"/>
                <w:lang w:val="pt-BR"/>
              </w:rPr>
              <w:t>cu sintagma</w:t>
            </w:r>
            <w:r w:rsidRPr="0088682B">
              <w:rPr>
                <w:rFonts w:ascii="Times New Roman" w:hAnsi="Times New Roman"/>
                <w:i/>
                <w:iCs/>
                <w:lang w:val="pt-BR"/>
              </w:rPr>
              <w:t xml:space="preserve"> „</w:t>
            </w:r>
            <w:r w:rsidRPr="0088682B">
              <w:rPr>
                <w:rFonts w:ascii="Times New Roman" w:hAnsi="Times New Roman"/>
                <w:shd w:val="clear" w:color="auto" w:fill="FFFFFF"/>
                <w:lang w:val="ro-RO"/>
              </w:rPr>
              <w:t>Instituția Publică Centrul Național pentru Energie Durabilă” cu utilizarea ulterioară a formei abreviate „IP CNED”.</w:t>
            </w:r>
            <w:r w:rsidRPr="0088682B">
              <w:rPr>
                <w:rFonts w:ascii="Times New Roman" w:hAnsi="Times New Roman"/>
                <w:lang w:val="ro-RO"/>
              </w:rPr>
              <w:t xml:space="preserve"> </w:t>
            </w:r>
          </w:p>
          <w:p w14:paraId="7C03ABA2" w14:textId="17AA028A" w:rsidR="00234AA7" w:rsidRPr="0088682B" w:rsidRDefault="00234AA7" w:rsidP="001A76A5">
            <w:pPr>
              <w:spacing w:before="120" w:after="120"/>
              <w:jc w:val="both"/>
              <w:rPr>
                <w:rFonts w:ascii="Times New Roman" w:hAnsi="Times New Roman"/>
                <w:lang w:val="ro-RO"/>
              </w:rPr>
            </w:pPr>
            <w:r w:rsidRPr="0088682B">
              <w:rPr>
                <w:rFonts w:ascii="Times New Roman" w:hAnsi="Times New Roman"/>
                <w:lang w:val="ro-RO"/>
              </w:rPr>
              <w:t>Conform prevederilor art. 7</w:t>
            </w:r>
            <w:r w:rsidRPr="0088682B">
              <w:rPr>
                <w:rFonts w:ascii="Times New Roman" w:hAnsi="Times New Roman"/>
                <w:vertAlign w:val="superscript"/>
                <w:lang w:val="ro-RO"/>
              </w:rPr>
              <w:t>1</w:t>
            </w:r>
            <w:r w:rsidRPr="0088682B">
              <w:rPr>
                <w:rFonts w:ascii="Times New Roman" w:hAnsi="Times New Roman"/>
                <w:lang w:val="ro-RO"/>
              </w:rPr>
              <w:t xml:space="preserve"> din Legea nr. 139/2018 cu privire la eficiența energetică în corob</w:t>
            </w:r>
            <w:r w:rsidR="00935E8A" w:rsidRPr="0088682B">
              <w:rPr>
                <w:rFonts w:ascii="Times New Roman" w:hAnsi="Times New Roman"/>
                <w:lang w:val="ro-RO"/>
              </w:rPr>
              <w:t>orare cu art. II alin (4) lit.</w:t>
            </w:r>
            <w:r w:rsidRPr="0088682B">
              <w:rPr>
                <w:rFonts w:ascii="Times New Roman" w:hAnsi="Times New Roman"/>
                <w:lang w:val="ro-RO"/>
              </w:rPr>
              <w:t xml:space="preserve"> b) din Legea nr. 113/2023 pentru modificarea Legii nr. 139/2018 cu privire la eficiența energetică, țara noastră are obligația până la 31 decembrie 2030 de a obține economii de energie anuale echivalente cu minimum 0,8% din valoarea medie a consumului de energie finală înregistrat între 1 ianuarie 2019 și 1 ianuarie 2022.</w:t>
            </w:r>
          </w:p>
          <w:p w14:paraId="33DC5472" w14:textId="559F4A8F" w:rsidR="00234AA7" w:rsidRPr="00A10374" w:rsidRDefault="00234AA7" w:rsidP="001A76A5">
            <w:pPr>
              <w:spacing w:before="120" w:after="120"/>
              <w:jc w:val="both"/>
              <w:rPr>
                <w:rFonts w:ascii="Times New Roman" w:hAnsi="Times New Roman"/>
                <w:lang w:val="ro-RO"/>
              </w:rPr>
            </w:pPr>
            <w:r w:rsidRPr="0088682B">
              <w:rPr>
                <w:rFonts w:ascii="Times New Roman" w:hAnsi="Times New Roman"/>
                <w:lang w:val="ro-RO"/>
              </w:rPr>
              <w:t xml:space="preserve">Totodată, este de menționat că </w:t>
            </w:r>
            <w:r w:rsidR="00E03AB6" w:rsidRPr="0088682B">
              <w:rPr>
                <w:rFonts w:ascii="Times New Roman" w:hAnsi="Times New Roman"/>
                <w:lang w:val="ro-MD"/>
              </w:rPr>
              <w:t xml:space="preserve">în </w:t>
            </w:r>
            <w:r w:rsidRPr="0088682B">
              <w:rPr>
                <w:rFonts w:ascii="Times New Roman" w:hAnsi="Times New Roman"/>
                <w:lang w:val="ro-RO"/>
              </w:rPr>
              <w:t>conform</w:t>
            </w:r>
            <w:r w:rsidR="00E03AB6" w:rsidRPr="0088682B">
              <w:rPr>
                <w:rFonts w:ascii="Times New Roman" w:hAnsi="Times New Roman"/>
                <w:lang w:val="ro-RO"/>
              </w:rPr>
              <w:t>itate cu</w:t>
            </w:r>
            <w:r w:rsidRPr="0088682B">
              <w:rPr>
                <w:rFonts w:ascii="Times New Roman" w:hAnsi="Times New Roman"/>
                <w:lang w:val="ro-RO"/>
              </w:rPr>
              <w:t xml:space="preserve"> prevederil</w:t>
            </w:r>
            <w:r w:rsidR="00E03AB6" w:rsidRPr="0088682B">
              <w:rPr>
                <w:rFonts w:ascii="Times New Roman" w:hAnsi="Times New Roman"/>
                <w:lang w:val="ro-RO"/>
              </w:rPr>
              <w:t>e</w:t>
            </w:r>
            <w:r w:rsidRPr="0088682B">
              <w:rPr>
                <w:rFonts w:ascii="Times New Roman" w:hAnsi="Times New Roman"/>
                <w:lang w:val="ro-RO"/>
              </w:rPr>
              <w:t xml:space="preserve"> art. 7</w:t>
            </w:r>
            <w:r w:rsidRPr="0088682B">
              <w:rPr>
                <w:rFonts w:ascii="Times New Roman" w:hAnsi="Times New Roman"/>
                <w:vertAlign w:val="superscript"/>
                <w:lang w:val="ro-RO"/>
              </w:rPr>
              <w:t>1</w:t>
            </w:r>
            <w:r w:rsidRPr="0088682B">
              <w:rPr>
                <w:rFonts w:ascii="Times New Roman" w:hAnsi="Times New Roman"/>
                <w:lang w:val="ro-RO"/>
              </w:rPr>
              <w:t xml:space="preserve"> alin. (</w:t>
            </w:r>
            <w:r w:rsidRPr="00A10374">
              <w:rPr>
                <w:rFonts w:ascii="Times New Roman" w:hAnsi="Times New Roman"/>
                <w:lang w:val="ro-RO"/>
              </w:rPr>
              <w:t xml:space="preserve">5) din Legea </w:t>
            </w:r>
            <w:r w:rsidRPr="00A10374">
              <w:rPr>
                <w:rFonts w:ascii="Times New Roman" w:hAnsi="Times New Roman"/>
                <w:lang w:val="ro-RO"/>
              </w:rPr>
              <w:br/>
              <w:t>nr. 139/2018 cu privire la eficiența energetică, este stipulat că „</w:t>
            </w:r>
            <w:r w:rsidR="00935E8A" w:rsidRPr="00A10374">
              <w:rPr>
                <w:rFonts w:ascii="Times New Roman" w:hAnsi="Times New Roman"/>
                <w:lang w:val="ro-RO"/>
              </w:rPr>
              <w:t>[</w:t>
            </w:r>
            <w:r w:rsidRPr="00A10374">
              <w:rPr>
                <w:rFonts w:ascii="Times New Roman" w:hAnsi="Times New Roman"/>
                <w:lang w:val="ro-RO"/>
              </w:rPr>
              <w:t>…</w:t>
            </w:r>
            <w:r w:rsidR="00935E8A" w:rsidRPr="00A10374">
              <w:rPr>
                <w:rFonts w:ascii="Times New Roman" w:hAnsi="Times New Roman"/>
                <w:lang w:val="ro-RO"/>
              </w:rPr>
              <w:t>]</w:t>
            </w:r>
            <w:r w:rsidRPr="00A10374">
              <w:rPr>
                <w:rFonts w:ascii="Times New Roman" w:hAnsi="Times New Roman"/>
                <w:i/>
                <w:lang w:val="ro-RO"/>
              </w:rPr>
              <w:t xml:space="preserve">Guvernul, la propunerea organului central de specialitate al administrației publice în domeniul energeticii, stabilește modul în care obținerea cantității totale cumulate a economiilor de energie va fi asigurată – </w:t>
            </w:r>
            <w:r w:rsidRPr="00A10374">
              <w:rPr>
                <w:rFonts w:ascii="Times New Roman" w:hAnsi="Times New Roman"/>
                <w:i/>
                <w:u w:val="single"/>
                <w:lang w:val="ro-RO"/>
              </w:rPr>
              <w:t>prin intermediul schemei de obligații în domeniul eficienței energetice, al măsurilor de politică în domeniul eficienței energetice sau prin combinarea acestora</w:t>
            </w:r>
            <w:r w:rsidR="00935E8A" w:rsidRPr="00A10374">
              <w:rPr>
                <w:rFonts w:ascii="Times New Roman" w:hAnsi="Times New Roman"/>
                <w:i/>
                <w:u w:val="single"/>
                <w:lang w:val="ro-RO"/>
              </w:rPr>
              <w:t>[</w:t>
            </w:r>
            <w:r w:rsidRPr="00A10374">
              <w:rPr>
                <w:rFonts w:ascii="Times New Roman" w:hAnsi="Times New Roman"/>
                <w:i/>
                <w:u w:val="single"/>
                <w:lang w:val="ro-RO"/>
              </w:rPr>
              <w:t>…</w:t>
            </w:r>
            <w:r w:rsidR="00935E8A" w:rsidRPr="00A10374">
              <w:rPr>
                <w:rFonts w:ascii="Times New Roman" w:hAnsi="Times New Roman"/>
                <w:i/>
                <w:u w:val="single"/>
                <w:lang w:val="ro-RO"/>
              </w:rPr>
              <w:t>]</w:t>
            </w:r>
            <w:r w:rsidRPr="00A10374">
              <w:rPr>
                <w:rFonts w:ascii="Times New Roman" w:hAnsi="Times New Roman"/>
                <w:lang w:val="ro-RO"/>
              </w:rPr>
              <w:t>”.</w:t>
            </w:r>
          </w:p>
          <w:p w14:paraId="26A07727" w14:textId="66E44B87" w:rsidR="00234AA7" w:rsidRPr="00A10374" w:rsidRDefault="00234AA7" w:rsidP="001A76A5">
            <w:pPr>
              <w:spacing w:before="120" w:after="120"/>
              <w:jc w:val="both"/>
              <w:rPr>
                <w:rFonts w:ascii="Times New Roman" w:hAnsi="Times New Roman"/>
                <w:lang w:val="ro-RO"/>
              </w:rPr>
            </w:pPr>
            <w:r w:rsidRPr="00A10374">
              <w:rPr>
                <w:rFonts w:ascii="Times New Roman" w:hAnsi="Times New Roman"/>
                <w:lang w:val="ro-RO"/>
              </w:rPr>
              <w:t xml:space="preserve">Prin urmare, în vederea punerii în aplicare a prevederilor Legii nr. 139/2018 cu privire la eficiența energetică, Ministerul Energiei a optat ca obținerea cantității totale cumulate a economiilor de energie </w:t>
            </w:r>
            <w:r w:rsidR="00E03AB6" w:rsidRPr="00A10374">
              <w:rPr>
                <w:rFonts w:ascii="Times New Roman" w:hAnsi="Times New Roman"/>
                <w:lang w:val="ro-RO"/>
              </w:rPr>
              <w:t xml:space="preserve">în </w:t>
            </w:r>
            <w:r w:rsidRPr="00A10374">
              <w:rPr>
                <w:rFonts w:ascii="Times New Roman" w:hAnsi="Times New Roman"/>
                <w:lang w:val="ro-RO"/>
              </w:rPr>
              <w:t xml:space="preserve">perioada 1 ianuarie 2024–31 decembrie 2030 să fie asigurată atât prin </w:t>
            </w:r>
            <w:r w:rsidRPr="00A10374">
              <w:rPr>
                <w:rFonts w:ascii="Times New Roman" w:hAnsi="Times New Roman"/>
                <w:lang w:val="ro-RO"/>
              </w:rPr>
              <w:lastRenderedPageBreak/>
              <w:t xml:space="preserve">intermediul schemei de obligații în domeniul eficienței energetice, cât și prin alte măsuri de politică ce urmează a fi implementate în acest sens. </w:t>
            </w:r>
          </w:p>
          <w:p w14:paraId="7507CF8F" w14:textId="77777777" w:rsidR="00234AA7" w:rsidRPr="00A10374" w:rsidRDefault="00234AA7" w:rsidP="001A76A5">
            <w:pPr>
              <w:spacing w:before="120" w:after="120"/>
              <w:jc w:val="both"/>
              <w:rPr>
                <w:rFonts w:ascii="Times New Roman" w:hAnsi="Times New Roman"/>
                <w:lang w:val="ro-RO"/>
              </w:rPr>
            </w:pPr>
            <w:r w:rsidRPr="00A10374">
              <w:rPr>
                <w:rFonts w:ascii="Times New Roman" w:hAnsi="Times New Roman"/>
                <w:lang w:val="ro-RO"/>
              </w:rPr>
              <w:t>Astfel, pentru implementarea schemei de obligații în domeniul eficienței energetice, Ministerul Energiei a promovat, pe parcursul trimestrului IV a anului 2023, două proiecte de Hotărâri de Guvern, care au fost aprobate de Guvern după cum urmează:</w:t>
            </w:r>
          </w:p>
          <w:p w14:paraId="47B28A39" w14:textId="77777777" w:rsidR="00234AA7" w:rsidRPr="00A10374" w:rsidRDefault="00234AA7" w:rsidP="001A76A5">
            <w:pPr>
              <w:numPr>
                <w:ilvl w:val="0"/>
                <w:numId w:val="7"/>
              </w:numPr>
              <w:spacing w:before="120" w:after="120" w:line="259" w:lineRule="auto"/>
              <w:ind w:left="714" w:hanging="357"/>
              <w:jc w:val="both"/>
              <w:rPr>
                <w:rFonts w:ascii="Times New Roman" w:hAnsi="Times New Roman"/>
                <w:lang w:val="ro-RO"/>
              </w:rPr>
            </w:pPr>
            <w:r w:rsidRPr="00A10374">
              <w:rPr>
                <w:rFonts w:ascii="Times New Roman" w:hAnsi="Times New Roman"/>
                <w:lang w:val="ro-RO"/>
              </w:rPr>
              <w:t>Hotărârea Guvernului nr.1064/2023 cu privire la aprobarea Programului privind implementarea schemei de obligații în domeniul eficienței energetice pentru perioada 2024-2026;</w:t>
            </w:r>
          </w:p>
          <w:p w14:paraId="276D8E7E" w14:textId="77777777" w:rsidR="00234AA7" w:rsidRPr="00A10374" w:rsidRDefault="00234AA7" w:rsidP="001A76A5">
            <w:pPr>
              <w:numPr>
                <w:ilvl w:val="0"/>
                <w:numId w:val="7"/>
              </w:numPr>
              <w:spacing w:before="120" w:after="120" w:line="259" w:lineRule="auto"/>
              <w:jc w:val="both"/>
              <w:rPr>
                <w:rFonts w:ascii="Times New Roman" w:hAnsi="Times New Roman"/>
                <w:lang w:val="ro-RO"/>
              </w:rPr>
            </w:pPr>
            <w:r w:rsidRPr="00A10374">
              <w:rPr>
                <w:rFonts w:ascii="Times New Roman" w:hAnsi="Times New Roman"/>
                <w:lang w:val="ro-RO"/>
              </w:rPr>
              <w:t>Hotărârea Guvernului nr.1068/2023 cu privire la aprobarea Metodologiei pentru determinarea contribuțiilor ce urmează a fi achitate de părțile obligate.</w:t>
            </w:r>
          </w:p>
          <w:p w14:paraId="31002CD3" w14:textId="19C37531" w:rsidR="00234AA7" w:rsidRPr="00A10374" w:rsidRDefault="00234AA7" w:rsidP="001A76A5">
            <w:pPr>
              <w:spacing w:before="120" w:after="120"/>
              <w:ind w:left="58" w:right="58"/>
              <w:jc w:val="both"/>
              <w:rPr>
                <w:rFonts w:ascii="Times New Roman" w:hAnsi="Times New Roman"/>
                <w:shd w:val="clear" w:color="auto" w:fill="FFFFFF"/>
                <w:lang w:val="ro-RO"/>
              </w:rPr>
            </w:pPr>
            <w:r w:rsidRPr="00A10374">
              <w:rPr>
                <w:rFonts w:ascii="Times New Roman" w:hAnsi="Times New Roman"/>
                <w:bCs/>
                <w:lang w:val="ro-RO"/>
              </w:rPr>
              <w:t xml:space="preserve">Conform prevederilor art. 8 alin. (2) și </w:t>
            </w:r>
            <w:r w:rsidR="00935E8A" w:rsidRPr="00A10374">
              <w:rPr>
                <w:rFonts w:ascii="Times New Roman" w:hAnsi="Times New Roman"/>
                <w:bCs/>
                <w:lang w:val="ro-RO"/>
              </w:rPr>
              <w:t xml:space="preserve">alin. </w:t>
            </w:r>
            <w:r w:rsidRPr="00A10374">
              <w:rPr>
                <w:rFonts w:ascii="Times New Roman" w:hAnsi="Times New Roman"/>
                <w:bCs/>
                <w:lang w:val="ro-RO"/>
              </w:rPr>
              <w:t xml:space="preserve">(7) din Legea </w:t>
            </w:r>
            <w:r w:rsidR="00935E8A" w:rsidRPr="00A10374">
              <w:rPr>
                <w:rFonts w:ascii="Times New Roman" w:hAnsi="Times New Roman"/>
                <w:bCs/>
                <w:lang w:val="ro-RO"/>
              </w:rPr>
              <w:t xml:space="preserve">nr. </w:t>
            </w:r>
            <w:r w:rsidRPr="00A10374">
              <w:rPr>
                <w:rFonts w:ascii="Times New Roman" w:hAnsi="Times New Roman"/>
                <w:bCs/>
                <w:lang w:val="ro-RO"/>
              </w:rPr>
              <w:t xml:space="preserve">139/2018 cu privire la eficiența energetică este menționat că </w:t>
            </w:r>
            <w:r w:rsidRPr="00A10374">
              <w:rPr>
                <w:rFonts w:ascii="Times New Roman" w:hAnsi="Times New Roman"/>
                <w:shd w:val="clear" w:color="auto" w:fill="FFFFFF"/>
                <w:lang w:val="ro-RO"/>
              </w:rPr>
              <w:t xml:space="preserve">Programul privind implementarea schemei de obligații în domeniul eficienței energetice, trebuie să cuprindă, pentru următorii 3 ani, </w:t>
            </w:r>
            <w:r w:rsidRPr="00A10374">
              <w:rPr>
                <w:rFonts w:ascii="Times New Roman" w:hAnsi="Times New Roman"/>
                <w:b/>
                <w:shd w:val="clear" w:color="auto" w:fill="FFFFFF"/>
                <w:lang w:val="ro-RO"/>
              </w:rPr>
              <w:t>lista părților obligate și cantitatea totală a economiilor de energie ce trebuie realizate</w:t>
            </w:r>
            <w:r w:rsidRPr="00A10374">
              <w:rPr>
                <w:rFonts w:ascii="Times New Roman" w:hAnsi="Times New Roman"/>
                <w:shd w:val="clear" w:color="auto" w:fill="FFFFFF"/>
                <w:lang w:val="ro-RO"/>
              </w:rPr>
              <w:t>, calculat ca media vânzărilor de energie către consumatorii finali pentru perioada de 3 ani anterioară datei de 1 ianuarie 2022.</w:t>
            </w:r>
          </w:p>
          <w:p w14:paraId="6EC46534" w14:textId="77777777" w:rsidR="00234AA7" w:rsidRPr="00A10374" w:rsidRDefault="00234AA7" w:rsidP="001A76A5">
            <w:pPr>
              <w:spacing w:before="120" w:after="120"/>
              <w:ind w:left="58" w:right="58"/>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În conformitate cu prevederile art. 8 alin. (1) din Legea nr. 139/2018 cu privire la eficiența energetică, în calitate de părți obligate sunt desemnați toți operatorii sistemelor de distribuție a energiei electrice, operatorii sistemelor de distribuție a gazelor naturale, </w:t>
            </w:r>
            <w:r w:rsidRPr="00A10374">
              <w:rPr>
                <w:rFonts w:ascii="Times New Roman" w:hAnsi="Times New Roman"/>
                <w:b/>
                <w:shd w:val="clear" w:color="auto" w:fill="FFFFFF"/>
                <w:lang w:val="ro-RO"/>
              </w:rPr>
              <w:t>importatorii de produse petroliere</w:t>
            </w:r>
            <w:r w:rsidRPr="00A10374">
              <w:rPr>
                <w:rFonts w:ascii="Times New Roman" w:hAnsi="Times New Roman"/>
                <w:shd w:val="clear" w:color="auto" w:fill="FFFFFF"/>
                <w:lang w:val="ro-RO"/>
              </w:rPr>
              <w:t xml:space="preserve"> </w:t>
            </w:r>
            <w:r w:rsidRPr="00A10374">
              <w:rPr>
                <w:rFonts w:ascii="Times New Roman" w:hAnsi="Times New Roman"/>
                <w:b/>
                <w:shd w:val="clear" w:color="auto" w:fill="FFFFFF"/>
                <w:lang w:val="ro-RO"/>
              </w:rPr>
              <w:t>și furnizorii de energie termică pentru încălzire și/sau prepararea apei calde menajere, și/sau răcire</w:t>
            </w:r>
            <w:r w:rsidRPr="00A10374">
              <w:rPr>
                <w:rFonts w:ascii="Times New Roman" w:hAnsi="Times New Roman"/>
                <w:shd w:val="clear" w:color="auto" w:fill="FFFFFF"/>
                <w:lang w:val="ro-RO"/>
              </w:rPr>
              <w:t>, iar mărimea plății fixe a fi stabilită este aceeași pentru fiecare categorie de operatori, furnizori și importatori respectivi.</w:t>
            </w:r>
          </w:p>
          <w:p w14:paraId="57FAA842" w14:textId="3108F122" w:rsidR="00234AA7" w:rsidRPr="00A10374" w:rsidRDefault="00234AA7" w:rsidP="001A76A5">
            <w:pPr>
              <w:spacing w:before="120" w:after="120"/>
              <w:ind w:left="58" w:right="58"/>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Totodată, având în vedere faptul că în calitate de părți obligate se regăsesc atât </w:t>
            </w:r>
            <w:r w:rsidRPr="00A10374">
              <w:rPr>
                <w:rFonts w:ascii="Times New Roman" w:hAnsi="Times New Roman"/>
                <w:b/>
                <w:shd w:val="clear" w:color="auto" w:fill="FFFFFF"/>
                <w:lang w:val="ro-RO"/>
              </w:rPr>
              <w:t>operatorii sistemelor de distribuție a gazelor naturale</w:t>
            </w:r>
            <w:r w:rsidRPr="00A10374">
              <w:rPr>
                <w:rFonts w:ascii="Times New Roman" w:hAnsi="Times New Roman"/>
                <w:shd w:val="clear" w:color="auto" w:fill="FFFFFF"/>
                <w:lang w:val="ro-RO"/>
              </w:rPr>
              <w:t xml:space="preserve"> cât și </w:t>
            </w:r>
            <w:r w:rsidRPr="00A10374">
              <w:rPr>
                <w:rFonts w:ascii="Times New Roman" w:hAnsi="Times New Roman"/>
                <w:b/>
                <w:shd w:val="clear" w:color="auto" w:fill="FFFFFF"/>
                <w:lang w:val="ro-RO"/>
              </w:rPr>
              <w:t>furnizorii de energie termică pentru încălzire și/sau prepararea apei calde menajere, și/sau răcire</w:t>
            </w:r>
            <w:r w:rsidRPr="00A10374">
              <w:rPr>
                <w:rFonts w:ascii="Times New Roman" w:hAnsi="Times New Roman"/>
                <w:shd w:val="clear" w:color="auto" w:fill="FFFFFF"/>
                <w:lang w:val="ro-RO"/>
              </w:rPr>
              <w:t xml:space="preserve">, ținem să menționăm că </w:t>
            </w:r>
            <w:r w:rsidRPr="00A10374">
              <w:rPr>
                <w:rFonts w:ascii="Times New Roman" w:hAnsi="Times New Roman"/>
                <w:lang w:val="ro-RO"/>
              </w:rPr>
              <w:t>legea nu prevede careva excepții de la plata contribuției pentru furnizorii de energie termică și/sau preparare a apei calde menajere pentru energia termică livrată consumatorilor și/sau pentru gaze</w:t>
            </w:r>
            <w:r w:rsidR="00075D23" w:rsidRPr="00A10374">
              <w:rPr>
                <w:rFonts w:ascii="Times New Roman" w:hAnsi="Times New Roman"/>
                <w:lang w:val="ro-RO"/>
              </w:rPr>
              <w:t>le</w:t>
            </w:r>
            <w:r w:rsidRPr="00A10374">
              <w:rPr>
                <w:rFonts w:ascii="Times New Roman" w:hAnsi="Times New Roman"/>
                <w:lang w:val="ro-RO"/>
              </w:rPr>
              <w:t xml:space="preserve"> naturale consumat</w:t>
            </w:r>
            <w:r w:rsidR="00075D23" w:rsidRPr="00A10374">
              <w:rPr>
                <w:rFonts w:ascii="Times New Roman" w:hAnsi="Times New Roman"/>
                <w:lang w:val="ro-RO"/>
              </w:rPr>
              <w:t>e</w:t>
            </w:r>
            <w:r w:rsidRPr="00A10374">
              <w:rPr>
                <w:rFonts w:ascii="Times New Roman" w:hAnsi="Times New Roman"/>
                <w:lang w:val="ro-RO"/>
              </w:rPr>
              <w:t xml:space="preserve"> în vederea producerii acestei cantități de energie. Prin urmare, aceștia </w:t>
            </w:r>
            <w:r w:rsidRPr="00A10374">
              <w:rPr>
                <w:rFonts w:ascii="Times New Roman" w:hAnsi="Times New Roman"/>
                <w:shd w:val="clear" w:color="auto" w:fill="FFFFFF"/>
                <w:lang w:val="ro-RO"/>
              </w:rPr>
              <w:t xml:space="preserve">achită contribuții în cadrul </w:t>
            </w:r>
            <w:r w:rsidR="00935E8A" w:rsidRPr="00A10374">
              <w:rPr>
                <w:rFonts w:ascii="Times New Roman" w:hAnsi="Times New Roman"/>
                <w:shd w:val="clear" w:color="auto" w:fill="FFFFFF"/>
                <w:lang w:val="ro-RO"/>
              </w:rPr>
              <w:t>schemei de obligații în domeniul eficienței energetice (</w:t>
            </w:r>
            <w:r w:rsidRPr="00A10374">
              <w:rPr>
                <w:rFonts w:ascii="Times New Roman" w:hAnsi="Times New Roman"/>
                <w:shd w:val="clear" w:color="auto" w:fill="FFFFFF"/>
                <w:lang w:val="ro-RO"/>
              </w:rPr>
              <w:t>SOEE</w:t>
            </w:r>
            <w:r w:rsidR="00935E8A" w:rsidRPr="00A10374">
              <w:rPr>
                <w:rFonts w:ascii="Times New Roman" w:hAnsi="Times New Roman"/>
                <w:shd w:val="clear" w:color="auto" w:fill="FFFFFF"/>
                <w:lang w:val="ro-RO"/>
              </w:rPr>
              <w:t>)</w:t>
            </w:r>
            <w:r w:rsidR="00075D23" w:rsidRPr="00A10374">
              <w:rPr>
                <w:rFonts w:ascii="Times New Roman" w:hAnsi="Times New Roman"/>
                <w:shd w:val="clear" w:color="auto" w:fill="FFFFFF"/>
                <w:lang w:val="ro-RO"/>
              </w:rPr>
              <w:t xml:space="preserve"> atât pentru gazele</w:t>
            </w:r>
            <w:r w:rsidRPr="00A10374">
              <w:rPr>
                <w:rFonts w:ascii="Times New Roman" w:hAnsi="Times New Roman"/>
                <w:shd w:val="clear" w:color="auto" w:fill="FFFFFF"/>
                <w:lang w:val="ro-RO"/>
              </w:rPr>
              <w:t xml:space="preserve"> natural</w:t>
            </w:r>
            <w:r w:rsidR="00075D23" w:rsidRPr="00A10374">
              <w:rPr>
                <w:rFonts w:ascii="Times New Roman" w:hAnsi="Times New Roman"/>
                <w:shd w:val="clear" w:color="auto" w:fill="FFFFFF"/>
                <w:lang w:val="ro-RO"/>
              </w:rPr>
              <w:t>e</w:t>
            </w:r>
            <w:r w:rsidRPr="00A10374">
              <w:rPr>
                <w:rFonts w:ascii="Times New Roman" w:hAnsi="Times New Roman"/>
                <w:shd w:val="clear" w:color="auto" w:fill="FFFFFF"/>
                <w:lang w:val="ro-RO"/>
              </w:rPr>
              <w:t xml:space="preserve"> consumat</w:t>
            </w:r>
            <w:r w:rsidR="00075D23" w:rsidRPr="00A10374">
              <w:rPr>
                <w:rFonts w:ascii="Times New Roman" w:hAnsi="Times New Roman"/>
                <w:shd w:val="clear" w:color="auto" w:fill="FFFFFF"/>
                <w:lang w:val="ro-RO"/>
              </w:rPr>
              <w:t>e</w:t>
            </w:r>
            <w:r w:rsidRPr="00A10374">
              <w:rPr>
                <w:rFonts w:ascii="Times New Roman" w:hAnsi="Times New Roman"/>
                <w:shd w:val="clear" w:color="auto" w:fill="FFFFFF"/>
                <w:lang w:val="ro-RO"/>
              </w:rPr>
              <w:t xml:space="preserve"> (în cazul furnizorilor de energie termică racordați la rețeaua de distribuție a gazelor naturale) pentru producerea energiei termice și electrice, cât și pentru cantitatea de energie termică livrată consumatorilor. </w:t>
            </w:r>
          </w:p>
          <w:p w14:paraId="4615C883" w14:textId="77777777" w:rsidR="00234AA7" w:rsidRPr="00A10374" w:rsidRDefault="00234AA7" w:rsidP="001A76A5">
            <w:pPr>
              <w:spacing w:before="120" w:after="120"/>
              <w:ind w:left="58" w:right="58"/>
              <w:jc w:val="both"/>
              <w:rPr>
                <w:rFonts w:ascii="Times New Roman" w:hAnsi="Times New Roman"/>
                <w:color w:val="333333"/>
                <w:shd w:val="clear" w:color="auto" w:fill="FFFFFF"/>
                <w:lang w:val="ro-RO"/>
              </w:rPr>
            </w:pPr>
            <w:r w:rsidRPr="00A10374">
              <w:rPr>
                <w:rFonts w:ascii="Times New Roman" w:hAnsi="Times New Roman"/>
                <w:shd w:val="clear" w:color="auto" w:fill="FFFFFF"/>
                <w:lang w:val="ro-RO"/>
              </w:rPr>
              <w:t>Conform prevederilor art. 8 alin.(6) din Legea nr. 139/2018 cu privire la eficiența energetică, este menționat că calcularea contribuțiilor anuale se stabilește și se aprobă de Guvern și poate fi calculată în următoarele moduri:</w:t>
            </w:r>
          </w:p>
          <w:p w14:paraId="4CBA2FF1" w14:textId="77777777" w:rsidR="00234AA7" w:rsidRPr="00A10374" w:rsidRDefault="00234AA7" w:rsidP="001A76A5">
            <w:pPr>
              <w:pStyle w:val="ListParagraph"/>
              <w:numPr>
                <w:ilvl w:val="0"/>
                <w:numId w:val="8"/>
              </w:numPr>
              <w:spacing w:before="120" w:after="120"/>
              <w:ind w:right="58"/>
              <w:jc w:val="both"/>
              <w:rPr>
                <w:rFonts w:ascii="Times New Roman" w:eastAsia="Times New Roman" w:hAnsi="Times New Roman"/>
                <w:shd w:val="clear" w:color="auto" w:fill="FFFFFF"/>
                <w:lang w:val="ro-RO"/>
              </w:rPr>
            </w:pPr>
            <w:r w:rsidRPr="00A10374">
              <w:rPr>
                <w:rFonts w:ascii="Times New Roman" w:hAnsi="Times New Roman"/>
                <w:i/>
                <w:shd w:val="clear" w:color="auto" w:fill="FFFFFF"/>
                <w:lang w:val="ro-RO"/>
              </w:rPr>
              <w:t>prin stabilirea unei sume anuale ce urmează a fi transferată de fiecare parte obligate</w:t>
            </w:r>
            <w:r w:rsidRPr="00A10374">
              <w:rPr>
                <w:rFonts w:ascii="Times New Roman" w:hAnsi="Times New Roman"/>
                <w:shd w:val="clear" w:color="auto" w:fill="FFFFFF"/>
                <w:lang w:val="ro-RO"/>
              </w:rPr>
              <w:t xml:space="preserve">. În acest caz, contribuțiile anuale se transferă trimestrial, </w:t>
            </w:r>
            <w:r w:rsidRPr="00A10374">
              <w:rPr>
                <w:rFonts w:ascii="Times New Roman" w:hAnsi="Times New Roman"/>
                <w:b/>
                <w:shd w:val="clear" w:color="auto" w:fill="FFFFFF"/>
                <w:lang w:val="ro-RO"/>
              </w:rPr>
              <w:t>în tranșe egale</w:t>
            </w:r>
            <w:r w:rsidRPr="00A10374">
              <w:rPr>
                <w:rFonts w:ascii="Times New Roman" w:hAnsi="Times New Roman"/>
                <w:shd w:val="clear" w:color="auto" w:fill="FFFFFF"/>
                <w:lang w:val="ro-RO"/>
              </w:rPr>
              <w:t>, până în ziua a 45-a de la încheierea trimestrului de gestiune. Prima tranșă se transferă până la data de 15 mai a fiecărui an;</w:t>
            </w:r>
          </w:p>
          <w:p w14:paraId="1DCE0F0A" w14:textId="77777777" w:rsidR="00234AA7" w:rsidRPr="00A10374" w:rsidRDefault="00234AA7" w:rsidP="001A76A5">
            <w:pPr>
              <w:pStyle w:val="ListParagraph"/>
              <w:numPr>
                <w:ilvl w:val="0"/>
                <w:numId w:val="8"/>
              </w:numPr>
              <w:spacing w:before="120" w:after="120"/>
              <w:ind w:right="58"/>
              <w:jc w:val="both"/>
              <w:rPr>
                <w:rFonts w:ascii="Times New Roman" w:eastAsia="Times New Roman" w:hAnsi="Times New Roman"/>
                <w:shd w:val="clear" w:color="auto" w:fill="FFFFFF"/>
                <w:lang w:val="ro-RO"/>
              </w:rPr>
            </w:pPr>
            <w:r w:rsidRPr="00A10374">
              <w:rPr>
                <w:rFonts w:ascii="Times New Roman" w:hAnsi="Times New Roman"/>
                <w:i/>
                <w:shd w:val="clear" w:color="auto" w:fill="FFFFFF"/>
                <w:lang w:val="ro-RO"/>
              </w:rPr>
              <w:t>prin stabilirea unei plăți fixe, pe unitate de energie sau de volum distribuit, furnizat și/sau comercializat</w:t>
            </w:r>
            <w:r w:rsidRPr="00A10374">
              <w:rPr>
                <w:rFonts w:ascii="Times New Roman" w:hAnsi="Times New Roman"/>
                <w:shd w:val="clear" w:color="auto" w:fill="FFFFFF"/>
                <w:lang w:val="ro-RO"/>
              </w:rPr>
              <w:t>. În acest caz, contribuțiile se transferă trimestrial, în funcție de cantitățile de resurse energetice distribuite, furnizate și/sau comercializate, până în ziua a 45-a de la încheierea trimestrului de gestiune. Prima tranșă se transferă până la data de 15 mai a fiecărui an. </w:t>
            </w:r>
          </w:p>
          <w:p w14:paraId="0523A7FC" w14:textId="3BA3817A" w:rsidR="00234AA7" w:rsidRPr="00A10374" w:rsidRDefault="00234AA7">
            <w:pPr>
              <w:pStyle w:val="Heading4"/>
              <w:shd w:val="clear" w:color="auto" w:fill="FFFFFF"/>
              <w:spacing w:before="165" w:after="165"/>
              <w:jc w:val="both"/>
              <w:rPr>
                <w:rFonts w:ascii="Times New Roman" w:eastAsia="Times New Roman" w:hAnsi="Times New Roman"/>
                <w:bCs/>
                <w:i/>
                <w:sz w:val="24"/>
                <w:lang w:val="ro-RO" w:eastAsia="ro-RO"/>
              </w:rPr>
            </w:pPr>
            <w:r w:rsidRPr="00A10374">
              <w:rPr>
                <w:rFonts w:ascii="Times New Roman" w:hAnsi="Times New Roman"/>
                <w:b w:val="0"/>
                <w:bCs/>
                <w:sz w:val="24"/>
                <w:shd w:val="clear" w:color="auto" w:fill="FFFFFF"/>
                <w:lang w:val="ro-RO" w:eastAsia="ro-RO"/>
              </w:rPr>
              <w:t xml:space="preserve">Având în vedere prevederile art. 8 alin (2) din Legea </w:t>
            </w:r>
            <w:r w:rsidR="00935E8A" w:rsidRPr="00A10374">
              <w:rPr>
                <w:rFonts w:ascii="Times New Roman" w:hAnsi="Times New Roman"/>
                <w:b w:val="0"/>
                <w:bCs/>
                <w:sz w:val="24"/>
                <w:shd w:val="clear" w:color="auto" w:fill="FFFFFF"/>
                <w:lang w:val="ro-RO" w:eastAsia="ro-RO"/>
              </w:rPr>
              <w:t>n</w:t>
            </w:r>
            <w:r w:rsidRPr="00A10374">
              <w:rPr>
                <w:rFonts w:ascii="Times New Roman" w:hAnsi="Times New Roman"/>
                <w:b w:val="0"/>
                <w:bCs/>
                <w:sz w:val="24"/>
                <w:shd w:val="clear" w:color="auto" w:fill="FFFFFF"/>
                <w:lang w:val="ro-RO" w:eastAsia="ro-RO"/>
              </w:rPr>
              <w:t xml:space="preserve">r. 139/2018 cu privire la eficiența energetică, precum și Hotărârea Guvernului nr. 1064/2023 cu privire la aprobarea Programului </w:t>
            </w:r>
            <w:r w:rsidRPr="00A10374">
              <w:rPr>
                <w:rFonts w:ascii="Times New Roman" w:hAnsi="Times New Roman"/>
                <w:b w:val="0"/>
                <w:bCs/>
                <w:sz w:val="24"/>
                <w:shd w:val="clear" w:color="auto" w:fill="FFFFFF"/>
                <w:lang w:val="ro-RO" w:eastAsia="ro-RO"/>
              </w:rPr>
              <w:lastRenderedPageBreak/>
              <w:t xml:space="preserve">privind implementarea schemei de obligații în domeniul eficienței energetice pentru perioada 2024-2026, Guvernul a optat </w:t>
            </w:r>
            <w:r w:rsidR="00FB2C39" w:rsidRPr="00A10374">
              <w:rPr>
                <w:rFonts w:ascii="Times New Roman" w:hAnsi="Times New Roman"/>
                <w:b w:val="0"/>
                <w:bCs/>
                <w:sz w:val="24"/>
                <w:shd w:val="clear" w:color="auto" w:fill="FFFFFF"/>
                <w:lang w:val="ro-RO" w:eastAsia="ro-RO"/>
              </w:rPr>
              <w:t xml:space="preserve">pentru </w:t>
            </w:r>
            <w:r w:rsidRPr="00A10374">
              <w:rPr>
                <w:rFonts w:ascii="Times New Roman" w:hAnsi="Times New Roman"/>
                <w:b w:val="0"/>
                <w:bCs/>
                <w:sz w:val="24"/>
                <w:shd w:val="clear" w:color="auto" w:fill="FFFFFF"/>
                <w:lang w:val="ro-RO" w:eastAsia="ro-RO"/>
              </w:rPr>
              <w:t xml:space="preserve">calcularea contribuțiilor părților obligate </w:t>
            </w:r>
            <w:r w:rsidRPr="00A10374">
              <w:rPr>
                <w:rFonts w:ascii="Times New Roman" w:hAnsi="Times New Roman"/>
                <w:b w:val="0"/>
                <w:bCs/>
                <w:i/>
                <w:sz w:val="24"/>
                <w:lang w:val="ro-RO" w:eastAsia="ro-RO"/>
              </w:rPr>
              <w:t xml:space="preserve">prin stabilirea unei plăți fixe, pe unitate de energie sau de volum distribuit, furnizat și/sau comercializat. </w:t>
            </w:r>
          </w:p>
          <w:p w14:paraId="43F02E9C" w14:textId="77777777" w:rsidR="00234AA7" w:rsidRPr="00A10374" w:rsidRDefault="00234AA7">
            <w:pPr>
              <w:pStyle w:val="Heading4"/>
              <w:shd w:val="clear" w:color="auto" w:fill="FFFFFF"/>
              <w:spacing w:before="165" w:after="165"/>
              <w:jc w:val="both"/>
              <w:rPr>
                <w:rFonts w:ascii="Times New Roman" w:eastAsia="Times New Roman" w:hAnsi="Times New Roman"/>
                <w:bCs/>
                <w:sz w:val="24"/>
                <w:lang w:val="ro-RO" w:eastAsia="ro-RO"/>
              </w:rPr>
            </w:pPr>
            <w:r w:rsidRPr="00A10374">
              <w:rPr>
                <w:rFonts w:ascii="Times New Roman" w:hAnsi="Times New Roman"/>
                <w:b w:val="0"/>
                <w:bCs/>
                <w:sz w:val="24"/>
                <w:lang w:val="ro-RO" w:eastAsia="ro-RO"/>
              </w:rPr>
              <w:t xml:space="preserve">De menționat că calcularea contribuțiilor părților obligate prin stabilirea </w:t>
            </w:r>
            <w:r w:rsidRPr="00A10374">
              <w:rPr>
                <w:rFonts w:ascii="Times New Roman" w:hAnsi="Times New Roman"/>
                <w:b w:val="0"/>
                <w:bCs/>
                <w:i/>
                <w:sz w:val="24"/>
                <w:lang w:val="ro-RO" w:eastAsia="ro-RO"/>
              </w:rPr>
              <w:t>unei sume anuale ce urmează a fi transferată de fiecare parte obligată</w:t>
            </w:r>
            <w:r w:rsidRPr="00A10374">
              <w:rPr>
                <w:rFonts w:ascii="Times New Roman" w:hAnsi="Times New Roman"/>
                <w:b w:val="0"/>
                <w:bCs/>
                <w:sz w:val="24"/>
                <w:lang w:val="ro-RO" w:eastAsia="ro-RO"/>
              </w:rPr>
              <w:t xml:space="preserve"> ar fi creat dificultăți financiare pentru majoritatea părților obligate, datorate neuniformității volumelor vânzărilor de resurse energetice pe parcursul trimestrelor. </w:t>
            </w:r>
          </w:p>
          <w:p w14:paraId="7038FC1F" w14:textId="71A28BC7" w:rsidR="00234AA7" w:rsidRPr="00A10374" w:rsidRDefault="00234AA7">
            <w:pPr>
              <w:pStyle w:val="Heading4"/>
              <w:shd w:val="clear" w:color="auto" w:fill="FFFFFF"/>
              <w:spacing w:before="165" w:after="165"/>
              <w:jc w:val="both"/>
              <w:rPr>
                <w:rFonts w:ascii="Times New Roman" w:eastAsia="Times New Roman" w:hAnsi="Times New Roman"/>
                <w:bCs/>
                <w:sz w:val="24"/>
                <w:lang w:val="ro-RO" w:eastAsia="ro-RO"/>
              </w:rPr>
            </w:pPr>
            <w:r w:rsidRPr="00A10374">
              <w:rPr>
                <w:rFonts w:ascii="Times New Roman" w:hAnsi="Times New Roman"/>
                <w:b w:val="0"/>
                <w:bCs/>
                <w:sz w:val="24"/>
                <w:lang w:val="ro-RO" w:eastAsia="ro-RO"/>
              </w:rPr>
              <w:t xml:space="preserve">Prin urmare, având în vedere cele menționate mai sus, la calcularea contribuțiilor părților obligate nu a fost posibilă diferențierea/excluderea volumelor de gaze naturale consumate de </w:t>
            </w:r>
            <w:r w:rsidRPr="00A10374">
              <w:rPr>
                <w:rFonts w:ascii="Times New Roman" w:hAnsi="Times New Roman"/>
                <w:b w:val="0"/>
                <w:bCs/>
                <w:i/>
                <w:sz w:val="24"/>
                <w:u w:val="single"/>
                <w:lang w:val="ro-RO" w:eastAsia="ro-RO"/>
              </w:rPr>
              <w:t>sectorul energetic</w:t>
            </w:r>
            <w:r w:rsidR="00FB2C39" w:rsidRPr="00A10374">
              <w:rPr>
                <w:rFonts w:ascii="Times New Roman" w:hAnsi="Times New Roman"/>
                <w:b w:val="0"/>
                <w:bCs/>
                <w:i/>
                <w:sz w:val="24"/>
                <w:u w:val="single"/>
                <w:lang w:val="ro-RO" w:eastAsia="ro-RO"/>
              </w:rPr>
              <w:t xml:space="preserve"> - furnizorii de energie termică pentru încălzire și/sau prepararea apei calde menajere, și/sau răcire</w:t>
            </w:r>
            <w:r w:rsidRPr="00A10374">
              <w:rPr>
                <w:rFonts w:ascii="Times New Roman" w:hAnsi="Times New Roman"/>
                <w:b w:val="0"/>
                <w:bCs/>
                <w:sz w:val="24"/>
                <w:lang w:val="ro-RO" w:eastAsia="ro-RO"/>
              </w:rPr>
              <w:t xml:space="preserve">, pe motiv că </w:t>
            </w:r>
            <w:r w:rsidR="00FB2C39" w:rsidRPr="00A10374">
              <w:rPr>
                <w:rFonts w:ascii="Times New Roman" w:hAnsi="Times New Roman"/>
                <w:b w:val="0"/>
                <w:bCs/>
                <w:sz w:val="24"/>
                <w:lang w:val="ro-MD" w:eastAsia="ro-RO"/>
              </w:rPr>
              <w:t>î</w:t>
            </w:r>
            <w:r w:rsidR="00FB2C39" w:rsidRPr="00A10374">
              <w:rPr>
                <w:rFonts w:ascii="Times New Roman" w:hAnsi="Times New Roman"/>
                <w:b w:val="0"/>
                <w:bCs/>
                <w:sz w:val="24"/>
                <w:lang w:val="ro-RO" w:eastAsia="ro-RO"/>
              </w:rPr>
              <w:t xml:space="preserve">n conformitate cu legislația în vigoare </w:t>
            </w:r>
            <w:r w:rsidRPr="00A10374">
              <w:rPr>
                <w:rFonts w:ascii="Times New Roman" w:hAnsi="Times New Roman"/>
                <w:b w:val="0"/>
                <w:bCs/>
                <w:sz w:val="24"/>
                <w:lang w:val="ro-RO" w:eastAsia="ro-RO"/>
              </w:rPr>
              <w:t xml:space="preserve"> nu este posibil de aplicat tarife diferențiate pe tipuri de consumatori, </w:t>
            </w:r>
            <w:r w:rsidR="00FB2C39" w:rsidRPr="00A10374">
              <w:rPr>
                <w:rFonts w:ascii="Times New Roman" w:hAnsi="Times New Roman"/>
                <w:b w:val="0"/>
                <w:bCs/>
                <w:sz w:val="24"/>
                <w:lang w:val="ro-RO" w:eastAsia="ro-RO"/>
              </w:rPr>
              <w:t xml:space="preserve">deoarece </w:t>
            </w:r>
            <w:r w:rsidRPr="00A10374">
              <w:rPr>
                <w:rFonts w:ascii="Times New Roman" w:hAnsi="Times New Roman"/>
                <w:b w:val="0"/>
                <w:bCs/>
                <w:sz w:val="24"/>
                <w:lang w:val="ro-RO" w:eastAsia="ro-RO"/>
              </w:rPr>
              <w:t xml:space="preserve">acestea </w:t>
            </w:r>
            <w:r w:rsidR="00FB2C39" w:rsidRPr="00A10374">
              <w:rPr>
                <w:rFonts w:ascii="Times New Roman" w:hAnsi="Times New Roman"/>
                <w:b w:val="0"/>
                <w:bCs/>
                <w:sz w:val="24"/>
                <w:lang w:val="ro-RO" w:eastAsia="ro-RO"/>
              </w:rPr>
              <w:t xml:space="preserve">sunt </w:t>
            </w:r>
            <w:r w:rsidRPr="00A10374">
              <w:rPr>
                <w:rFonts w:ascii="Times New Roman" w:hAnsi="Times New Roman"/>
                <w:b w:val="0"/>
                <w:bCs/>
                <w:sz w:val="24"/>
                <w:lang w:val="ro-RO" w:eastAsia="ro-RO"/>
              </w:rPr>
              <w:t>calculate</w:t>
            </w:r>
            <w:r w:rsidR="00FB2C39" w:rsidRPr="00A10374">
              <w:rPr>
                <w:rFonts w:ascii="Times New Roman" w:hAnsi="Times New Roman"/>
                <w:b w:val="0"/>
                <w:bCs/>
                <w:sz w:val="24"/>
                <w:lang w:val="ro-RO" w:eastAsia="ro-RO"/>
              </w:rPr>
              <w:t xml:space="preserve"> în baza tarifelor de transport și/sau distribuție, aplicate</w:t>
            </w:r>
            <w:r w:rsidRPr="00A10374">
              <w:rPr>
                <w:rFonts w:ascii="Times New Roman" w:hAnsi="Times New Roman"/>
                <w:b w:val="0"/>
                <w:bCs/>
                <w:sz w:val="24"/>
                <w:lang w:val="ro-RO" w:eastAsia="ro-RO"/>
              </w:rPr>
              <w:t xml:space="preserve"> pentru punctele de intrare/ieșire din rețea și sunt valabile pentru toți consumatorii</w:t>
            </w:r>
            <w:r w:rsidR="005F1688" w:rsidRPr="00A10374">
              <w:rPr>
                <w:rFonts w:ascii="Times New Roman" w:hAnsi="Times New Roman"/>
                <w:b w:val="0"/>
                <w:bCs/>
                <w:sz w:val="24"/>
                <w:lang w:val="ro-RO" w:eastAsia="ro-RO"/>
              </w:rPr>
              <w:t xml:space="preserve"> </w:t>
            </w:r>
            <w:r w:rsidR="00FB2C39" w:rsidRPr="00A10374">
              <w:rPr>
                <w:rFonts w:ascii="Times New Roman" w:hAnsi="Times New Roman"/>
                <w:b w:val="0"/>
                <w:bCs/>
                <w:sz w:val="24"/>
                <w:lang w:val="ro-RO" w:eastAsia="ro-RO"/>
              </w:rPr>
              <w:t xml:space="preserve">în mod nediscriminatoriu </w:t>
            </w:r>
            <w:r w:rsidRPr="00A10374">
              <w:rPr>
                <w:rFonts w:ascii="Times New Roman" w:hAnsi="Times New Roman"/>
                <w:b w:val="0"/>
                <w:bCs/>
                <w:sz w:val="24"/>
                <w:lang w:val="ro-RO" w:eastAsia="ro-RO"/>
              </w:rPr>
              <w:t xml:space="preserve">. </w:t>
            </w:r>
            <w:r w:rsidR="00FB2C39" w:rsidRPr="00A10374">
              <w:rPr>
                <w:rFonts w:ascii="Times New Roman" w:hAnsi="Times New Roman"/>
                <w:b w:val="0"/>
                <w:bCs/>
                <w:sz w:val="24"/>
                <w:lang w:val="ro-RO" w:eastAsia="ro-RO"/>
              </w:rPr>
              <w:t xml:space="preserve">Toate aspectele descrise anterior fac imposibilă respectarea </w:t>
            </w:r>
            <w:r w:rsidRPr="00A10374">
              <w:rPr>
                <w:rFonts w:ascii="Times New Roman" w:hAnsi="Times New Roman"/>
                <w:b w:val="0"/>
                <w:bCs/>
                <w:sz w:val="24"/>
                <w:lang w:val="ro-RO" w:eastAsia="ro-RO"/>
              </w:rPr>
              <w:t>prevederi</w:t>
            </w:r>
            <w:r w:rsidR="00FB2C39" w:rsidRPr="00A10374">
              <w:rPr>
                <w:rFonts w:ascii="Times New Roman" w:hAnsi="Times New Roman"/>
                <w:b w:val="0"/>
                <w:bCs/>
                <w:sz w:val="24"/>
                <w:lang w:val="ro-RO" w:eastAsia="ro-RO"/>
              </w:rPr>
              <w:t>i</w:t>
            </w:r>
            <w:r w:rsidRPr="00A10374">
              <w:rPr>
                <w:rFonts w:ascii="Times New Roman" w:hAnsi="Times New Roman"/>
                <w:b w:val="0"/>
                <w:bCs/>
                <w:sz w:val="24"/>
                <w:lang w:val="ro-RO" w:eastAsia="ro-RO"/>
              </w:rPr>
              <w:t xml:space="preserve"> </w:t>
            </w:r>
            <w:r w:rsidR="00FB2C39" w:rsidRPr="00A10374">
              <w:rPr>
                <w:rFonts w:ascii="Times New Roman" w:hAnsi="Times New Roman"/>
                <w:b w:val="0"/>
                <w:bCs/>
                <w:sz w:val="24"/>
                <w:lang w:val="ro-RO" w:eastAsia="ro-RO"/>
              </w:rPr>
              <w:t xml:space="preserve">de la </w:t>
            </w:r>
            <w:r w:rsidRPr="00A10374">
              <w:rPr>
                <w:rFonts w:ascii="Times New Roman" w:hAnsi="Times New Roman"/>
                <w:b w:val="0"/>
                <w:bCs/>
                <w:sz w:val="24"/>
                <w:lang w:val="ro-RO" w:eastAsia="ro-RO"/>
              </w:rPr>
              <w:t>art. 8 alin</w:t>
            </w:r>
            <w:r w:rsidR="00935E8A" w:rsidRPr="00A10374">
              <w:rPr>
                <w:rFonts w:ascii="Times New Roman" w:hAnsi="Times New Roman"/>
                <w:b w:val="0"/>
                <w:bCs/>
                <w:sz w:val="24"/>
                <w:lang w:val="ro-RO" w:eastAsia="ro-RO"/>
              </w:rPr>
              <w:t xml:space="preserve">. </w:t>
            </w:r>
            <w:r w:rsidRPr="00A10374">
              <w:rPr>
                <w:rFonts w:ascii="Times New Roman" w:hAnsi="Times New Roman"/>
                <w:b w:val="0"/>
                <w:bCs/>
                <w:sz w:val="24"/>
                <w:lang w:val="ro-RO" w:eastAsia="ro-RO"/>
              </w:rPr>
              <w:t xml:space="preserve">(7) lit. d) din Legea nr. 139/2018 cu privire la eficiența energetică, care menționează că la calcularea contribuțiilor ce urmează a fi achitate de către fiecare parte obligată </w:t>
            </w:r>
            <w:r w:rsidRPr="00A10374">
              <w:rPr>
                <w:rFonts w:ascii="Times New Roman" w:hAnsi="Times New Roman"/>
                <w:b w:val="0"/>
                <w:bCs/>
                <w:i/>
                <w:sz w:val="24"/>
                <w:u w:val="single"/>
                <w:lang w:val="ro-RO" w:eastAsia="ro-RO"/>
              </w:rPr>
              <w:t xml:space="preserve">nicio unitate de energie </w:t>
            </w:r>
            <w:r w:rsidR="006B0252" w:rsidRPr="00A10374">
              <w:rPr>
                <w:rFonts w:ascii="Times New Roman" w:hAnsi="Times New Roman"/>
                <w:b w:val="0"/>
                <w:bCs/>
                <w:i/>
                <w:sz w:val="24"/>
                <w:u w:val="single"/>
                <w:lang w:val="ro-RO" w:eastAsia="ro-RO"/>
              </w:rPr>
              <w:t xml:space="preserve">nu </w:t>
            </w:r>
            <w:r w:rsidR="00E03AB6" w:rsidRPr="00A10374">
              <w:rPr>
                <w:rFonts w:ascii="Times New Roman" w:hAnsi="Times New Roman"/>
                <w:b w:val="0"/>
                <w:bCs/>
                <w:i/>
                <w:sz w:val="24"/>
                <w:u w:val="single"/>
                <w:lang w:val="ro-RO" w:eastAsia="ro-RO"/>
              </w:rPr>
              <w:t>trebuie</w:t>
            </w:r>
            <w:r w:rsidR="006B0252" w:rsidRPr="00A10374">
              <w:rPr>
                <w:rFonts w:ascii="Times New Roman" w:hAnsi="Times New Roman"/>
                <w:b w:val="0"/>
                <w:bCs/>
                <w:i/>
                <w:sz w:val="24"/>
                <w:u w:val="single"/>
                <w:lang w:val="ro-RO" w:eastAsia="ro-RO"/>
              </w:rPr>
              <w:t xml:space="preserve"> </w:t>
            </w:r>
            <w:r w:rsidRPr="00A10374">
              <w:rPr>
                <w:rFonts w:ascii="Times New Roman" w:hAnsi="Times New Roman"/>
                <w:b w:val="0"/>
                <w:bCs/>
                <w:i/>
                <w:sz w:val="24"/>
                <w:u w:val="single"/>
                <w:lang w:val="ro-RO" w:eastAsia="ro-RO"/>
              </w:rPr>
              <w:t>considerată dublu</w:t>
            </w:r>
            <w:r w:rsidRPr="00A10374">
              <w:rPr>
                <w:rFonts w:ascii="Times New Roman" w:hAnsi="Times New Roman"/>
                <w:b w:val="0"/>
                <w:bCs/>
                <w:sz w:val="24"/>
                <w:lang w:val="ro-RO" w:eastAsia="ro-RO"/>
              </w:rPr>
              <w:t>.</w:t>
            </w:r>
          </w:p>
          <w:p w14:paraId="552D2F37" w14:textId="13C1CA71" w:rsidR="00234AA7" w:rsidRPr="00A10374" w:rsidRDefault="00234AA7" w:rsidP="001A76A5">
            <w:pPr>
              <w:spacing w:before="120" w:after="120"/>
              <w:jc w:val="both"/>
              <w:rPr>
                <w:rFonts w:ascii="Times New Roman" w:eastAsia="Times New Roman" w:hAnsi="Times New Roman"/>
                <w:shd w:val="clear" w:color="auto" w:fill="FFFFFF"/>
                <w:lang w:val="ro-RO"/>
              </w:rPr>
            </w:pPr>
            <w:r w:rsidRPr="00A10374">
              <w:rPr>
                <w:rFonts w:ascii="Times New Roman" w:hAnsi="Times New Roman"/>
                <w:lang w:val="ro-RO"/>
              </w:rPr>
              <w:t xml:space="preserve">Prin urmare, </w:t>
            </w:r>
            <w:r w:rsidRPr="00A10374">
              <w:rPr>
                <w:rFonts w:ascii="Times New Roman" w:hAnsi="Times New Roman"/>
                <w:shd w:val="clear" w:color="auto" w:fill="FFFFFF"/>
                <w:lang w:val="ro-RO"/>
              </w:rPr>
              <w:t>în vederea remedierii acestei discrepanțe și totodată în vederea reducerii poverii financiare asupra consumatorilor de energie termică din cadrul sistemelor de alimentare centralizată cu energie termică</w:t>
            </w:r>
            <w:r w:rsidR="00935E8A" w:rsidRPr="00A10374">
              <w:rPr>
                <w:rFonts w:ascii="Times New Roman" w:hAnsi="Times New Roman"/>
                <w:shd w:val="clear" w:color="auto" w:fill="FFFFFF"/>
                <w:lang w:val="ro-RO"/>
              </w:rPr>
              <w:t xml:space="preserve"> (SACET)</w:t>
            </w:r>
            <w:r w:rsidRPr="00A10374">
              <w:rPr>
                <w:rFonts w:ascii="Times New Roman" w:hAnsi="Times New Roman"/>
                <w:shd w:val="clear" w:color="auto" w:fill="FFFFFF"/>
                <w:lang w:val="ro-RO"/>
              </w:rPr>
              <w:t>, care prin tarifele la energia termică achită aceste contribuții,</w:t>
            </w:r>
            <w:r w:rsidRPr="00A10374">
              <w:rPr>
                <w:rFonts w:ascii="Times New Roman" w:hAnsi="Times New Roman"/>
                <w:lang w:val="ro-RO"/>
              </w:rPr>
              <w:t xml:space="preserve"> se impune necesitatea excluderii din lista părților obligate a </w:t>
            </w:r>
            <w:r w:rsidRPr="00A10374">
              <w:rPr>
                <w:rFonts w:ascii="Times New Roman" w:hAnsi="Times New Roman"/>
                <w:b/>
                <w:shd w:val="clear" w:color="auto" w:fill="FFFFFF"/>
                <w:lang w:val="ro-RO"/>
              </w:rPr>
              <w:t xml:space="preserve">furnizorilor de energie termică pentru încălzire și/sau preparare a apei calde menajere, și/sau răcire, </w:t>
            </w:r>
            <w:r w:rsidRPr="00A10374">
              <w:rPr>
                <w:rFonts w:ascii="Times New Roman" w:hAnsi="Times New Roman"/>
                <w:shd w:val="clear" w:color="auto" w:fill="FFFFFF"/>
                <w:lang w:val="ro-RO"/>
              </w:rPr>
              <w:t xml:space="preserve">fapt ce va contribui inclusiv la promovarea SACET drept o sursă de alimentare durabilă </w:t>
            </w:r>
            <w:r w:rsidR="00075D23" w:rsidRPr="00A10374">
              <w:rPr>
                <w:rFonts w:ascii="Times New Roman" w:hAnsi="Times New Roman"/>
                <w:shd w:val="clear" w:color="auto" w:fill="FFFFFF"/>
                <w:lang w:val="ro-RO"/>
              </w:rPr>
              <w:t xml:space="preserve">și eficientă </w:t>
            </w:r>
            <w:r w:rsidRPr="00A10374">
              <w:rPr>
                <w:rFonts w:ascii="Times New Roman" w:hAnsi="Times New Roman"/>
                <w:shd w:val="clear" w:color="auto" w:fill="FFFFFF"/>
                <w:lang w:val="ro-RO"/>
              </w:rPr>
              <w:t xml:space="preserve">cu energie termică. </w:t>
            </w:r>
          </w:p>
          <w:p w14:paraId="417937DB" w14:textId="554E0B77" w:rsidR="00234AA7" w:rsidRPr="00A10374" w:rsidRDefault="00234AA7" w:rsidP="001A76A5">
            <w:pPr>
              <w:pStyle w:val="NormalWeb"/>
              <w:spacing w:before="120" w:after="120" w:line="276" w:lineRule="auto"/>
              <w:ind w:firstLine="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Totodată, este de menționat că după aprobarea Hotărârii Guvernului </w:t>
            </w:r>
            <w:r w:rsidR="006B0252" w:rsidRPr="00A10374">
              <w:rPr>
                <w:rFonts w:ascii="Times New Roman" w:hAnsi="Times New Roman"/>
                <w:shd w:val="clear" w:color="auto" w:fill="FFFFFF"/>
                <w:lang w:val="ro-RO"/>
              </w:rPr>
              <w:t>n</w:t>
            </w:r>
            <w:r w:rsidRPr="00A10374">
              <w:rPr>
                <w:rFonts w:ascii="Times New Roman" w:hAnsi="Times New Roman"/>
                <w:shd w:val="clear" w:color="auto" w:fill="FFFFFF"/>
                <w:lang w:val="ro-RO"/>
              </w:rPr>
              <w:t xml:space="preserve">r. 1064/2023 cu privire la aprobarea Programului privind implementarea schemei de obligații în domeniul eficienței energetice pentru perioada 2024-2026 a fost identificat că părțile obligate incluse în tabelul 3 din Anexa </w:t>
            </w:r>
            <w:r w:rsidR="00935E8A" w:rsidRPr="00A10374">
              <w:rPr>
                <w:rFonts w:ascii="Times New Roman" w:hAnsi="Times New Roman"/>
                <w:shd w:val="clear" w:color="auto" w:fill="FFFFFF"/>
                <w:lang w:val="ro-RO"/>
              </w:rPr>
              <w:t xml:space="preserve">nr. </w:t>
            </w:r>
            <w:r w:rsidRPr="00A10374">
              <w:rPr>
                <w:rFonts w:ascii="Times New Roman" w:hAnsi="Times New Roman"/>
                <w:shd w:val="clear" w:color="auto" w:fill="FFFFFF"/>
                <w:lang w:val="ro-RO"/>
              </w:rPr>
              <w:t xml:space="preserve">1 la </w:t>
            </w:r>
            <w:r w:rsidR="00935E8A" w:rsidRPr="00A10374">
              <w:rPr>
                <w:rFonts w:ascii="Times New Roman" w:hAnsi="Times New Roman"/>
                <w:shd w:val="clear" w:color="auto" w:fill="FFFFFF"/>
                <w:lang w:val="ro-RO"/>
              </w:rPr>
              <w:t>Programul sus menționat</w:t>
            </w:r>
            <w:r w:rsidRPr="00A10374">
              <w:rPr>
                <w:rFonts w:ascii="Times New Roman" w:hAnsi="Times New Roman"/>
                <w:shd w:val="clear" w:color="auto" w:fill="FFFFFF"/>
                <w:lang w:val="ro-RO"/>
              </w:rPr>
              <w:t xml:space="preserve"> nu reflectă și nici nu va putea reflecta situația la zi ținând cont de caracterul dinamic al sectorului produselor petroliere precum și cel de furnizare a energiei termice, fapt demonstrat prin modificările înregistrate, pe parcursul perioadei   2022-2024, în activitatea </w:t>
            </w:r>
            <w:r w:rsidRPr="00A10374">
              <w:rPr>
                <w:rFonts w:ascii="Times New Roman" w:hAnsi="Times New Roman"/>
                <w:b/>
                <w:bCs/>
                <w:lang w:val="ro-RO"/>
              </w:rPr>
              <w:t xml:space="preserve">Importatorilor de produse petroliere </w:t>
            </w:r>
            <w:r w:rsidRPr="00A10374">
              <w:rPr>
                <w:rFonts w:ascii="Times New Roman" w:hAnsi="Times New Roman"/>
                <w:bCs/>
                <w:lang w:val="ro-RO"/>
              </w:rPr>
              <w:t>și respectiv</w:t>
            </w:r>
            <w:r w:rsidRPr="00A10374">
              <w:rPr>
                <w:rFonts w:ascii="Times New Roman" w:hAnsi="Times New Roman"/>
                <w:b/>
                <w:bCs/>
                <w:lang w:val="ro-RO"/>
              </w:rPr>
              <w:t xml:space="preserve"> a </w:t>
            </w:r>
            <w:r w:rsidRPr="00A10374">
              <w:rPr>
                <w:rFonts w:ascii="Times New Roman" w:hAnsi="Times New Roman"/>
                <w:b/>
                <w:shd w:val="clear" w:color="auto" w:fill="FFFFFF"/>
                <w:lang w:val="ro-RO"/>
              </w:rPr>
              <w:t xml:space="preserve">Furnizorilor de energie termică pentru încălzire și/sau prepararea apei calde menajere și/sau răcire, </w:t>
            </w:r>
            <w:r w:rsidRPr="00A10374">
              <w:rPr>
                <w:rFonts w:ascii="Times New Roman" w:hAnsi="Times New Roman"/>
                <w:shd w:val="clear" w:color="auto" w:fill="FFFFFF"/>
                <w:lang w:val="ro-RO"/>
              </w:rPr>
              <w:t xml:space="preserve">prin apariția pe piață a noilor agenți economici și/sau stoparea activității unor agenți economici, având la bază diverse motive care au condus la acest fapt. </w:t>
            </w:r>
          </w:p>
          <w:p w14:paraId="6260B575" w14:textId="71BD780E" w:rsidR="00234AA7" w:rsidRPr="00A10374" w:rsidRDefault="00234AA7" w:rsidP="001A76A5">
            <w:pPr>
              <w:pStyle w:val="NormalWeb"/>
              <w:spacing w:before="120" w:after="120" w:line="276" w:lineRule="auto"/>
              <w:ind w:firstLine="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Astfel, a fost creată situația prin care pe de o parte agenții economici care </w:t>
            </w:r>
            <w:r w:rsidR="00AF33DA" w:rsidRPr="00A10374">
              <w:rPr>
                <w:rFonts w:ascii="Times New Roman" w:hAnsi="Times New Roman"/>
                <w:shd w:val="clear" w:color="auto" w:fill="FFFFFF"/>
                <w:lang w:val="ro-RO"/>
              </w:rPr>
              <w:t>și-</w:t>
            </w:r>
            <w:r w:rsidRPr="00A10374">
              <w:rPr>
                <w:rFonts w:ascii="Times New Roman" w:hAnsi="Times New Roman"/>
                <w:shd w:val="clear" w:color="auto" w:fill="FFFFFF"/>
                <w:lang w:val="ro-RO"/>
              </w:rPr>
              <w:t xml:space="preserve">au </w:t>
            </w:r>
            <w:r w:rsidR="00AF33DA" w:rsidRPr="00A10374">
              <w:rPr>
                <w:rFonts w:ascii="Times New Roman" w:hAnsi="Times New Roman"/>
                <w:shd w:val="clear" w:color="auto" w:fill="FFFFFF"/>
                <w:lang w:val="ro-RO"/>
              </w:rPr>
              <w:t>început</w:t>
            </w:r>
            <w:r w:rsidRPr="00A10374">
              <w:rPr>
                <w:rFonts w:ascii="Times New Roman" w:hAnsi="Times New Roman"/>
                <w:shd w:val="clear" w:color="auto" w:fill="FFFFFF"/>
                <w:lang w:val="ro-RO"/>
              </w:rPr>
              <w:t xml:space="preserve"> </w:t>
            </w:r>
            <w:r w:rsidR="00AF33DA" w:rsidRPr="00A10374">
              <w:rPr>
                <w:rFonts w:ascii="Times New Roman" w:hAnsi="Times New Roman"/>
                <w:shd w:val="clear" w:color="auto" w:fill="FFFFFF"/>
                <w:lang w:val="ro-RO"/>
              </w:rPr>
              <w:t>activitatea începând cu luna</w:t>
            </w:r>
            <w:r w:rsidRPr="00A10374">
              <w:rPr>
                <w:rFonts w:ascii="Times New Roman" w:hAnsi="Times New Roman"/>
                <w:shd w:val="clear" w:color="auto" w:fill="FFFFFF"/>
                <w:lang w:val="ro-RO"/>
              </w:rPr>
              <w:t xml:space="preserve"> ianuarie 2022 până în prezent nu au fost incluși în tabelul 3 din Anexa </w:t>
            </w:r>
            <w:r w:rsidR="00935E8A" w:rsidRPr="00A10374">
              <w:rPr>
                <w:rFonts w:ascii="Times New Roman" w:hAnsi="Times New Roman"/>
                <w:shd w:val="clear" w:color="auto" w:fill="FFFFFF"/>
                <w:lang w:val="ro-RO"/>
              </w:rPr>
              <w:t xml:space="preserve">nr. </w:t>
            </w:r>
            <w:r w:rsidRPr="00A10374">
              <w:rPr>
                <w:rFonts w:ascii="Times New Roman" w:hAnsi="Times New Roman"/>
                <w:shd w:val="clear" w:color="auto" w:fill="FFFFFF"/>
                <w:lang w:val="ro-RO"/>
              </w:rPr>
              <w:t>1 la</w:t>
            </w:r>
            <w:r w:rsidR="00935E8A" w:rsidRPr="00A10374">
              <w:rPr>
                <w:rFonts w:ascii="Times New Roman" w:hAnsi="Times New Roman"/>
                <w:shd w:val="clear" w:color="auto" w:fill="FFFFFF"/>
                <w:lang w:val="ro-RO"/>
              </w:rPr>
              <w:t xml:space="preserve"> Programul privind implementarea schemei de obligații în domeniul eficienței energetice pentru perioada 2024-2026</w:t>
            </w:r>
            <w:r w:rsidRPr="00A10374">
              <w:rPr>
                <w:rFonts w:ascii="Times New Roman" w:hAnsi="Times New Roman"/>
                <w:shd w:val="clear" w:color="auto" w:fill="FFFFFF"/>
                <w:lang w:val="ro-RO"/>
              </w:rPr>
              <w:t xml:space="preserve">, iar pe de altă, având la bază prevederile </w:t>
            </w:r>
            <w:r w:rsidRPr="00A10374">
              <w:rPr>
                <w:rFonts w:ascii="Times New Roman" w:hAnsi="Times New Roman"/>
                <w:b/>
                <w:shd w:val="clear" w:color="auto" w:fill="FFFFFF"/>
                <w:lang w:val="ro-RO"/>
              </w:rPr>
              <w:t>art. 8 alin. (1) din Legea nr. 139/2018 cu privire la eficiența energetică</w:t>
            </w:r>
            <w:r w:rsidRPr="00A10374">
              <w:rPr>
                <w:rFonts w:ascii="Times New Roman" w:hAnsi="Times New Roman"/>
                <w:shd w:val="clear" w:color="auto" w:fill="FFFFFF"/>
                <w:lang w:val="ro-RO"/>
              </w:rPr>
              <w:t xml:space="preserve">, aceștia sunt părți obligate și urmează să achite contribuțiile pentru schema de obligații în domeniul eficienței energetice în funcție de volumul vânzărilor de energie și/sau resurse energetice înregistrate. </w:t>
            </w:r>
          </w:p>
          <w:p w14:paraId="331E2EBC" w14:textId="4AB9BF88" w:rsidR="00234AA7" w:rsidRPr="00A10374" w:rsidRDefault="00234AA7" w:rsidP="001A76A5">
            <w:pPr>
              <w:pStyle w:val="NormalWeb"/>
              <w:spacing w:before="120" w:after="120" w:line="276" w:lineRule="auto"/>
              <w:ind w:firstLine="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Având la baza cele menționate, a fost identificată necesitatea excluderii din prevederile art. 8 alin. (7) a Legii nr. 139/2018 cu privire la eficiența energetică a obligativității includerii în cadrul Programului privind implementarea schemei de obligații în domeniul eficienței energetice, </w:t>
            </w:r>
            <w:r w:rsidRPr="00A10374">
              <w:rPr>
                <w:rFonts w:ascii="Times New Roman" w:hAnsi="Times New Roman"/>
                <w:shd w:val="clear" w:color="auto" w:fill="FFFFFF"/>
                <w:lang w:val="ro-RO"/>
              </w:rPr>
              <w:lastRenderedPageBreak/>
              <w:t>aprobat prin Hotărâre de Guvern,  a listei părților obligate, urmând ca această listă să fie elaborată și actualizată corespunzător de către Agenția Națională pentru Reglementare în Energe</w:t>
            </w:r>
            <w:r w:rsidR="00AF33DA" w:rsidRPr="00A10374">
              <w:rPr>
                <w:rFonts w:ascii="Times New Roman" w:hAnsi="Times New Roman"/>
                <w:shd w:val="clear" w:color="auto" w:fill="FFFFFF"/>
                <w:lang w:val="ro-RO"/>
              </w:rPr>
              <w:t>tică, care dispune de informația</w:t>
            </w:r>
            <w:r w:rsidRPr="00A10374">
              <w:rPr>
                <w:rFonts w:ascii="Times New Roman" w:hAnsi="Times New Roman"/>
                <w:shd w:val="clear" w:color="auto" w:fill="FFFFFF"/>
                <w:lang w:val="ro-RO"/>
              </w:rPr>
              <w:t xml:space="preserve"> actualizată cu privire la activitatea agenților economici care își desfășoară activitatea în sectorul energetic. </w:t>
            </w:r>
          </w:p>
          <w:p w14:paraId="7542DF7E" w14:textId="37813D9D" w:rsidR="00024B3D" w:rsidRPr="00A10374" w:rsidRDefault="00DA2858" w:rsidP="001A76A5">
            <w:pPr>
              <w:pStyle w:val="NormalWeb"/>
              <w:spacing w:before="120" w:after="120" w:line="276" w:lineRule="auto"/>
              <w:ind w:firstLine="0"/>
              <w:jc w:val="both"/>
              <w:rPr>
                <w:rFonts w:ascii="Times New Roman" w:hAnsi="Times New Roman"/>
                <w:shd w:val="clear" w:color="auto" w:fill="FFFFFF"/>
                <w:lang w:val="ro-MD"/>
              </w:rPr>
            </w:pPr>
            <w:r w:rsidRPr="00A10374">
              <w:rPr>
                <w:rFonts w:ascii="Times New Roman" w:hAnsi="Times New Roman"/>
                <w:shd w:val="clear" w:color="auto" w:fill="FFFFFF"/>
                <w:lang w:val="ro-RO"/>
              </w:rPr>
              <w:t>Totodată</w:t>
            </w:r>
            <w:r w:rsidR="00024B3D" w:rsidRPr="00A10374">
              <w:rPr>
                <w:rFonts w:ascii="Times New Roman" w:hAnsi="Times New Roman"/>
                <w:shd w:val="clear" w:color="auto" w:fill="FFFFFF"/>
                <w:lang w:val="ro-MD"/>
              </w:rPr>
              <w:t xml:space="preserve">, în vederea monitorizării corectitudinii achitării contribuțiilor de către fiecare parte obligată în cadrul schemei de obligații în domeniul eficienței energetice este necesar de stabilit în lege că </w:t>
            </w:r>
            <w:r w:rsidR="00FB2C39" w:rsidRPr="00A10374">
              <w:rPr>
                <w:rFonts w:ascii="Times New Roman" w:hAnsi="Times New Roman"/>
                <w:shd w:val="clear" w:color="auto" w:fill="FFFFFF"/>
                <w:lang w:val="ro-MD"/>
              </w:rPr>
              <w:t>monitorizarea</w:t>
            </w:r>
            <w:r w:rsidR="00024B3D" w:rsidRPr="00A10374">
              <w:rPr>
                <w:rFonts w:ascii="Times New Roman" w:hAnsi="Times New Roman"/>
                <w:shd w:val="clear" w:color="auto" w:fill="FFFFFF"/>
                <w:lang w:val="ro-MD"/>
              </w:rPr>
              <w:t xml:space="preserve"> va fi realizat</w:t>
            </w:r>
            <w:r w:rsidR="00FB2C39" w:rsidRPr="00A10374">
              <w:rPr>
                <w:rFonts w:ascii="Times New Roman" w:hAnsi="Times New Roman"/>
                <w:shd w:val="clear" w:color="auto" w:fill="FFFFFF"/>
                <w:lang w:val="ro-MD"/>
              </w:rPr>
              <w:t>ă</w:t>
            </w:r>
            <w:r w:rsidR="00024B3D" w:rsidRPr="00A10374">
              <w:rPr>
                <w:rFonts w:ascii="Times New Roman" w:hAnsi="Times New Roman"/>
                <w:shd w:val="clear" w:color="auto" w:fill="FFFFFF"/>
                <w:lang w:val="ro-MD"/>
              </w:rPr>
              <w:t xml:space="preserve"> de către </w:t>
            </w:r>
            <w:r w:rsidR="00D046DF" w:rsidRPr="00A10374">
              <w:rPr>
                <w:rFonts w:ascii="Times New Roman" w:hAnsi="Times New Roman"/>
                <w:shd w:val="clear" w:color="auto" w:fill="FFFFFF"/>
                <w:lang w:val="ro-RO"/>
              </w:rPr>
              <w:t>IP CNED</w:t>
            </w:r>
            <w:r w:rsidR="00024B3D" w:rsidRPr="00A10374">
              <w:rPr>
                <w:rFonts w:ascii="Times New Roman" w:hAnsi="Times New Roman"/>
                <w:shd w:val="clear" w:color="auto" w:fill="FFFFFF"/>
                <w:lang w:val="ro-MD"/>
              </w:rPr>
              <w:t xml:space="preserve">, în baza unei metodologii elaborate </w:t>
            </w:r>
            <w:r w:rsidRPr="00A10374">
              <w:rPr>
                <w:rFonts w:ascii="Times New Roman" w:hAnsi="Times New Roman"/>
                <w:shd w:val="clear" w:color="auto" w:fill="FFFFFF"/>
                <w:lang w:val="ro-MD"/>
              </w:rPr>
              <w:t>și aprobată de</w:t>
            </w:r>
            <w:r w:rsidR="00D046DF" w:rsidRPr="00A10374">
              <w:rPr>
                <w:rFonts w:ascii="Times New Roman" w:hAnsi="Times New Roman"/>
                <w:shd w:val="clear" w:color="auto" w:fill="FFFFFF"/>
                <w:lang w:val="ro-MD"/>
              </w:rPr>
              <w:t xml:space="preserve"> aceasta</w:t>
            </w:r>
            <w:r w:rsidRPr="00A10374">
              <w:rPr>
                <w:rFonts w:ascii="Times New Roman" w:hAnsi="Times New Roman"/>
                <w:shd w:val="clear" w:color="auto" w:fill="FFFFFF"/>
                <w:lang w:val="ro-MD"/>
              </w:rPr>
              <w:t xml:space="preserve">, </w:t>
            </w:r>
            <w:r w:rsidR="00024B3D" w:rsidRPr="00A10374">
              <w:rPr>
                <w:rFonts w:ascii="Times New Roman" w:hAnsi="Times New Roman"/>
                <w:shd w:val="clear" w:color="auto" w:fill="FFFFFF"/>
                <w:lang w:val="ro-MD"/>
              </w:rPr>
              <w:t xml:space="preserve">în acest sens. </w:t>
            </w:r>
          </w:p>
          <w:p w14:paraId="31454454" w14:textId="66487033" w:rsidR="003341BB" w:rsidRPr="00A10374" w:rsidRDefault="00FC08FB" w:rsidP="001A76A5">
            <w:pPr>
              <w:pStyle w:val="NormalWeb"/>
              <w:spacing w:before="120" w:after="120" w:line="276" w:lineRule="auto"/>
              <w:ind w:firstLine="0"/>
              <w:jc w:val="both"/>
              <w:rPr>
                <w:rFonts w:ascii="Times New Roman" w:hAnsi="Times New Roman"/>
                <w:shd w:val="clear" w:color="auto" w:fill="FFFFFF"/>
                <w:lang w:val="ro-RO" w:eastAsia="en-GB"/>
              </w:rPr>
            </w:pPr>
            <w:r w:rsidRPr="00A10374">
              <w:rPr>
                <w:rFonts w:ascii="Times New Roman" w:hAnsi="Times New Roman"/>
                <w:shd w:val="clear" w:color="auto" w:fill="FFFFFF"/>
                <w:lang w:val="ro-MD"/>
              </w:rPr>
              <w:t>Mai mult ca atât, în cadrul exercițiului de</w:t>
            </w:r>
            <w:r w:rsidR="003341BB" w:rsidRPr="00A10374">
              <w:rPr>
                <w:rFonts w:ascii="Times New Roman" w:hAnsi="Times New Roman"/>
                <w:shd w:val="clear" w:color="auto" w:fill="FFFFFF"/>
                <w:lang w:val="ro-MD"/>
              </w:rPr>
              <w:t xml:space="preserve"> monitorizare a corectitudinii achitării contribuțiilor de către fiecare parte obligată în cadrul schemei de obligații în domeniul eficienței energetice </w:t>
            </w:r>
            <w:r w:rsidR="002F49A3" w:rsidRPr="00A10374">
              <w:rPr>
                <w:rFonts w:ascii="Times New Roman" w:hAnsi="Times New Roman"/>
                <w:shd w:val="clear" w:color="auto" w:fill="FFFFFF"/>
                <w:lang w:val="ro-MD"/>
              </w:rPr>
              <w:br/>
            </w:r>
            <w:r w:rsidR="003341BB" w:rsidRPr="00A10374">
              <w:rPr>
                <w:rFonts w:ascii="Times New Roman" w:hAnsi="Times New Roman"/>
                <w:shd w:val="clear" w:color="auto" w:fill="FFFFFF"/>
                <w:lang w:val="ro-MD"/>
              </w:rPr>
              <w:t xml:space="preserve">s-a constatat că în cazul </w:t>
            </w:r>
            <w:r w:rsidR="003341BB" w:rsidRPr="00A10374">
              <w:rPr>
                <w:rFonts w:ascii="Times New Roman" w:hAnsi="Times New Roman"/>
                <w:b/>
                <w:bCs/>
                <w:lang w:val="ro-RO"/>
              </w:rPr>
              <w:t xml:space="preserve">Importatorilor de produse petroliere </w:t>
            </w:r>
            <w:r w:rsidR="003341BB" w:rsidRPr="00A10374">
              <w:rPr>
                <w:rFonts w:ascii="Times New Roman" w:hAnsi="Times New Roman"/>
                <w:lang w:val="ro-RO"/>
              </w:rPr>
              <w:t>este dificil de</w:t>
            </w:r>
            <w:r w:rsidR="003341BB" w:rsidRPr="00A10374">
              <w:rPr>
                <w:rFonts w:ascii="Times New Roman" w:hAnsi="Times New Roman"/>
                <w:b/>
                <w:bCs/>
                <w:lang w:val="ro-RO"/>
              </w:rPr>
              <w:t xml:space="preserve"> </w:t>
            </w:r>
            <w:r w:rsidR="003341BB" w:rsidRPr="00A10374">
              <w:rPr>
                <w:rFonts w:ascii="Times New Roman" w:hAnsi="Times New Roman"/>
                <w:lang w:val="ro-RO"/>
              </w:rPr>
              <w:t>monitorizat volumul de</w:t>
            </w:r>
            <w:r w:rsidR="003341BB" w:rsidRPr="00A10374">
              <w:rPr>
                <w:rFonts w:ascii="Times New Roman" w:hAnsi="Times New Roman"/>
                <w:shd w:val="clear" w:color="auto" w:fill="FFFFFF"/>
                <w:lang w:val="ro-RO" w:eastAsia="en-GB"/>
              </w:rPr>
              <w:t xml:space="preserve"> produse petroliere importate </w:t>
            </w:r>
            <w:r w:rsidR="002F49A3" w:rsidRPr="00A10374">
              <w:rPr>
                <w:rFonts w:ascii="Times New Roman" w:hAnsi="Times New Roman"/>
                <w:shd w:val="clear" w:color="auto" w:fill="FFFFFF"/>
                <w:lang w:val="ro-RO" w:eastAsia="en-GB"/>
              </w:rPr>
              <w:t>comparativ cu cel</w:t>
            </w:r>
            <w:r w:rsidR="003341BB" w:rsidRPr="00A10374">
              <w:rPr>
                <w:rFonts w:ascii="Times New Roman" w:hAnsi="Times New Roman"/>
                <w:shd w:val="clear" w:color="auto" w:fill="FFFFFF"/>
                <w:lang w:val="ro-RO" w:eastAsia="en-GB"/>
              </w:rPr>
              <w:t xml:space="preserve"> comercializat </w:t>
            </w:r>
            <w:r w:rsidR="002F49A3" w:rsidRPr="00A10374">
              <w:rPr>
                <w:rFonts w:ascii="Times New Roman" w:hAnsi="Times New Roman"/>
                <w:shd w:val="clear" w:color="auto" w:fill="FFFFFF"/>
                <w:lang w:val="ro-RO" w:eastAsia="en-GB"/>
              </w:rPr>
              <w:t>deoarece</w:t>
            </w:r>
            <w:r w:rsidR="003341BB" w:rsidRPr="00A10374">
              <w:rPr>
                <w:rFonts w:ascii="Times New Roman" w:hAnsi="Times New Roman"/>
                <w:shd w:val="clear" w:color="auto" w:fill="FFFFFF"/>
                <w:lang w:val="ro-RO" w:eastAsia="en-GB"/>
              </w:rPr>
              <w:t xml:space="preserve"> există cazuri când importatorii procură volume de produse petroliere</w:t>
            </w:r>
            <w:r w:rsidR="000371E2" w:rsidRPr="00A10374">
              <w:rPr>
                <w:rFonts w:ascii="Times New Roman" w:hAnsi="Times New Roman"/>
                <w:shd w:val="clear" w:color="auto" w:fill="FFFFFF"/>
                <w:lang w:val="ro-RO" w:eastAsia="en-GB"/>
              </w:rPr>
              <w:t xml:space="preserve"> pe piața internă</w:t>
            </w:r>
            <w:r w:rsidR="003341BB" w:rsidRPr="00A10374">
              <w:rPr>
                <w:rFonts w:ascii="Times New Roman" w:hAnsi="Times New Roman"/>
                <w:shd w:val="clear" w:color="auto" w:fill="FFFFFF"/>
                <w:lang w:val="ro-RO" w:eastAsia="en-GB"/>
              </w:rPr>
              <w:t xml:space="preserve">, după ce </w:t>
            </w:r>
            <w:r w:rsidR="000371E2" w:rsidRPr="00A10374">
              <w:rPr>
                <w:rFonts w:ascii="Times New Roman" w:hAnsi="Times New Roman"/>
                <w:shd w:val="clear" w:color="auto" w:fill="FFFFFF"/>
                <w:lang w:val="ro-RO" w:eastAsia="en-GB"/>
              </w:rPr>
              <w:t>acestea</w:t>
            </w:r>
            <w:r w:rsidR="003341BB" w:rsidRPr="00A10374">
              <w:rPr>
                <w:rFonts w:ascii="Times New Roman" w:hAnsi="Times New Roman"/>
                <w:shd w:val="clear" w:color="auto" w:fill="FFFFFF"/>
                <w:lang w:val="ro-RO" w:eastAsia="en-GB"/>
              </w:rPr>
              <w:t xml:space="preserve"> au</w:t>
            </w:r>
            <w:r w:rsidR="000371E2" w:rsidRPr="00A10374">
              <w:rPr>
                <w:rFonts w:ascii="Times New Roman" w:hAnsi="Times New Roman"/>
                <w:shd w:val="clear" w:color="auto" w:fill="FFFFFF"/>
                <w:lang w:val="ro-RO" w:eastAsia="en-GB"/>
              </w:rPr>
              <w:t xml:space="preserve"> fost</w:t>
            </w:r>
            <w:r w:rsidR="003341BB" w:rsidRPr="00A10374">
              <w:rPr>
                <w:rFonts w:ascii="Times New Roman" w:hAnsi="Times New Roman"/>
                <w:shd w:val="clear" w:color="auto" w:fill="FFFFFF"/>
                <w:lang w:val="ro-RO" w:eastAsia="en-GB"/>
              </w:rPr>
              <w:t xml:space="preserve"> importat</w:t>
            </w:r>
            <w:r w:rsidR="000371E2" w:rsidRPr="00A10374">
              <w:rPr>
                <w:rFonts w:ascii="Times New Roman" w:hAnsi="Times New Roman"/>
                <w:shd w:val="clear" w:color="auto" w:fill="FFFFFF"/>
                <w:lang w:val="ro-RO" w:eastAsia="en-GB"/>
              </w:rPr>
              <w:t>e</w:t>
            </w:r>
            <w:r w:rsidR="003341BB" w:rsidRPr="00A10374">
              <w:rPr>
                <w:rFonts w:ascii="Times New Roman" w:hAnsi="Times New Roman"/>
                <w:shd w:val="clear" w:color="auto" w:fill="FFFFFF"/>
                <w:lang w:val="ro-RO" w:eastAsia="en-GB"/>
              </w:rPr>
              <w:t xml:space="preserve">. </w:t>
            </w:r>
          </w:p>
          <w:p w14:paraId="221723BA" w14:textId="37D15569" w:rsidR="00FC08FB" w:rsidRPr="00A10374" w:rsidRDefault="003341BB" w:rsidP="001A76A5">
            <w:pPr>
              <w:pStyle w:val="NormalWeb"/>
              <w:spacing w:before="120" w:after="120" w:line="276" w:lineRule="auto"/>
              <w:ind w:firstLine="0"/>
              <w:jc w:val="both"/>
              <w:rPr>
                <w:rFonts w:ascii="Times New Roman" w:hAnsi="Times New Roman"/>
                <w:shd w:val="clear" w:color="auto" w:fill="FFFFFF"/>
                <w:lang w:val="ro-RO" w:eastAsia="en-GB"/>
              </w:rPr>
            </w:pPr>
            <w:r w:rsidRPr="00A10374">
              <w:rPr>
                <w:rFonts w:ascii="Times New Roman" w:hAnsi="Times New Roman"/>
                <w:shd w:val="clear" w:color="auto" w:fill="FFFFFF"/>
                <w:lang w:val="ro-RO" w:eastAsia="en-GB"/>
              </w:rPr>
              <w:t xml:space="preserve">Astfel, pentru a simplifica procedura de monitorizare a contribuțiilor achitate de importatorii de produse petroliere, a fost identificată necesitatea de efectuare a modificărilor în lege astfel încât contribuțiile achitate de importatorii de produse petroliere să fie efectuate în funcție de volumul de produse petroliere importat și nu din cel comercializat cum este </w:t>
            </w:r>
            <w:r w:rsidR="006C589D" w:rsidRPr="00A10374">
              <w:rPr>
                <w:rFonts w:ascii="Times New Roman" w:hAnsi="Times New Roman"/>
                <w:shd w:val="clear" w:color="auto" w:fill="FFFFFF"/>
                <w:lang w:val="ro-RO" w:eastAsia="en-GB"/>
              </w:rPr>
              <w:t xml:space="preserve">prevăzut </w:t>
            </w:r>
            <w:r w:rsidRPr="00A10374">
              <w:rPr>
                <w:rFonts w:ascii="Times New Roman" w:hAnsi="Times New Roman"/>
                <w:shd w:val="clear" w:color="auto" w:fill="FFFFFF"/>
                <w:lang w:val="ro-RO" w:eastAsia="en-GB"/>
              </w:rPr>
              <w:t>la moment</w:t>
            </w:r>
            <w:r w:rsidR="006C589D" w:rsidRPr="00A10374">
              <w:rPr>
                <w:rFonts w:ascii="Times New Roman" w:hAnsi="Times New Roman"/>
                <w:shd w:val="clear" w:color="auto" w:fill="FFFFFF"/>
                <w:lang w:val="ro-RO" w:eastAsia="en-GB"/>
              </w:rPr>
              <w:t xml:space="preserve"> în textul legii nr. 139/2018 cu privire la eficiența energetică</w:t>
            </w:r>
            <w:r w:rsidRPr="00A10374">
              <w:rPr>
                <w:rFonts w:ascii="Times New Roman" w:hAnsi="Times New Roman"/>
                <w:shd w:val="clear" w:color="auto" w:fill="FFFFFF"/>
                <w:lang w:val="ro-RO" w:eastAsia="en-GB"/>
              </w:rPr>
              <w:t xml:space="preserve">.      </w:t>
            </w:r>
            <w:r w:rsidR="00FC08FB" w:rsidRPr="00A10374">
              <w:rPr>
                <w:rFonts w:ascii="Times New Roman" w:hAnsi="Times New Roman"/>
                <w:shd w:val="clear" w:color="auto" w:fill="FFFFFF"/>
                <w:lang w:val="ro-RO" w:eastAsia="en-GB"/>
              </w:rPr>
              <w:t xml:space="preserve"> </w:t>
            </w:r>
          </w:p>
          <w:p w14:paraId="4ABCC7F5" w14:textId="0FD8A800" w:rsidR="009C6EEE" w:rsidRPr="00A10374" w:rsidRDefault="00234AA7" w:rsidP="0064027A">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O alta modificare propusă ține de</w:t>
            </w:r>
            <w:r w:rsidRPr="00A10374">
              <w:rPr>
                <w:rFonts w:ascii="Times New Roman" w:hAnsi="Times New Roman"/>
                <w:b/>
                <w:shd w:val="clear" w:color="auto" w:fill="FFFFFF"/>
                <w:lang w:val="ro-RO"/>
              </w:rPr>
              <w:t xml:space="preserve"> </w:t>
            </w:r>
            <w:r w:rsidRPr="00A10374">
              <w:rPr>
                <w:rFonts w:ascii="Times New Roman" w:hAnsi="Times New Roman"/>
                <w:shd w:val="clear" w:color="auto" w:fill="FFFFFF"/>
                <w:lang w:val="ro-RO"/>
              </w:rPr>
              <w:t>instituirea la nivel legislativ a „Fondului pentru eficiență energetică</w:t>
            </w:r>
            <w:r w:rsidR="006730ED" w:rsidRPr="00A10374">
              <w:rPr>
                <w:rFonts w:ascii="Times New Roman" w:hAnsi="Times New Roman"/>
                <w:shd w:val="clear" w:color="auto" w:fill="FFFFFF"/>
                <w:lang w:val="ro-RO"/>
              </w:rPr>
              <w:t xml:space="preserve"> </w:t>
            </w:r>
            <w:r w:rsidRPr="00A10374">
              <w:rPr>
                <w:rFonts w:ascii="Times New Roman" w:hAnsi="Times New Roman"/>
                <w:shd w:val="clear" w:color="auto" w:fill="FFFFFF"/>
                <w:lang w:val="ro-RO"/>
              </w:rPr>
              <w:t>”</w:t>
            </w:r>
            <w:r w:rsidR="006730ED" w:rsidRPr="00A10374">
              <w:rPr>
                <w:rFonts w:ascii="Times New Roman" w:hAnsi="Times New Roman"/>
                <w:shd w:val="clear" w:color="auto" w:fill="FFFFFF"/>
                <w:lang w:val="ro-RO"/>
              </w:rPr>
              <w:t xml:space="preserve"> (în continuare FEE)</w:t>
            </w:r>
            <w:r w:rsidRPr="00A10374">
              <w:rPr>
                <w:rFonts w:ascii="Times New Roman" w:hAnsi="Times New Roman"/>
                <w:shd w:val="clear" w:color="auto" w:fill="FFFFFF"/>
                <w:lang w:val="ro-RO"/>
              </w:rPr>
              <w:t xml:space="preserve">, care </w:t>
            </w:r>
            <w:r w:rsidR="007F62B1" w:rsidRPr="00A10374">
              <w:rPr>
                <w:rFonts w:ascii="Times New Roman" w:hAnsi="Times New Roman"/>
                <w:shd w:val="clear" w:color="auto" w:fill="FFFFFF"/>
                <w:lang w:val="ro-RO"/>
              </w:rPr>
              <w:t>va cuprinde totalitatea mijloacelor financiare destinate finanțării proiectelor de eficiență energetică și/sau valorificare a surselor regenerabile de energie implementate prin intermediul IP CNED în baza programelor de finanțare aprobate de Guvern</w:t>
            </w:r>
            <w:r w:rsidR="0064027A" w:rsidRPr="00A10374">
              <w:rPr>
                <w:rFonts w:ascii="Times New Roman" w:hAnsi="Times New Roman"/>
                <w:shd w:val="clear" w:color="auto" w:fill="FFFFFF"/>
                <w:lang w:val="ro-RO"/>
              </w:rPr>
              <w:t>, inclusiv programul de finanțare Fondul pentru eficiență energetică în sectorul rezidențial din Republica Moldova (în continuare – Programul FEERM) aprobat de Guvern prin Hotărârea Nr. 251/2024</w:t>
            </w:r>
            <w:r w:rsidR="001A36CD" w:rsidRPr="00A10374">
              <w:rPr>
                <w:rFonts w:ascii="Times New Roman" w:hAnsi="Times New Roman"/>
                <w:shd w:val="clear" w:color="auto" w:fill="FFFFFF"/>
                <w:lang w:val="ro-RO"/>
              </w:rPr>
              <w:t>, Programul de vouchere pentru electrocasnice, aprobat prin HG nr. 533/2024 și altele.</w:t>
            </w:r>
          </w:p>
          <w:p w14:paraId="2730E3BD" w14:textId="0FB6DA62" w:rsidR="0064027A" w:rsidRPr="00A10374" w:rsidRDefault="00FB2C39" w:rsidP="0064027A">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FEE</w:t>
            </w:r>
            <w:r w:rsidR="009C6EEE" w:rsidRPr="00A10374">
              <w:rPr>
                <w:rFonts w:ascii="Times New Roman" w:hAnsi="Times New Roman"/>
                <w:shd w:val="clear" w:color="auto" w:fill="FFFFFF"/>
                <w:lang w:val="ro-RO"/>
              </w:rPr>
              <w:t xml:space="preserve"> este propus a fi instituit în cadrul </w:t>
            </w:r>
            <w:r w:rsidR="001A36CD" w:rsidRPr="00A10374">
              <w:rPr>
                <w:rFonts w:ascii="Times New Roman" w:hAnsi="Times New Roman"/>
                <w:shd w:val="clear" w:color="auto" w:fill="FFFFFF"/>
                <w:lang w:val="ro-RO"/>
              </w:rPr>
              <w:t xml:space="preserve">bugetului de stat cu atribuirea </w:t>
            </w:r>
            <w:r w:rsidR="009C6EEE" w:rsidRPr="00A10374">
              <w:rPr>
                <w:rFonts w:ascii="Times New Roman" w:hAnsi="Times New Roman"/>
                <w:shd w:val="clear" w:color="auto" w:fill="FFFFFF"/>
                <w:lang w:val="ro-RO"/>
              </w:rPr>
              <w:t>IP CNED</w:t>
            </w:r>
            <w:r w:rsidR="001A36CD" w:rsidRPr="00A10374">
              <w:rPr>
                <w:rFonts w:ascii="Times New Roman" w:hAnsi="Times New Roman"/>
                <w:shd w:val="clear" w:color="auto" w:fill="FFFFFF"/>
                <w:lang w:val="ro-RO"/>
              </w:rPr>
              <w:t xml:space="preserve"> a competenței de administrare a acestuia</w:t>
            </w:r>
            <w:r w:rsidR="009C6EEE" w:rsidRPr="00A10374">
              <w:rPr>
                <w:rFonts w:ascii="Times New Roman" w:hAnsi="Times New Roman"/>
                <w:shd w:val="clear" w:color="auto" w:fill="FFFFFF"/>
                <w:lang w:val="ro-RO"/>
              </w:rPr>
              <w:t>.</w:t>
            </w:r>
            <w:r w:rsidR="0064027A" w:rsidRPr="00A10374">
              <w:rPr>
                <w:rFonts w:ascii="Times New Roman" w:hAnsi="Times New Roman"/>
                <w:shd w:val="clear" w:color="auto" w:fill="FFFFFF"/>
                <w:lang w:val="ro-RO"/>
              </w:rPr>
              <w:t xml:space="preserve">  </w:t>
            </w:r>
          </w:p>
          <w:p w14:paraId="42A771A1" w14:textId="1936872C" w:rsidR="00234AA7" w:rsidRPr="00A10374" w:rsidRDefault="00234AA7" w:rsidP="001A76A5">
            <w:pPr>
              <w:spacing w:before="120" w:after="120"/>
              <w:jc w:val="both"/>
              <w:rPr>
                <w:rFonts w:ascii="Times New Roman" w:hAnsi="Times New Roman"/>
                <w:lang w:val="ro-RO"/>
              </w:rPr>
            </w:pPr>
            <w:r w:rsidRPr="00A10374">
              <w:rPr>
                <w:rFonts w:ascii="Times New Roman" w:hAnsi="Times New Roman"/>
                <w:shd w:val="clear" w:color="auto" w:fill="FFFFFF"/>
                <w:lang w:val="ro-RO"/>
              </w:rPr>
              <w:t>Este de menționat că e</w:t>
            </w:r>
            <w:r w:rsidRPr="00A10374">
              <w:rPr>
                <w:rFonts w:ascii="Times New Roman" w:hAnsi="Times New Roman"/>
                <w:lang w:val="ro-RO"/>
              </w:rPr>
              <w:t>ficiența energetică redusă în sectorul rezidențial creează presiuni pe consumatorii casnici care sunt afectați direct de creșterea la nivel internațional a prețurilor pentru resursele energetice în măsura în care veniturile disponibile nu le permit să acopere cheltuielile pentru asigurarea nivelului de confort termic minim</w:t>
            </w:r>
            <w:r w:rsidR="00AF33DA" w:rsidRPr="00A10374">
              <w:rPr>
                <w:rFonts w:ascii="Times New Roman" w:hAnsi="Times New Roman"/>
                <w:lang w:val="ro-RO"/>
              </w:rPr>
              <w:t xml:space="preserve"> necesar</w:t>
            </w:r>
            <w:r w:rsidRPr="00A10374">
              <w:rPr>
                <w:rFonts w:ascii="Times New Roman" w:hAnsi="Times New Roman"/>
                <w:lang w:val="ro-RO"/>
              </w:rPr>
              <w:t xml:space="preserve">, conform prevederilor normativelor sanitar-igienice. Aceasta impune implementarea unor mecanisme direcționate spre o îmbunătățire semnificativă a eficienței energetice în special în clădirile rezidențiale, care sunt responsabile pentru aproximativ jumătate din consumul final </w:t>
            </w:r>
            <w:r w:rsidRPr="00A10374">
              <w:rPr>
                <w:rFonts w:ascii="Times New Roman" w:hAnsi="Times New Roman"/>
                <w:shd w:val="clear" w:color="auto" w:fill="FFFFFF"/>
                <w:lang w:val="ro-RO"/>
              </w:rPr>
              <w:t>energetic</w:t>
            </w:r>
            <w:r w:rsidRPr="00A10374">
              <w:rPr>
                <w:rFonts w:ascii="Times New Roman" w:hAnsi="Times New Roman"/>
                <w:lang w:val="ro-RO"/>
              </w:rPr>
              <w:t xml:space="preserve"> al țării.</w:t>
            </w:r>
            <w:r w:rsidR="001A36CD" w:rsidRPr="00A10374">
              <w:rPr>
                <w:rFonts w:ascii="Times New Roman" w:hAnsi="Times New Roman"/>
                <w:lang w:val="ro-RO"/>
              </w:rPr>
              <w:t xml:space="preserve"> Concomitent, suportul partenerilor de dezvoltare pentru crearea și finanțarea acestor mecanisme rămâne foarte important.</w:t>
            </w:r>
          </w:p>
          <w:p w14:paraId="2CBF0741" w14:textId="7F5A9BE4" w:rsidR="00234AA7" w:rsidRPr="00A10374" w:rsidRDefault="00234AA7" w:rsidP="001A76A5">
            <w:pPr>
              <w:spacing w:before="120" w:after="120"/>
              <w:jc w:val="both"/>
              <w:rPr>
                <w:rFonts w:ascii="Times New Roman" w:hAnsi="Times New Roman"/>
                <w:lang w:val="ro-RO"/>
              </w:rPr>
            </w:pPr>
            <w:r w:rsidRPr="00A10374">
              <w:rPr>
                <w:rFonts w:ascii="Times New Roman" w:hAnsi="Times New Roman"/>
                <w:lang w:val="ro-RO"/>
              </w:rPr>
              <w:t xml:space="preserve">Instituirea Fondului pentru Eficiență Energetică </w:t>
            </w:r>
            <w:r w:rsidR="0064027A" w:rsidRPr="00A10374">
              <w:rPr>
                <w:rFonts w:ascii="Times New Roman" w:hAnsi="Times New Roman"/>
                <w:lang w:val="ro-RO"/>
              </w:rPr>
              <w:t xml:space="preserve">la nivel legislativ primar reprezintă un </w:t>
            </w:r>
            <w:r w:rsidRPr="00A10374">
              <w:rPr>
                <w:rFonts w:ascii="Times New Roman" w:hAnsi="Times New Roman"/>
                <w:lang w:val="ro-RO"/>
              </w:rPr>
              <w:t xml:space="preserve">subiect de actualitate în cadrul discuțiilor cu partenerii de dezvoltare (BERD, BEI, PNUD, USAID, BM, AFD, </w:t>
            </w:r>
            <w:proofErr w:type="spellStart"/>
            <w:r w:rsidRPr="00A10374">
              <w:rPr>
                <w:rFonts w:ascii="Times New Roman" w:hAnsi="Times New Roman"/>
                <w:lang w:val="ro-RO"/>
              </w:rPr>
              <w:t>KfW</w:t>
            </w:r>
            <w:proofErr w:type="spellEnd"/>
            <w:r w:rsidRPr="00A10374">
              <w:rPr>
                <w:rFonts w:ascii="Times New Roman" w:hAnsi="Times New Roman"/>
                <w:lang w:val="ro-RO"/>
              </w:rPr>
              <w:t xml:space="preserve">, Delegația UE etc.), care sunt </w:t>
            </w:r>
            <w:r w:rsidR="00935E8A" w:rsidRPr="00A10374">
              <w:rPr>
                <w:rFonts w:ascii="Times New Roman" w:hAnsi="Times New Roman"/>
                <w:lang w:val="ro-RO"/>
              </w:rPr>
              <w:t>disponibili</w:t>
            </w:r>
            <w:r w:rsidRPr="00A10374">
              <w:rPr>
                <w:rFonts w:ascii="Times New Roman" w:hAnsi="Times New Roman"/>
                <w:lang w:val="ro-RO"/>
              </w:rPr>
              <w:t xml:space="preserve"> să acorde suport financiar pentru implementarea proiectelor în domeniul eficienței energetice și valorificării surselor de energie regenerabilă, </w:t>
            </w:r>
            <w:r w:rsidR="00FB2C39" w:rsidRPr="00A10374">
              <w:rPr>
                <w:rFonts w:ascii="Times New Roman" w:hAnsi="Times New Roman"/>
                <w:lang w:val="ro-RO"/>
              </w:rPr>
              <w:t>în</w:t>
            </w:r>
            <w:r w:rsidR="001A36CD" w:rsidRPr="00A10374">
              <w:rPr>
                <w:rFonts w:ascii="Times New Roman" w:hAnsi="Times New Roman"/>
                <w:lang w:val="ro-RO"/>
              </w:rPr>
              <w:t>tr-un</w:t>
            </w:r>
            <w:r w:rsidR="00FB2C39" w:rsidRPr="00A10374">
              <w:rPr>
                <w:rFonts w:ascii="Times New Roman" w:hAnsi="Times New Roman"/>
                <w:lang w:val="ro-RO"/>
              </w:rPr>
              <w:t xml:space="preserve"> cadru durabil și </w:t>
            </w:r>
            <w:r w:rsidRPr="00A10374">
              <w:rPr>
                <w:rFonts w:ascii="Times New Roman" w:hAnsi="Times New Roman"/>
                <w:lang w:val="ro-RO"/>
              </w:rPr>
              <w:t>cu condiția că aceste mijloace financiare vor putea fi absorbite și valorificate corespunzător.</w:t>
            </w:r>
          </w:p>
          <w:p w14:paraId="585E1265" w14:textId="3A6ABEB7" w:rsidR="0064027A" w:rsidRPr="00A10374" w:rsidRDefault="0064027A" w:rsidP="001A76A5">
            <w:pPr>
              <w:spacing w:before="120" w:after="120"/>
              <w:jc w:val="both"/>
              <w:rPr>
                <w:rFonts w:ascii="Times New Roman" w:hAnsi="Times New Roman"/>
                <w:lang w:val="ro-RO"/>
              </w:rPr>
            </w:pPr>
            <w:r w:rsidRPr="00A10374">
              <w:rPr>
                <w:rFonts w:ascii="Times New Roman" w:hAnsi="Times New Roman"/>
                <w:lang w:val="ro-RO"/>
              </w:rPr>
              <w:lastRenderedPageBreak/>
              <w:t>Sursele de finanțare a Fondului pentru Eficiență energetică sunt</w:t>
            </w:r>
            <w:r w:rsidR="00E53868" w:rsidRPr="00A10374">
              <w:rPr>
                <w:rFonts w:ascii="Times New Roman" w:hAnsi="Times New Roman"/>
                <w:lang w:val="ro-RO"/>
              </w:rPr>
              <w:t xml:space="preserve"> mijloacele financiare</w:t>
            </w:r>
            <w:r w:rsidRPr="00A10374">
              <w:rPr>
                <w:rFonts w:ascii="Times New Roman" w:hAnsi="Times New Roman"/>
                <w:lang w:val="ro-RO"/>
              </w:rPr>
              <w:t>:</w:t>
            </w:r>
          </w:p>
          <w:p w14:paraId="20D11F68" w14:textId="521B8412" w:rsidR="0064027A" w:rsidRPr="00A10374" w:rsidRDefault="0064027A" w:rsidP="0064027A">
            <w:pPr>
              <w:spacing w:before="120" w:after="120"/>
              <w:jc w:val="both"/>
              <w:rPr>
                <w:rFonts w:ascii="Times New Roman" w:hAnsi="Times New Roman"/>
                <w:lang w:val="ro-RO"/>
              </w:rPr>
            </w:pPr>
            <w:r w:rsidRPr="00A10374">
              <w:rPr>
                <w:rFonts w:ascii="Times New Roman" w:hAnsi="Times New Roman"/>
                <w:lang w:val="ro-RO"/>
              </w:rPr>
              <w:t>a) colectate în cadrul schemei de obligații în domeniul eficienței energetice;</w:t>
            </w:r>
          </w:p>
          <w:p w14:paraId="11AEA822" w14:textId="6477A482" w:rsidR="0064027A" w:rsidRPr="00A10374" w:rsidRDefault="0064027A" w:rsidP="0064027A">
            <w:pPr>
              <w:spacing w:before="120" w:after="120"/>
              <w:jc w:val="both"/>
              <w:rPr>
                <w:rFonts w:ascii="Times New Roman" w:hAnsi="Times New Roman"/>
                <w:lang w:val="ro-RO"/>
              </w:rPr>
            </w:pPr>
            <w:r w:rsidRPr="00A10374">
              <w:rPr>
                <w:rFonts w:ascii="Times New Roman" w:hAnsi="Times New Roman"/>
                <w:lang w:val="ro-RO"/>
              </w:rPr>
              <w:t xml:space="preserve">b) </w:t>
            </w:r>
            <w:r w:rsidR="00E53868" w:rsidRPr="00A10374">
              <w:rPr>
                <w:rFonts w:ascii="Times New Roman" w:hAnsi="Times New Roman"/>
                <w:lang w:val="ro-RO"/>
              </w:rPr>
              <w:t xml:space="preserve">alocate de la </w:t>
            </w:r>
            <w:r w:rsidRPr="00A10374">
              <w:rPr>
                <w:rFonts w:ascii="Times New Roman" w:hAnsi="Times New Roman"/>
                <w:lang w:val="ro-RO"/>
              </w:rPr>
              <w:t>bugetul de stat prin intermediul fondului de reducere a vulnerabilității energetice;</w:t>
            </w:r>
          </w:p>
          <w:p w14:paraId="7474E189" w14:textId="03559261" w:rsidR="0064027A" w:rsidRPr="00A10374" w:rsidRDefault="0064027A" w:rsidP="0064027A">
            <w:pPr>
              <w:spacing w:before="120" w:after="120"/>
              <w:jc w:val="both"/>
              <w:rPr>
                <w:rFonts w:ascii="Times New Roman" w:hAnsi="Times New Roman"/>
                <w:lang w:val="ro-RO"/>
              </w:rPr>
            </w:pPr>
            <w:r w:rsidRPr="00A10374">
              <w:rPr>
                <w:rFonts w:ascii="Times New Roman" w:hAnsi="Times New Roman"/>
                <w:lang w:val="ro-RO"/>
              </w:rPr>
              <w:t xml:space="preserve">c) </w:t>
            </w:r>
            <w:r w:rsidR="00E53868" w:rsidRPr="00A10374">
              <w:rPr>
                <w:rFonts w:ascii="Times New Roman" w:hAnsi="Times New Roman"/>
                <w:lang w:val="ro-RO"/>
              </w:rPr>
              <w:t xml:space="preserve">sub formă de </w:t>
            </w:r>
            <w:r w:rsidRPr="00A10374">
              <w:rPr>
                <w:rFonts w:ascii="Times New Roman" w:hAnsi="Times New Roman"/>
                <w:lang w:val="ro-RO"/>
              </w:rPr>
              <w:t>granturi, donații sau alte</w:t>
            </w:r>
            <w:r w:rsidR="00E53868" w:rsidRPr="00A10374">
              <w:rPr>
                <w:rFonts w:ascii="Times New Roman" w:hAnsi="Times New Roman"/>
                <w:lang w:val="ro-RO"/>
              </w:rPr>
              <w:t xml:space="preserve"> mijloace financiare primite de la partenerii de dezvoltare</w:t>
            </w:r>
            <w:r w:rsidRPr="00A10374">
              <w:rPr>
                <w:rFonts w:ascii="Times New Roman" w:hAnsi="Times New Roman"/>
                <w:lang w:val="ro-RO"/>
              </w:rPr>
              <w:t>;</w:t>
            </w:r>
          </w:p>
          <w:p w14:paraId="42FD4605" w14:textId="7F134AA1" w:rsidR="0064027A" w:rsidRPr="00A10374" w:rsidRDefault="0064027A" w:rsidP="0064027A">
            <w:pPr>
              <w:spacing w:before="120" w:after="120"/>
              <w:jc w:val="both"/>
              <w:rPr>
                <w:rFonts w:ascii="Times New Roman" w:hAnsi="Times New Roman"/>
                <w:lang w:val="ro-RO"/>
              </w:rPr>
            </w:pPr>
            <w:r w:rsidRPr="00A10374">
              <w:rPr>
                <w:rFonts w:ascii="Times New Roman" w:hAnsi="Times New Roman"/>
                <w:lang w:val="ro-RO"/>
              </w:rPr>
              <w:t xml:space="preserve">d) </w:t>
            </w:r>
            <w:r w:rsidR="00E53868" w:rsidRPr="00A10374">
              <w:rPr>
                <w:rFonts w:ascii="Times New Roman" w:hAnsi="Times New Roman"/>
                <w:lang w:val="ro-RO"/>
              </w:rPr>
              <w:t>sub formă de venituri financiare (dobânzi, comisioane, diferență de curs) obținute ca urmare a administrării mijloacelor financiare și finanțărilor acordate din cadrul FEE</w:t>
            </w:r>
            <w:r w:rsidRPr="00A10374">
              <w:rPr>
                <w:rFonts w:ascii="Times New Roman" w:hAnsi="Times New Roman"/>
                <w:lang w:val="ro-RO"/>
              </w:rPr>
              <w:t>;</w:t>
            </w:r>
          </w:p>
          <w:p w14:paraId="174A4F04" w14:textId="012ACFB2" w:rsidR="00E53868" w:rsidRPr="00A10374" w:rsidRDefault="00E53868" w:rsidP="0064027A">
            <w:pPr>
              <w:spacing w:before="120" w:after="120"/>
              <w:jc w:val="both"/>
              <w:rPr>
                <w:rFonts w:ascii="Times New Roman" w:hAnsi="Times New Roman"/>
                <w:lang w:val="ro-RO"/>
              </w:rPr>
            </w:pPr>
            <w:r w:rsidRPr="00A10374">
              <w:rPr>
                <w:rFonts w:ascii="Times New Roman" w:hAnsi="Times New Roman"/>
                <w:lang w:val="ro-RO"/>
              </w:rPr>
              <w:t>e) sub formă de contribuții ale beneficiarilor programelor de finanțare;</w:t>
            </w:r>
          </w:p>
          <w:p w14:paraId="46E154EE" w14:textId="30C1395D" w:rsidR="0064027A" w:rsidRPr="00A10374" w:rsidRDefault="00E53868" w:rsidP="0064027A">
            <w:pPr>
              <w:spacing w:before="120" w:after="120"/>
              <w:jc w:val="both"/>
              <w:rPr>
                <w:rFonts w:ascii="Times New Roman" w:hAnsi="Times New Roman"/>
                <w:lang w:val="ro-RO"/>
              </w:rPr>
            </w:pPr>
            <w:r w:rsidRPr="00A10374">
              <w:rPr>
                <w:rFonts w:ascii="Times New Roman" w:hAnsi="Times New Roman"/>
                <w:lang w:val="ro-RO"/>
              </w:rPr>
              <w:t>f</w:t>
            </w:r>
            <w:r w:rsidR="0064027A" w:rsidRPr="00A10374">
              <w:rPr>
                <w:rFonts w:ascii="Times New Roman" w:hAnsi="Times New Roman"/>
                <w:lang w:val="ro-RO"/>
              </w:rPr>
              <w:t xml:space="preserve">) alte </w:t>
            </w:r>
            <w:r w:rsidRPr="00A10374">
              <w:rPr>
                <w:rFonts w:ascii="Times New Roman" w:hAnsi="Times New Roman"/>
                <w:lang w:val="ro-RO"/>
              </w:rPr>
              <w:t xml:space="preserve">mijloace </w:t>
            </w:r>
            <w:r w:rsidR="0064027A" w:rsidRPr="00A10374">
              <w:rPr>
                <w:rFonts w:ascii="Times New Roman" w:hAnsi="Times New Roman"/>
                <w:lang w:val="ro-RO"/>
              </w:rPr>
              <w:t xml:space="preserve">financiare ce nu contravin legislației. </w:t>
            </w:r>
          </w:p>
          <w:p w14:paraId="37861351" w14:textId="54CF30A3" w:rsidR="00234AA7" w:rsidRPr="00A10374" w:rsidRDefault="00234AA7" w:rsidP="001A76A5">
            <w:pPr>
              <w:spacing w:before="120" w:after="120"/>
              <w:jc w:val="both"/>
              <w:rPr>
                <w:rFonts w:ascii="Times New Roman" w:hAnsi="Times New Roman"/>
                <w:shd w:val="clear" w:color="auto" w:fill="FFFFFF"/>
                <w:lang w:val="ro-RO"/>
              </w:rPr>
            </w:pPr>
            <w:r w:rsidRPr="00A10374">
              <w:rPr>
                <w:rFonts w:ascii="Times New Roman" w:hAnsi="Times New Roman"/>
                <w:lang w:val="ro-RO"/>
              </w:rPr>
              <w:t xml:space="preserve">Conform prevederilor pct. 19  </w:t>
            </w:r>
            <w:proofErr w:type="spellStart"/>
            <w:r w:rsidRPr="00A10374">
              <w:rPr>
                <w:rFonts w:ascii="Times New Roman" w:hAnsi="Times New Roman"/>
                <w:lang w:val="ro-RO"/>
              </w:rPr>
              <w:t>sbp</w:t>
            </w:r>
            <w:proofErr w:type="spellEnd"/>
            <w:r w:rsidRPr="00A10374">
              <w:rPr>
                <w:rFonts w:ascii="Times New Roman" w:hAnsi="Times New Roman"/>
                <w:lang w:val="ro-RO"/>
              </w:rPr>
              <w:t>. 3) din</w:t>
            </w:r>
            <w:r w:rsidR="00935E8A" w:rsidRPr="00A10374">
              <w:rPr>
                <w:rFonts w:ascii="Times New Roman" w:hAnsi="Times New Roman"/>
                <w:lang w:val="ro-RO"/>
              </w:rPr>
              <w:t xml:space="preserve"> Programul privind implementarea schemei de obligații în domeniul eficienței energetice pentru perioada 2024-2026 aprobat prin </w:t>
            </w:r>
            <w:r w:rsidRPr="00A10374">
              <w:rPr>
                <w:rFonts w:ascii="Times New Roman" w:hAnsi="Times New Roman"/>
                <w:lang w:val="ro-RO"/>
              </w:rPr>
              <w:t>Hot</w:t>
            </w:r>
            <w:r w:rsidR="00935E8A" w:rsidRPr="00A10374">
              <w:rPr>
                <w:rFonts w:ascii="Times New Roman" w:hAnsi="Times New Roman"/>
                <w:lang w:val="ro-RO"/>
              </w:rPr>
              <w:t xml:space="preserve">ărârea Guvernului nr. 1064/2023, </w:t>
            </w:r>
            <w:r w:rsidRPr="00A10374">
              <w:rPr>
                <w:rFonts w:ascii="Times New Roman" w:hAnsi="Times New Roman"/>
                <w:lang w:val="ro-RO"/>
              </w:rPr>
              <w:t xml:space="preserve">este prevăzută </w:t>
            </w:r>
            <w:r w:rsidRPr="00A10374">
              <w:rPr>
                <w:rFonts w:ascii="Times New Roman" w:hAnsi="Times New Roman"/>
                <w:shd w:val="clear" w:color="auto" w:fill="FFFFFF"/>
                <w:lang w:val="ro-RO"/>
              </w:rPr>
              <w:t xml:space="preserve">asigurarea mobilizării unei cantități estimative anuale de resurse financiare echivalentă cu circa 229  milioane lei sub formă de granturi și donații </w:t>
            </w:r>
            <w:r w:rsidRPr="00A10374">
              <w:rPr>
                <w:rFonts w:ascii="Times New Roman" w:hAnsi="Times New Roman"/>
                <w:b/>
                <w:shd w:val="clear" w:color="auto" w:fill="FFFFFF"/>
                <w:lang w:val="ro-RO"/>
              </w:rPr>
              <w:t>din partea partenerilor de dezvoltare și/sau a organizațiilor internaționale</w:t>
            </w:r>
            <w:r w:rsidRPr="00A10374">
              <w:rPr>
                <w:rFonts w:ascii="Times New Roman" w:hAnsi="Times New Roman"/>
                <w:shd w:val="clear" w:color="auto" w:fill="FFFFFF"/>
                <w:lang w:val="ro-RO"/>
              </w:rPr>
              <w:t xml:space="preserve">, care constituie 50 % din suma </w:t>
            </w:r>
            <w:r w:rsidR="00732887" w:rsidRPr="00A10374">
              <w:rPr>
                <w:rFonts w:ascii="Times New Roman" w:hAnsi="Times New Roman"/>
                <w:shd w:val="clear" w:color="auto" w:fill="FFFFFF"/>
                <w:lang w:val="ro-RO"/>
              </w:rPr>
              <w:t xml:space="preserve">echivalentă </w:t>
            </w:r>
            <w:r w:rsidRPr="00A10374">
              <w:rPr>
                <w:rFonts w:ascii="Times New Roman" w:hAnsi="Times New Roman"/>
                <w:shd w:val="clear" w:color="auto" w:fill="FFFFFF"/>
                <w:lang w:val="ro-RO"/>
              </w:rPr>
              <w:t>de 458 milioane lei prevăzută a fi acumulată anual.</w:t>
            </w:r>
          </w:p>
          <w:p w14:paraId="7E09CE21" w14:textId="323D7DE1" w:rsidR="000D762B" w:rsidRPr="00A10374" w:rsidRDefault="000D762B" w:rsidP="000D762B">
            <w:pPr>
              <w:spacing w:before="120" w:after="120"/>
              <w:jc w:val="both"/>
              <w:rPr>
                <w:rFonts w:ascii="Times New Roman" w:hAnsi="Times New Roman"/>
                <w:bCs/>
                <w:lang w:val="ro-RO"/>
              </w:rPr>
            </w:pPr>
            <w:r w:rsidRPr="00A10374">
              <w:rPr>
                <w:rFonts w:ascii="Times New Roman" w:hAnsi="Times New Roman"/>
                <w:bCs/>
                <w:lang w:val="ro-RO"/>
              </w:rPr>
              <w:t>Cu referire la mijloacele financiare din cadrul FEE este de menționat că acestea urmează a fi utilizate inclusiv pentru oferirea garanții</w:t>
            </w:r>
            <w:r w:rsidR="00FC5B9A" w:rsidRPr="00A10374">
              <w:rPr>
                <w:rFonts w:ascii="Times New Roman" w:hAnsi="Times New Roman"/>
                <w:bCs/>
                <w:lang w:val="ro-RO"/>
              </w:rPr>
              <w:t>lor și a compensațiilor financiare</w:t>
            </w:r>
            <w:r w:rsidRPr="00A10374">
              <w:rPr>
                <w:rFonts w:ascii="Times New Roman" w:hAnsi="Times New Roman"/>
                <w:bCs/>
                <w:lang w:val="ro-RO"/>
              </w:rPr>
              <w:t xml:space="preserve"> prin intermediul </w:t>
            </w:r>
            <w:r w:rsidR="00FC5B9A" w:rsidRPr="00A10374">
              <w:rPr>
                <w:rFonts w:ascii="Times New Roman" w:hAnsi="Times New Roman"/>
                <w:bCs/>
                <w:lang w:val="ro-RO"/>
              </w:rPr>
              <w:br/>
            </w:r>
            <w:r w:rsidRPr="00A10374">
              <w:rPr>
                <w:rFonts w:ascii="Times New Roman" w:hAnsi="Times New Roman"/>
                <w:bCs/>
                <w:lang w:val="ro-RO"/>
              </w:rPr>
              <w:t xml:space="preserve">IP CNED. </w:t>
            </w:r>
          </w:p>
          <w:p w14:paraId="5D009F36" w14:textId="7F6BC534" w:rsidR="001A36CD" w:rsidRPr="00A10374" w:rsidRDefault="00FB2C39" w:rsidP="000D762B">
            <w:pPr>
              <w:spacing w:before="120" w:after="120"/>
              <w:jc w:val="both"/>
              <w:rPr>
                <w:rFonts w:ascii="Times New Roman" w:hAnsi="Times New Roman"/>
                <w:bCs/>
                <w:lang w:val="ro-RO"/>
              </w:rPr>
            </w:pPr>
            <w:r w:rsidRPr="00A10374">
              <w:rPr>
                <w:rFonts w:ascii="Times New Roman" w:hAnsi="Times New Roman"/>
                <w:bCs/>
                <w:lang w:val="ro-RO"/>
              </w:rPr>
              <w:t xml:space="preserve">Instituirea </w:t>
            </w:r>
            <w:r w:rsidR="00836669" w:rsidRPr="00A10374">
              <w:rPr>
                <w:rFonts w:ascii="Times New Roman" w:hAnsi="Times New Roman"/>
                <w:bCs/>
                <w:lang w:val="ro-RO"/>
              </w:rPr>
              <w:t>acest</w:t>
            </w:r>
            <w:r w:rsidR="001A36CD" w:rsidRPr="00A10374">
              <w:rPr>
                <w:rFonts w:ascii="Times New Roman" w:hAnsi="Times New Roman"/>
                <w:bCs/>
                <w:lang w:val="ro-RO"/>
              </w:rPr>
              <w:t>ui</w:t>
            </w:r>
            <w:r w:rsidR="00836669" w:rsidRPr="00A10374">
              <w:rPr>
                <w:rFonts w:ascii="Times New Roman" w:hAnsi="Times New Roman"/>
                <w:bCs/>
                <w:lang w:val="ro-RO"/>
              </w:rPr>
              <w:t xml:space="preserve"> </w:t>
            </w:r>
            <w:r w:rsidRPr="00A10374">
              <w:rPr>
                <w:rFonts w:ascii="Times New Roman" w:hAnsi="Times New Roman"/>
                <w:bCs/>
                <w:lang w:val="ro-RO"/>
              </w:rPr>
              <w:t xml:space="preserve">instrument de finanțare </w:t>
            </w:r>
            <w:r w:rsidR="00836669" w:rsidRPr="00A10374">
              <w:rPr>
                <w:rFonts w:ascii="Times New Roman" w:hAnsi="Times New Roman"/>
                <w:bCs/>
                <w:lang w:val="ro-RO"/>
              </w:rPr>
              <w:t xml:space="preserve"> a fost </w:t>
            </w:r>
            <w:r w:rsidR="000D762B" w:rsidRPr="00A10374">
              <w:rPr>
                <w:rFonts w:ascii="Times New Roman" w:hAnsi="Times New Roman"/>
                <w:bCs/>
                <w:lang w:val="ro-RO"/>
              </w:rPr>
              <w:t>identificată ca fiind una necesară, ca rezultat al discuțiilor purtate cu băncile comerciale din Republica Moldova, care pentru oferirea mijloacelor financiare</w:t>
            </w:r>
            <w:r w:rsidR="00916FA7" w:rsidRPr="00A10374">
              <w:rPr>
                <w:rFonts w:ascii="Times New Roman" w:hAnsi="Times New Roman"/>
                <w:bCs/>
                <w:lang w:val="ro-RO"/>
              </w:rPr>
              <w:t>, sub formă de împr</w:t>
            </w:r>
            <w:r w:rsidRPr="00A10374">
              <w:rPr>
                <w:rFonts w:ascii="Times New Roman" w:hAnsi="Times New Roman"/>
                <w:bCs/>
                <w:lang w:val="ro-RO"/>
              </w:rPr>
              <w:t>umuturi</w:t>
            </w:r>
            <w:r w:rsidR="000D762B" w:rsidRPr="00A10374">
              <w:rPr>
                <w:rFonts w:ascii="Times New Roman" w:hAnsi="Times New Roman"/>
                <w:bCs/>
                <w:lang w:val="ro-RO"/>
              </w:rPr>
              <w:t xml:space="preserve"> Asociațiilor de Proprietari în condominiu în vederea finanțării sau cofinanțării proiectelor de eficiență energetică</w:t>
            </w:r>
            <w:r w:rsidRPr="00A10374">
              <w:rPr>
                <w:rFonts w:ascii="Times New Roman" w:hAnsi="Times New Roman"/>
                <w:bCs/>
                <w:lang w:val="ro-RO"/>
              </w:rPr>
              <w:t xml:space="preserve"> și/sau valorificării</w:t>
            </w:r>
            <w:r w:rsidR="00916FA7" w:rsidRPr="00A10374">
              <w:rPr>
                <w:rFonts w:ascii="Times New Roman" w:hAnsi="Times New Roman"/>
                <w:bCs/>
                <w:lang w:val="ro-RO"/>
              </w:rPr>
              <w:t xml:space="preserve"> surselor regenerabile de energie au nevoie de garanții financiare, pe motiv de lipsă a activelor din partea Asociațiilor de Proprietari în condominiu, ce ar putea fi oferite ca gaj </w:t>
            </w:r>
            <w:r w:rsidR="0047367C" w:rsidRPr="00A10374">
              <w:rPr>
                <w:rFonts w:ascii="Times New Roman" w:hAnsi="Times New Roman"/>
                <w:bCs/>
                <w:lang w:val="ro-RO"/>
              </w:rPr>
              <w:t>pentru</w:t>
            </w:r>
            <w:r w:rsidR="00916FA7" w:rsidRPr="00A10374">
              <w:rPr>
                <w:rFonts w:ascii="Times New Roman" w:hAnsi="Times New Roman"/>
                <w:bCs/>
                <w:lang w:val="ro-RO"/>
              </w:rPr>
              <w:t xml:space="preserve"> obț</w:t>
            </w:r>
            <w:r w:rsidR="0047367C" w:rsidRPr="00A10374">
              <w:rPr>
                <w:rFonts w:ascii="Times New Roman" w:hAnsi="Times New Roman"/>
                <w:bCs/>
                <w:lang w:val="ro-RO"/>
              </w:rPr>
              <w:t xml:space="preserve">inerea </w:t>
            </w:r>
            <w:r w:rsidR="00916FA7" w:rsidRPr="00A10374">
              <w:rPr>
                <w:rFonts w:ascii="Times New Roman" w:hAnsi="Times New Roman"/>
                <w:bCs/>
                <w:lang w:val="ro-RO"/>
              </w:rPr>
              <w:t>acestor împrumuturi.</w:t>
            </w:r>
            <w:r w:rsidR="00836669" w:rsidRPr="00A10374">
              <w:rPr>
                <w:rFonts w:ascii="Times New Roman" w:hAnsi="Times New Roman"/>
                <w:bCs/>
                <w:lang w:val="ro-RO"/>
              </w:rPr>
              <w:t xml:space="preserve"> </w:t>
            </w:r>
          </w:p>
          <w:p w14:paraId="022650CF" w14:textId="64795ECA" w:rsidR="000D762B" w:rsidRPr="00A10374" w:rsidRDefault="001A36CD" w:rsidP="000D762B">
            <w:pPr>
              <w:spacing w:before="120" w:after="120"/>
              <w:jc w:val="both"/>
              <w:rPr>
                <w:rFonts w:ascii="Times New Roman" w:hAnsi="Times New Roman"/>
                <w:bCs/>
                <w:lang w:val="ro-RO"/>
              </w:rPr>
            </w:pPr>
            <w:r w:rsidRPr="00A10374">
              <w:rPr>
                <w:rFonts w:ascii="Times New Roman" w:hAnsi="Times New Roman"/>
                <w:bCs/>
                <w:lang w:val="ro-RO"/>
              </w:rPr>
              <w:t>De asemenea a</w:t>
            </w:r>
            <w:r w:rsidR="00836669" w:rsidRPr="00A10374">
              <w:rPr>
                <w:rFonts w:ascii="Times New Roman" w:hAnsi="Times New Roman"/>
                <w:bCs/>
                <w:lang w:val="ro-RO"/>
              </w:rPr>
              <w:t xml:space="preserve">cordarea </w:t>
            </w:r>
            <w:r w:rsidRPr="00A10374">
              <w:rPr>
                <w:rFonts w:ascii="Times New Roman" w:hAnsi="Times New Roman"/>
                <w:bCs/>
                <w:lang w:val="ro-RO"/>
              </w:rPr>
              <w:t>suportului</w:t>
            </w:r>
            <w:r w:rsidR="00836669" w:rsidRPr="00A10374">
              <w:rPr>
                <w:rFonts w:ascii="Times New Roman" w:hAnsi="Times New Roman"/>
                <w:bCs/>
                <w:lang w:val="ro-RO"/>
              </w:rPr>
              <w:t xml:space="preserve"> financiar pentru compensarea parțială a ratei </w:t>
            </w:r>
            <w:r w:rsidRPr="00A10374">
              <w:rPr>
                <w:rFonts w:ascii="Times New Roman" w:hAnsi="Times New Roman"/>
                <w:bCs/>
                <w:lang w:val="ro-RO"/>
              </w:rPr>
              <w:t>dobânzii</w:t>
            </w:r>
            <w:r w:rsidR="00836669" w:rsidRPr="00A10374">
              <w:rPr>
                <w:rFonts w:ascii="Times New Roman" w:hAnsi="Times New Roman"/>
                <w:bCs/>
                <w:lang w:val="ro-RO"/>
              </w:rPr>
              <w:t xml:space="preserve"> la creditele obținute de către Asociațiile de </w:t>
            </w:r>
            <w:r w:rsidR="00F45638" w:rsidRPr="00A10374">
              <w:rPr>
                <w:rFonts w:ascii="Times New Roman" w:hAnsi="Times New Roman"/>
                <w:bCs/>
                <w:lang w:val="ro-RO"/>
              </w:rPr>
              <w:t>p</w:t>
            </w:r>
            <w:r w:rsidR="00836669" w:rsidRPr="00A10374">
              <w:rPr>
                <w:rFonts w:ascii="Times New Roman" w:hAnsi="Times New Roman"/>
                <w:bCs/>
                <w:lang w:val="ro-RO"/>
              </w:rPr>
              <w:t xml:space="preserve">roprietari în </w:t>
            </w:r>
            <w:r w:rsidR="00F45638" w:rsidRPr="00A10374">
              <w:rPr>
                <w:rFonts w:ascii="Times New Roman" w:hAnsi="Times New Roman"/>
                <w:bCs/>
                <w:lang w:val="ro-RO"/>
              </w:rPr>
              <w:t>c</w:t>
            </w:r>
            <w:r w:rsidR="00836669" w:rsidRPr="00A10374">
              <w:rPr>
                <w:rFonts w:ascii="Times New Roman" w:hAnsi="Times New Roman"/>
                <w:bCs/>
                <w:lang w:val="ro-RO"/>
              </w:rPr>
              <w:t>ondominiu de la băncile comerciale</w:t>
            </w:r>
            <w:r w:rsidR="00A02EE4" w:rsidRPr="00A10374">
              <w:rPr>
                <w:rFonts w:ascii="Times New Roman" w:hAnsi="Times New Roman"/>
                <w:bCs/>
                <w:lang w:val="ro-RO"/>
              </w:rPr>
              <w:t xml:space="preserve"> și organizațiile de creditare nebancare</w:t>
            </w:r>
            <w:r w:rsidR="00836669" w:rsidRPr="00A10374">
              <w:rPr>
                <w:rFonts w:ascii="Times New Roman" w:hAnsi="Times New Roman"/>
                <w:bCs/>
                <w:lang w:val="ro-RO"/>
              </w:rPr>
              <w:t xml:space="preserve"> din Republica Moldova, pentru finanțarea proiectelor de eficiență energetică și/sau valorificare a surselor regenerabile de energie în clădirile din proprietatea acestora, reprezintă la fel un instrument financiar identificat ca fiind necesar în vederea impulsionării implementării proiectelor de eficiență energetică în cadrul Asociațiilor de </w:t>
            </w:r>
            <w:r w:rsidR="00F45638" w:rsidRPr="00A10374">
              <w:rPr>
                <w:rFonts w:ascii="Times New Roman" w:hAnsi="Times New Roman"/>
                <w:bCs/>
                <w:lang w:val="ro-RO"/>
              </w:rPr>
              <w:t>p</w:t>
            </w:r>
            <w:r w:rsidR="00836669" w:rsidRPr="00A10374">
              <w:rPr>
                <w:rFonts w:ascii="Times New Roman" w:hAnsi="Times New Roman"/>
                <w:bCs/>
                <w:lang w:val="ro-RO"/>
              </w:rPr>
              <w:t xml:space="preserve">roprietari în </w:t>
            </w:r>
            <w:r w:rsidR="00F45638" w:rsidRPr="00A10374">
              <w:rPr>
                <w:rFonts w:ascii="Times New Roman" w:hAnsi="Times New Roman"/>
                <w:bCs/>
                <w:lang w:val="ro-RO"/>
              </w:rPr>
              <w:t>c</w:t>
            </w:r>
            <w:r w:rsidR="00836669" w:rsidRPr="00A10374">
              <w:rPr>
                <w:rFonts w:ascii="Times New Roman" w:hAnsi="Times New Roman"/>
                <w:bCs/>
                <w:lang w:val="ro-RO"/>
              </w:rPr>
              <w:t>ondominiu.</w:t>
            </w:r>
            <w:r w:rsidR="00916FA7" w:rsidRPr="00A10374">
              <w:rPr>
                <w:rFonts w:ascii="Times New Roman" w:hAnsi="Times New Roman"/>
                <w:bCs/>
                <w:lang w:val="ro-RO"/>
              </w:rPr>
              <w:t xml:space="preserve"> Prin urmare, lipsa </w:t>
            </w:r>
            <w:r w:rsidR="00F45638" w:rsidRPr="00A10374">
              <w:rPr>
                <w:rFonts w:ascii="Times New Roman" w:hAnsi="Times New Roman"/>
                <w:bCs/>
                <w:lang w:val="ro-RO"/>
              </w:rPr>
              <w:t xml:space="preserve">unor astfel de </w:t>
            </w:r>
            <w:r w:rsidR="00FB2C39" w:rsidRPr="00A10374">
              <w:rPr>
                <w:rFonts w:ascii="Times New Roman" w:hAnsi="Times New Roman"/>
                <w:bCs/>
                <w:lang w:val="ro-RO"/>
              </w:rPr>
              <w:t>instrument</w:t>
            </w:r>
            <w:r w:rsidR="00F45638" w:rsidRPr="00A10374">
              <w:rPr>
                <w:rFonts w:ascii="Times New Roman" w:hAnsi="Times New Roman"/>
                <w:bCs/>
                <w:lang w:val="ro-RO"/>
              </w:rPr>
              <w:t>e</w:t>
            </w:r>
            <w:r w:rsidR="00916FA7" w:rsidRPr="00A10374">
              <w:rPr>
                <w:rFonts w:ascii="Times New Roman" w:hAnsi="Times New Roman"/>
                <w:bCs/>
                <w:lang w:val="ro-RO"/>
              </w:rPr>
              <w:t xml:space="preserve"> de finanțare</w:t>
            </w:r>
            <w:r w:rsidR="0047367C" w:rsidRPr="00A10374">
              <w:rPr>
                <w:rFonts w:ascii="Times New Roman" w:hAnsi="Times New Roman"/>
                <w:bCs/>
                <w:lang w:val="ro-RO"/>
              </w:rPr>
              <w:t>,</w:t>
            </w:r>
            <w:r w:rsidR="00916FA7" w:rsidRPr="00A10374">
              <w:rPr>
                <w:rFonts w:ascii="Times New Roman" w:hAnsi="Times New Roman"/>
                <w:bCs/>
                <w:lang w:val="ro-RO"/>
              </w:rPr>
              <w:t xml:space="preserve"> </w:t>
            </w:r>
            <w:r w:rsidR="00FB2C39" w:rsidRPr="00A10374">
              <w:rPr>
                <w:rFonts w:ascii="Times New Roman" w:hAnsi="Times New Roman"/>
                <w:bCs/>
                <w:lang w:val="ro-RO"/>
              </w:rPr>
              <w:t xml:space="preserve">din partea altor entități decât cele bancare, </w:t>
            </w:r>
            <w:r w:rsidR="00916FA7" w:rsidRPr="00A10374">
              <w:rPr>
                <w:rFonts w:ascii="Times New Roman" w:hAnsi="Times New Roman"/>
                <w:bCs/>
                <w:lang w:val="ro-RO"/>
              </w:rPr>
              <w:t>care ar asigura oferirea garanții</w:t>
            </w:r>
            <w:r w:rsidR="0047367C" w:rsidRPr="00A10374">
              <w:rPr>
                <w:rFonts w:ascii="Times New Roman" w:hAnsi="Times New Roman"/>
                <w:bCs/>
                <w:lang w:val="ro-RO"/>
              </w:rPr>
              <w:t>lor</w:t>
            </w:r>
            <w:r w:rsidR="00916FA7" w:rsidRPr="00A10374">
              <w:rPr>
                <w:rFonts w:ascii="Times New Roman" w:hAnsi="Times New Roman"/>
                <w:bCs/>
                <w:lang w:val="ro-RO"/>
              </w:rPr>
              <w:t xml:space="preserve"> financiare</w:t>
            </w:r>
            <w:r w:rsidR="00F45638" w:rsidRPr="00A10374">
              <w:rPr>
                <w:rFonts w:ascii="Times New Roman" w:hAnsi="Times New Roman"/>
                <w:bCs/>
                <w:lang w:val="ro-RO"/>
              </w:rPr>
              <w:t xml:space="preserve"> și a compensațiilor financiare conform descrierilor de mai sus</w:t>
            </w:r>
            <w:r w:rsidR="00916FA7" w:rsidRPr="00A10374">
              <w:rPr>
                <w:rFonts w:ascii="Times New Roman" w:hAnsi="Times New Roman"/>
                <w:bCs/>
                <w:lang w:val="ro-RO"/>
              </w:rPr>
              <w:t xml:space="preserve">, reprezintă un impediment </w:t>
            </w:r>
            <w:r w:rsidR="0047367C" w:rsidRPr="00A10374">
              <w:rPr>
                <w:rFonts w:ascii="Times New Roman" w:hAnsi="Times New Roman"/>
                <w:bCs/>
                <w:lang w:val="ro-RO"/>
              </w:rPr>
              <w:t xml:space="preserve">pentru Asociațiile de proprietari în condominiu </w:t>
            </w:r>
            <w:r w:rsidR="00916FA7" w:rsidRPr="00A10374">
              <w:rPr>
                <w:rFonts w:ascii="Times New Roman" w:hAnsi="Times New Roman"/>
                <w:bCs/>
                <w:lang w:val="ro-RO"/>
              </w:rPr>
              <w:t>în procesul de identificare a mijloacelor financiare</w:t>
            </w:r>
            <w:r w:rsidR="0047367C" w:rsidRPr="00A10374">
              <w:rPr>
                <w:rFonts w:ascii="Times New Roman" w:hAnsi="Times New Roman"/>
                <w:bCs/>
                <w:lang w:val="ro-RO"/>
              </w:rPr>
              <w:t>,</w:t>
            </w:r>
            <w:r w:rsidR="00916FA7" w:rsidRPr="00A10374">
              <w:rPr>
                <w:rFonts w:ascii="Times New Roman" w:hAnsi="Times New Roman"/>
                <w:bCs/>
                <w:lang w:val="ro-RO"/>
              </w:rPr>
              <w:t xml:space="preserve"> pentru </w:t>
            </w:r>
            <w:r w:rsidR="0047367C" w:rsidRPr="00A10374">
              <w:rPr>
                <w:rFonts w:ascii="Times New Roman" w:hAnsi="Times New Roman"/>
                <w:bCs/>
                <w:lang w:val="ro-RO"/>
              </w:rPr>
              <w:t>finanțarea integrală sau cofinanțarea (în vederea asigurării</w:t>
            </w:r>
            <w:r w:rsidR="00916FA7" w:rsidRPr="00A10374">
              <w:rPr>
                <w:rFonts w:ascii="Times New Roman" w:hAnsi="Times New Roman"/>
                <w:bCs/>
                <w:lang w:val="ro-RO"/>
              </w:rPr>
              <w:t xml:space="preserve"> contribuției proprii </w:t>
            </w:r>
            <w:r w:rsidR="0047367C" w:rsidRPr="00A10374">
              <w:rPr>
                <w:rFonts w:ascii="Times New Roman" w:hAnsi="Times New Roman"/>
                <w:bCs/>
                <w:lang w:val="ro-RO"/>
              </w:rPr>
              <w:t>necesare) proiectelor de eficiență energetică și/sau valorificare a surselor regenerabile de energie în cadrul acestora</w:t>
            </w:r>
            <w:r w:rsidR="00177703" w:rsidRPr="00A10374">
              <w:rPr>
                <w:rFonts w:ascii="Times New Roman" w:hAnsi="Times New Roman"/>
                <w:bCs/>
                <w:lang w:val="ro-RO"/>
              </w:rPr>
              <w:t>, în special prin intermediul produselor financiare lansate de IP CNED.</w:t>
            </w:r>
            <w:r w:rsidR="0047367C" w:rsidRPr="00A10374">
              <w:rPr>
                <w:rFonts w:ascii="Times New Roman" w:hAnsi="Times New Roman"/>
                <w:bCs/>
                <w:lang w:val="ro-RO"/>
              </w:rPr>
              <w:t xml:space="preserve">  </w:t>
            </w:r>
            <w:r w:rsidR="00916FA7" w:rsidRPr="00A10374">
              <w:rPr>
                <w:rFonts w:ascii="Times New Roman" w:hAnsi="Times New Roman"/>
                <w:bCs/>
                <w:lang w:val="ro-RO"/>
              </w:rPr>
              <w:t xml:space="preserve"> </w:t>
            </w:r>
            <w:r w:rsidR="000D762B" w:rsidRPr="00A10374">
              <w:rPr>
                <w:rFonts w:ascii="Times New Roman" w:hAnsi="Times New Roman"/>
                <w:bCs/>
                <w:lang w:val="ro-RO"/>
              </w:rPr>
              <w:t xml:space="preserve">     </w:t>
            </w:r>
          </w:p>
          <w:p w14:paraId="2D9FE7F0" w14:textId="09487943" w:rsidR="00234AA7" w:rsidRPr="00A10374" w:rsidRDefault="00234AA7"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Având în vedere cele menționate mai sus, </w:t>
            </w:r>
            <w:r w:rsidR="00267618" w:rsidRPr="00A10374">
              <w:rPr>
                <w:rFonts w:ascii="Times New Roman" w:hAnsi="Times New Roman"/>
                <w:shd w:val="clear" w:color="auto" w:fill="FFFFFF"/>
                <w:lang w:val="ro-RO"/>
              </w:rPr>
              <w:t>pentru asigurarea</w:t>
            </w:r>
            <w:r w:rsidRPr="00A10374">
              <w:rPr>
                <w:rFonts w:ascii="Times New Roman" w:hAnsi="Times New Roman"/>
                <w:shd w:val="clear" w:color="auto" w:fill="FFFFFF"/>
                <w:lang w:val="ro-RO"/>
              </w:rPr>
              <w:t xml:space="preserve"> durabilități</w:t>
            </w:r>
            <w:r w:rsidR="00267618" w:rsidRPr="00A10374">
              <w:rPr>
                <w:rFonts w:ascii="Times New Roman" w:hAnsi="Times New Roman"/>
                <w:shd w:val="clear" w:color="auto" w:fill="FFFFFF"/>
                <w:lang w:val="ro-RO"/>
              </w:rPr>
              <w:t>i și stabilității</w:t>
            </w:r>
            <w:r w:rsidRPr="00A10374">
              <w:rPr>
                <w:rFonts w:ascii="Times New Roman" w:hAnsi="Times New Roman"/>
                <w:shd w:val="clear" w:color="auto" w:fill="FFFFFF"/>
                <w:lang w:val="ro-RO"/>
              </w:rPr>
              <w:t xml:space="preserve"> în timp a</w:t>
            </w:r>
            <w:r w:rsidR="00267618" w:rsidRPr="00A10374">
              <w:rPr>
                <w:rFonts w:ascii="Times New Roman" w:hAnsi="Times New Roman"/>
                <w:shd w:val="clear" w:color="auto" w:fill="FFFFFF"/>
                <w:lang w:val="ro-RO"/>
              </w:rPr>
              <w:t xml:space="preserve"> mecanismelor de finanțare a investițiilor în domeniul eficienței energetice se impune instituirea unui cadru de finanțare sub forma Fondului pentru Eficiență Energetică</w:t>
            </w:r>
            <w:r w:rsidR="005F1688" w:rsidRPr="00A10374">
              <w:rPr>
                <w:rFonts w:ascii="Times New Roman" w:hAnsi="Times New Roman"/>
                <w:shd w:val="clear" w:color="auto" w:fill="FFFFFF"/>
                <w:lang w:val="ro-RO"/>
              </w:rPr>
              <w:t>.</w:t>
            </w:r>
            <w:r w:rsidRPr="00A10374">
              <w:rPr>
                <w:rFonts w:ascii="Times New Roman" w:hAnsi="Times New Roman"/>
                <w:shd w:val="clear" w:color="auto" w:fill="FFFFFF"/>
                <w:lang w:val="ro-RO"/>
              </w:rPr>
              <w:t xml:space="preserve"> </w:t>
            </w:r>
            <w:r w:rsidR="00267618" w:rsidRPr="00A10374">
              <w:rPr>
                <w:rFonts w:ascii="Times New Roman" w:hAnsi="Times New Roman"/>
                <w:shd w:val="clear" w:color="auto" w:fill="FFFFFF"/>
                <w:lang w:val="ro-RO"/>
              </w:rPr>
              <w:t xml:space="preserve">Acest format, în calitate de sursă principală de finanțare va </w:t>
            </w:r>
            <w:r w:rsidRPr="00A10374">
              <w:rPr>
                <w:rFonts w:ascii="Times New Roman" w:hAnsi="Times New Roman"/>
                <w:shd w:val="clear" w:color="auto" w:fill="FFFFFF"/>
                <w:lang w:val="ro-RO"/>
              </w:rPr>
              <w:t>crește încreder</w:t>
            </w:r>
            <w:r w:rsidR="00267618" w:rsidRPr="00A10374">
              <w:rPr>
                <w:rFonts w:ascii="Times New Roman" w:hAnsi="Times New Roman"/>
                <w:shd w:val="clear" w:color="auto" w:fill="FFFFFF"/>
                <w:lang w:val="ro-RO"/>
              </w:rPr>
              <w:t>ea</w:t>
            </w:r>
            <w:r w:rsidRPr="00A10374">
              <w:rPr>
                <w:rFonts w:ascii="Times New Roman" w:hAnsi="Times New Roman"/>
                <w:shd w:val="clear" w:color="auto" w:fill="FFFFFF"/>
                <w:lang w:val="ro-RO"/>
              </w:rPr>
              <w:t xml:space="preserve"> partenerilor de dezvoltare </w:t>
            </w:r>
            <w:r w:rsidR="00AF33DA" w:rsidRPr="00A10374">
              <w:rPr>
                <w:rFonts w:ascii="Times New Roman" w:hAnsi="Times New Roman"/>
                <w:shd w:val="clear" w:color="auto" w:fill="FFFFFF"/>
                <w:lang w:val="ro-RO"/>
              </w:rPr>
              <w:t xml:space="preserve">în </w:t>
            </w:r>
            <w:r w:rsidR="00267618" w:rsidRPr="00A10374">
              <w:rPr>
                <w:rFonts w:ascii="Times New Roman" w:hAnsi="Times New Roman"/>
                <w:shd w:val="clear" w:color="auto" w:fill="FFFFFF"/>
                <w:lang w:val="ro-RO"/>
              </w:rPr>
              <w:t>sustenabilitatea Programelor</w:t>
            </w:r>
            <w:r w:rsidR="00A40344" w:rsidRPr="00A10374">
              <w:rPr>
                <w:rFonts w:ascii="Times New Roman" w:hAnsi="Times New Roman"/>
                <w:shd w:val="clear" w:color="auto" w:fill="FFFFFF"/>
                <w:lang w:val="ro-RO"/>
              </w:rPr>
              <w:t xml:space="preserve"> </w:t>
            </w:r>
            <w:r w:rsidRPr="00A10374">
              <w:rPr>
                <w:rFonts w:ascii="Times New Roman" w:hAnsi="Times New Roman"/>
                <w:shd w:val="clear" w:color="auto" w:fill="FFFFFF"/>
                <w:lang w:val="ro-RO"/>
              </w:rPr>
              <w:t>de finanțare</w:t>
            </w:r>
            <w:r w:rsidR="00267618" w:rsidRPr="00A10374">
              <w:rPr>
                <w:rFonts w:ascii="Times New Roman" w:hAnsi="Times New Roman"/>
                <w:shd w:val="clear" w:color="auto" w:fill="FFFFFF"/>
                <w:lang w:val="ro-RO"/>
              </w:rPr>
              <w:t xml:space="preserve"> aprobate de Guvern</w:t>
            </w:r>
            <w:r w:rsidR="00400E8D" w:rsidRPr="00A10374">
              <w:rPr>
                <w:rFonts w:ascii="Times New Roman" w:hAnsi="Times New Roman"/>
                <w:shd w:val="clear" w:color="auto" w:fill="FFFFFF"/>
                <w:lang w:val="ro-RO"/>
              </w:rPr>
              <w:t>.</w:t>
            </w:r>
            <w:r w:rsidRPr="00A10374">
              <w:rPr>
                <w:rFonts w:ascii="Times New Roman" w:hAnsi="Times New Roman"/>
                <w:shd w:val="clear" w:color="auto" w:fill="FFFFFF"/>
                <w:lang w:val="ro-RO"/>
              </w:rPr>
              <w:t xml:space="preserve"> </w:t>
            </w:r>
            <w:r w:rsidR="00267618" w:rsidRPr="00A10374">
              <w:rPr>
                <w:rFonts w:ascii="Times New Roman" w:hAnsi="Times New Roman"/>
                <w:shd w:val="clear" w:color="auto" w:fill="FFFFFF"/>
                <w:lang w:val="ro-RO"/>
              </w:rPr>
              <w:t>Încrederea partenerilor de dezvoltare va crea premise pentru aportul acestora sub formă de contribuții</w:t>
            </w:r>
            <w:r w:rsidRPr="00A10374">
              <w:rPr>
                <w:rFonts w:ascii="Times New Roman" w:hAnsi="Times New Roman"/>
                <w:shd w:val="clear" w:color="auto" w:fill="FFFFFF"/>
                <w:lang w:val="ro-RO"/>
              </w:rPr>
              <w:t xml:space="preserve"> financiare necesare pentru </w:t>
            </w:r>
            <w:r w:rsidRPr="00A10374">
              <w:rPr>
                <w:rFonts w:ascii="Times New Roman" w:hAnsi="Times New Roman"/>
                <w:shd w:val="clear" w:color="auto" w:fill="FFFFFF"/>
                <w:lang w:val="ro-RO"/>
              </w:rPr>
              <w:lastRenderedPageBreak/>
              <w:t xml:space="preserve">implementarea proiectelor de </w:t>
            </w:r>
            <w:r w:rsidR="00935E8A" w:rsidRPr="00A10374">
              <w:rPr>
                <w:rFonts w:ascii="Times New Roman" w:hAnsi="Times New Roman"/>
                <w:shd w:val="clear" w:color="auto" w:fill="FFFFFF"/>
                <w:lang w:val="ro-RO"/>
              </w:rPr>
              <w:t>eficiență energetică (</w:t>
            </w:r>
            <w:r w:rsidRPr="00A10374">
              <w:rPr>
                <w:rFonts w:ascii="Times New Roman" w:hAnsi="Times New Roman"/>
                <w:shd w:val="clear" w:color="auto" w:fill="FFFFFF"/>
                <w:lang w:val="ro-RO"/>
              </w:rPr>
              <w:t>EE</w:t>
            </w:r>
            <w:r w:rsidR="00935E8A" w:rsidRPr="00A10374">
              <w:rPr>
                <w:rFonts w:ascii="Times New Roman" w:hAnsi="Times New Roman"/>
                <w:shd w:val="clear" w:color="auto" w:fill="FFFFFF"/>
                <w:lang w:val="ro-RO"/>
              </w:rPr>
              <w:t>)</w:t>
            </w:r>
            <w:r w:rsidRPr="00A10374">
              <w:rPr>
                <w:rFonts w:ascii="Times New Roman" w:hAnsi="Times New Roman"/>
                <w:shd w:val="clear" w:color="auto" w:fill="FFFFFF"/>
                <w:lang w:val="ro-RO"/>
              </w:rPr>
              <w:t xml:space="preserve"> și/sau valorificare a </w:t>
            </w:r>
            <w:r w:rsidR="00935E8A" w:rsidRPr="00A10374">
              <w:rPr>
                <w:rFonts w:ascii="Times New Roman" w:hAnsi="Times New Roman"/>
                <w:shd w:val="clear" w:color="auto" w:fill="FFFFFF"/>
                <w:lang w:val="ro-RO"/>
              </w:rPr>
              <w:t xml:space="preserve">surselor </w:t>
            </w:r>
            <w:r w:rsidR="00916FA7" w:rsidRPr="00A10374">
              <w:rPr>
                <w:rFonts w:ascii="Times New Roman" w:hAnsi="Times New Roman"/>
                <w:shd w:val="clear" w:color="auto" w:fill="FFFFFF"/>
                <w:lang w:val="ro-RO"/>
              </w:rPr>
              <w:t xml:space="preserve">regenerabile </w:t>
            </w:r>
            <w:r w:rsidR="00935E8A" w:rsidRPr="00A10374">
              <w:rPr>
                <w:rFonts w:ascii="Times New Roman" w:hAnsi="Times New Roman"/>
                <w:shd w:val="clear" w:color="auto" w:fill="FFFFFF"/>
                <w:lang w:val="ro-RO"/>
              </w:rPr>
              <w:t>de energie</w:t>
            </w:r>
            <w:r w:rsidR="00267618" w:rsidRPr="00A10374">
              <w:rPr>
                <w:rFonts w:ascii="Times New Roman" w:hAnsi="Times New Roman"/>
                <w:shd w:val="clear" w:color="auto" w:fill="FFFFFF"/>
                <w:lang w:val="ro-RO"/>
              </w:rPr>
              <w:t>. Astfel,</w:t>
            </w:r>
            <w:r w:rsidRPr="00A10374">
              <w:rPr>
                <w:rFonts w:ascii="Times New Roman" w:hAnsi="Times New Roman"/>
                <w:shd w:val="clear" w:color="auto" w:fill="FFFFFF"/>
                <w:lang w:val="ro-RO"/>
              </w:rPr>
              <w:t xml:space="preserve"> </w:t>
            </w:r>
            <w:r w:rsidR="00AF33DA" w:rsidRPr="00A10374">
              <w:rPr>
                <w:rFonts w:ascii="Times New Roman" w:hAnsi="Times New Roman"/>
                <w:shd w:val="clear" w:color="auto" w:fill="FFFFFF"/>
                <w:lang w:val="ro-RO"/>
              </w:rPr>
              <w:t>este necesară</w:t>
            </w:r>
            <w:r w:rsidRPr="00A10374">
              <w:rPr>
                <w:rFonts w:ascii="Times New Roman" w:hAnsi="Times New Roman"/>
                <w:shd w:val="clear" w:color="auto" w:fill="FFFFFF"/>
                <w:lang w:val="ro-RO"/>
              </w:rPr>
              <w:t xml:space="preserve"> </w:t>
            </w:r>
            <w:r w:rsidR="00AF33DA" w:rsidRPr="00A10374">
              <w:rPr>
                <w:rFonts w:ascii="Times New Roman" w:hAnsi="Times New Roman"/>
                <w:shd w:val="clear" w:color="auto" w:fill="FFFFFF"/>
                <w:lang w:val="ro-RO"/>
              </w:rPr>
              <w:t>includerea</w:t>
            </w:r>
            <w:r w:rsidRPr="00A10374">
              <w:rPr>
                <w:rFonts w:ascii="Times New Roman" w:hAnsi="Times New Roman"/>
                <w:shd w:val="clear" w:color="auto" w:fill="FFFFFF"/>
                <w:lang w:val="ro-RO"/>
              </w:rPr>
              <w:t xml:space="preserve"> unor prevederi în Legea nr. 139/2018 cu privire la eficiența energetică care să reglementeze la nivel primar instituirea </w:t>
            </w:r>
            <w:r w:rsidR="00A40344" w:rsidRPr="00A10374">
              <w:rPr>
                <w:rFonts w:ascii="Times New Roman" w:hAnsi="Times New Roman"/>
                <w:shd w:val="clear" w:color="auto" w:fill="FFFFFF"/>
                <w:lang w:val="ro-RO"/>
              </w:rPr>
              <w:t>FEE</w:t>
            </w:r>
            <w:r w:rsidR="009C6EEE" w:rsidRPr="00A10374">
              <w:rPr>
                <w:rFonts w:ascii="Times New Roman" w:hAnsi="Times New Roman"/>
                <w:shd w:val="clear" w:color="auto" w:fill="FFFFFF"/>
                <w:lang w:val="ro-RO"/>
              </w:rPr>
              <w:t xml:space="preserve">, </w:t>
            </w:r>
            <w:r w:rsidR="00267618" w:rsidRPr="00A10374">
              <w:rPr>
                <w:rFonts w:ascii="Times New Roman" w:hAnsi="Times New Roman"/>
                <w:shd w:val="clear" w:color="auto" w:fill="FFFFFF"/>
                <w:lang w:val="ro-RO"/>
              </w:rPr>
              <w:t>precum și a</w:t>
            </w:r>
            <w:r w:rsidR="00400E8D" w:rsidRPr="00A10374">
              <w:rPr>
                <w:rFonts w:ascii="Times New Roman" w:hAnsi="Times New Roman"/>
                <w:shd w:val="clear" w:color="auto" w:fill="FFFFFF"/>
                <w:lang w:val="ro-RO"/>
              </w:rPr>
              <w:t xml:space="preserve"> instrumentelor principale de finanțare aplicabile - </w:t>
            </w:r>
            <w:r w:rsidR="009C6EEE" w:rsidRPr="00A10374">
              <w:rPr>
                <w:rFonts w:ascii="Times New Roman" w:hAnsi="Times New Roman"/>
                <w:shd w:val="clear" w:color="auto" w:fill="FFFFFF"/>
                <w:lang w:val="ro-RO"/>
              </w:rPr>
              <w:t xml:space="preserve"> </w:t>
            </w:r>
            <w:r w:rsidR="001C2579" w:rsidRPr="00A10374">
              <w:rPr>
                <w:rFonts w:ascii="Times New Roman" w:hAnsi="Times New Roman"/>
                <w:shd w:val="clear" w:color="auto" w:fill="FFFFFF"/>
                <w:lang w:val="ro-RO"/>
              </w:rPr>
              <w:t xml:space="preserve"> </w:t>
            </w:r>
            <w:r w:rsidR="00E42793" w:rsidRPr="00A10374">
              <w:rPr>
                <w:rFonts w:ascii="Times New Roman" w:hAnsi="Times New Roman"/>
                <w:shd w:val="clear" w:color="auto" w:fill="FFFFFF"/>
                <w:lang w:val="ro-RO"/>
              </w:rPr>
              <w:t>garanții</w:t>
            </w:r>
            <w:r w:rsidR="001C2579" w:rsidRPr="00A10374">
              <w:rPr>
                <w:rFonts w:ascii="Times New Roman" w:hAnsi="Times New Roman"/>
                <w:shd w:val="clear" w:color="auto" w:fill="FFFFFF"/>
                <w:lang w:val="ro-RO"/>
              </w:rPr>
              <w:t xml:space="preserve"> </w:t>
            </w:r>
            <w:r w:rsidR="00F45638" w:rsidRPr="00A10374">
              <w:rPr>
                <w:rFonts w:ascii="Times New Roman" w:hAnsi="Times New Roman"/>
                <w:shd w:val="clear" w:color="auto" w:fill="FFFFFF"/>
                <w:lang w:val="ro-RO"/>
              </w:rPr>
              <w:t>și compensațiile financiare</w:t>
            </w:r>
            <w:r w:rsidR="001A36CD" w:rsidRPr="00A10374">
              <w:rPr>
                <w:rFonts w:ascii="Times New Roman" w:hAnsi="Times New Roman"/>
                <w:shd w:val="clear" w:color="auto" w:fill="FFFFFF"/>
                <w:lang w:val="ro-RO"/>
              </w:rPr>
              <w:t>.</w:t>
            </w:r>
          </w:p>
          <w:p w14:paraId="6A91B009" w14:textId="51AFDF7B" w:rsidR="00234AA7" w:rsidRPr="00A10374" w:rsidRDefault="00234AA7" w:rsidP="001A76A5">
            <w:pPr>
              <w:spacing w:before="120" w:after="120"/>
              <w:jc w:val="both"/>
              <w:rPr>
                <w:rFonts w:ascii="Times New Roman" w:hAnsi="Times New Roman"/>
                <w:bCs/>
                <w:lang w:val="ro-RO"/>
              </w:rPr>
            </w:pPr>
            <w:r w:rsidRPr="00A10374">
              <w:rPr>
                <w:rFonts w:ascii="Times New Roman" w:hAnsi="Times New Roman"/>
                <w:bCs/>
                <w:lang w:val="ro-RO"/>
              </w:rPr>
              <w:t>Totodată, merită de menționat faptul că eficientizarea energetică a clădirilor re</w:t>
            </w:r>
            <w:r w:rsidR="00AF33DA" w:rsidRPr="00A10374">
              <w:rPr>
                <w:rFonts w:ascii="Times New Roman" w:hAnsi="Times New Roman"/>
                <w:bCs/>
                <w:lang w:val="ro-RO"/>
              </w:rPr>
              <w:t>prezintă prioritatea nr. 2 din P</w:t>
            </w:r>
            <w:r w:rsidRPr="00A10374">
              <w:rPr>
                <w:rFonts w:ascii="Times New Roman" w:hAnsi="Times New Roman"/>
                <w:bCs/>
                <w:lang w:val="ro-RO"/>
              </w:rPr>
              <w:t>lanul Național „Construim Moldova Europeană” aprobat de Guvern, iar asigurarea durabilității programelor</w:t>
            </w:r>
            <w:r w:rsidR="00A40344" w:rsidRPr="00A10374">
              <w:rPr>
                <w:rFonts w:ascii="Times New Roman" w:hAnsi="Times New Roman"/>
                <w:bCs/>
                <w:lang w:val="ro-RO"/>
              </w:rPr>
              <w:t xml:space="preserve"> de finanțare</w:t>
            </w:r>
            <w:r w:rsidRPr="00A10374">
              <w:rPr>
                <w:rFonts w:ascii="Times New Roman" w:hAnsi="Times New Roman"/>
                <w:bCs/>
                <w:lang w:val="ro-RO"/>
              </w:rPr>
              <w:t xml:space="preserve"> Guvernamentale în domeniul eficienței energetice implementate </w:t>
            </w:r>
            <w:r w:rsidR="00163896" w:rsidRPr="00A10374">
              <w:rPr>
                <w:rFonts w:ascii="Times New Roman" w:hAnsi="Times New Roman"/>
                <w:bCs/>
                <w:lang w:val="ro-RO"/>
              </w:rPr>
              <w:t>din mijloacele financiare ale</w:t>
            </w:r>
            <w:r w:rsidRPr="00A10374">
              <w:rPr>
                <w:rFonts w:ascii="Times New Roman" w:hAnsi="Times New Roman"/>
                <w:bCs/>
                <w:lang w:val="ro-RO"/>
              </w:rPr>
              <w:t xml:space="preserve"> Fondului pentru Eficiență Energetică,  va avea un impact pozitiv asupra populației, prin </w:t>
            </w:r>
            <w:r w:rsidR="00E03AB6" w:rsidRPr="00A10374">
              <w:rPr>
                <w:rFonts w:ascii="Times New Roman" w:hAnsi="Times New Roman"/>
                <w:bCs/>
                <w:lang w:val="ro-RO"/>
              </w:rPr>
              <w:t xml:space="preserve">crearea premiselor pentru atragerea resurselor financiare ale partenerilor de dezvoltare pentru </w:t>
            </w:r>
            <w:r w:rsidRPr="00A10374">
              <w:rPr>
                <w:rFonts w:ascii="Times New Roman" w:hAnsi="Times New Roman"/>
                <w:bCs/>
                <w:lang w:val="ro-RO"/>
              </w:rPr>
              <w:t>creșterea eficienței energetice</w:t>
            </w:r>
            <w:r w:rsidR="00DC79AF" w:rsidRPr="00A10374">
              <w:rPr>
                <w:rFonts w:ascii="Times New Roman" w:hAnsi="Times New Roman"/>
                <w:bCs/>
                <w:lang w:val="ro-RO"/>
              </w:rPr>
              <w:t xml:space="preserve"> la nivel național</w:t>
            </w:r>
            <w:r w:rsidRPr="00A10374">
              <w:rPr>
                <w:rFonts w:ascii="Times New Roman" w:hAnsi="Times New Roman"/>
                <w:bCs/>
                <w:lang w:val="ro-RO"/>
              </w:rPr>
              <w:t>,</w:t>
            </w:r>
            <w:r w:rsidR="00AF33DA" w:rsidRPr="00A10374">
              <w:rPr>
                <w:rFonts w:ascii="Times New Roman" w:hAnsi="Times New Roman"/>
                <w:bCs/>
                <w:lang w:val="ro-RO"/>
              </w:rPr>
              <w:t xml:space="preserve"> reducerea facturilor la energie, îmbunătăți</w:t>
            </w:r>
            <w:r w:rsidR="00493892" w:rsidRPr="00A10374">
              <w:rPr>
                <w:rFonts w:ascii="Times New Roman" w:hAnsi="Times New Roman"/>
                <w:bCs/>
                <w:lang w:val="ro-RO"/>
              </w:rPr>
              <w:t>rea condițiilor de trai,</w:t>
            </w:r>
            <w:r w:rsidRPr="00A10374">
              <w:rPr>
                <w:rFonts w:ascii="Times New Roman" w:hAnsi="Times New Roman"/>
                <w:bCs/>
                <w:lang w:val="ro-RO"/>
              </w:rPr>
              <w:t xml:space="preserve"> reducerea gazelor cu efect de seră și respectiv sporirea securității energetice a țării.</w:t>
            </w:r>
          </w:p>
          <w:p w14:paraId="721B3EE7" w14:textId="2443EFE9" w:rsidR="00234AA7" w:rsidRPr="00A10374" w:rsidRDefault="00234AA7"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Este de menționat că, la moment, valorificarea mijloacelor financiare </w:t>
            </w:r>
            <w:r w:rsidR="00493892" w:rsidRPr="00A10374">
              <w:rPr>
                <w:rFonts w:ascii="Times New Roman" w:hAnsi="Times New Roman"/>
                <w:shd w:val="clear" w:color="auto" w:fill="FFFFFF"/>
                <w:lang w:val="ro-RO"/>
              </w:rPr>
              <w:t>în</w:t>
            </w:r>
            <w:r w:rsidRPr="00A10374">
              <w:rPr>
                <w:rFonts w:ascii="Times New Roman" w:hAnsi="Times New Roman"/>
                <w:shd w:val="clear" w:color="auto" w:fill="FFFFFF"/>
                <w:lang w:val="ro-RO"/>
              </w:rPr>
              <w:t xml:space="preserve"> cadrul </w:t>
            </w:r>
            <w:r w:rsidR="00493892" w:rsidRPr="00A10374">
              <w:rPr>
                <w:rFonts w:ascii="Times New Roman" w:hAnsi="Times New Roman"/>
                <w:shd w:val="clear" w:color="auto" w:fill="FFFFFF"/>
                <w:lang w:val="ro-RO"/>
              </w:rPr>
              <w:t>Programului</w:t>
            </w:r>
            <w:r w:rsidR="00DC79AF" w:rsidRPr="00A10374">
              <w:rPr>
                <w:rFonts w:ascii="Times New Roman" w:hAnsi="Times New Roman"/>
                <w:shd w:val="clear" w:color="auto" w:fill="FFFFFF"/>
                <w:lang w:val="ro-RO"/>
              </w:rPr>
              <w:t xml:space="preserve"> de finanțare</w:t>
            </w:r>
            <w:r w:rsidR="00493892" w:rsidRPr="00A10374">
              <w:rPr>
                <w:rFonts w:ascii="Times New Roman" w:hAnsi="Times New Roman"/>
                <w:shd w:val="clear" w:color="auto" w:fill="FFFFFF"/>
                <w:lang w:val="ro-RO"/>
              </w:rPr>
              <w:t xml:space="preserve"> FEERM </w:t>
            </w:r>
            <w:r w:rsidRPr="00A10374">
              <w:rPr>
                <w:rFonts w:ascii="Times New Roman" w:hAnsi="Times New Roman"/>
                <w:shd w:val="clear" w:color="auto" w:fill="FFFFFF"/>
                <w:lang w:val="ro-RO"/>
              </w:rPr>
              <w:t xml:space="preserve">este efectuată în baza produselor de finanțare elaborate pentru asociațiile de proprietari în condominiu și respectiv pentru </w:t>
            </w:r>
            <w:r w:rsidR="00916FA7" w:rsidRPr="00A10374">
              <w:rPr>
                <w:rFonts w:ascii="Times New Roman" w:hAnsi="Times New Roman"/>
                <w:shd w:val="clear" w:color="auto" w:fill="FFFFFF"/>
                <w:lang w:val="ro-RO"/>
              </w:rPr>
              <w:t xml:space="preserve">proprietarii de </w:t>
            </w:r>
            <w:r w:rsidRPr="00A10374">
              <w:rPr>
                <w:rFonts w:ascii="Times New Roman" w:hAnsi="Times New Roman"/>
                <w:shd w:val="clear" w:color="auto" w:fill="FFFFFF"/>
                <w:lang w:val="ro-RO"/>
              </w:rPr>
              <w:t xml:space="preserve">casele individuale. </w:t>
            </w:r>
          </w:p>
          <w:p w14:paraId="1A492ADE" w14:textId="5B8F42CD" w:rsidR="00234AA7" w:rsidRPr="00A10374" w:rsidRDefault="00234AA7"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Prin urmare, având în vedere că numărul </w:t>
            </w:r>
            <w:r w:rsidR="005D2E08" w:rsidRPr="00A10374">
              <w:rPr>
                <w:rFonts w:ascii="Times New Roman" w:hAnsi="Times New Roman"/>
                <w:shd w:val="clear" w:color="auto" w:fill="FFFFFF"/>
                <w:lang w:val="ro-RO"/>
              </w:rPr>
              <w:t xml:space="preserve">asociațiilor de proprietari în condominiu și a </w:t>
            </w:r>
            <w:r w:rsidRPr="00A10374">
              <w:rPr>
                <w:rFonts w:ascii="Times New Roman" w:hAnsi="Times New Roman"/>
                <w:shd w:val="clear" w:color="auto" w:fill="FFFFFF"/>
                <w:lang w:val="ro-RO"/>
              </w:rPr>
              <w:t xml:space="preserve">caselor individuale ai căror proprietari doresc să implementeze </w:t>
            </w:r>
            <w:r w:rsidR="00493892" w:rsidRPr="00A10374">
              <w:rPr>
                <w:rFonts w:ascii="Times New Roman" w:hAnsi="Times New Roman"/>
                <w:shd w:val="clear" w:color="auto" w:fill="FFFFFF"/>
                <w:lang w:val="ro-RO"/>
              </w:rPr>
              <w:t>proiecte</w:t>
            </w:r>
            <w:r w:rsidRPr="00A10374">
              <w:rPr>
                <w:rFonts w:ascii="Times New Roman" w:hAnsi="Times New Roman"/>
                <w:shd w:val="clear" w:color="auto" w:fill="FFFFFF"/>
                <w:lang w:val="ro-RO"/>
              </w:rPr>
              <w:t xml:space="preserve"> de eficiență energetică</w:t>
            </w:r>
            <w:r w:rsidR="00493892" w:rsidRPr="00A10374">
              <w:rPr>
                <w:rFonts w:ascii="Times New Roman" w:hAnsi="Times New Roman"/>
                <w:shd w:val="clear" w:color="auto" w:fill="FFFFFF"/>
                <w:lang w:val="ro-RO"/>
              </w:rPr>
              <w:t xml:space="preserve"> și valorificare a surselor regenerabile de energie</w:t>
            </w:r>
            <w:r w:rsidRPr="00A10374">
              <w:rPr>
                <w:rFonts w:ascii="Times New Roman" w:hAnsi="Times New Roman"/>
                <w:shd w:val="clear" w:color="auto" w:fill="FFFFFF"/>
                <w:lang w:val="ro-RO"/>
              </w:rPr>
              <w:t xml:space="preserve"> este unul mare, iar fiecare proiect individual presupune un efort consistent în vederea realizării acestuia, a fost identificată necesitatea de a oferi posibilitatea </w:t>
            </w:r>
            <w:r w:rsidR="005D2E08" w:rsidRPr="00A10374">
              <w:rPr>
                <w:rFonts w:ascii="Times New Roman" w:hAnsi="Times New Roman"/>
                <w:shd w:val="clear" w:color="auto" w:fill="FFFFFF"/>
                <w:lang w:val="ro-RO"/>
              </w:rPr>
              <w:t xml:space="preserve">asociațiilor de proprietari în condominiu și </w:t>
            </w:r>
            <w:r w:rsidRPr="00A10374">
              <w:rPr>
                <w:rFonts w:ascii="Times New Roman" w:hAnsi="Times New Roman"/>
                <w:shd w:val="clear" w:color="auto" w:fill="FFFFFF"/>
                <w:lang w:val="ro-RO"/>
              </w:rPr>
              <w:t>proprietarilor de case individuale de a selecta în mod individual agentul economic care</w:t>
            </w:r>
            <w:r w:rsidR="00493892" w:rsidRPr="00A10374">
              <w:rPr>
                <w:rFonts w:ascii="Times New Roman" w:hAnsi="Times New Roman"/>
                <w:shd w:val="clear" w:color="auto" w:fill="FFFFFF"/>
                <w:lang w:val="ro-RO"/>
              </w:rPr>
              <w:t xml:space="preserve"> va executa </w:t>
            </w:r>
            <w:r w:rsidRPr="00A10374">
              <w:rPr>
                <w:rFonts w:ascii="Times New Roman" w:hAnsi="Times New Roman"/>
                <w:shd w:val="clear" w:color="auto" w:fill="FFFFFF"/>
                <w:lang w:val="ro-RO"/>
              </w:rPr>
              <w:t xml:space="preserve">lucrările aferente </w:t>
            </w:r>
            <w:r w:rsidR="00493892" w:rsidRPr="00A10374">
              <w:rPr>
                <w:rFonts w:ascii="Times New Roman" w:hAnsi="Times New Roman"/>
                <w:shd w:val="clear" w:color="auto" w:fill="FFFFFF"/>
                <w:lang w:val="ro-RO"/>
              </w:rPr>
              <w:t xml:space="preserve">implementării proiectelor de </w:t>
            </w:r>
            <w:r w:rsidR="00935E8A" w:rsidRPr="00A10374">
              <w:rPr>
                <w:rFonts w:ascii="Times New Roman" w:hAnsi="Times New Roman"/>
                <w:shd w:val="clear" w:color="auto" w:fill="FFFFFF"/>
                <w:lang w:val="ro-RO"/>
              </w:rPr>
              <w:t>EE</w:t>
            </w:r>
            <w:r w:rsidRPr="00A10374">
              <w:rPr>
                <w:rFonts w:ascii="Times New Roman" w:hAnsi="Times New Roman"/>
                <w:shd w:val="clear" w:color="auto" w:fill="FFFFFF"/>
                <w:lang w:val="ro-RO"/>
              </w:rPr>
              <w:t xml:space="preserve"> și/sau valorificare a </w:t>
            </w:r>
            <w:r w:rsidR="00935E8A" w:rsidRPr="00A10374">
              <w:rPr>
                <w:rFonts w:ascii="Times New Roman" w:hAnsi="Times New Roman"/>
                <w:shd w:val="clear" w:color="auto" w:fill="FFFFFF"/>
                <w:lang w:val="ro-RO"/>
              </w:rPr>
              <w:t>SER</w:t>
            </w:r>
            <w:r w:rsidRPr="00A10374">
              <w:rPr>
                <w:rFonts w:ascii="Times New Roman" w:hAnsi="Times New Roman"/>
                <w:shd w:val="clear" w:color="auto" w:fill="FFFFFF"/>
                <w:lang w:val="ro-RO"/>
              </w:rPr>
              <w:t>, iar ulterior Centrul Național pentru Energie Durabilă,</w:t>
            </w:r>
            <w:r w:rsidR="00E03AB6" w:rsidRPr="00A10374">
              <w:rPr>
                <w:rFonts w:ascii="Times New Roman" w:hAnsi="Times New Roman"/>
                <w:shd w:val="clear" w:color="auto" w:fill="FFFFFF"/>
                <w:lang w:val="ro-RO"/>
              </w:rPr>
              <w:t xml:space="preserve"> prin intermediul</w:t>
            </w:r>
            <w:r w:rsidR="007F62B1" w:rsidRPr="00A10374">
              <w:rPr>
                <w:rFonts w:ascii="Times New Roman" w:hAnsi="Times New Roman"/>
                <w:shd w:val="clear" w:color="auto" w:fill="FFFFFF"/>
                <w:lang w:val="ro-RO"/>
              </w:rPr>
              <w:t xml:space="preserve"> programului de </w:t>
            </w:r>
            <w:r w:rsidR="00DC79AF" w:rsidRPr="00A10374">
              <w:rPr>
                <w:rFonts w:ascii="Times New Roman" w:hAnsi="Times New Roman"/>
                <w:shd w:val="clear" w:color="auto" w:fill="FFFFFF"/>
                <w:lang w:val="ro-RO"/>
              </w:rPr>
              <w:t>finanțare</w:t>
            </w:r>
            <w:r w:rsidR="00E03AB6" w:rsidRPr="00A10374">
              <w:rPr>
                <w:rFonts w:ascii="Times New Roman" w:hAnsi="Times New Roman"/>
                <w:shd w:val="clear" w:color="auto" w:fill="FFFFFF"/>
                <w:lang w:val="ro-RO"/>
              </w:rPr>
              <w:t xml:space="preserve"> FEERM</w:t>
            </w:r>
            <w:r w:rsidRPr="00A10374">
              <w:rPr>
                <w:rFonts w:ascii="Times New Roman" w:hAnsi="Times New Roman"/>
                <w:shd w:val="clear" w:color="auto" w:fill="FFFFFF"/>
                <w:lang w:val="ro-RO"/>
              </w:rPr>
              <w:t xml:space="preserve"> </w:t>
            </w:r>
            <w:r w:rsidR="00493892" w:rsidRPr="00A10374">
              <w:rPr>
                <w:rFonts w:ascii="Times New Roman" w:hAnsi="Times New Roman"/>
                <w:shd w:val="clear" w:color="auto" w:fill="FFFFFF"/>
                <w:lang w:val="ro-RO"/>
              </w:rPr>
              <w:t>va subvenționa</w:t>
            </w:r>
            <w:r w:rsidRPr="00A10374">
              <w:rPr>
                <w:rFonts w:ascii="Times New Roman" w:hAnsi="Times New Roman"/>
                <w:shd w:val="clear" w:color="auto" w:fill="FFFFFF"/>
                <w:lang w:val="ro-RO"/>
              </w:rPr>
              <w:t xml:space="preserve"> o parte din costul lucrărilor, cu condiția că aceștia au respectat toate cerințele din produsul de finanțare aplicabil. </w:t>
            </w:r>
          </w:p>
          <w:p w14:paraId="03FE3F60" w14:textId="7813B875" w:rsidR="00234AA7" w:rsidRPr="00A10374" w:rsidRDefault="00234AA7"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Acest fapt, pe de o parte, va permite o absorbție mai rapidă a mijloacelor financiare disponibile pentru proiectele de eficiență energetică și/sau valorificare a surselor </w:t>
            </w:r>
            <w:r w:rsidR="00493892" w:rsidRPr="00A10374">
              <w:rPr>
                <w:rFonts w:ascii="Times New Roman" w:hAnsi="Times New Roman"/>
                <w:shd w:val="clear" w:color="auto" w:fill="FFFFFF"/>
                <w:lang w:val="ro-RO"/>
              </w:rPr>
              <w:t xml:space="preserve">regenerabile </w:t>
            </w:r>
            <w:r w:rsidRPr="00A10374">
              <w:rPr>
                <w:rFonts w:ascii="Times New Roman" w:hAnsi="Times New Roman"/>
                <w:shd w:val="clear" w:color="auto" w:fill="FFFFFF"/>
                <w:lang w:val="ro-RO"/>
              </w:rPr>
              <w:t>de energie în cadrul</w:t>
            </w:r>
            <w:r w:rsidR="002837FE" w:rsidRPr="00A10374">
              <w:rPr>
                <w:rFonts w:ascii="Times New Roman" w:hAnsi="Times New Roman"/>
                <w:shd w:val="clear" w:color="auto" w:fill="FFFFFF"/>
                <w:lang w:val="ro-RO"/>
              </w:rPr>
              <w:t xml:space="preserve"> Asociațiilor de Proprietari în condominiu și a proprietarilor de</w:t>
            </w:r>
            <w:r w:rsidRPr="00A10374">
              <w:rPr>
                <w:rFonts w:ascii="Times New Roman" w:hAnsi="Times New Roman"/>
                <w:shd w:val="clear" w:color="auto" w:fill="FFFFFF"/>
                <w:lang w:val="ro-RO"/>
              </w:rPr>
              <w:t xml:space="preserve"> case individuale, iar pe de altă parte va spori gradul de încredere a </w:t>
            </w:r>
            <w:r w:rsidR="002837FE" w:rsidRPr="00A10374">
              <w:rPr>
                <w:rFonts w:ascii="Times New Roman" w:hAnsi="Times New Roman"/>
                <w:shd w:val="clear" w:color="auto" w:fill="FFFFFF"/>
                <w:lang w:val="ro-RO"/>
              </w:rPr>
              <w:t xml:space="preserve">acestora </w:t>
            </w:r>
            <w:r w:rsidRPr="00A10374">
              <w:rPr>
                <w:rFonts w:ascii="Times New Roman" w:hAnsi="Times New Roman"/>
                <w:shd w:val="clear" w:color="auto" w:fill="FFFFFF"/>
                <w:lang w:val="ro-RO"/>
              </w:rPr>
              <w:t xml:space="preserve">în reabilitarea energetică a </w:t>
            </w:r>
            <w:r w:rsidR="002837FE" w:rsidRPr="00A10374">
              <w:rPr>
                <w:rFonts w:ascii="Times New Roman" w:hAnsi="Times New Roman"/>
                <w:shd w:val="clear" w:color="auto" w:fill="FFFFFF"/>
                <w:lang w:val="ro-RO"/>
              </w:rPr>
              <w:t xml:space="preserve">blocurilor locative și/sau a </w:t>
            </w:r>
            <w:r w:rsidR="005D2E08" w:rsidRPr="00A10374">
              <w:rPr>
                <w:rFonts w:ascii="Times New Roman" w:hAnsi="Times New Roman"/>
                <w:shd w:val="clear" w:color="auto" w:fill="FFFFFF"/>
                <w:lang w:val="ro-RO"/>
              </w:rPr>
              <w:t>caselor</w:t>
            </w:r>
            <w:r w:rsidRPr="00A10374">
              <w:rPr>
                <w:rFonts w:ascii="Times New Roman" w:hAnsi="Times New Roman"/>
                <w:shd w:val="clear" w:color="auto" w:fill="FFFFFF"/>
                <w:lang w:val="ro-RO"/>
              </w:rPr>
              <w:t xml:space="preserve"> din gestiune, având posibilitatea să selecteze în mod individual agentul economic care </w:t>
            </w:r>
            <w:r w:rsidR="00493892" w:rsidRPr="00A10374">
              <w:rPr>
                <w:rFonts w:ascii="Times New Roman" w:hAnsi="Times New Roman"/>
                <w:shd w:val="clear" w:color="auto" w:fill="FFFFFF"/>
                <w:lang w:val="ro-RO"/>
              </w:rPr>
              <w:t>va executa</w:t>
            </w:r>
            <w:r w:rsidRPr="00A10374">
              <w:rPr>
                <w:rFonts w:ascii="Times New Roman" w:hAnsi="Times New Roman"/>
                <w:shd w:val="clear" w:color="auto" w:fill="FFFFFF"/>
                <w:lang w:val="ro-RO"/>
              </w:rPr>
              <w:t xml:space="preserve"> lucrările, în baza unor condiții prestabilite în produsele de finanțare aprobate de CNED. </w:t>
            </w:r>
          </w:p>
          <w:p w14:paraId="317CB217" w14:textId="0F1ECCF1" w:rsidR="00400E8D" w:rsidRPr="00A10374" w:rsidRDefault="00400E8D"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Adițional, absorbția mai rapidă a mijloacelor financiare prin reabilitarea anuală a unei suprafețe mai mari a fondului clădirilor rezidențiale va oferi argumente adiționale autorităților competente de a convinge partenerii de dezvoltare cu privire la capacitatea sporită de absorbție și respectiv încredea acestora pentru creșterea volumului finanțării în acest sens.</w:t>
            </w:r>
          </w:p>
          <w:p w14:paraId="1DC44F7C" w14:textId="13F01314" w:rsidR="005D2E08" w:rsidRPr="00A10374" w:rsidRDefault="00234AA7"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În cazul proprietarilor de case individuale,</w:t>
            </w:r>
            <w:r w:rsidR="00493892" w:rsidRPr="00A10374">
              <w:rPr>
                <w:rFonts w:ascii="Times New Roman" w:hAnsi="Times New Roman"/>
                <w:shd w:val="clear" w:color="auto" w:fill="FFFFFF"/>
                <w:lang w:val="ro-RO"/>
              </w:rPr>
              <w:t xml:space="preserve"> cu cea mai înaltă vulnerabilitate energetică, care se prezumă că nu dispun </w:t>
            </w:r>
            <w:r w:rsidRPr="00A10374">
              <w:rPr>
                <w:rFonts w:ascii="Times New Roman" w:hAnsi="Times New Roman"/>
                <w:shd w:val="clear" w:color="auto" w:fill="FFFFFF"/>
                <w:lang w:val="ro-RO"/>
              </w:rPr>
              <w:t xml:space="preserve">de capacitățile necesare </w:t>
            </w:r>
            <w:r w:rsidR="00493892" w:rsidRPr="00A10374">
              <w:rPr>
                <w:rFonts w:ascii="Times New Roman" w:hAnsi="Times New Roman"/>
                <w:shd w:val="clear" w:color="auto" w:fill="FFFFFF"/>
                <w:lang w:val="ro-RO"/>
              </w:rPr>
              <w:t>pentru contractarea serviciilor și lucrărilor necesare în vederea reabilitării  energetice a</w:t>
            </w:r>
            <w:r w:rsidR="00081F96" w:rsidRPr="00A10374">
              <w:rPr>
                <w:rFonts w:ascii="Times New Roman" w:hAnsi="Times New Roman"/>
                <w:shd w:val="clear" w:color="auto" w:fill="FFFFFF"/>
                <w:lang w:val="ro-RO"/>
              </w:rPr>
              <w:t xml:space="preserve"> </w:t>
            </w:r>
            <w:r w:rsidR="005D2E08" w:rsidRPr="00A10374">
              <w:rPr>
                <w:rFonts w:ascii="Times New Roman" w:hAnsi="Times New Roman"/>
                <w:shd w:val="clear" w:color="auto" w:fill="FFFFFF"/>
                <w:lang w:val="ro-RO"/>
              </w:rPr>
              <w:t>caselor</w:t>
            </w:r>
            <w:r w:rsidR="00081F96" w:rsidRPr="00A10374">
              <w:rPr>
                <w:rFonts w:ascii="Times New Roman" w:hAnsi="Times New Roman"/>
                <w:shd w:val="clear" w:color="auto" w:fill="FFFFFF"/>
                <w:lang w:val="ro-RO"/>
              </w:rPr>
              <w:t xml:space="preserve"> din gestiune</w:t>
            </w:r>
            <w:r w:rsidRPr="00A10374">
              <w:rPr>
                <w:rFonts w:ascii="Times New Roman" w:hAnsi="Times New Roman"/>
                <w:shd w:val="clear" w:color="auto" w:fill="FFFFFF"/>
                <w:lang w:val="ro-RO"/>
              </w:rPr>
              <w:t xml:space="preserve">, implementarea proiectelor în aceste domenii va fi realizat de către </w:t>
            </w:r>
            <w:r w:rsidR="00081F96" w:rsidRPr="00A10374">
              <w:rPr>
                <w:rFonts w:ascii="Times New Roman" w:hAnsi="Times New Roman"/>
                <w:shd w:val="clear" w:color="auto" w:fill="FFFFFF"/>
                <w:lang w:val="ro-RO"/>
              </w:rPr>
              <w:t xml:space="preserve">IP </w:t>
            </w:r>
            <w:r w:rsidRPr="00A10374">
              <w:rPr>
                <w:rFonts w:ascii="Times New Roman" w:hAnsi="Times New Roman"/>
                <w:shd w:val="clear" w:color="auto" w:fill="FFFFFF"/>
                <w:lang w:val="ro-RO"/>
              </w:rPr>
              <w:t xml:space="preserve">CNED în baza produselor de finanțare elaborate pentru astfel de grupuri de consumatori. </w:t>
            </w:r>
          </w:p>
          <w:p w14:paraId="77A8A587" w14:textId="77777777" w:rsidR="00BB7932" w:rsidRDefault="007F62B1"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Prin urmare, </w:t>
            </w:r>
            <w:r w:rsidRPr="00A10374">
              <w:rPr>
                <w:rFonts w:ascii="Times New Roman" w:hAnsi="Times New Roman"/>
                <w:shd w:val="clear" w:color="auto" w:fill="FFFFFF"/>
                <w:lang w:val="ro-MD"/>
              </w:rPr>
              <w:t>în</w:t>
            </w:r>
            <w:r w:rsidRPr="00A10374">
              <w:rPr>
                <w:rFonts w:ascii="Times New Roman" w:hAnsi="Times New Roman"/>
                <w:shd w:val="clear" w:color="auto" w:fill="FFFFFF"/>
                <w:lang w:val="ro-RO"/>
              </w:rPr>
              <w:t xml:space="preserve"> cazul în care procedurile de achiziție publică pentru selectarea agenților economici, care să implementeze măsurile de eficiență energetică și/sau valorificare a surselor regenerabile de energie, va fi efectuată de către </w:t>
            </w:r>
            <w:r w:rsidR="00D046DF" w:rsidRPr="00A10374">
              <w:rPr>
                <w:rFonts w:ascii="Times New Roman" w:hAnsi="Times New Roman"/>
                <w:shd w:val="clear" w:color="auto" w:fill="FFFFFF"/>
                <w:lang w:val="ro-RO"/>
              </w:rPr>
              <w:t>IP CNED</w:t>
            </w:r>
            <w:r w:rsidRPr="00A10374">
              <w:rPr>
                <w:rFonts w:ascii="Times New Roman" w:hAnsi="Times New Roman"/>
                <w:shd w:val="clear" w:color="auto" w:fill="FFFFFF"/>
                <w:lang w:val="ro-RO"/>
              </w:rPr>
              <w:t>, a fost identificată necesitatea de reglementare prin lege a procedurii de transmitere a bunurilor procurate de către aceasta în gestiunea beneficiarului de proiect.</w:t>
            </w:r>
          </w:p>
          <w:p w14:paraId="7B5AB9DD" w14:textId="7C18A341" w:rsidR="007F62B1" w:rsidRPr="00A10374" w:rsidRDefault="00BB7932" w:rsidP="001A76A5">
            <w:pPr>
              <w:spacing w:before="120" w:after="120"/>
              <w:jc w:val="both"/>
              <w:rPr>
                <w:rFonts w:ascii="Times New Roman" w:hAnsi="Times New Roman"/>
                <w:shd w:val="clear" w:color="auto" w:fill="FFFFFF"/>
                <w:lang w:val="ro-RO"/>
              </w:rPr>
            </w:pPr>
            <w:r>
              <w:rPr>
                <w:rFonts w:ascii="Times New Roman" w:hAnsi="Times New Roman"/>
                <w:shd w:val="clear" w:color="auto" w:fill="FFFFFF"/>
                <w:lang w:val="ro-RO"/>
              </w:rPr>
              <w:lastRenderedPageBreak/>
              <w:t>Cu referire la consiliul IP CNED a fost identificată necesitate de micșorare a numărului membrilor Consiliului acestuia de la 9 la 7.</w:t>
            </w:r>
          </w:p>
          <w:p w14:paraId="69F570B0" w14:textId="75D5E620" w:rsidR="00E9054F" w:rsidRPr="00A10374" w:rsidRDefault="005D2E08"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O altă modificare care a fost identificată ca fiind necesară ține de stabilirea perioadei pentru care sunt elaborate planurile locale </w:t>
            </w:r>
            <w:r w:rsidR="00E03AB6" w:rsidRPr="00A10374">
              <w:rPr>
                <w:rFonts w:ascii="Times New Roman" w:hAnsi="Times New Roman"/>
                <w:shd w:val="clear" w:color="auto" w:fill="FFFFFF"/>
                <w:lang w:val="ro-RO"/>
              </w:rPr>
              <w:t xml:space="preserve">integrate </w:t>
            </w:r>
            <w:r w:rsidRPr="00A10374">
              <w:rPr>
                <w:rFonts w:ascii="Times New Roman" w:hAnsi="Times New Roman"/>
                <w:shd w:val="clear" w:color="auto" w:fill="FFFFFF"/>
                <w:lang w:val="ro-RO"/>
              </w:rPr>
              <w:t>privind energia</w:t>
            </w:r>
            <w:r w:rsidR="00E03AB6" w:rsidRPr="00A10374">
              <w:rPr>
                <w:rFonts w:ascii="Times New Roman" w:hAnsi="Times New Roman"/>
                <w:shd w:val="clear" w:color="auto" w:fill="FFFFFF"/>
                <w:lang w:val="ro-RO"/>
              </w:rPr>
              <w:t xml:space="preserve"> și clima</w:t>
            </w:r>
            <w:r w:rsidRPr="00A10374">
              <w:rPr>
                <w:rFonts w:ascii="Times New Roman" w:hAnsi="Times New Roman"/>
                <w:shd w:val="clear" w:color="auto" w:fill="FFFFFF"/>
                <w:lang w:val="ro-RO"/>
              </w:rPr>
              <w:t xml:space="preserve"> precum și excluderea prevederilor care dublează atribuțiile autorităților publice locale de nivelul întâi de a selecta și desemna manageri energetici locali.</w:t>
            </w:r>
          </w:p>
          <w:p w14:paraId="4C34D521" w14:textId="34E85876" w:rsidR="00B76D63" w:rsidRPr="00A10374" w:rsidRDefault="00E9054F"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Totodată, a fost identificat că impunerea obligativității de elaborare a planurilor locale integrate privind clima și energia pentru </w:t>
            </w:r>
            <w:r w:rsidR="00B04F6B" w:rsidRPr="00A10374">
              <w:rPr>
                <w:rFonts w:ascii="Times New Roman" w:hAnsi="Times New Roman"/>
                <w:shd w:val="clear" w:color="auto" w:fill="FFFFFF"/>
                <w:lang w:val="ro-RO"/>
              </w:rPr>
              <w:t xml:space="preserve">autoritățile administrației publice locale de nivelul al doilea și cele de nivel special s-a dovedit a fi una ineficientă, pe motiv că majoritatea dintre acestea nu le elaborează, iar cele care le elaborează, în marea majoritate a cazurilor, nu pot asigura un nivel corespunzător al calității acestora, fapt ce contribuie negativ la atingerea obiectivelor naționale în domeniul eficienței energetice și valorificării surselor regenerabile de energie </w:t>
            </w:r>
            <w:r w:rsidR="00865357" w:rsidRPr="00A10374">
              <w:rPr>
                <w:rFonts w:ascii="Times New Roman" w:hAnsi="Times New Roman"/>
                <w:shd w:val="clear" w:color="auto" w:fill="FFFFFF"/>
                <w:lang w:val="ro-RO"/>
              </w:rPr>
              <w:t>stabilite prin Planul Național I</w:t>
            </w:r>
            <w:r w:rsidR="00B04F6B" w:rsidRPr="00A10374">
              <w:rPr>
                <w:rFonts w:ascii="Times New Roman" w:hAnsi="Times New Roman"/>
                <w:shd w:val="clear" w:color="auto" w:fill="FFFFFF"/>
                <w:lang w:val="ro-RO"/>
              </w:rPr>
              <w:t xml:space="preserve">ntegrat privind </w:t>
            </w:r>
            <w:r w:rsidR="00865357" w:rsidRPr="00A10374">
              <w:rPr>
                <w:rFonts w:ascii="Times New Roman" w:hAnsi="Times New Roman"/>
                <w:shd w:val="clear" w:color="auto" w:fill="FFFFFF"/>
                <w:lang w:val="ro-RO"/>
              </w:rPr>
              <w:t>E</w:t>
            </w:r>
            <w:r w:rsidR="00B04F6B" w:rsidRPr="00A10374">
              <w:rPr>
                <w:rFonts w:ascii="Times New Roman" w:hAnsi="Times New Roman"/>
                <w:shd w:val="clear" w:color="auto" w:fill="FFFFFF"/>
                <w:lang w:val="ro-RO"/>
              </w:rPr>
              <w:t>nergia și</w:t>
            </w:r>
            <w:r w:rsidR="00865357" w:rsidRPr="00A10374">
              <w:rPr>
                <w:rFonts w:ascii="Times New Roman" w:hAnsi="Times New Roman"/>
                <w:shd w:val="clear" w:color="auto" w:fill="FFFFFF"/>
                <w:lang w:val="ro-RO"/>
              </w:rPr>
              <w:t xml:space="preserve"> C</w:t>
            </w:r>
            <w:r w:rsidR="00B04F6B" w:rsidRPr="00A10374">
              <w:rPr>
                <w:rFonts w:ascii="Times New Roman" w:hAnsi="Times New Roman"/>
                <w:shd w:val="clear" w:color="auto" w:fill="FFFFFF"/>
                <w:lang w:val="ro-RO"/>
              </w:rPr>
              <w:t xml:space="preserve">lima. </w:t>
            </w:r>
          </w:p>
          <w:p w14:paraId="4BD1E63E" w14:textId="29EA4BBE" w:rsidR="00234AA7" w:rsidRDefault="00B76D63"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Astfel, din considerentele menționate mai sus</w:t>
            </w:r>
            <w:r w:rsidR="00865357" w:rsidRPr="00A10374">
              <w:rPr>
                <w:rFonts w:ascii="Times New Roman" w:hAnsi="Times New Roman"/>
                <w:shd w:val="clear" w:color="auto" w:fill="FFFFFF"/>
                <w:lang w:val="ro-RO"/>
              </w:rPr>
              <w:t>, se propune modificarea legii astfel încât obligativitatea elaborării acestor planuri să se răsfrângă doar asupra autorităților administrației publice locale, care au statut de municipiu</w:t>
            </w:r>
            <w:r w:rsidR="00452324" w:rsidRPr="00A10374">
              <w:rPr>
                <w:rFonts w:ascii="Times New Roman" w:hAnsi="Times New Roman"/>
                <w:shd w:val="clear" w:color="auto" w:fill="FFFFFF"/>
                <w:lang w:val="ro-RO"/>
              </w:rPr>
              <w:t xml:space="preserve"> (</w:t>
            </w:r>
            <w:r w:rsidR="00DE478D" w:rsidRPr="00A10374">
              <w:rPr>
                <w:rFonts w:ascii="Times New Roman" w:hAnsi="Times New Roman"/>
                <w:shd w:val="clear" w:color="auto" w:fill="FFFFFF"/>
                <w:lang w:val="ro-RO"/>
              </w:rPr>
              <w:t>Chișinău, Bălți</w:t>
            </w:r>
            <w:r w:rsidR="00452324" w:rsidRPr="00A10374">
              <w:rPr>
                <w:rFonts w:ascii="Times New Roman" w:hAnsi="Times New Roman"/>
                <w:shd w:val="clear" w:color="auto" w:fill="FFFFFF"/>
                <w:lang w:val="ro-RO"/>
              </w:rPr>
              <w:t xml:space="preserve">, Cahul, </w:t>
            </w:r>
            <w:proofErr w:type="spellStart"/>
            <w:r w:rsidR="00452324" w:rsidRPr="00A10374">
              <w:rPr>
                <w:rFonts w:ascii="Times New Roman" w:hAnsi="Times New Roman"/>
                <w:shd w:val="clear" w:color="auto" w:fill="FFFFFF"/>
                <w:lang w:val="ro-RO"/>
              </w:rPr>
              <w:t>Ceadîr</w:t>
            </w:r>
            <w:proofErr w:type="spellEnd"/>
            <w:r w:rsidR="00452324" w:rsidRPr="00A10374">
              <w:rPr>
                <w:rFonts w:ascii="Times New Roman" w:hAnsi="Times New Roman"/>
                <w:shd w:val="clear" w:color="auto" w:fill="FFFFFF"/>
                <w:lang w:val="ro-RO"/>
              </w:rPr>
              <w:t xml:space="preserve">-Lunga, Comrat, </w:t>
            </w:r>
            <w:proofErr w:type="spellStart"/>
            <w:r w:rsidR="00452324" w:rsidRPr="00A10374">
              <w:rPr>
                <w:rFonts w:ascii="Times New Roman" w:hAnsi="Times New Roman"/>
                <w:shd w:val="clear" w:color="auto" w:fill="FFFFFF"/>
                <w:lang w:val="ro-RO"/>
              </w:rPr>
              <w:t>Edineț</w:t>
            </w:r>
            <w:proofErr w:type="spellEnd"/>
            <w:r w:rsidR="00452324" w:rsidRPr="00A10374">
              <w:rPr>
                <w:rFonts w:ascii="Times New Roman" w:hAnsi="Times New Roman"/>
                <w:shd w:val="clear" w:color="auto" w:fill="FFFFFF"/>
                <w:lang w:val="ro-RO"/>
              </w:rPr>
              <w:t xml:space="preserve">, </w:t>
            </w:r>
            <w:proofErr w:type="spellStart"/>
            <w:r w:rsidR="00452324" w:rsidRPr="00A10374">
              <w:rPr>
                <w:rFonts w:ascii="Times New Roman" w:hAnsi="Times New Roman"/>
                <w:shd w:val="clear" w:color="auto" w:fill="FFFFFF"/>
                <w:lang w:val="ro-RO"/>
              </w:rPr>
              <w:t>Hîncești</w:t>
            </w:r>
            <w:proofErr w:type="spellEnd"/>
            <w:r w:rsidR="00452324" w:rsidRPr="00A10374">
              <w:rPr>
                <w:rFonts w:ascii="Times New Roman" w:hAnsi="Times New Roman"/>
                <w:shd w:val="clear" w:color="auto" w:fill="FFFFFF"/>
                <w:lang w:val="ro-RO"/>
              </w:rPr>
              <w:t>, Orhei, Soroca, Strășeni, și Ungheni</w:t>
            </w:r>
            <w:r w:rsidR="00DE478D" w:rsidRPr="00A10374">
              <w:rPr>
                <w:rFonts w:ascii="Times New Roman" w:hAnsi="Times New Roman"/>
                <w:shd w:val="clear" w:color="auto" w:fill="FFFFFF"/>
                <w:lang w:val="ro-RO"/>
              </w:rPr>
              <w:t>)</w:t>
            </w:r>
            <w:r w:rsidR="00865357" w:rsidRPr="00A10374">
              <w:rPr>
                <w:rFonts w:ascii="Times New Roman" w:hAnsi="Times New Roman"/>
                <w:shd w:val="clear" w:color="auto" w:fill="FFFFFF"/>
                <w:lang w:val="ro-RO"/>
              </w:rPr>
              <w:t xml:space="preserve">, iar pentru celelalte autorități publice locale elaborarea acestor planuri să devină una voluntară. </w:t>
            </w:r>
            <w:r w:rsidRPr="00A10374">
              <w:rPr>
                <w:rFonts w:ascii="Times New Roman" w:hAnsi="Times New Roman"/>
                <w:shd w:val="clear" w:color="auto" w:fill="FFFFFF"/>
                <w:lang w:val="ro-RO"/>
              </w:rPr>
              <w:t xml:space="preserve">  </w:t>
            </w:r>
            <w:r w:rsidR="00B04F6B" w:rsidRPr="00A10374">
              <w:rPr>
                <w:rFonts w:ascii="Times New Roman" w:hAnsi="Times New Roman"/>
                <w:shd w:val="clear" w:color="auto" w:fill="FFFFFF"/>
                <w:lang w:val="ro-RO"/>
              </w:rPr>
              <w:t xml:space="preserve">  </w:t>
            </w:r>
          </w:p>
          <w:p w14:paraId="44E88617" w14:textId="6F91E247" w:rsidR="001934CF" w:rsidRDefault="001934CF" w:rsidP="001A76A5">
            <w:pPr>
              <w:spacing w:before="120" w:after="120"/>
              <w:jc w:val="both"/>
              <w:rPr>
                <w:rFonts w:ascii="Times New Roman" w:hAnsi="Times New Roman"/>
                <w:shd w:val="clear" w:color="auto" w:fill="FFFFFF"/>
                <w:lang w:val="ro-RO"/>
              </w:rPr>
            </w:pPr>
            <w:proofErr w:type="spellStart"/>
            <w:r>
              <w:rPr>
                <w:rFonts w:ascii="Times New Roman" w:hAnsi="Times New Roman"/>
                <w:shd w:val="clear" w:color="auto" w:fill="FFFFFF"/>
                <w:lang w:val="ro-RO"/>
              </w:rPr>
              <w:t>Avînd</w:t>
            </w:r>
            <w:proofErr w:type="spellEnd"/>
            <w:r>
              <w:rPr>
                <w:rFonts w:ascii="Times New Roman" w:hAnsi="Times New Roman"/>
                <w:shd w:val="clear" w:color="auto" w:fill="FFFFFF"/>
                <w:lang w:val="ro-RO"/>
              </w:rPr>
              <w:t xml:space="preserve"> în vedere faptul că elaborarea acestor planuri a</w:t>
            </w:r>
            <w:r w:rsidR="003C2D71">
              <w:rPr>
                <w:rFonts w:ascii="Times New Roman" w:hAnsi="Times New Roman"/>
                <w:shd w:val="clear" w:color="auto" w:fill="FFFFFF"/>
                <w:lang w:val="ro-RO"/>
              </w:rPr>
              <w:t>re</w:t>
            </w:r>
            <w:r>
              <w:rPr>
                <w:rFonts w:ascii="Times New Roman" w:hAnsi="Times New Roman"/>
                <w:shd w:val="clear" w:color="auto" w:fill="FFFFFF"/>
                <w:lang w:val="ro-RO"/>
              </w:rPr>
              <w:t xml:space="preserve"> drept scop stabilirea obiectivelor în domeniul eficienței energetice și valorificării surselor regenerabile de energie cu indicarea măsurilor planificate a fi realizate în vederea atingerii acestora, este de menționat că legea prevede o legătură dintre aceste planuri cu sistemul informațional național în domeniul eficienței energetice, care la rândul său cuprinde alte subsisteme conform prevederilor de la art. 13</w:t>
            </w:r>
            <w:r>
              <w:rPr>
                <w:rFonts w:ascii="Times New Roman" w:hAnsi="Times New Roman"/>
                <w:shd w:val="clear" w:color="auto" w:fill="FFFFFF"/>
                <w:vertAlign w:val="superscript"/>
                <w:lang w:val="ro-RO"/>
              </w:rPr>
              <w:t>1</w:t>
            </w:r>
            <w:r>
              <w:rPr>
                <w:rFonts w:ascii="Times New Roman" w:hAnsi="Times New Roman"/>
                <w:shd w:val="clear" w:color="auto" w:fill="FFFFFF"/>
                <w:lang w:val="ro-RO"/>
              </w:rPr>
              <w:t xml:space="preserve"> alin.(1). </w:t>
            </w:r>
          </w:p>
          <w:p w14:paraId="2CEA714D" w14:textId="0B06A5F0" w:rsidR="001934CF" w:rsidRPr="00A10374" w:rsidRDefault="001934CF" w:rsidP="001A76A5">
            <w:pPr>
              <w:spacing w:before="120" w:after="120"/>
              <w:jc w:val="both"/>
              <w:rPr>
                <w:rFonts w:ascii="Times New Roman" w:hAnsi="Times New Roman"/>
                <w:shd w:val="clear" w:color="auto" w:fill="FFFFFF"/>
                <w:lang w:val="ro-RO"/>
              </w:rPr>
            </w:pPr>
            <w:r>
              <w:rPr>
                <w:rFonts w:ascii="Times New Roman" w:hAnsi="Times New Roman"/>
                <w:shd w:val="clear" w:color="auto" w:fill="FFFFFF"/>
                <w:lang w:val="ro-RO"/>
              </w:rPr>
              <w:t>Ca rezultat al elaborării conceptului sistemului informațional în domeniul eficienței energetice și a conlucrări</w:t>
            </w:r>
            <w:r w:rsidR="003C2D71">
              <w:rPr>
                <w:rFonts w:ascii="Times New Roman" w:hAnsi="Times New Roman"/>
                <w:shd w:val="clear" w:color="auto" w:fill="FFFFFF"/>
                <w:lang w:val="ro-RO"/>
              </w:rPr>
              <w:t>i</w:t>
            </w:r>
            <w:r>
              <w:rPr>
                <w:rFonts w:ascii="Times New Roman" w:hAnsi="Times New Roman"/>
                <w:shd w:val="clear" w:color="auto" w:fill="FFFFFF"/>
                <w:lang w:val="ro-RO"/>
              </w:rPr>
              <w:t xml:space="preserve"> cu părțile interesate la etapa elaborării acestuia</w:t>
            </w:r>
            <w:r w:rsidR="003C2D71">
              <w:rPr>
                <w:rFonts w:ascii="Times New Roman" w:hAnsi="Times New Roman"/>
                <w:shd w:val="clear" w:color="auto" w:fill="FFFFFF"/>
                <w:lang w:val="ro-RO"/>
              </w:rPr>
              <w:t>,</w:t>
            </w:r>
            <w:r>
              <w:rPr>
                <w:rFonts w:ascii="Times New Roman" w:hAnsi="Times New Roman"/>
                <w:shd w:val="clear" w:color="auto" w:fill="FFFFFF"/>
                <w:lang w:val="ro-RO"/>
              </w:rPr>
              <w:t xml:space="preserve"> a fost identificată necesitatea de ajustare a acestor subsisteme inclusiv prin completarea </w:t>
            </w:r>
            <w:r w:rsidR="003C2D71">
              <w:rPr>
                <w:rFonts w:ascii="Times New Roman" w:hAnsi="Times New Roman"/>
                <w:shd w:val="clear" w:color="auto" w:fill="FFFFFF"/>
                <w:lang w:val="ro-RO"/>
              </w:rPr>
              <w:t>lor</w:t>
            </w:r>
            <w:r>
              <w:rPr>
                <w:rFonts w:ascii="Times New Roman" w:hAnsi="Times New Roman"/>
                <w:shd w:val="clear" w:color="auto" w:fill="FFFFFF"/>
                <w:lang w:val="ro-RO"/>
              </w:rPr>
              <w:t xml:space="preserve"> cu alte subsisteme noi în vederea asigurării funcționalității și durabilității acestora în timp. Astfel, a fost identificată necesitatea de a efectua completările de rigoare asupra prevederilor art. 13</w:t>
            </w:r>
            <w:r w:rsidRPr="00172941">
              <w:rPr>
                <w:shd w:val="clear" w:color="auto" w:fill="FFFFFF"/>
                <w:vertAlign w:val="superscript"/>
                <w:lang w:val="ro-RO"/>
              </w:rPr>
              <w:t>1</w:t>
            </w:r>
            <w:r>
              <w:rPr>
                <w:rFonts w:ascii="Times New Roman" w:hAnsi="Times New Roman"/>
                <w:shd w:val="clear" w:color="auto" w:fill="FFFFFF"/>
                <w:lang w:val="ro-RO"/>
              </w:rPr>
              <w:t xml:space="preserve"> din legea nr. 139/2018 cu privire la eficiența energetică.     </w:t>
            </w:r>
          </w:p>
          <w:p w14:paraId="0C2475B0" w14:textId="49424C87" w:rsidR="00452C6C" w:rsidRPr="00A10374" w:rsidRDefault="002837FE"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Printre modificările identificate ca fiind</w:t>
            </w:r>
            <w:r w:rsidR="00234AA7" w:rsidRPr="00A10374">
              <w:rPr>
                <w:rFonts w:ascii="Times New Roman" w:hAnsi="Times New Roman"/>
                <w:shd w:val="clear" w:color="auto" w:fill="FFFFFF"/>
                <w:lang w:val="ro-RO"/>
              </w:rPr>
              <w:t xml:space="preserve"> necesar</w:t>
            </w:r>
            <w:r w:rsidRPr="00A10374">
              <w:rPr>
                <w:rFonts w:ascii="Times New Roman" w:hAnsi="Times New Roman"/>
                <w:shd w:val="clear" w:color="auto" w:fill="FFFFFF"/>
                <w:lang w:val="ro-RO"/>
              </w:rPr>
              <w:t>e</w:t>
            </w:r>
            <w:r w:rsidR="00234AA7" w:rsidRPr="00A10374">
              <w:rPr>
                <w:rFonts w:ascii="Times New Roman" w:hAnsi="Times New Roman"/>
                <w:shd w:val="clear" w:color="auto" w:fill="FFFFFF"/>
                <w:lang w:val="ro-RO"/>
              </w:rPr>
              <w:t xml:space="preserve"> </w:t>
            </w:r>
            <w:r w:rsidR="00081F96" w:rsidRPr="00A10374">
              <w:rPr>
                <w:rFonts w:ascii="Times New Roman" w:hAnsi="Times New Roman"/>
                <w:shd w:val="clear" w:color="auto" w:fill="FFFFFF"/>
                <w:lang w:val="ro-RO"/>
              </w:rPr>
              <w:t>a fi operat</w:t>
            </w:r>
            <w:r w:rsidRPr="00A10374">
              <w:rPr>
                <w:rFonts w:ascii="Times New Roman" w:hAnsi="Times New Roman"/>
                <w:shd w:val="clear" w:color="auto" w:fill="FFFFFF"/>
                <w:lang w:val="ro-RO"/>
              </w:rPr>
              <w:t>e</w:t>
            </w:r>
            <w:r w:rsidR="00081F96" w:rsidRPr="00A10374">
              <w:rPr>
                <w:rFonts w:ascii="Times New Roman" w:hAnsi="Times New Roman"/>
                <w:shd w:val="clear" w:color="auto" w:fill="FFFFFF"/>
                <w:lang w:val="ro-RO"/>
              </w:rPr>
              <w:t xml:space="preserve">, </w:t>
            </w:r>
            <w:r w:rsidRPr="00A10374">
              <w:rPr>
                <w:rFonts w:ascii="Times New Roman" w:hAnsi="Times New Roman"/>
                <w:shd w:val="clear" w:color="auto" w:fill="FFFFFF"/>
                <w:lang w:val="ro-RO"/>
              </w:rPr>
              <w:t>se enumeră și</w:t>
            </w:r>
            <w:r w:rsidR="00234AA7" w:rsidRPr="00A10374">
              <w:rPr>
                <w:rFonts w:ascii="Times New Roman" w:hAnsi="Times New Roman"/>
                <w:shd w:val="clear" w:color="auto" w:fill="FFFFFF"/>
                <w:lang w:val="ro-RO"/>
              </w:rPr>
              <w:t xml:space="preserve"> modificarea </w:t>
            </w:r>
            <w:r w:rsidR="00AA3C18" w:rsidRPr="00A10374">
              <w:rPr>
                <w:rFonts w:ascii="Times New Roman" w:hAnsi="Times New Roman"/>
                <w:shd w:val="clear" w:color="auto" w:fill="FFFFFF"/>
                <w:lang w:val="ro-RO"/>
              </w:rPr>
              <w:t xml:space="preserve">prevederilor </w:t>
            </w:r>
            <w:r w:rsidR="00234AA7" w:rsidRPr="00A10374">
              <w:rPr>
                <w:rFonts w:ascii="Times New Roman" w:hAnsi="Times New Roman"/>
                <w:shd w:val="clear" w:color="auto" w:fill="FFFFFF"/>
                <w:lang w:val="ro-RO"/>
              </w:rPr>
              <w:t xml:space="preserve">art. 20 din Legea nr. 139/2018 cu privire la eficiența energetică prin care </w:t>
            </w:r>
            <w:r w:rsidR="00AA3C18" w:rsidRPr="00A10374">
              <w:rPr>
                <w:rFonts w:ascii="Times New Roman" w:hAnsi="Times New Roman"/>
                <w:shd w:val="clear" w:color="auto" w:fill="FFFFFF"/>
                <w:lang w:val="ro-RO"/>
              </w:rPr>
              <w:t xml:space="preserve">să </w:t>
            </w:r>
            <w:r w:rsidR="00234AA7" w:rsidRPr="00A10374">
              <w:rPr>
                <w:rFonts w:ascii="Times New Roman" w:hAnsi="Times New Roman"/>
                <w:shd w:val="clear" w:color="auto" w:fill="FFFFFF"/>
                <w:lang w:val="ro-RO"/>
              </w:rPr>
              <w:t>se ofer</w:t>
            </w:r>
            <w:r w:rsidR="00AA3C18" w:rsidRPr="00A10374">
              <w:rPr>
                <w:rFonts w:ascii="Times New Roman" w:hAnsi="Times New Roman"/>
                <w:shd w:val="clear" w:color="auto" w:fill="FFFFFF"/>
                <w:lang w:val="ro-RO"/>
              </w:rPr>
              <w:t>e</w:t>
            </w:r>
            <w:r w:rsidR="00234AA7" w:rsidRPr="00A10374">
              <w:rPr>
                <w:rFonts w:ascii="Times New Roman" w:hAnsi="Times New Roman"/>
                <w:shd w:val="clear" w:color="auto" w:fill="FFFFFF"/>
                <w:lang w:val="ro-RO"/>
              </w:rPr>
              <w:t xml:space="preserve"> posibilitatea prestării serviciilor de audit energetic de către toate întreprinderile indiferent de forma </w:t>
            </w:r>
            <w:proofErr w:type="spellStart"/>
            <w:r w:rsidR="00234AA7" w:rsidRPr="00A10374">
              <w:rPr>
                <w:rFonts w:ascii="Times New Roman" w:hAnsi="Times New Roman"/>
                <w:shd w:val="clear" w:color="auto" w:fill="FFFFFF"/>
                <w:lang w:val="ro-RO"/>
              </w:rPr>
              <w:t>organizatorico</w:t>
            </w:r>
            <w:proofErr w:type="spellEnd"/>
            <w:r w:rsidR="00234AA7" w:rsidRPr="00A10374">
              <w:rPr>
                <w:rFonts w:ascii="Times New Roman" w:hAnsi="Times New Roman"/>
                <w:shd w:val="clear" w:color="auto" w:fill="FFFFFF"/>
                <w:lang w:val="ro-RO"/>
              </w:rPr>
              <w:t xml:space="preserve">-juridică, inclusiv </w:t>
            </w:r>
            <w:r w:rsidR="000E0137" w:rsidRPr="00A10374">
              <w:rPr>
                <w:rFonts w:ascii="Times New Roman" w:hAnsi="Times New Roman"/>
                <w:shd w:val="clear" w:color="auto" w:fill="FFFFFF"/>
                <w:lang w:val="ro-RO"/>
              </w:rPr>
              <w:t xml:space="preserve">organizațiile </w:t>
            </w:r>
            <w:r w:rsidR="001374F4" w:rsidRPr="00A10374">
              <w:rPr>
                <w:rFonts w:ascii="Times New Roman" w:hAnsi="Times New Roman"/>
                <w:shd w:val="clear" w:color="auto" w:fill="FFFFFF"/>
                <w:lang w:val="ro-RO"/>
              </w:rPr>
              <w:t xml:space="preserve">necomerciale </w:t>
            </w:r>
            <w:r w:rsidR="000E0137" w:rsidRPr="00A10374">
              <w:rPr>
                <w:rFonts w:ascii="Times New Roman" w:hAnsi="Times New Roman"/>
                <w:shd w:val="clear" w:color="auto" w:fill="FFFFFF"/>
                <w:lang w:val="ro-RO"/>
              </w:rPr>
              <w:t>și instituțiile științifice cum ar fi Institutul de Energetică</w:t>
            </w:r>
            <w:r w:rsidR="00E03AB6" w:rsidRPr="00A10374">
              <w:rPr>
                <w:rFonts w:ascii="Times New Roman" w:hAnsi="Times New Roman"/>
                <w:shd w:val="clear" w:color="auto" w:fill="FFFFFF"/>
                <w:lang w:val="ro-RO"/>
              </w:rPr>
              <w:t xml:space="preserve"> a Universității Tehnice  a Moldovei</w:t>
            </w:r>
            <w:r w:rsidR="00234AA7" w:rsidRPr="00A10374">
              <w:rPr>
                <w:rFonts w:ascii="Times New Roman" w:hAnsi="Times New Roman"/>
                <w:shd w:val="clear" w:color="auto" w:fill="FFFFFF"/>
                <w:lang w:val="ro-RO"/>
              </w:rPr>
              <w:t xml:space="preserve">, fără a limita ca aceste servicii să fie prestate doar de către </w:t>
            </w:r>
            <w:r w:rsidR="00234AA7" w:rsidRPr="00A10374">
              <w:rPr>
                <w:rFonts w:ascii="Times New Roman" w:hAnsi="Times New Roman"/>
                <w:b/>
                <w:shd w:val="clear" w:color="auto" w:fill="FFFFFF"/>
                <w:lang w:val="ro-RO"/>
              </w:rPr>
              <w:t>societățile comerciale</w:t>
            </w:r>
            <w:r w:rsidR="00234AA7" w:rsidRPr="00A10374">
              <w:rPr>
                <w:rFonts w:ascii="Times New Roman" w:hAnsi="Times New Roman"/>
                <w:shd w:val="clear" w:color="auto" w:fill="FFFFFF"/>
                <w:lang w:val="ro-RO"/>
              </w:rPr>
              <w:t xml:space="preserve">, după cum este reglementat la moment în redacția actuală a art. 20 din Legea nr. 139/2018 cu privire la eficiența energetică, </w:t>
            </w:r>
            <w:r w:rsidR="00E03AB6" w:rsidRPr="00A10374">
              <w:rPr>
                <w:rFonts w:ascii="Times New Roman" w:hAnsi="Times New Roman"/>
                <w:shd w:val="clear" w:color="auto" w:fill="FFFFFF"/>
                <w:lang w:val="ro-RO"/>
              </w:rPr>
              <w:t xml:space="preserve">ceea ce </w:t>
            </w:r>
            <w:r w:rsidR="00234AA7" w:rsidRPr="00A10374">
              <w:rPr>
                <w:rFonts w:ascii="Times New Roman" w:hAnsi="Times New Roman"/>
                <w:shd w:val="clear" w:color="auto" w:fill="FFFFFF"/>
                <w:lang w:val="ro-RO"/>
              </w:rPr>
              <w:t>îngrădește drepturile ONG</w:t>
            </w:r>
            <w:r w:rsidR="00E03AB6" w:rsidRPr="00A10374">
              <w:rPr>
                <w:rFonts w:ascii="Times New Roman" w:hAnsi="Times New Roman"/>
                <w:shd w:val="clear" w:color="auto" w:fill="FFFFFF"/>
                <w:lang w:val="ro-RO"/>
              </w:rPr>
              <w:t xml:space="preserve"> </w:t>
            </w:r>
            <w:r w:rsidR="00234AA7" w:rsidRPr="00A10374">
              <w:rPr>
                <w:rFonts w:ascii="Times New Roman" w:hAnsi="Times New Roman"/>
                <w:shd w:val="clear" w:color="auto" w:fill="FFFFFF"/>
                <w:lang w:val="ro-RO"/>
              </w:rPr>
              <w:t xml:space="preserve">și întreprinderilor </w:t>
            </w:r>
            <w:r w:rsidR="00E03AB6" w:rsidRPr="00A10374">
              <w:rPr>
                <w:rFonts w:ascii="Times New Roman" w:hAnsi="Times New Roman"/>
                <w:shd w:val="clear" w:color="auto" w:fill="FFFFFF"/>
                <w:lang w:val="ro-RO"/>
              </w:rPr>
              <w:t xml:space="preserve">cu </w:t>
            </w:r>
            <w:r w:rsidR="00234AA7" w:rsidRPr="00A10374">
              <w:rPr>
                <w:rFonts w:ascii="Times New Roman" w:hAnsi="Times New Roman"/>
                <w:shd w:val="clear" w:color="auto" w:fill="FFFFFF"/>
                <w:lang w:val="ro-RO"/>
              </w:rPr>
              <w:t xml:space="preserve">orice </w:t>
            </w:r>
            <w:r w:rsidR="00E03AB6" w:rsidRPr="00A10374">
              <w:rPr>
                <w:rFonts w:ascii="Times New Roman" w:hAnsi="Times New Roman"/>
                <w:shd w:val="clear" w:color="auto" w:fill="FFFFFF"/>
                <w:lang w:val="ro-RO"/>
              </w:rPr>
              <w:t xml:space="preserve">altă </w:t>
            </w:r>
            <w:r w:rsidR="00234AA7" w:rsidRPr="00A10374">
              <w:rPr>
                <w:rFonts w:ascii="Times New Roman" w:hAnsi="Times New Roman"/>
                <w:shd w:val="clear" w:color="auto" w:fill="FFFFFF"/>
                <w:lang w:val="ro-RO"/>
              </w:rPr>
              <w:t xml:space="preserve">formă </w:t>
            </w:r>
            <w:proofErr w:type="spellStart"/>
            <w:r w:rsidR="00234AA7" w:rsidRPr="00A10374">
              <w:rPr>
                <w:rFonts w:ascii="Times New Roman" w:hAnsi="Times New Roman"/>
                <w:shd w:val="clear" w:color="auto" w:fill="FFFFFF"/>
                <w:lang w:val="ro-RO"/>
              </w:rPr>
              <w:t>organizatorico</w:t>
            </w:r>
            <w:proofErr w:type="spellEnd"/>
            <w:r w:rsidR="00234AA7" w:rsidRPr="00A10374">
              <w:rPr>
                <w:rFonts w:ascii="Times New Roman" w:hAnsi="Times New Roman"/>
                <w:shd w:val="clear" w:color="auto" w:fill="FFFFFF"/>
                <w:lang w:val="ro-RO"/>
              </w:rPr>
              <w:t>-juridică să presteze astfel de servicii</w:t>
            </w:r>
            <w:r w:rsidR="00927302" w:rsidRPr="00A10374">
              <w:rPr>
                <w:rFonts w:ascii="Times New Roman" w:hAnsi="Times New Roman"/>
                <w:shd w:val="clear" w:color="auto" w:fill="FFFFFF"/>
                <w:lang w:val="ro-RO"/>
              </w:rPr>
              <w:t xml:space="preserve">. </w:t>
            </w:r>
          </w:p>
          <w:p w14:paraId="2160C38C" w14:textId="583BEF45" w:rsidR="00267AE6" w:rsidRPr="00A10374" w:rsidRDefault="00267AE6"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Totodată, </w:t>
            </w:r>
            <w:bookmarkStart w:id="0" w:name="_Hlk180577412"/>
            <w:r w:rsidR="00400E8D" w:rsidRPr="00A10374">
              <w:rPr>
                <w:rFonts w:ascii="Times New Roman" w:hAnsi="Times New Roman"/>
                <w:shd w:val="clear" w:color="auto" w:fill="FFFFFF"/>
                <w:lang w:val="ro-RO"/>
              </w:rPr>
              <w:t>în condițiile intrării în vigoare a Legii nr. 282/2023 cu privire la performanța energetică a clădirilor</w:t>
            </w:r>
            <w:bookmarkEnd w:id="0"/>
            <w:r w:rsidR="00400E8D" w:rsidRPr="00A10374">
              <w:rPr>
                <w:rFonts w:ascii="Times New Roman" w:hAnsi="Times New Roman"/>
                <w:shd w:val="clear" w:color="auto" w:fill="FFFFFF"/>
                <w:lang w:val="ro-RO"/>
              </w:rPr>
              <w:t xml:space="preserve">, </w:t>
            </w:r>
            <w:r w:rsidRPr="00A10374">
              <w:rPr>
                <w:rFonts w:ascii="Times New Roman" w:hAnsi="Times New Roman"/>
                <w:shd w:val="clear" w:color="auto" w:fill="FFFFFF"/>
                <w:lang w:val="ro-RO"/>
              </w:rPr>
              <w:t xml:space="preserve">este necesar de revăzut </w:t>
            </w:r>
            <w:r w:rsidR="006646FE">
              <w:rPr>
                <w:rFonts w:ascii="Times New Roman" w:hAnsi="Times New Roman"/>
                <w:shd w:val="clear" w:color="auto" w:fill="FFFFFF"/>
                <w:lang w:val="ro-RO"/>
              </w:rPr>
              <w:t xml:space="preserve">pe de o parte </w:t>
            </w:r>
            <w:r w:rsidRPr="00A10374">
              <w:rPr>
                <w:rFonts w:ascii="Times New Roman" w:hAnsi="Times New Roman"/>
                <w:shd w:val="clear" w:color="auto" w:fill="FFFFFF"/>
                <w:lang w:val="ro-RO"/>
              </w:rPr>
              <w:t xml:space="preserve">necesitatea păstrării caracterului </w:t>
            </w:r>
            <w:bookmarkStart w:id="1" w:name="_Hlk180577385"/>
            <w:r w:rsidRPr="00A10374">
              <w:rPr>
                <w:rFonts w:ascii="Times New Roman" w:hAnsi="Times New Roman"/>
                <w:shd w:val="clear" w:color="auto" w:fill="FFFFFF"/>
                <w:lang w:val="ro-RO"/>
              </w:rPr>
              <w:t>obligatoriu de elaborare a auditului energetic pentru proiectele de eficiență energetică finanțate total sau parțial de la bugetul de stat sau bugetul autorităților publice locale</w:t>
            </w:r>
            <w:bookmarkEnd w:id="1"/>
            <w:r w:rsidR="006646FE">
              <w:rPr>
                <w:rFonts w:ascii="Times New Roman" w:hAnsi="Times New Roman"/>
                <w:shd w:val="clear" w:color="auto" w:fill="FFFFFF"/>
                <w:lang w:val="ro-RO"/>
              </w:rPr>
              <w:t>, iar pe de altă parte de asigurat mecanisme corespunzătoare care ar permite verificarea calității acestor audituri energetice.</w:t>
            </w:r>
            <w:r w:rsidRPr="00A10374">
              <w:rPr>
                <w:rFonts w:ascii="Times New Roman" w:hAnsi="Times New Roman"/>
                <w:shd w:val="clear" w:color="auto" w:fill="FFFFFF"/>
                <w:lang w:val="ro-RO"/>
              </w:rPr>
              <w:t xml:space="preserve"> </w:t>
            </w:r>
          </w:p>
          <w:p w14:paraId="0EFB1661" w14:textId="0F7EB1A2" w:rsidR="00267AE6" w:rsidRPr="00A10374" w:rsidRDefault="00267AE6"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O altă modificare identificată ține de completarea legii </w:t>
            </w:r>
            <w:r w:rsidR="006C374D" w:rsidRPr="00A10374">
              <w:rPr>
                <w:rFonts w:ascii="Times New Roman" w:hAnsi="Times New Roman"/>
                <w:shd w:val="clear" w:color="auto" w:fill="FFFFFF"/>
                <w:lang w:val="ro-RO"/>
              </w:rPr>
              <w:t xml:space="preserve">nr. 139/2018 cu privire la eficiența energetică </w:t>
            </w:r>
            <w:r w:rsidRPr="00A10374">
              <w:rPr>
                <w:rFonts w:ascii="Times New Roman" w:hAnsi="Times New Roman"/>
                <w:shd w:val="clear" w:color="auto" w:fill="FFFFFF"/>
                <w:lang w:val="ro-RO"/>
              </w:rPr>
              <w:t xml:space="preserve">cu prevederi care să permită finanțarea durabilă și continuă a proiectelor de eficiență </w:t>
            </w:r>
            <w:r w:rsidRPr="00A10374">
              <w:rPr>
                <w:rFonts w:ascii="Times New Roman" w:hAnsi="Times New Roman"/>
                <w:shd w:val="clear" w:color="auto" w:fill="FFFFFF"/>
                <w:lang w:val="ro-RO"/>
              </w:rPr>
              <w:lastRenderedPageBreak/>
              <w:t xml:space="preserve">energetică prin intermediul </w:t>
            </w:r>
            <w:r w:rsidR="00D046DF" w:rsidRPr="00A10374">
              <w:rPr>
                <w:rFonts w:ascii="Times New Roman" w:hAnsi="Times New Roman"/>
                <w:shd w:val="clear" w:color="auto" w:fill="FFFFFF"/>
                <w:lang w:val="ro-RO"/>
              </w:rPr>
              <w:t>IP CNED</w:t>
            </w:r>
            <w:r w:rsidRPr="00A10374">
              <w:rPr>
                <w:rFonts w:ascii="Times New Roman" w:hAnsi="Times New Roman"/>
                <w:shd w:val="clear" w:color="auto" w:fill="FFFFFF"/>
                <w:lang w:val="ro-RO"/>
              </w:rPr>
              <w:t xml:space="preserve">, prin oferirea dreptului acesteia de a încheia contracte de performanță energetică în baza unui Program aprobat de Guvern în acest sens. </w:t>
            </w:r>
          </w:p>
          <w:p w14:paraId="2279CA05" w14:textId="4C7A17AF" w:rsidR="00D60261" w:rsidRPr="00A10374" w:rsidRDefault="004C02DC"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Cu referire la domeniul auditării energetice</w:t>
            </w:r>
            <w:r w:rsidR="00767AF4" w:rsidRPr="00A10374">
              <w:rPr>
                <w:rFonts w:ascii="Times New Roman" w:hAnsi="Times New Roman"/>
                <w:shd w:val="clear" w:color="auto" w:fill="FFFFFF"/>
                <w:lang w:val="ro-RO"/>
              </w:rPr>
              <w:t>, art. 30 alin. (14) din Legea nr.139/2018 cu privire la eficiența energetică menționează că „</w:t>
            </w:r>
            <w:r w:rsidR="00767AF4" w:rsidRPr="00A10374">
              <w:rPr>
                <w:rFonts w:ascii="Times New Roman" w:hAnsi="Times New Roman"/>
                <w:i/>
                <w:shd w:val="clear" w:color="auto" w:fill="FFFFFF"/>
                <w:lang w:val="ro-RO"/>
              </w:rPr>
              <w:t xml:space="preserve">Întreprinderile mari care nu intră sub incidența Legii nr. 179/2016 cu privire la întreprinderile mici și mijlocii vor efectua primul audit energetic în termen de un an de la publicarea, în Monitorul Oficial al Republicii Moldova, a </w:t>
            </w:r>
            <w:bookmarkStart w:id="2" w:name="_Hlk180577971"/>
            <w:r w:rsidR="00767AF4" w:rsidRPr="00A10374">
              <w:rPr>
                <w:rFonts w:ascii="Times New Roman" w:hAnsi="Times New Roman"/>
                <w:i/>
                <w:shd w:val="clear" w:color="auto" w:fill="FFFFFF"/>
                <w:lang w:val="ro-RO"/>
              </w:rPr>
              <w:t xml:space="preserve">Regulamentului cu privire la efectuarea auditului energetic de către întreprinderile mari </w:t>
            </w:r>
            <w:bookmarkEnd w:id="2"/>
            <w:r w:rsidR="00767AF4" w:rsidRPr="00A10374">
              <w:rPr>
                <w:rFonts w:ascii="Times New Roman" w:hAnsi="Times New Roman"/>
                <w:i/>
                <w:shd w:val="clear" w:color="auto" w:fill="FFFFFF"/>
                <w:lang w:val="ro-RO"/>
              </w:rPr>
              <w:t>[…]</w:t>
            </w:r>
            <w:r w:rsidR="00767AF4" w:rsidRPr="00A10374">
              <w:rPr>
                <w:rFonts w:ascii="Times New Roman" w:hAnsi="Times New Roman"/>
                <w:shd w:val="clear" w:color="auto" w:fill="FFFFFF"/>
                <w:lang w:val="ro-RO"/>
              </w:rPr>
              <w:t xml:space="preserve">”. </w:t>
            </w:r>
            <w:r w:rsidR="00D60261" w:rsidRPr="00A10374">
              <w:rPr>
                <w:rFonts w:ascii="Times New Roman" w:hAnsi="Times New Roman"/>
                <w:shd w:val="clear" w:color="auto" w:fill="FFFFFF"/>
                <w:lang w:val="ro-RO"/>
              </w:rPr>
              <w:t>Totodată la art. 12 alin. (1) litera o) din aceeași lege menționează că IP CNED „</w:t>
            </w:r>
            <w:r w:rsidR="00D60261" w:rsidRPr="00A10374">
              <w:rPr>
                <w:rFonts w:ascii="Times New Roman" w:hAnsi="Times New Roman"/>
                <w:i/>
                <w:shd w:val="clear" w:color="auto" w:fill="FFFFFF"/>
                <w:lang w:val="ro-RO"/>
              </w:rPr>
              <w:t xml:space="preserve">identifică și stabilește lista întreprinderilor mari care urmează să îndeplinească obligația stabilită la art. 19 alin. (1) și </w:t>
            </w:r>
            <w:r w:rsidR="00D60261" w:rsidRPr="00A10374">
              <w:rPr>
                <w:rFonts w:ascii="Times New Roman" w:hAnsi="Times New Roman"/>
                <w:i/>
                <w:u w:val="single"/>
                <w:shd w:val="clear" w:color="auto" w:fill="FFFFFF"/>
                <w:lang w:val="ro-RO"/>
              </w:rPr>
              <w:t>le notifică despre acest fapt</w:t>
            </w:r>
            <w:r w:rsidR="00D60261" w:rsidRPr="00A10374">
              <w:rPr>
                <w:rFonts w:ascii="Times New Roman" w:hAnsi="Times New Roman"/>
                <w:shd w:val="clear" w:color="auto" w:fill="FFFFFF"/>
                <w:lang w:val="ro-RO"/>
              </w:rPr>
              <w:t xml:space="preserve">”. Astfel, având în vedere cele menționate, a fost constatat că termenul de 1 an oferit întreprinderilor mari pentru efectuarea primului audit energetic, care decurge din momentul publicării </w:t>
            </w:r>
            <w:r w:rsidR="00400E8D" w:rsidRPr="00A10374">
              <w:rPr>
                <w:rFonts w:ascii="Times New Roman" w:hAnsi="Times New Roman"/>
                <w:shd w:val="clear" w:color="auto" w:fill="FFFFFF"/>
                <w:lang w:val="ro-RO"/>
              </w:rPr>
              <w:t xml:space="preserve">Regulamentului cu privire la efectuarea auditului energetic de către întreprinderile mari </w:t>
            </w:r>
            <w:r w:rsidR="00D60261" w:rsidRPr="00A10374">
              <w:rPr>
                <w:rFonts w:ascii="Times New Roman" w:hAnsi="Times New Roman"/>
                <w:shd w:val="clear" w:color="auto" w:fill="FFFFFF"/>
                <w:lang w:val="ro-RO"/>
              </w:rPr>
              <w:t xml:space="preserve">în Monitorul oficial al Republicii Moldova, este prea mic din considerentul că IP CNED va avea nevoie de câteva luni </w:t>
            </w:r>
            <w:r w:rsidR="004B7A41" w:rsidRPr="00A10374">
              <w:rPr>
                <w:rFonts w:ascii="Times New Roman" w:hAnsi="Times New Roman"/>
                <w:shd w:val="clear" w:color="auto" w:fill="FFFFFF"/>
                <w:lang w:val="ro-RO"/>
              </w:rPr>
              <w:t xml:space="preserve">pentru a </w:t>
            </w:r>
            <w:r w:rsidR="00D60261" w:rsidRPr="00A10374">
              <w:rPr>
                <w:rFonts w:ascii="Times New Roman" w:hAnsi="Times New Roman"/>
                <w:shd w:val="clear" w:color="auto" w:fill="FFFFFF"/>
                <w:lang w:val="ro-RO"/>
              </w:rPr>
              <w:t>stabili această lista, iar ulterior întreprinderile mari vor avea nevoie de timp pentru contractarea serviciilor de auditar</w:t>
            </w:r>
            <w:r w:rsidR="00217C7D" w:rsidRPr="00A10374">
              <w:rPr>
                <w:rFonts w:ascii="Times New Roman" w:hAnsi="Times New Roman"/>
                <w:shd w:val="clear" w:color="auto" w:fill="FFFFFF"/>
                <w:lang w:val="ro-RO"/>
              </w:rPr>
              <w:t xml:space="preserve">e energetică. </w:t>
            </w:r>
            <w:r w:rsidR="00D60261" w:rsidRPr="00A10374">
              <w:rPr>
                <w:rFonts w:ascii="Times New Roman" w:hAnsi="Times New Roman"/>
                <w:shd w:val="clear" w:color="auto" w:fill="FFFFFF"/>
                <w:lang w:val="ro-RO"/>
              </w:rPr>
              <w:t xml:space="preserve"> </w:t>
            </w:r>
          </w:p>
          <w:p w14:paraId="35FF1BD2" w14:textId="77777777" w:rsidR="004C02DC" w:rsidRDefault="00D60261"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Prin urmare, a fost identificată necesitatea de modificare a prevederilor art. 30 alin. (14) din legea nr. 139/2018 cu privire la eficiența energetică astfel încât termenul de 1 an să decurgă din momentul recepționării de către întreprinderile mari a notificării</w:t>
            </w:r>
            <w:r w:rsidR="00217C7D" w:rsidRPr="00A10374">
              <w:rPr>
                <w:rFonts w:ascii="Times New Roman" w:hAnsi="Times New Roman"/>
                <w:shd w:val="clear" w:color="auto" w:fill="FFFFFF"/>
                <w:lang w:val="ro-RO"/>
              </w:rPr>
              <w:t>, expediată de către IP CNED,</w:t>
            </w:r>
            <w:r w:rsidRPr="00A10374">
              <w:rPr>
                <w:rFonts w:ascii="Times New Roman" w:hAnsi="Times New Roman"/>
                <w:shd w:val="clear" w:color="auto" w:fill="FFFFFF"/>
                <w:lang w:val="ro-RO"/>
              </w:rPr>
              <w:t xml:space="preserve"> cu privire la obligativitatea efectuării auditului energetic.</w:t>
            </w:r>
          </w:p>
          <w:p w14:paraId="250DC0D1" w14:textId="0E57113F" w:rsidR="00784FAA" w:rsidRPr="00784FAA" w:rsidRDefault="00784FAA" w:rsidP="00784FAA">
            <w:pPr>
              <w:spacing w:before="120" w:after="120"/>
              <w:jc w:val="both"/>
              <w:rPr>
                <w:rFonts w:ascii="Times New Roman" w:hAnsi="Times New Roman"/>
                <w:shd w:val="clear" w:color="auto" w:fill="FFFFFF"/>
                <w:lang w:val="ro-MD"/>
              </w:rPr>
            </w:pPr>
            <w:r w:rsidRPr="00784FAA">
              <w:rPr>
                <w:rFonts w:ascii="Times New Roman" w:hAnsi="Times New Roman"/>
                <w:shd w:val="clear" w:color="auto" w:fill="FFFFFF"/>
                <w:lang w:val="ro-MD"/>
              </w:rPr>
              <w:t xml:space="preserve">Intrarea în vigoare a </w:t>
            </w:r>
            <w:r w:rsidR="009313FB">
              <w:rPr>
                <w:rFonts w:ascii="Times New Roman" w:hAnsi="Times New Roman"/>
                <w:shd w:val="clear" w:color="auto" w:fill="FFFFFF"/>
                <w:lang w:val="ro-MD"/>
              </w:rPr>
              <w:t xml:space="preserve"> proiectului de lege</w:t>
            </w:r>
            <w:r w:rsidRPr="00784FAA">
              <w:rPr>
                <w:rFonts w:ascii="Times New Roman" w:hAnsi="Times New Roman"/>
                <w:shd w:val="clear" w:color="auto" w:fill="FFFFFF"/>
                <w:lang w:val="ro-MD"/>
              </w:rPr>
              <w:t xml:space="preserve"> la data publicării în Monitorul Oficial al Republicii Moldova este argumentată prin faptul că prin intermediul acestui proiect de lege se urmărește stabilirea cadrului regulator în vederea valorificării contribuțiilor colectate ca rezultat al punerii în aplicare a Programului privind implementarea schemei de obligații în domeniul eficienței energetice pentru perioada 2024-2026, aprobat prin Hotărârea Guvernului nr. 1064/2023.</w:t>
            </w:r>
          </w:p>
          <w:p w14:paraId="07153087" w14:textId="574C2CA3" w:rsidR="00784FAA" w:rsidRPr="00784FAA" w:rsidRDefault="00784FAA" w:rsidP="00784FAA">
            <w:pPr>
              <w:spacing w:before="120" w:after="120"/>
              <w:jc w:val="both"/>
              <w:rPr>
                <w:rFonts w:ascii="Times New Roman" w:hAnsi="Times New Roman"/>
                <w:shd w:val="clear" w:color="auto" w:fill="FFFFFF"/>
                <w:lang w:val="ro-MD"/>
              </w:rPr>
            </w:pPr>
            <w:r w:rsidRPr="00784FAA">
              <w:rPr>
                <w:rFonts w:ascii="Times New Roman" w:hAnsi="Times New Roman"/>
                <w:shd w:val="clear" w:color="auto" w:fill="FFFFFF"/>
                <w:lang w:val="ro-MD"/>
              </w:rPr>
              <w:t xml:space="preserve">Aceste mijloace financiare urmează a fi gestionate de către IP Centrul Național pentru Energie Durabilă, care la moment întimpină mai multe impedimente în ceea ce privește implementarea Programului de finanțare Fondul pentru Eficiență Energetică în sectorul rezidențial din Republica Moldova. În rezultatul modificărilor propuse prin prezentul proiect de lege acestea urmează a fi eliminate, fapt ce va contribui la sporirea gradului de valorificare a mijloacelor financiare pentru implementarea proiectelor de eficiență energetică și valorificare a surselor de energie regenerabilă în sectorul clădiri.    </w:t>
            </w:r>
          </w:p>
          <w:p w14:paraId="151670DF" w14:textId="2C717906" w:rsidR="00784FAA" w:rsidRPr="00784FAA" w:rsidRDefault="00784FAA" w:rsidP="00784FAA">
            <w:pPr>
              <w:spacing w:before="120" w:after="120"/>
              <w:jc w:val="both"/>
              <w:rPr>
                <w:rFonts w:ascii="Times New Roman" w:hAnsi="Times New Roman"/>
                <w:bCs/>
                <w:shd w:val="clear" w:color="auto" w:fill="FFFFFF"/>
                <w:lang w:val="ro-RO"/>
              </w:rPr>
            </w:pPr>
            <w:r w:rsidRPr="00784FAA">
              <w:rPr>
                <w:rFonts w:ascii="Times New Roman" w:hAnsi="Times New Roman"/>
                <w:bCs/>
                <w:shd w:val="clear" w:color="auto" w:fill="FFFFFF"/>
                <w:lang w:val="ro-RO"/>
              </w:rPr>
              <w:t>Mai mult ca atât, eficientizarea energetică a clădirilor reprezintă prioritatea nr. 2 din planul Național „Construim Moldova Europeană” aprobat de Guvern, iar sporirea gradului de implementare a mai multor programe Guvernamentale în domeniul eficienței energetice inclusiv a Fondului pentru eficiență energetică în sectorul rezidențial,  care ar contribui la implementarea planului sus menționat, este dependentă de aprobarea modificărilor propuse prin prezentul proiect de lege.</w:t>
            </w:r>
          </w:p>
          <w:p w14:paraId="7AF8A9C7" w14:textId="67BB1373" w:rsidR="00784FAA" w:rsidRPr="00A10374" w:rsidRDefault="00784FAA" w:rsidP="001A76A5">
            <w:pPr>
              <w:spacing w:before="120" w:after="120"/>
              <w:jc w:val="both"/>
              <w:rPr>
                <w:rFonts w:ascii="Times New Roman" w:hAnsi="Times New Roman"/>
                <w:shd w:val="clear" w:color="auto" w:fill="FFFFFF"/>
                <w:lang w:val="ro-RO"/>
              </w:rPr>
            </w:pPr>
            <w:r w:rsidRPr="00784FAA">
              <w:rPr>
                <w:rFonts w:ascii="Times New Roman" w:hAnsi="Times New Roman"/>
                <w:bCs/>
                <w:shd w:val="clear" w:color="auto" w:fill="FFFFFF"/>
                <w:lang w:val="ro-RO"/>
              </w:rPr>
              <w:t>Astfel, din aceste considerente, intrarea în vigoare a prezentei Hotărâri de Guvern la data publicării în Monitorul Oficial, este imperios necesară în vederea atingerii obiectivelor stabilite.</w:t>
            </w:r>
          </w:p>
        </w:tc>
      </w:tr>
      <w:tr w:rsidR="006D3EB7" w:rsidRPr="00A10374"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A10374" w:rsidRDefault="006933C3" w:rsidP="000E1660">
            <w:pPr>
              <w:rPr>
                <w:rFonts w:ascii="Times New Roman" w:hAnsi="Times New Roman"/>
                <w:b/>
                <w:bCs/>
                <w:lang w:val="ro-RO"/>
              </w:rPr>
            </w:pPr>
            <w:r w:rsidRPr="00A10374">
              <w:rPr>
                <w:rFonts w:ascii="Times New Roman" w:hAnsi="Times New Roman"/>
                <w:b/>
                <w:bCs/>
                <w:lang w:val="ro-RO"/>
              </w:rPr>
              <w:lastRenderedPageBreak/>
              <w:t>3.</w:t>
            </w:r>
            <w:r w:rsidR="00032B46" w:rsidRPr="00A10374">
              <w:rPr>
                <w:rFonts w:ascii="Times New Roman" w:hAnsi="Times New Roman"/>
                <w:b/>
                <w:bCs/>
                <w:lang w:val="ro-RO"/>
              </w:rPr>
              <w:t xml:space="preserve"> </w:t>
            </w:r>
            <w:r w:rsidRPr="00A10374">
              <w:rPr>
                <w:rFonts w:ascii="Times New Roman" w:hAnsi="Times New Roman"/>
                <w:b/>
                <w:bCs/>
                <w:lang w:val="ro-RO"/>
              </w:rPr>
              <w:t>Obiectivele</w:t>
            </w:r>
            <w:r w:rsidR="00032B46" w:rsidRPr="00A10374">
              <w:rPr>
                <w:rFonts w:ascii="Times New Roman" w:hAnsi="Times New Roman"/>
                <w:b/>
                <w:bCs/>
                <w:lang w:val="ro-RO"/>
              </w:rPr>
              <w:t xml:space="preserve"> </w:t>
            </w:r>
            <w:r w:rsidRPr="00A10374">
              <w:rPr>
                <w:rFonts w:ascii="Times New Roman" w:hAnsi="Times New Roman"/>
                <w:b/>
                <w:bCs/>
                <w:lang w:val="ro-RO"/>
              </w:rPr>
              <w:t>urmărite</w:t>
            </w:r>
            <w:r w:rsidR="00032B46" w:rsidRPr="00A10374">
              <w:rPr>
                <w:rFonts w:ascii="Times New Roman" w:hAnsi="Times New Roman"/>
                <w:b/>
                <w:bCs/>
                <w:lang w:val="ro-RO"/>
              </w:rPr>
              <w:t xml:space="preserve"> </w:t>
            </w:r>
            <w:r w:rsidR="00863417" w:rsidRPr="00A10374">
              <w:rPr>
                <w:rFonts w:ascii="Times New Roman" w:hAnsi="Times New Roman"/>
                <w:b/>
                <w:bCs/>
                <w:lang w:val="ro-RO"/>
              </w:rPr>
              <w:t>ș</w:t>
            </w:r>
            <w:r w:rsidRPr="00A10374">
              <w:rPr>
                <w:rFonts w:ascii="Times New Roman" w:hAnsi="Times New Roman"/>
                <w:b/>
                <w:bCs/>
                <w:lang w:val="ro-RO"/>
              </w:rPr>
              <w:t>i</w:t>
            </w:r>
            <w:r w:rsidR="00032B46" w:rsidRPr="00A10374">
              <w:rPr>
                <w:rFonts w:ascii="Times New Roman" w:hAnsi="Times New Roman"/>
                <w:b/>
                <w:bCs/>
                <w:lang w:val="ro-RO"/>
              </w:rPr>
              <w:t xml:space="preserve"> </w:t>
            </w:r>
            <w:r w:rsidRPr="00A10374">
              <w:rPr>
                <w:rFonts w:ascii="Times New Roman" w:hAnsi="Times New Roman"/>
                <w:b/>
                <w:bCs/>
                <w:lang w:val="ro-RO"/>
              </w:rPr>
              <w:t>solu</w:t>
            </w:r>
            <w:r w:rsidR="00863417" w:rsidRPr="00A10374">
              <w:rPr>
                <w:rFonts w:ascii="Times New Roman" w:hAnsi="Times New Roman"/>
                <w:b/>
                <w:bCs/>
                <w:lang w:val="ro-RO"/>
              </w:rPr>
              <w:t>ț</w:t>
            </w:r>
            <w:r w:rsidRPr="00A10374">
              <w:rPr>
                <w:rFonts w:ascii="Times New Roman" w:hAnsi="Times New Roman"/>
                <w:b/>
                <w:bCs/>
                <w:lang w:val="ro-RO"/>
              </w:rPr>
              <w:t>iile</w:t>
            </w:r>
            <w:r w:rsidR="00032B46" w:rsidRPr="00A10374">
              <w:rPr>
                <w:rFonts w:ascii="Times New Roman" w:hAnsi="Times New Roman"/>
                <w:b/>
                <w:bCs/>
                <w:lang w:val="ro-RO"/>
              </w:rPr>
              <w:t xml:space="preserve"> </w:t>
            </w:r>
            <w:r w:rsidRPr="00A10374">
              <w:rPr>
                <w:rFonts w:ascii="Times New Roman" w:hAnsi="Times New Roman"/>
                <w:b/>
                <w:bCs/>
                <w:lang w:val="ro-RO"/>
              </w:rPr>
              <w:t>propuse</w:t>
            </w:r>
          </w:p>
        </w:tc>
      </w:tr>
      <w:tr w:rsidR="006D3EB7" w:rsidRPr="00997304" w14:paraId="256ADACA" w14:textId="77777777" w:rsidTr="008A482B">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BB4011" w14:textId="77777777" w:rsidR="00D927DB" w:rsidRPr="00A10374" w:rsidRDefault="00D927DB" w:rsidP="000E1660">
            <w:pPr>
              <w:rPr>
                <w:rFonts w:ascii="Times New Roman" w:hAnsi="Times New Roman"/>
                <w:i/>
                <w:lang w:val="ro-RO"/>
              </w:rPr>
            </w:pPr>
            <w:r w:rsidRPr="00A10374">
              <w:rPr>
                <w:rFonts w:ascii="Times New Roman" w:hAnsi="Times New Roman"/>
                <w:i/>
                <w:lang w:val="ro-RO"/>
              </w:rPr>
              <w:t>3.1.</w:t>
            </w:r>
            <w:r w:rsidR="00032B46" w:rsidRPr="00A10374">
              <w:rPr>
                <w:rFonts w:ascii="Times New Roman" w:hAnsi="Times New Roman"/>
                <w:i/>
                <w:lang w:val="ro-RO"/>
              </w:rPr>
              <w:t xml:space="preserve"> </w:t>
            </w:r>
            <w:r w:rsidRPr="00A10374">
              <w:rPr>
                <w:rFonts w:ascii="Times New Roman" w:hAnsi="Times New Roman"/>
                <w:i/>
                <w:lang w:val="ro-RO"/>
              </w:rPr>
              <w:t>Principalele</w:t>
            </w:r>
            <w:r w:rsidR="00032B46" w:rsidRPr="00A10374">
              <w:rPr>
                <w:rFonts w:ascii="Times New Roman" w:hAnsi="Times New Roman"/>
                <w:i/>
                <w:lang w:val="ro-RO"/>
              </w:rPr>
              <w:t xml:space="preserve"> </w:t>
            </w:r>
            <w:r w:rsidRPr="00A10374">
              <w:rPr>
                <w:rFonts w:ascii="Times New Roman" w:hAnsi="Times New Roman"/>
                <w:i/>
                <w:lang w:val="ro-RO"/>
              </w:rPr>
              <w:t>prevederi</w:t>
            </w:r>
            <w:r w:rsidR="00032B46" w:rsidRPr="00A10374">
              <w:rPr>
                <w:rFonts w:ascii="Times New Roman" w:hAnsi="Times New Roman"/>
                <w:i/>
                <w:lang w:val="ro-RO"/>
              </w:rPr>
              <w:t xml:space="preserve"> </w:t>
            </w:r>
            <w:r w:rsidRPr="00A10374">
              <w:rPr>
                <w:rFonts w:ascii="Times New Roman" w:hAnsi="Times New Roman"/>
                <w:i/>
                <w:lang w:val="ro-RO"/>
              </w:rPr>
              <w:t>ale</w:t>
            </w:r>
            <w:r w:rsidR="00032B46" w:rsidRPr="00A10374">
              <w:rPr>
                <w:rFonts w:ascii="Times New Roman" w:hAnsi="Times New Roman"/>
                <w:i/>
                <w:lang w:val="ro-RO"/>
              </w:rPr>
              <w:t xml:space="preserve"> </w:t>
            </w:r>
            <w:r w:rsidRPr="00A10374">
              <w:rPr>
                <w:rFonts w:ascii="Times New Roman" w:hAnsi="Times New Roman"/>
                <w:i/>
                <w:lang w:val="ro-RO"/>
              </w:rPr>
              <w:t>proiectului</w:t>
            </w:r>
            <w:r w:rsidR="00032B46" w:rsidRPr="00A10374">
              <w:rPr>
                <w:rFonts w:ascii="Times New Roman" w:hAnsi="Times New Roman"/>
                <w:i/>
                <w:lang w:val="ro-RO"/>
              </w:rPr>
              <w:t xml:space="preserve"> </w:t>
            </w:r>
            <w:r w:rsidR="00863417" w:rsidRPr="00A10374">
              <w:rPr>
                <w:rFonts w:ascii="Times New Roman" w:hAnsi="Times New Roman"/>
                <w:i/>
                <w:lang w:val="ro-RO"/>
              </w:rPr>
              <w:t>ș</w:t>
            </w:r>
            <w:r w:rsidRPr="00A10374">
              <w:rPr>
                <w:rFonts w:ascii="Times New Roman" w:hAnsi="Times New Roman"/>
                <w:i/>
                <w:lang w:val="ro-RO"/>
              </w:rPr>
              <w:t>i</w:t>
            </w:r>
            <w:r w:rsidR="00032B46" w:rsidRPr="00A10374">
              <w:rPr>
                <w:rFonts w:ascii="Times New Roman" w:hAnsi="Times New Roman"/>
                <w:i/>
                <w:lang w:val="ro-RO"/>
              </w:rPr>
              <w:t xml:space="preserve"> </w:t>
            </w:r>
            <w:r w:rsidRPr="00A10374">
              <w:rPr>
                <w:rFonts w:ascii="Times New Roman" w:hAnsi="Times New Roman"/>
                <w:i/>
                <w:lang w:val="ro-RO"/>
              </w:rPr>
              <w:t>eviden</w:t>
            </w:r>
            <w:r w:rsidR="00863417" w:rsidRPr="00A10374">
              <w:rPr>
                <w:rFonts w:ascii="Times New Roman" w:hAnsi="Times New Roman"/>
                <w:i/>
                <w:lang w:val="ro-RO"/>
              </w:rPr>
              <w:t>ț</w:t>
            </w:r>
            <w:r w:rsidRPr="00A10374">
              <w:rPr>
                <w:rFonts w:ascii="Times New Roman" w:hAnsi="Times New Roman"/>
                <w:i/>
                <w:lang w:val="ro-RO"/>
              </w:rPr>
              <w:t>ierea</w:t>
            </w:r>
            <w:r w:rsidR="00032B46" w:rsidRPr="00A10374">
              <w:rPr>
                <w:rFonts w:ascii="Times New Roman" w:hAnsi="Times New Roman"/>
                <w:i/>
                <w:lang w:val="ro-RO"/>
              </w:rPr>
              <w:t xml:space="preserve"> </w:t>
            </w:r>
            <w:r w:rsidRPr="00A10374">
              <w:rPr>
                <w:rFonts w:ascii="Times New Roman" w:hAnsi="Times New Roman"/>
                <w:i/>
                <w:lang w:val="ro-RO"/>
              </w:rPr>
              <w:t>elementelor</w:t>
            </w:r>
            <w:r w:rsidR="00032B46" w:rsidRPr="00A10374">
              <w:rPr>
                <w:rFonts w:ascii="Times New Roman" w:hAnsi="Times New Roman"/>
                <w:i/>
                <w:lang w:val="ro-RO"/>
              </w:rPr>
              <w:t xml:space="preserve"> </w:t>
            </w:r>
            <w:r w:rsidRPr="00A10374">
              <w:rPr>
                <w:rFonts w:ascii="Times New Roman" w:hAnsi="Times New Roman"/>
                <w:i/>
                <w:lang w:val="ro-RO"/>
              </w:rPr>
              <w:t>noi</w:t>
            </w:r>
          </w:p>
          <w:p w14:paraId="2D568BB0" w14:textId="4C381B70" w:rsidR="00172FA9" w:rsidRPr="00A10374" w:rsidRDefault="008C3AE8" w:rsidP="005F1688">
            <w:pPr>
              <w:spacing w:before="120" w:after="120"/>
              <w:jc w:val="both"/>
              <w:rPr>
                <w:rFonts w:ascii="Times New Roman" w:hAnsi="Times New Roman"/>
                <w:lang w:val="ro-RO"/>
              </w:rPr>
            </w:pPr>
            <w:r w:rsidRPr="00A10374">
              <w:rPr>
                <w:rFonts w:ascii="Times New Roman" w:hAnsi="Times New Roman"/>
                <w:lang w:val="ro-RO"/>
              </w:rPr>
              <w:t>Obiectivele urmărite ca rezultat al aprobării proiectului de lege, sunt următoarele:</w:t>
            </w:r>
          </w:p>
          <w:p w14:paraId="1B19B7EB" w14:textId="2118620B" w:rsidR="00667EE9" w:rsidRPr="00A10374" w:rsidRDefault="004B7A41" w:rsidP="005F1688">
            <w:pPr>
              <w:pStyle w:val="ListParagraph"/>
              <w:numPr>
                <w:ilvl w:val="0"/>
                <w:numId w:val="7"/>
              </w:numPr>
              <w:spacing w:before="120" w:after="120"/>
              <w:contextualSpacing w:val="0"/>
              <w:jc w:val="both"/>
              <w:rPr>
                <w:rFonts w:ascii="Times New Roman" w:hAnsi="Times New Roman"/>
                <w:lang w:val="ro-RO"/>
              </w:rPr>
            </w:pPr>
            <w:r w:rsidRPr="00A10374">
              <w:rPr>
                <w:rFonts w:ascii="Times New Roman" w:hAnsi="Times New Roman"/>
                <w:lang w:val="ro-RO"/>
              </w:rPr>
              <w:t>E</w:t>
            </w:r>
            <w:r w:rsidR="00667EE9" w:rsidRPr="00A10374">
              <w:rPr>
                <w:rFonts w:ascii="Times New Roman" w:hAnsi="Times New Roman"/>
                <w:lang w:val="ro-RO"/>
              </w:rPr>
              <w:t>xcluderea</w:t>
            </w:r>
            <w:r w:rsidR="00784B26" w:rsidRPr="00A10374">
              <w:rPr>
                <w:rFonts w:ascii="Times New Roman" w:hAnsi="Times New Roman"/>
                <w:lang w:val="ro-RO"/>
              </w:rPr>
              <w:t>,</w:t>
            </w:r>
            <w:r w:rsidR="00D82320" w:rsidRPr="00A10374">
              <w:rPr>
                <w:rFonts w:ascii="Times New Roman" w:hAnsi="Times New Roman"/>
                <w:lang w:val="ro-RO"/>
              </w:rPr>
              <w:t xml:space="preserve"> </w:t>
            </w:r>
            <w:r w:rsidR="00784B26" w:rsidRPr="00A10374">
              <w:rPr>
                <w:rFonts w:ascii="Times New Roman" w:hAnsi="Times New Roman"/>
                <w:lang w:val="ro-RO"/>
              </w:rPr>
              <w:t xml:space="preserve">începând cu anul 2025, a dublării </w:t>
            </w:r>
            <w:r w:rsidR="00D82320" w:rsidRPr="00A10374">
              <w:rPr>
                <w:rFonts w:ascii="Times New Roman" w:hAnsi="Times New Roman"/>
                <w:lang w:val="ro-RO"/>
              </w:rPr>
              <w:t>plăților fixe din partea</w:t>
            </w:r>
            <w:r w:rsidR="00667EE9" w:rsidRPr="00A10374">
              <w:rPr>
                <w:rFonts w:ascii="Times New Roman" w:hAnsi="Times New Roman"/>
                <w:lang w:val="ro-RO"/>
              </w:rPr>
              <w:t xml:space="preserve"> </w:t>
            </w:r>
            <w:r w:rsidR="008C3AE8" w:rsidRPr="00A10374">
              <w:rPr>
                <w:rFonts w:ascii="Times New Roman" w:hAnsi="Times New Roman"/>
                <w:b/>
                <w:lang w:val="ro-RO"/>
              </w:rPr>
              <w:t>f</w:t>
            </w:r>
            <w:r w:rsidR="008C3AE8" w:rsidRPr="00A10374">
              <w:rPr>
                <w:rFonts w:ascii="Times New Roman" w:hAnsi="Times New Roman"/>
                <w:b/>
                <w:shd w:val="clear" w:color="auto" w:fill="FFFFFF"/>
                <w:lang w:val="ro-RO"/>
              </w:rPr>
              <w:t xml:space="preserve">urnizorilor de energie termică pentru încălzire și/sau preparare a apei calde menajere, și/sau răcire, </w:t>
            </w:r>
            <w:r w:rsidR="00784B26" w:rsidRPr="00A10374">
              <w:rPr>
                <w:rFonts w:ascii="Times New Roman" w:hAnsi="Times New Roman"/>
                <w:lang w:val="ro-RO"/>
              </w:rPr>
              <w:t xml:space="preserve">în calitate de părți </w:t>
            </w:r>
            <w:r w:rsidR="00667EE9" w:rsidRPr="00A10374">
              <w:rPr>
                <w:rFonts w:ascii="Times New Roman" w:hAnsi="Times New Roman"/>
                <w:lang w:val="ro-RO"/>
              </w:rPr>
              <w:t>obligate</w:t>
            </w:r>
            <w:r w:rsidRPr="00A10374">
              <w:rPr>
                <w:rFonts w:ascii="Times New Roman" w:hAnsi="Times New Roman"/>
                <w:lang w:val="ro-RO"/>
              </w:rPr>
              <w:t xml:space="preserve"> în domeniul eficienței energetice</w:t>
            </w:r>
            <w:r w:rsidR="00667EE9" w:rsidRPr="00A10374">
              <w:rPr>
                <w:rFonts w:ascii="Times New Roman" w:hAnsi="Times New Roman"/>
                <w:lang w:val="ro-RO"/>
              </w:rPr>
              <w:t>;</w:t>
            </w:r>
          </w:p>
          <w:p w14:paraId="19BAE0BE" w14:textId="3F760EE5" w:rsidR="00784B26" w:rsidRPr="00A10374" w:rsidRDefault="00667EE9" w:rsidP="005F1688">
            <w:pPr>
              <w:pStyle w:val="ListParagraph"/>
              <w:numPr>
                <w:ilvl w:val="0"/>
                <w:numId w:val="7"/>
              </w:numPr>
              <w:spacing w:before="120" w:after="120"/>
              <w:contextualSpacing w:val="0"/>
              <w:jc w:val="both"/>
              <w:rPr>
                <w:rFonts w:ascii="Times New Roman" w:hAnsi="Times New Roman"/>
                <w:lang w:val="ro-RO"/>
              </w:rPr>
            </w:pPr>
            <w:r w:rsidRPr="00A10374">
              <w:rPr>
                <w:rFonts w:ascii="Times New Roman" w:hAnsi="Times New Roman"/>
                <w:shd w:val="clear" w:color="auto" w:fill="FFFFFF"/>
                <w:lang w:val="ro-RO"/>
              </w:rPr>
              <w:lastRenderedPageBreak/>
              <w:t>Instituirea</w:t>
            </w:r>
            <w:r w:rsidR="008B1817" w:rsidRPr="00A10374">
              <w:rPr>
                <w:rFonts w:ascii="Times New Roman" w:hAnsi="Times New Roman"/>
                <w:shd w:val="clear" w:color="auto" w:fill="FFFFFF"/>
                <w:lang w:val="ro-RO"/>
              </w:rPr>
              <w:t>,</w:t>
            </w:r>
            <w:r w:rsidRPr="00A10374">
              <w:rPr>
                <w:rFonts w:ascii="Times New Roman" w:hAnsi="Times New Roman"/>
                <w:shd w:val="clear" w:color="auto" w:fill="FFFFFF"/>
                <w:lang w:val="ro-RO"/>
              </w:rPr>
              <w:t xml:space="preserve"> </w:t>
            </w:r>
            <w:r w:rsidR="008B1817" w:rsidRPr="00A10374">
              <w:rPr>
                <w:rFonts w:ascii="Times New Roman" w:hAnsi="Times New Roman"/>
                <w:shd w:val="clear" w:color="auto" w:fill="FFFFFF"/>
                <w:lang w:val="ro-RO"/>
              </w:rPr>
              <w:t>începând cu anul 2025,</w:t>
            </w:r>
            <w:r w:rsidR="00784B26" w:rsidRPr="00A10374">
              <w:rPr>
                <w:rFonts w:ascii="Times New Roman" w:hAnsi="Times New Roman"/>
                <w:shd w:val="clear" w:color="auto" w:fill="FFFFFF"/>
                <w:lang w:val="ro-RO"/>
              </w:rPr>
              <w:t xml:space="preserve"> în cadrul bugetului de stat a Fondului pentru Eficiență Energetică, care va servi drept sursă de finanțare pentru toate proiectele de eficiență energetică finanțate de IP CNED;</w:t>
            </w:r>
          </w:p>
          <w:p w14:paraId="633A2744" w14:textId="04690E7B" w:rsidR="008B1817" w:rsidRPr="00A10374" w:rsidRDefault="00526D17" w:rsidP="005F1688">
            <w:pPr>
              <w:pStyle w:val="ListParagraph"/>
              <w:numPr>
                <w:ilvl w:val="0"/>
                <w:numId w:val="7"/>
              </w:numPr>
              <w:spacing w:before="120" w:after="120"/>
              <w:contextualSpacing w:val="0"/>
              <w:jc w:val="both"/>
              <w:rPr>
                <w:rFonts w:ascii="Times New Roman" w:hAnsi="Times New Roman"/>
                <w:lang w:val="ro-RO"/>
              </w:rPr>
            </w:pPr>
            <w:r w:rsidRPr="00A10374">
              <w:rPr>
                <w:rFonts w:ascii="Times New Roman" w:hAnsi="Times New Roman"/>
                <w:lang w:val="ro-RO"/>
              </w:rPr>
              <w:t xml:space="preserve">Crearea premiselor pentru </w:t>
            </w:r>
            <w:r w:rsidR="008B1817" w:rsidRPr="00A10374">
              <w:rPr>
                <w:rFonts w:ascii="Times New Roman" w:hAnsi="Times New Roman"/>
                <w:lang w:val="ro-RO"/>
              </w:rPr>
              <w:t xml:space="preserve">impulsionarea implementării proiectelor de eficiență energetică și/sau valorificare a surselor de energie regenerabilă în cadrul </w:t>
            </w:r>
            <w:r w:rsidR="008B1817" w:rsidRPr="00A10374">
              <w:rPr>
                <w:rFonts w:ascii="Times New Roman" w:hAnsi="Times New Roman"/>
                <w:shd w:val="clear" w:color="auto" w:fill="FFFFFF"/>
                <w:lang w:val="ro-RO"/>
              </w:rPr>
              <w:t>asociațiilor</w:t>
            </w:r>
            <w:r w:rsidRPr="00A10374">
              <w:rPr>
                <w:rFonts w:ascii="Times New Roman" w:hAnsi="Times New Roman"/>
                <w:shd w:val="clear" w:color="auto" w:fill="FFFFFF"/>
                <w:lang w:val="ro-RO"/>
              </w:rPr>
              <w:t xml:space="preserve"> de proprietari în condominiu și </w:t>
            </w:r>
            <w:r w:rsidR="0006434D" w:rsidRPr="00A10374">
              <w:rPr>
                <w:rFonts w:ascii="Times New Roman" w:hAnsi="Times New Roman"/>
                <w:shd w:val="clear" w:color="auto" w:fill="FFFFFF"/>
                <w:lang w:val="ro-RO"/>
              </w:rPr>
              <w:t>proprietarii</w:t>
            </w:r>
            <w:r w:rsidRPr="00A10374">
              <w:rPr>
                <w:rFonts w:ascii="Times New Roman" w:hAnsi="Times New Roman"/>
                <w:shd w:val="clear" w:color="auto" w:fill="FFFFFF"/>
                <w:lang w:val="ro-RO"/>
              </w:rPr>
              <w:t xml:space="preserve"> caselor individuale</w:t>
            </w:r>
            <w:r w:rsidR="008B1817" w:rsidRPr="00A10374">
              <w:rPr>
                <w:rFonts w:ascii="Times New Roman" w:hAnsi="Times New Roman"/>
                <w:shd w:val="clear" w:color="auto" w:fill="FFFFFF"/>
                <w:lang w:val="ro-RO"/>
              </w:rPr>
              <w:t xml:space="preserve">, fapt ce va contribui la atingerea </w:t>
            </w:r>
            <w:r w:rsidR="00F4210D" w:rsidRPr="00A10374">
              <w:rPr>
                <w:rFonts w:ascii="Times New Roman" w:hAnsi="Times New Roman"/>
                <w:lang w:val="ro-RO"/>
              </w:rPr>
              <w:t>obligației până la 31 decembrie 2030 de a obține economii de energie anuale echivalente cu minimum 0,8% din valoarea medie a consumului de energie finală înregistrat între 1 ianuarie 2019 și 1 ianuarie 2022</w:t>
            </w:r>
            <w:r w:rsidR="008B1817" w:rsidRPr="00A10374">
              <w:rPr>
                <w:rFonts w:ascii="Times New Roman" w:hAnsi="Times New Roman"/>
                <w:shd w:val="clear" w:color="auto" w:fill="FFFFFF"/>
                <w:lang w:val="ro-RO"/>
              </w:rPr>
              <w:t xml:space="preserve">; </w:t>
            </w:r>
          </w:p>
          <w:p w14:paraId="13899EB2" w14:textId="3AA0C3BB" w:rsidR="00526D17" w:rsidRPr="00A10374" w:rsidRDefault="008B1817" w:rsidP="005F1688">
            <w:pPr>
              <w:pStyle w:val="ListParagraph"/>
              <w:numPr>
                <w:ilvl w:val="0"/>
                <w:numId w:val="7"/>
              </w:numPr>
              <w:spacing w:before="120" w:after="120"/>
              <w:contextualSpacing w:val="0"/>
              <w:jc w:val="both"/>
              <w:rPr>
                <w:rFonts w:ascii="Times New Roman" w:hAnsi="Times New Roman"/>
                <w:lang w:val="ro-RO"/>
              </w:rPr>
            </w:pPr>
            <w:r w:rsidRPr="00A10374">
              <w:rPr>
                <w:rFonts w:ascii="Times New Roman" w:hAnsi="Times New Roman"/>
                <w:shd w:val="clear" w:color="auto" w:fill="FFFFFF"/>
                <w:lang w:val="ro-RO"/>
              </w:rPr>
              <w:t xml:space="preserve">Crearea unui mecanism durabil de finanțare a </w:t>
            </w:r>
            <w:r w:rsidR="0052219C" w:rsidRPr="00A10374">
              <w:rPr>
                <w:rFonts w:ascii="Times New Roman" w:hAnsi="Times New Roman"/>
                <w:shd w:val="clear" w:color="auto" w:fill="FFFFFF"/>
                <w:lang w:val="ro-RO"/>
              </w:rPr>
              <w:t>proiectelor</w:t>
            </w:r>
            <w:r w:rsidRPr="00A10374">
              <w:rPr>
                <w:rFonts w:ascii="Times New Roman" w:hAnsi="Times New Roman"/>
                <w:shd w:val="clear" w:color="auto" w:fill="FFFFFF"/>
                <w:lang w:val="ro-RO"/>
              </w:rPr>
              <w:t xml:space="preserve"> de eficiență energetică și valorificare a surselor de energie regenerabilă în cadrul clădirilor din sectorul public </w:t>
            </w:r>
            <w:r w:rsidR="0006434D" w:rsidRPr="00A10374">
              <w:rPr>
                <w:rFonts w:ascii="Times New Roman" w:hAnsi="Times New Roman"/>
                <w:shd w:val="clear" w:color="auto" w:fill="FFFFFF"/>
                <w:lang w:val="ro-RO"/>
              </w:rPr>
              <w:t>prin implementarea contractelor de performanță energetică.</w:t>
            </w:r>
            <w:r w:rsidRPr="00A10374">
              <w:rPr>
                <w:rFonts w:ascii="Times New Roman" w:hAnsi="Times New Roman"/>
                <w:shd w:val="clear" w:color="auto" w:fill="FFFFFF"/>
                <w:lang w:val="ro-RO"/>
              </w:rPr>
              <w:t xml:space="preserve"> </w:t>
            </w:r>
            <w:r w:rsidR="00526D17" w:rsidRPr="00A10374">
              <w:rPr>
                <w:rFonts w:ascii="Times New Roman" w:hAnsi="Times New Roman"/>
                <w:shd w:val="clear" w:color="auto" w:fill="FFFFFF"/>
                <w:lang w:val="ro-RO"/>
              </w:rPr>
              <w:t xml:space="preserve"> </w:t>
            </w:r>
          </w:p>
          <w:p w14:paraId="454CDE27" w14:textId="77777777" w:rsidR="0052219C" w:rsidRPr="00A10374" w:rsidRDefault="0052219C" w:rsidP="000231A3">
            <w:pPr>
              <w:rPr>
                <w:rFonts w:ascii="Times New Roman" w:eastAsia="Times New Roman" w:hAnsi="Times New Roman"/>
                <w:lang w:val="ro-RO"/>
              </w:rPr>
            </w:pPr>
          </w:p>
          <w:p w14:paraId="5100A62D" w14:textId="037CC153" w:rsidR="00234AA7" w:rsidRPr="00A10374" w:rsidRDefault="00234AA7" w:rsidP="001A76A5">
            <w:pPr>
              <w:jc w:val="both"/>
              <w:rPr>
                <w:rFonts w:ascii="Times New Roman" w:hAnsi="Times New Roman"/>
                <w:lang w:val="ro-RO"/>
              </w:rPr>
            </w:pPr>
            <w:r w:rsidRPr="00A10374">
              <w:rPr>
                <w:rFonts w:ascii="Times New Roman" w:hAnsi="Times New Roman"/>
                <w:lang w:val="ro-RO"/>
              </w:rPr>
              <w:t>Proiectul de lege privind modificarea Legii nr. 139/2018 cu privire la eficiența energetică</w:t>
            </w:r>
            <w:r w:rsidR="0088682B">
              <w:rPr>
                <w:rFonts w:ascii="Times New Roman" w:hAnsi="Times New Roman"/>
                <w:lang w:val="ro-RO"/>
              </w:rPr>
              <w:t xml:space="preserve"> </w:t>
            </w:r>
            <w:r w:rsidR="0088682B" w:rsidRPr="0088682B">
              <w:rPr>
                <w:rFonts w:ascii="Times New Roman" w:hAnsi="Times New Roman"/>
                <w:lang w:val="ro-RO"/>
              </w:rPr>
              <w:t>(facilitarea implementării proiectelor de eficiență energetică)</w:t>
            </w:r>
            <w:r w:rsidRPr="00A10374">
              <w:rPr>
                <w:rFonts w:ascii="Times New Roman" w:hAnsi="Times New Roman"/>
                <w:lang w:val="ro-RO"/>
              </w:rPr>
              <w:t xml:space="preserve"> prevede modificarea mai multor articole sau completarea acestora, după cum urmează:</w:t>
            </w:r>
          </w:p>
          <w:p w14:paraId="20F3DB2D" w14:textId="17A01B62" w:rsidR="00234AA7" w:rsidRPr="00A10374" w:rsidRDefault="00234AA7" w:rsidP="001A76A5">
            <w:pPr>
              <w:pStyle w:val="NormalWeb"/>
              <w:numPr>
                <w:ilvl w:val="0"/>
                <w:numId w:val="9"/>
              </w:numPr>
              <w:spacing w:before="120"/>
              <w:jc w:val="both"/>
              <w:rPr>
                <w:rFonts w:ascii="Times New Roman" w:hAnsi="Times New Roman"/>
                <w:b/>
                <w:shd w:val="clear" w:color="auto" w:fill="FFFFFF"/>
                <w:lang w:val="ro-RO"/>
              </w:rPr>
            </w:pPr>
            <w:r w:rsidRPr="00A10374">
              <w:rPr>
                <w:rFonts w:ascii="Times New Roman" w:hAnsi="Times New Roman"/>
                <w:shd w:val="clear" w:color="auto" w:fill="FFFFFF"/>
                <w:lang w:val="ro-RO"/>
              </w:rPr>
              <w:t xml:space="preserve">art. 8 alin. (1)  - prin </w:t>
            </w:r>
            <w:r w:rsidRPr="00A10374">
              <w:rPr>
                <w:rFonts w:ascii="Times New Roman" w:hAnsi="Times New Roman"/>
                <w:lang w:val="ro-RO"/>
              </w:rPr>
              <w:t xml:space="preserve">excluderea din lista părților obligate a </w:t>
            </w:r>
            <w:r w:rsidRPr="00A10374">
              <w:rPr>
                <w:rFonts w:ascii="Times New Roman" w:hAnsi="Times New Roman"/>
                <w:b/>
                <w:shd w:val="clear" w:color="auto" w:fill="FFFFFF"/>
                <w:lang w:val="ro-RO"/>
              </w:rPr>
              <w:t>furnizorilor de energie termică pentru încălzire și/sau preparare a apei calde menajere, și/sau răcire.</w:t>
            </w:r>
          </w:p>
          <w:p w14:paraId="462C041F" w14:textId="6D193B40" w:rsidR="00234AA7" w:rsidRPr="00A10374" w:rsidRDefault="00234AA7" w:rsidP="001A76A5">
            <w:pPr>
              <w:pStyle w:val="NormalWeb"/>
              <w:spacing w:before="120"/>
              <w:ind w:left="42" w:firstLine="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De menționat ca aceste modificări presupun inclusiv </w:t>
            </w:r>
            <w:r w:rsidR="004B7A41" w:rsidRPr="00A10374">
              <w:rPr>
                <w:rFonts w:ascii="Times New Roman" w:hAnsi="Times New Roman"/>
                <w:shd w:val="clear" w:color="auto" w:fill="FFFFFF"/>
                <w:lang w:val="ro-RO"/>
              </w:rPr>
              <w:t>modificarea în mod corespunzător</w:t>
            </w:r>
            <w:r w:rsidRPr="00A10374">
              <w:rPr>
                <w:rFonts w:ascii="Times New Roman" w:hAnsi="Times New Roman"/>
                <w:shd w:val="clear" w:color="auto" w:fill="FFFFFF"/>
                <w:lang w:val="ro-RO"/>
              </w:rPr>
              <w:t xml:space="preserve"> </w:t>
            </w:r>
            <w:r w:rsidR="004B7A41" w:rsidRPr="00A10374">
              <w:rPr>
                <w:rFonts w:ascii="Times New Roman" w:hAnsi="Times New Roman"/>
                <w:shd w:val="clear" w:color="auto" w:fill="FFFFFF"/>
                <w:lang w:val="ro-RO"/>
              </w:rPr>
              <w:t xml:space="preserve">a </w:t>
            </w:r>
            <w:r w:rsidRPr="00A10374">
              <w:rPr>
                <w:rFonts w:ascii="Times New Roman" w:hAnsi="Times New Roman"/>
                <w:shd w:val="clear" w:color="auto" w:fill="FFFFFF"/>
                <w:lang w:val="ro-RO"/>
              </w:rPr>
              <w:t>noțiunii de „parte obligată” din cadrul Legii.</w:t>
            </w:r>
          </w:p>
          <w:p w14:paraId="254649E8" w14:textId="3D3D55EF" w:rsidR="00556ED8" w:rsidRPr="00A10374" w:rsidRDefault="00556ED8" w:rsidP="001A76A5">
            <w:pPr>
              <w:pStyle w:val="NormalWeb"/>
              <w:numPr>
                <w:ilvl w:val="0"/>
                <w:numId w:val="9"/>
              </w:numPr>
              <w:spacing w:before="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Art. 2 – completarea articolului cu </w:t>
            </w:r>
            <w:r w:rsidR="000B2EC8" w:rsidRPr="00A10374">
              <w:rPr>
                <w:rFonts w:ascii="Times New Roman" w:hAnsi="Times New Roman"/>
                <w:shd w:val="clear" w:color="auto" w:fill="FFFFFF"/>
                <w:lang w:val="ro-RO"/>
              </w:rPr>
              <w:t xml:space="preserve">următoarele </w:t>
            </w:r>
            <w:r w:rsidRPr="00A10374">
              <w:rPr>
                <w:rFonts w:ascii="Times New Roman" w:hAnsi="Times New Roman"/>
                <w:shd w:val="clear" w:color="auto" w:fill="FFFFFF"/>
                <w:lang w:val="ro-RO"/>
              </w:rPr>
              <w:t>noțiun</w:t>
            </w:r>
            <w:r w:rsidR="000B2EC8" w:rsidRPr="00A10374">
              <w:rPr>
                <w:rFonts w:ascii="Times New Roman" w:hAnsi="Times New Roman"/>
                <w:shd w:val="clear" w:color="auto" w:fill="FFFFFF"/>
                <w:lang w:val="ro-RO"/>
              </w:rPr>
              <w:t>i</w:t>
            </w:r>
            <w:r w:rsidRPr="00A10374">
              <w:rPr>
                <w:rFonts w:ascii="Times New Roman" w:hAnsi="Times New Roman"/>
                <w:shd w:val="clear" w:color="auto" w:fill="FFFFFF"/>
                <w:lang w:val="ro-RO"/>
              </w:rPr>
              <w:t xml:space="preserve"> de „</w:t>
            </w:r>
            <w:r w:rsidRPr="00A10374">
              <w:rPr>
                <w:rFonts w:ascii="Times New Roman" w:hAnsi="Times New Roman"/>
                <w:i/>
                <w:shd w:val="clear" w:color="auto" w:fill="FFFFFF"/>
                <w:lang w:val="ro-RO"/>
              </w:rPr>
              <w:t>garanție financiară pentru credite</w:t>
            </w:r>
            <w:r w:rsidRPr="00A10374">
              <w:rPr>
                <w:rFonts w:ascii="Times New Roman" w:hAnsi="Times New Roman"/>
                <w:shd w:val="clear" w:color="auto" w:fill="FFFFFF"/>
                <w:lang w:val="ro-RO"/>
              </w:rPr>
              <w:t>”</w:t>
            </w:r>
            <w:r w:rsidR="000B2EC8" w:rsidRPr="00A10374">
              <w:rPr>
                <w:rFonts w:ascii="Times New Roman" w:hAnsi="Times New Roman"/>
                <w:shd w:val="clear" w:color="auto" w:fill="FFFFFF"/>
                <w:lang w:val="ro-RO"/>
              </w:rPr>
              <w:t>, „</w:t>
            </w:r>
            <w:r w:rsidR="00F30C7A" w:rsidRPr="00F30C7A">
              <w:rPr>
                <w:rFonts w:ascii="Times New Roman" w:hAnsi="Times New Roman"/>
                <w:i/>
                <w:iCs/>
                <w:shd w:val="clear" w:color="auto" w:fill="FFFFFF"/>
                <w:lang w:val="ro-RO"/>
              </w:rPr>
              <w:t>ajutor financiar pentru eficientizarea consumului de resurse energetice</w:t>
            </w:r>
            <w:r w:rsidR="000B2EC8" w:rsidRPr="00A10374">
              <w:rPr>
                <w:rFonts w:ascii="Times New Roman" w:hAnsi="Times New Roman"/>
                <w:shd w:val="clear" w:color="auto" w:fill="FFFFFF"/>
                <w:lang w:val="ro-RO"/>
              </w:rPr>
              <w:t>”</w:t>
            </w:r>
            <w:r w:rsidRPr="00A10374">
              <w:rPr>
                <w:rFonts w:ascii="Times New Roman" w:hAnsi="Times New Roman"/>
                <w:shd w:val="clear" w:color="auto" w:fill="FFFFFF"/>
                <w:lang w:val="ro-RO"/>
              </w:rPr>
              <w:t>;</w:t>
            </w:r>
          </w:p>
          <w:p w14:paraId="21A6EAA3" w14:textId="77777777" w:rsidR="00234AA7" w:rsidRPr="00A10374" w:rsidRDefault="00234AA7" w:rsidP="001A76A5">
            <w:pPr>
              <w:pStyle w:val="NormalWeb"/>
              <w:numPr>
                <w:ilvl w:val="0"/>
                <w:numId w:val="9"/>
              </w:numPr>
              <w:spacing w:before="120"/>
              <w:jc w:val="both"/>
              <w:rPr>
                <w:rFonts w:ascii="Times New Roman" w:hAnsi="Times New Roman"/>
                <w:shd w:val="clear" w:color="auto" w:fill="FFFFFF"/>
                <w:lang w:val="ro-RO"/>
              </w:rPr>
            </w:pPr>
            <w:r w:rsidRPr="00A10374">
              <w:rPr>
                <w:rFonts w:ascii="Times New Roman" w:hAnsi="Times New Roman"/>
                <w:shd w:val="clear" w:color="auto" w:fill="FFFFFF"/>
                <w:lang w:val="ro-RO"/>
              </w:rPr>
              <w:t>art. 8 alin. (7) – prin excluderea prevederii conform căreia este necesară includerea obligatorie în cadrul Programului privind implementarea schemei de obligații în domeniul eficienței energetice, aprobat prin Hotărâre de Guvern,  a listei părților obligate, urmând ca aceasta să fie elaborată de Agenția Națională pentru Reglementare în Energetică.</w:t>
            </w:r>
          </w:p>
          <w:p w14:paraId="4CA6EAEF" w14:textId="5D502529" w:rsidR="009468C6" w:rsidRPr="00A10374" w:rsidRDefault="004A5642" w:rsidP="00556ED8">
            <w:pPr>
              <w:pStyle w:val="NormalWeb"/>
              <w:numPr>
                <w:ilvl w:val="0"/>
                <w:numId w:val="9"/>
              </w:numPr>
              <w:spacing w:before="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Completarea art. 8 cu </w:t>
            </w:r>
            <w:r w:rsidR="00556ED8" w:rsidRPr="00A10374">
              <w:rPr>
                <w:rFonts w:ascii="Times New Roman" w:hAnsi="Times New Roman"/>
                <w:shd w:val="clear" w:color="auto" w:fill="FFFFFF"/>
                <w:lang w:val="ro-RO"/>
              </w:rPr>
              <w:t>patru</w:t>
            </w:r>
            <w:r w:rsidRPr="00A10374">
              <w:rPr>
                <w:rFonts w:ascii="Times New Roman" w:hAnsi="Times New Roman"/>
                <w:shd w:val="clear" w:color="auto" w:fill="FFFFFF"/>
                <w:lang w:val="ro-RO"/>
              </w:rPr>
              <w:t xml:space="preserve"> alineate noi </w:t>
            </w:r>
            <w:r w:rsidR="00556ED8" w:rsidRPr="00A10374">
              <w:rPr>
                <w:rFonts w:ascii="Times New Roman" w:hAnsi="Times New Roman"/>
                <w:shd w:val="clear" w:color="auto" w:fill="FFFFFF"/>
                <w:lang w:val="ro-RO"/>
              </w:rPr>
              <w:t>(7</w:t>
            </w:r>
            <w:r w:rsidR="00556ED8" w:rsidRPr="00A10374">
              <w:rPr>
                <w:rFonts w:ascii="Times New Roman" w:hAnsi="Times New Roman"/>
                <w:shd w:val="clear" w:color="auto" w:fill="FFFFFF"/>
                <w:vertAlign w:val="superscript"/>
                <w:lang w:val="ro-RO"/>
              </w:rPr>
              <w:t>2</w:t>
            </w:r>
            <w:r w:rsidR="00556ED8" w:rsidRPr="00A10374">
              <w:rPr>
                <w:rFonts w:ascii="Times New Roman" w:hAnsi="Times New Roman"/>
                <w:shd w:val="clear" w:color="auto" w:fill="FFFFFF"/>
                <w:lang w:val="ro-RO"/>
              </w:rPr>
              <w:t>), (7</w:t>
            </w:r>
            <w:r w:rsidR="00556ED8" w:rsidRPr="00A10374">
              <w:rPr>
                <w:rFonts w:ascii="Times New Roman" w:hAnsi="Times New Roman"/>
                <w:shd w:val="clear" w:color="auto" w:fill="FFFFFF"/>
                <w:vertAlign w:val="superscript"/>
                <w:lang w:val="ro-RO"/>
              </w:rPr>
              <w:t>3</w:t>
            </w:r>
            <w:r w:rsidR="00556ED8" w:rsidRPr="00A10374">
              <w:rPr>
                <w:rFonts w:ascii="Times New Roman" w:hAnsi="Times New Roman"/>
                <w:shd w:val="clear" w:color="auto" w:fill="FFFFFF"/>
                <w:lang w:val="ro-RO"/>
              </w:rPr>
              <w:t>), (9</w:t>
            </w:r>
            <w:r w:rsidR="00556ED8" w:rsidRPr="00A10374">
              <w:rPr>
                <w:rFonts w:ascii="Times New Roman" w:hAnsi="Times New Roman"/>
                <w:shd w:val="clear" w:color="auto" w:fill="FFFFFF"/>
                <w:vertAlign w:val="superscript"/>
                <w:lang w:val="ro-RO"/>
              </w:rPr>
              <w:t>1</w:t>
            </w:r>
            <w:r w:rsidR="00556ED8" w:rsidRPr="00A10374">
              <w:rPr>
                <w:rFonts w:ascii="Times New Roman" w:hAnsi="Times New Roman"/>
                <w:shd w:val="clear" w:color="auto" w:fill="FFFFFF"/>
                <w:lang w:val="ro-RO"/>
              </w:rPr>
              <w:t>) și respectiv 12</w:t>
            </w:r>
            <w:r w:rsidR="00556ED8" w:rsidRPr="00A10374">
              <w:rPr>
                <w:rFonts w:ascii="Times New Roman" w:hAnsi="Times New Roman"/>
                <w:shd w:val="clear" w:color="auto" w:fill="FFFFFF"/>
                <w:vertAlign w:val="superscript"/>
                <w:lang w:val="ro-RO"/>
              </w:rPr>
              <w:t>1</w:t>
            </w:r>
            <w:r w:rsidR="00556ED8" w:rsidRPr="00A10374">
              <w:rPr>
                <w:rFonts w:ascii="Times New Roman" w:hAnsi="Times New Roman"/>
                <w:shd w:val="clear" w:color="auto" w:fill="FFFFFF"/>
                <w:lang w:val="ro-RO"/>
              </w:rPr>
              <w:t xml:space="preserve">, </w:t>
            </w:r>
            <w:r w:rsidR="009468C6" w:rsidRPr="00A10374">
              <w:rPr>
                <w:rFonts w:ascii="Times New Roman" w:hAnsi="Times New Roman"/>
                <w:shd w:val="clear" w:color="auto" w:fill="FFFFFF"/>
                <w:lang w:val="ro-RO"/>
              </w:rPr>
              <w:t xml:space="preserve">cu următorul text: </w:t>
            </w:r>
          </w:p>
          <w:p w14:paraId="00080C6D" w14:textId="31986C8C" w:rsidR="00556ED8" w:rsidRPr="00A10374" w:rsidRDefault="00556ED8" w:rsidP="00556ED8">
            <w:pPr>
              <w:pStyle w:val="NormalWeb"/>
              <w:spacing w:before="120"/>
              <w:ind w:left="42"/>
              <w:jc w:val="both"/>
              <w:rPr>
                <w:rFonts w:ascii="Times New Roman" w:hAnsi="Times New Roman"/>
                <w:shd w:val="clear" w:color="auto" w:fill="FFFFFF"/>
                <w:lang w:val="ro-RO"/>
              </w:rPr>
            </w:pPr>
            <w:r w:rsidRPr="00A10374">
              <w:rPr>
                <w:rFonts w:ascii="Times New Roman" w:hAnsi="Times New Roman"/>
                <w:shd w:val="clear" w:color="auto" w:fill="FFFFFF"/>
                <w:lang w:val="ro-RO"/>
              </w:rPr>
              <w:t>„(7</w:t>
            </w:r>
            <w:r w:rsidRPr="00A10374">
              <w:rPr>
                <w:rFonts w:ascii="Times New Roman" w:hAnsi="Times New Roman"/>
                <w:shd w:val="clear" w:color="auto" w:fill="FFFFFF"/>
                <w:vertAlign w:val="superscript"/>
                <w:lang w:val="ro-RO"/>
              </w:rPr>
              <w:t>2</w:t>
            </w:r>
            <w:r w:rsidRPr="00A10374">
              <w:rPr>
                <w:rFonts w:ascii="Times New Roman" w:hAnsi="Times New Roman"/>
                <w:shd w:val="clear" w:color="auto" w:fill="FFFFFF"/>
                <w:lang w:val="ro-RO"/>
              </w:rPr>
              <w:t xml:space="preserve">) monitorizare corectitudinii achitării contribuțiilor de către fiecare parte obligată în cadrul schemei de obligații în domeniul eficienței energetice este efectuată de către </w:t>
            </w:r>
            <w:r w:rsidR="00D046DF" w:rsidRPr="00A10374">
              <w:rPr>
                <w:rFonts w:ascii="Times New Roman" w:hAnsi="Times New Roman"/>
                <w:shd w:val="clear" w:color="auto" w:fill="FFFFFF"/>
                <w:lang w:val="ro-RO"/>
              </w:rPr>
              <w:t>IP CNED</w:t>
            </w:r>
            <w:r w:rsidRPr="00A10374">
              <w:rPr>
                <w:rFonts w:ascii="Times New Roman" w:hAnsi="Times New Roman"/>
                <w:shd w:val="clear" w:color="auto" w:fill="FFFFFF"/>
                <w:lang w:val="ro-RO"/>
              </w:rPr>
              <w:t>, în baza un</w:t>
            </w:r>
            <w:r w:rsidR="0023597F" w:rsidRPr="00A10374">
              <w:rPr>
                <w:rFonts w:ascii="Times New Roman" w:hAnsi="Times New Roman"/>
                <w:shd w:val="clear" w:color="auto" w:fill="FFFFFF"/>
                <w:lang w:val="ro-RO"/>
              </w:rPr>
              <w:t>ui</w:t>
            </w:r>
            <w:r w:rsidRPr="00A10374">
              <w:rPr>
                <w:rFonts w:ascii="Times New Roman" w:hAnsi="Times New Roman"/>
                <w:shd w:val="clear" w:color="auto" w:fill="FFFFFF"/>
                <w:lang w:val="ro-RO"/>
              </w:rPr>
              <w:t xml:space="preserve"> </w:t>
            </w:r>
            <w:r w:rsidR="0023597F" w:rsidRPr="00A10374">
              <w:rPr>
                <w:rFonts w:ascii="Times New Roman" w:hAnsi="Times New Roman"/>
                <w:shd w:val="clear" w:color="auto" w:fill="FFFFFF"/>
                <w:lang w:val="ro-RO"/>
              </w:rPr>
              <w:t xml:space="preserve">Regulament </w:t>
            </w:r>
            <w:r w:rsidRPr="00A10374">
              <w:rPr>
                <w:rFonts w:ascii="Times New Roman" w:hAnsi="Times New Roman"/>
                <w:shd w:val="clear" w:color="auto" w:fill="FFFFFF"/>
                <w:lang w:val="ro-RO"/>
              </w:rPr>
              <w:t xml:space="preserve">elaborat și aprobat în acest sens de către </w:t>
            </w:r>
            <w:r w:rsidR="00D046DF" w:rsidRPr="00A10374">
              <w:rPr>
                <w:rFonts w:ascii="Times New Roman" w:hAnsi="Times New Roman"/>
                <w:shd w:val="clear" w:color="auto" w:fill="FFFFFF"/>
                <w:lang w:val="ro-RO"/>
              </w:rPr>
              <w:t>aceasta</w:t>
            </w:r>
            <w:r w:rsidRPr="00A10374">
              <w:rPr>
                <w:rFonts w:ascii="Times New Roman" w:hAnsi="Times New Roman"/>
                <w:shd w:val="clear" w:color="auto" w:fill="FFFFFF"/>
                <w:lang w:val="ro-RO"/>
              </w:rPr>
              <w:t>;</w:t>
            </w:r>
          </w:p>
          <w:p w14:paraId="4FD16958" w14:textId="3F88F2CD" w:rsidR="00556ED8" w:rsidRPr="00A10374" w:rsidRDefault="00556ED8" w:rsidP="00556ED8">
            <w:pPr>
              <w:pStyle w:val="NormalWeb"/>
              <w:spacing w:before="120"/>
              <w:ind w:left="42"/>
              <w:jc w:val="both"/>
              <w:rPr>
                <w:rFonts w:ascii="Times New Roman" w:hAnsi="Times New Roman"/>
                <w:shd w:val="clear" w:color="auto" w:fill="FFFFFF"/>
                <w:lang w:val="ro-RO"/>
              </w:rPr>
            </w:pPr>
            <w:r w:rsidRPr="00A10374">
              <w:rPr>
                <w:rFonts w:ascii="Times New Roman" w:hAnsi="Times New Roman"/>
                <w:shd w:val="clear" w:color="auto" w:fill="FFFFFF"/>
                <w:lang w:val="ro-RO"/>
              </w:rPr>
              <w:t>(7</w:t>
            </w:r>
            <w:r w:rsidRPr="00A10374">
              <w:rPr>
                <w:rFonts w:ascii="Times New Roman" w:hAnsi="Times New Roman"/>
                <w:shd w:val="clear" w:color="auto" w:fill="FFFFFF"/>
                <w:vertAlign w:val="superscript"/>
                <w:lang w:val="ro-RO"/>
              </w:rPr>
              <w:t>3</w:t>
            </w:r>
            <w:r w:rsidRPr="00A10374">
              <w:rPr>
                <w:rFonts w:ascii="Times New Roman" w:hAnsi="Times New Roman"/>
                <w:shd w:val="clear" w:color="auto" w:fill="FFFFFF"/>
                <w:lang w:val="ro-RO"/>
              </w:rPr>
              <w:t xml:space="preserve">) Agenția Națională pentru Reglementare în Energetică este obligată să furnizeze informația necesară, solicitată de </w:t>
            </w:r>
            <w:r w:rsidR="00D046DF" w:rsidRPr="00A10374">
              <w:rPr>
                <w:rFonts w:ascii="Times New Roman" w:hAnsi="Times New Roman"/>
                <w:shd w:val="clear" w:color="auto" w:fill="FFFFFF"/>
                <w:lang w:val="ro-RO"/>
              </w:rPr>
              <w:t>IP CNED</w:t>
            </w:r>
            <w:r w:rsidRPr="00A10374">
              <w:rPr>
                <w:rFonts w:ascii="Times New Roman" w:hAnsi="Times New Roman"/>
                <w:shd w:val="clear" w:color="auto" w:fill="FFFFFF"/>
                <w:lang w:val="ro-RO"/>
              </w:rPr>
              <w:t>, în vederea monitorizării corectitudinii achitării contribuțiilor de către fiecare parte obligată în cadrul schemei de obligații în domeniul eficienței energetice;</w:t>
            </w:r>
          </w:p>
          <w:p w14:paraId="2FC33435" w14:textId="77777777" w:rsidR="00556ED8" w:rsidRPr="00A10374" w:rsidRDefault="00556ED8" w:rsidP="00556ED8">
            <w:pPr>
              <w:pStyle w:val="NormalWeb"/>
              <w:spacing w:before="120"/>
              <w:ind w:left="42"/>
              <w:jc w:val="both"/>
              <w:rPr>
                <w:rFonts w:ascii="Times New Roman" w:hAnsi="Times New Roman"/>
                <w:shd w:val="clear" w:color="auto" w:fill="FFFFFF"/>
                <w:lang w:val="ro-RO"/>
              </w:rPr>
            </w:pPr>
            <w:r w:rsidRPr="00A10374">
              <w:rPr>
                <w:rFonts w:ascii="Times New Roman" w:hAnsi="Times New Roman"/>
                <w:shd w:val="clear" w:color="auto" w:fill="FFFFFF"/>
                <w:lang w:val="ro-RO"/>
              </w:rPr>
              <w:t>(9</w:t>
            </w:r>
            <w:r w:rsidRPr="00A10374">
              <w:rPr>
                <w:rFonts w:ascii="Times New Roman" w:hAnsi="Times New Roman"/>
                <w:shd w:val="clear" w:color="auto" w:fill="FFFFFF"/>
                <w:vertAlign w:val="superscript"/>
                <w:lang w:val="ro-RO"/>
              </w:rPr>
              <w:t>1</w:t>
            </w:r>
            <w:r w:rsidRPr="00A10374">
              <w:rPr>
                <w:rFonts w:ascii="Times New Roman" w:hAnsi="Times New Roman"/>
                <w:shd w:val="clear" w:color="auto" w:fill="FFFFFF"/>
                <w:lang w:val="ro-RO"/>
              </w:rPr>
              <w:t>) lista părților obligate se stabilește de către Agenția Națională pentru Reglementare în Energetică, cu actualizarea trimestrială și publicarea acesteia pe site-ul său web oficial.</w:t>
            </w:r>
          </w:p>
          <w:p w14:paraId="730490EE" w14:textId="719937F2" w:rsidR="00556ED8" w:rsidRPr="00A10374" w:rsidRDefault="00556ED8" w:rsidP="005F1688">
            <w:pPr>
              <w:pStyle w:val="NormalWeb"/>
              <w:spacing w:before="120"/>
              <w:jc w:val="both"/>
              <w:rPr>
                <w:rFonts w:ascii="Times New Roman" w:hAnsi="Times New Roman"/>
                <w:shd w:val="clear" w:color="auto" w:fill="FFFFFF"/>
                <w:lang w:val="pt-BR"/>
              </w:rPr>
            </w:pPr>
            <w:r w:rsidRPr="00A10374">
              <w:rPr>
                <w:rFonts w:ascii="Times New Roman" w:hAnsi="Times New Roman"/>
                <w:shd w:val="clear" w:color="auto" w:fill="FFFFFF"/>
                <w:lang w:val="ro-RO"/>
              </w:rPr>
              <w:t>(12</w:t>
            </w:r>
            <w:r w:rsidRPr="00A10374">
              <w:rPr>
                <w:rFonts w:ascii="Times New Roman" w:hAnsi="Times New Roman"/>
                <w:shd w:val="clear" w:color="auto" w:fill="FFFFFF"/>
                <w:vertAlign w:val="superscript"/>
                <w:lang w:val="ro-RO"/>
              </w:rPr>
              <w:t>1</w:t>
            </w:r>
            <w:r w:rsidRPr="00A10374">
              <w:rPr>
                <w:rFonts w:ascii="Times New Roman" w:hAnsi="Times New Roman"/>
                <w:shd w:val="clear" w:color="auto" w:fill="FFFFFF"/>
                <w:lang w:val="ro-RO"/>
              </w:rPr>
              <w:t xml:space="preserve">) În cazul în care în cadrul </w:t>
            </w:r>
            <w:r w:rsidR="001A36CD" w:rsidRPr="00A10374">
              <w:rPr>
                <w:rFonts w:ascii="Times New Roman" w:hAnsi="Times New Roman"/>
                <w:shd w:val="clear" w:color="auto" w:fill="FFFFFF"/>
                <w:lang w:val="ro-RO"/>
              </w:rPr>
              <w:t>p</w:t>
            </w:r>
            <w:r w:rsidRPr="00A10374">
              <w:rPr>
                <w:rFonts w:ascii="Times New Roman" w:hAnsi="Times New Roman"/>
                <w:shd w:val="clear" w:color="auto" w:fill="FFFFFF"/>
                <w:lang w:val="ro-RO"/>
              </w:rPr>
              <w:t xml:space="preserve">rogramelor de finanțare aprobate de Guvern sau în cadrul acordurilor de finanțare semnate cu partenerii de dezvoltare este stabilit că organizarea procedurilor de achiziție publică pentru selectarea agenților economici, care să implementeze măsurile de eficiență energetică și/sau valorificare a surselor regenerabile de energie, este efectuată de către </w:t>
            </w:r>
            <w:r w:rsidR="00D046DF" w:rsidRPr="00A10374">
              <w:rPr>
                <w:rFonts w:ascii="Times New Roman" w:hAnsi="Times New Roman"/>
                <w:shd w:val="clear" w:color="auto" w:fill="FFFFFF"/>
                <w:lang w:val="ro-RO"/>
              </w:rPr>
              <w:t>IP CNED</w:t>
            </w:r>
            <w:r w:rsidRPr="00A10374">
              <w:rPr>
                <w:rFonts w:ascii="Times New Roman" w:hAnsi="Times New Roman"/>
                <w:shd w:val="clear" w:color="auto" w:fill="FFFFFF"/>
                <w:lang w:val="ro-RO"/>
              </w:rPr>
              <w:t xml:space="preserve">, transmiterea bunurilor procurate de către aceasta în </w:t>
            </w:r>
            <w:r w:rsidR="00FB7854">
              <w:rPr>
                <w:rFonts w:ascii="Times New Roman" w:hAnsi="Times New Roman"/>
                <w:shd w:val="clear" w:color="auto" w:fill="FFFFFF"/>
                <w:lang w:val="ro-RO"/>
              </w:rPr>
              <w:t>proprietatea</w:t>
            </w:r>
            <w:r w:rsidR="00FB7854" w:rsidRPr="00A10374">
              <w:rPr>
                <w:rFonts w:ascii="Times New Roman" w:hAnsi="Times New Roman"/>
                <w:shd w:val="clear" w:color="auto" w:fill="FFFFFF"/>
                <w:lang w:val="ro-RO"/>
              </w:rPr>
              <w:t xml:space="preserve"> </w:t>
            </w:r>
            <w:r w:rsidRPr="00A10374">
              <w:rPr>
                <w:rFonts w:ascii="Times New Roman" w:hAnsi="Times New Roman"/>
                <w:shd w:val="clear" w:color="auto" w:fill="FFFFFF"/>
                <w:lang w:val="ro-RO"/>
              </w:rPr>
              <w:t>beneficiarului de proiect</w:t>
            </w:r>
            <w:r w:rsidR="00FB7854">
              <w:rPr>
                <w:rFonts w:ascii="Times New Roman" w:hAnsi="Times New Roman"/>
                <w:shd w:val="clear" w:color="auto" w:fill="FFFFFF"/>
                <w:lang w:val="ro-RO"/>
              </w:rPr>
              <w:t xml:space="preserve"> se efectuează cu titlu gratuit în modul stabilit de Guvern</w:t>
            </w:r>
            <w:r w:rsidRPr="00A10374">
              <w:rPr>
                <w:rFonts w:ascii="Times New Roman" w:hAnsi="Times New Roman"/>
                <w:shd w:val="clear" w:color="auto" w:fill="FFFFFF"/>
                <w:lang w:val="ro-RO"/>
              </w:rPr>
              <w:t>”</w:t>
            </w:r>
          </w:p>
          <w:p w14:paraId="28304278" w14:textId="2A024FE3" w:rsidR="00FC5B9A" w:rsidRPr="00A10374" w:rsidRDefault="00FC5B9A" w:rsidP="00556ED8">
            <w:pPr>
              <w:pStyle w:val="NormalWeb"/>
              <w:numPr>
                <w:ilvl w:val="0"/>
                <w:numId w:val="9"/>
              </w:numPr>
              <w:spacing w:before="120"/>
              <w:jc w:val="both"/>
              <w:rPr>
                <w:rFonts w:ascii="Times New Roman" w:hAnsi="Times New Roman"/>
                <w:shd w:val="clear" w:color="auto" w:fill="FFFFFF"/>
                <w:lang w:val="ro-RO"/>
              </w:rPr>
            </w:pPr>
            <w:r w:rsidRPr="00A10374">
              <w:rPr>
                <w:rFonts w:ascii="Times New Roman" w:hAnsi="Times New Roman"/>
                <w:shd w:val="clear" w:color="auto" w:fill="FFFFFF"/>
                <w:lang w:val="ro-RO"/>
              </w:rPr>
              <w:t>Modificarea din art. 8 alin. (6) litera b) și alin. 6</w:t>
            </w:r>
            <w:r w:rsidRPr="00A10374">
              <w:rPr>
                <w:rFonts w:ascii="Times New Roman" w:hAnsi="Times New Roman"/>
                <w:shd w:val="clear" w:color="auto" w:fill="FFFFFF"/>
                <w:vertAlign w:val="superscript"/>
                <w:lang w:val="ro-RO"/>
              </w:rPr>
              <w:t>1</w:t>
            </w:r>
            <w:r w:rsidRPr="00A10374">
              <w:rPr>
                <w:rFonts w:ascii="Times New Roman" w:hAnsi="Times New Roman"/>
                <w:shd w:val="clear" w:color="auto" w:fill="FFFFFF"/>
                <w:lang w:val="ro-RO"/>
              </w:rPr>
              <w:t xml:space="preserve">) a cuvântului comercializat cu cuvântul importat, la formele gramaticale corespunzătoare; </w:t>
            </w:r>
          </w:p>
          <w:p w14:paraId="16E2F648" w14:textId="6BA453B8" w:rsidR="00B729BF" w:rsidRPr="00A10374" w:rsidRDefault="00B729BF" w:rsidP="00556ED8">
            <w:pPr>
              <w:pStyle w:val="NormalWeb"/>
              <w:numPr>
                <w:ilvl w:val="0"/>
                <w:numId w:val="9"/>
              </w:numPr>
              <w:spacing w:before="120"/>
              <w:jc w:val="both"/>
              <w:rPr>
                <w:rFonts w:ascii="Times New Roman" w:hAnsi="Times New Roman"/>
                <w:shd w:val="clear" w:color="auto" w:fill="FFFFFF"/>
                <w:lang w:val="ro-RO"/>
              </w:rPr>
            </w:pPr>
            <w:r w:rsidRPr="00A10374">
              <w:rPr>
                <w:rFonts w:ascii="Times New Roman" w:hAnsi="Times New Roman"/>
                <w:shd w:val="clear" w:color="auto" w:fill="FFFFFF"/>
                <w:lang w:val="ro-RO"/>
              </w:rPr>
              <w:lastRenderedPageBreak/>
              <w:t xml:space="preserve">modificarea art. 8 alineat (12) astfel încât acesta să permită Asociațiilor de proprietari în condominiu și proprietarilor de case individuale să selecteze părțile terțe care să implementeze proiectele de eficiență energetică și/sau valorificare a surselor regenerabile de energie și să încheie contracte </w:t>
            </w:r>
            <w:r w:rsidR="0023597F" w:rsidRPr="00A10374">
              <w:rPr>
                <w:rFonts w:ascii="Times New Roman" w:hAnsi="Times New Roman"/>
                <w:shd w:val="clear" w:color="auto" w:fill="FFFFFF"/>
                <w:lang w:val="ro-RO"/>
              </w:rPr>
              <w:t xml:space="preserve">cu acestea </w:t>
            </w:r>
            <w:r w:rsidRPr="00A10374">
              <w:rPr>
                <w:rFonts w:ascii="Times New Roman" w:hAnsi="Times New Roman"/>
                <w:shd w:val="clear" w:color="auto" w:fill="FFFFFF"/>
                <w:lang w:val="ro-RO"/>
              </w:rPr>
              <w:t>în acest sens, cu subvenționarea ulterioară a unei părți din investițiile eligibile aferente acestor măsuri de către IP CNED;</w:t>
            </w:r>
          </w:p>
          <w:p w14:paraId="324631F8" w14:textId="1E04390D" w:rsidR="000B2EC8" w:rsidRPr="00A10374" w:rsidRDefault="000B2EC8" w:rsidP="00556ED8">
            <w:pPr>
              <w:pStyle w:val="NormalWeb"/>
              <w:numPr>
                <w:ilvl w:val="0"/>
                <w:numId w:val="9"/>
              </w:numPr>
              <w:spacing w:before="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completarea art. 10 cu un nou alineat, care să ofere posibilitatea organului central de specialitate al administrației publice în domeniul energeticii să elaboreze și să înainteze Guvernului spre aprobare măsuri care includ instrumente de finanțare a proiectelor în domeniul eficienței energetice – </w:t>
            </w:r>
            <w:r w:rsidR="00AA1109" w:rsidRPr="00A10374">
              <w:rPr>
                <w:rFonts w:ascii="Times New Roman" w:hAnsi="Times New Roman"/>
                <w:shd w:val="clear" w:color="auto" w:fill="FFFFFF"/>
                <w:lang w:val="ro-RO"/>
              </w:rPr>
              <w:t xml:space="preserve">grantul, </w:t>
            </w:r>
            <w:r w:rsidR="00F30C7A" w:rsidRPr="00F30C7A">
              <w:rPr>
                <w:rFonts w:ascii="Times New Roman" w:hAnsi="Times New Roman"/>
                <w:shd w:val="clear" w:color="auto" w:fill="FFFFFF"/>
                <w:lang w:val="ro-RO"/>
              </w:rPr>
              <w:t>ajutor financiar pentru eficientizarea consumului de resurse energetice</w:t>
            </w:r>
            <w:r w:rsidR="00AA1109" w:rsidRPr="00A10374">
              <w:rPr>
                <w:rFonts w:ascii="Times New Roman" w:hAnsi="Times New Roman"/>
                <w:shd w:val="clear" w:color="auto" w:fill="FFFFFF"/>
                <w:lang w:val="ro-RO"/>
              </w:rPr>
              <w:t xml:space="preserve">, </w:t>
            </w:r>
            <w:r w:rsidRPr="00A10374">
              <w:rPr>
                <w:rFonts w:ascii="Times New Roman" w:hAnsi="Times New Roman"/>
                <w:shd w:val="clear" w:color="auto" w:fill="FFFFFF"/>
                <w:lang w:val="ro-RO"/>
              </w:rPr>
              <w:t xml:space="preserve">garanția și compensațiile financiare. </w:t>
            </w:r>
          </w:p>
          <w:p w14:paraId="316F2832" w14:textId="1CD1A8D2" w:rsidR="00C34A3D" w:rsidRPr="00A10374" w:rsidRDefault="00C34A3D" w:rsidP="00556ED8">
            <w:pPr>
              <w:pStyle w:val="NormalWeb"/>
              <w:numPr>
                <w:ilvl w:val="0"/>
                <w:numId w:val="9"/>
              </w:numPr>
              <w:spacing w:before="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completarea art. 12 cu </w:t>
            </w:r>
            <w:r w:rsidR="00CE48DC" w:rsidRPr="00A10374">
              <w:rPr>
                <w:rFonts w:ascii="Times New Roman" w:hAnsi="Times New Roman"/>
                <w:shd w:val="clear" w:color="auto" w:fill="FFFFFF"/>
                <w:lang w:val="ro-RO"/>
              </w:rPr>
              <w:t>două litere</w:t>
            </w:r>
            <w:r w:rsidRPr="00A10374">
              <w:rPr>
                <w:rFonts w:ascii="Times New Roman" w:hAnsi="Times New Roman"/>
                <w:shd w:val="clear" w:color="auto" w:fill="FFFFFF"/>
                <w:lang w:val="ro-RO"/>
              </w:rPr>
              <w:t xml:space="preserve"> y)</w:t>
            </w:r>
            <w:r w:rsidR="00CE48DC" w:rsidRPr="00A10374">
              <w:rPr>
                <w:rFonts w:ascii="Times New Roman" w:hAnsi="Times New Roman"/>
                <w:shd w:val="clear" w:color="auto" w:fill="FFFFFF"/>
                <w:lang w:val="ro-RO"/>
              </w:rPr>
              <w:t xml:space="preserve"> și z)</w:t>
            </w:r>
            <w:r w:rsidRPr="00A10374">
              <w:rPr>
                <w:rFonts w:ascii="Times New Roman" w:hAnsi="Times New Roman"/>
                <w:shd w:val="clear" w:color="auto" w:fill="FFFFFF"/>
                <w:lang w:val="ro-RO"/>
              </w:rPr>
              <w:t xml:space="preserve"> cu următorul cuprins:</w:t>
            </w:r>
          </w:p>
          <w:p w14:paraId="193409F3" w14:textId="52E38006" w:rsidR="00CE48DC" w:rsidRPr="00A10374" w:rsidRDefault="00881E21" w:rsidP="005F1688">
            <w:pPr>
              <w:pStyle w:val="NormalWeb"/>
              <w:spacing w:before="120"/>
              <w:ind w:left="402" w:firstLine="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„y) </w:t>
            </w:r>
            <w:r w:rsidR="0023597F" w:rsidRPr="00A10374">
              <w:rPr>
                <w:rFonts w:ascii="Times New Roman" w:hAnsi="Times New Roman"/>
                <w:shd w:val="clear" w:color="auto" w:fill="FFFFFF"/>
                <w:lang w:val="ro-RO"/>
              </w:rPr>
              <w:t xml:space="preserve">acordă </w:t>
            </w:r>
            <w:r w:rsidRPr="00A10374">
              <w:rPr>
                <w:rFonts w:ascii="Times New Roman" w:hAnsi="Times New Roman"/>
                <w:shd w:val="clear" w:color="auto" w:fill="FFFFFF"/>
                <w:lang w:val="ro-RO"/>
              </w:rPr>
              <w:t>granturi</w:t>
            </w:r>
            <w:r w:rsidR="00CE48DC" w:rsidRPr="00A10374">
              <w:rPr>
                <w:rFonts w:ascii="Times New Roman" w:hAnsi="Times New Roman"/>
                <w:shd w:val="clear" w:color="auto" w:fill="FFFFFF"/>
                <w:lang w:val="ro-RO"/>
              </w:rPr>
              <w:t xml:space="preserve"> și </w:t>
            </w:r>
            <w:r w:rsidR="00F30C7A" w:rsidRPr="00F30C7A">
              <w:rPr>
                <w:rFonts w:ascii="Times New Roman" w:hAnsi="Times New Roman"/>
                <w:shd w:val="clear" w:color="auto" w:fill="FFFFFF"/>
                <w:lang w:val="ro-RO"/>
              </w:rPr>
              <w:t>ajuto</w:t>
            </w:r>
            <w:r w:rsidR="00F30C7A">
              <w:rPr>
                <w:rFonts w:ascii="Times New Roman" w:hAnsi="Times New Roman"/>
                <w:shd w:val="clear" w:color="auto" w:fill="FFFFFF"/>
                <w:lang w:val="ro-RO"/>
              </w:rPr>
              <w:t>a</w:t>
            </w:r>
            <w:r w:rsidR="00F30C7A" w:rsidRPr="00F30C7A">
              <w:rPr>
                <w:rFonts w:ascii="Times New Roman" w:hAnsi="Times New Roman"/>
                <w:shd w:val="clear" w:color="auto" w:fill="FFFFFF"/>
                <w:lang w:val="ro-RO"/>
              </w:rPr>
              <w:t>r</w:t>
            </w:r>
            <w:r w:rsidR="00F30C7A">
              <w:rPr>
                <w:rFonts w:ascii="Times New Roman" w:hAnsi="Times New Roman"/>
                <w:shd w:val="clear" w:color="auto" w:fill="FFFFFF"/>
                <w:lang w:val="ro-RO"/>
              </w:rPr>
              <w:t>e</w:t>
            </w:r>
            <w:r w:rsidR="00F30C7A" w:rsidRPr="00F30C7A">
              <w:rPr>
                <w:rFonts w:ascii="Times New Roman" w:hAnsi="Times New Roman"/>
                <w:shd w:val="clear" w:color="auto" w:fill="FFFFFF"/>
                <w:lang w:val="ro-RO"/>
              </w:rPr>
              <w:t xml:space="preserve"> financiar</w:t>
            </w:r>
            <w:r w:rsidR="00F30C7A">
              <w:rPr>
                <w:rFonts w:ascii="Times New Roman" w:hAnsi="Times New Roman"/>
                <w:shd w:val="clear" w:color="auto" w:fill="FFFFFF"/>
                <w:lang w:val="ro-RO"/>
              </w:rPr>
              <w:t>e</w:t>
            </w:r>
            <w:r w:rsidR="00F30C7A" w:rsidRPr="00F30C7A">
              <w:rPr>
                <w:rFonts w:ascii="Times New Roman" w:hAnsi="Times New Roman"/>
                <w:shd w:val="clear" w:color="auto" w:fill="FFFFFF"/>
                <w:lang w:val="ro-RO"/>
              </w:rPr>
              <w:t xml:space="preserve"> pentru eficientizarea consumului de resurse energetice </w:t>
            </w:r>
            <w:r w:rsidR="00CE48DC" w:rsidRPr="00A10374">
              <w:rPr>
                <w:rFonts w:ascii="Times New Roman" w:hAnsi="Times New Roman"/>
                <w:shd w:val="clear" w:color="auto" w:fill="FFFFFF"/>
                <w:lang w:val="ro-RO"/>
              </w:rPr>
              <w:t xml:space="preserve">în calitate de stimulente financiare pentru finanțarea proiectelor în domeniul eficienței energetice și/sau valorificării surselor regenerabile de energie; </w:t>
            </w:r>
          </w:p>
          <w:p w14:paraId="41E03F0F" w14:textId="4A540291" w:rsidR="00C34A3D" w:rsidRPr="00A10374" w:rsidRDefault="00881E21" w:rsidP="005F1688">
            <w:pPr>
              <w:pStyle w:val="NormalWeb"/>
              <w:spacing w:before="120"/>
              <w:ind w:left="402" w:firstLine="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z) </w:t>
            </w:r>
            <w:r w:rsidR="00E442E1" w:rsidRPr="00A10374">
              <w:rPr>
                <w:rFonts w:ascii="Times New Roman" w:hAnsi="Times New Roman"/>
                <w:shd w:val="clear" w:color="auto" w:fill="FFFFFF"/>
                <w:lang w:val="ro-RO"/>
              </w:rPr>
              <w:t>emite</w:t>
            </w:r>
            <w:r w:rsidR="0023597F" w:rsidRPr="00A10374">
              <w:rPr>
                <w:rFonts w:ascii="Times New Roman" w:hAnsi="Times New Roman"/>
                <w:shd w:val="clear" w:color="auto" w:fill="FFFFFF"/>
                <w:lang w:val="ro-RO"/>
              </w:rPr>
              <w:t xml:space="preserve"> </w:t>
            </w:r>
            <w:r w:rsidR="00C34A3D" w:rsidRPr="00A10374">
              <w:rPr>
                <w:rFonts w:ascii="Times New Roman" w:hAnsi="Times New Roman"/>
                <w:shd w:val="clear" w:color="auto" w:fill="FFFFFF"/>
                <w:lang w:val="ro-RO"/>
              </w:rPr>
              <w:t xml:space="preserve">garanții </w:t>
            </w:r>
            <w:r w:rsidR="0023597F" w:rsidRPr="00A10374">
              <w:rPr>
                <w:rFonts w:ascii="Times New Roman" w:hAnsi="Times New Roman"/>
                <w:shd w:val="clear" w:color="auto" w:fill="FFFFFF"/>
                <w:lang w:val="ro-RO"/>
              </w:rPr>
              <w:t xml:space="preserve">și compensații </w:t>
            </w:r>
            <w:r w:rsidR="00C34A3D" w:rsidRPr="00A10374">
              <w:rPr>
                <w:rFonts w:ascii="Times New Roman" w:hAnsi="Times New Roman"/>
                <w:shd w:val="clear" w:color="auto" w:fill="FFFFFF"/>
                <w:lang w:val="ro-RO"/>
              </w:rPr>
              <w:t>financiare</w:t>
            </w:r>
            <w:r w:rsidR="00DB37A7" w:rsidRPr="00A10374">
              <w:rPr>
                <w:rFonts w:ascii="Times New Roman" w:hAnsi="Times New Roman"/>
                <w:shd w:val="clear" w:color="auto" w:fill="FFFFFF"/>
                <w:lang w:val="ro-RO"/>
              </w:rPr>
              <w:t xml:space="preserve"> </w:t>
            </w:r>
            <w:bookmarkStart w:id="3" w:name="_Hlk180419120"/>
            <w:r w:rsidR="00E442E1" w:rsidRPr="00A10374">
              <w:rPr>
                <w:rFonts w:ascii="Times New Roman" w:hAnsi="Times New Roman"/>
                <w:shd w:val="clear" w:color="auto" w:fill="FFFFFF"/>
                <w:lang w:val="ro-RO"/>
              </w:rPr>
              <w:t>în conformitate cu prevederile art. 23</w:t>
            </w:r>
            <w:r w:rsidR="00E442E1" w:rsidRPr="00A10374">
              <w:rPr>
                <w:rFonts w:ascii="Times New Roman" w:hAnsi="Times New Roman"/>
                <w:shd w:val="clear" w:color="auto" w:fill="FFFFFF"/>
                <w:vertAlign w:val="superscript"/>
                <w:lang w:val="ro-RO"/>
              </w:rPr>
              <w:t>3</w:t>
            </w:r>
            <w:r w:rsidR="00E442E1" w:rsidRPr="00A10374">
              <w:rPr>
                <w:rFonts w:ascii="Times New Roman" w:hAnsi="Times New Roman"/>
                <w:shd w:val="clear" w:color="auto" w:fill="FFFFFF"/>
                <w:lang w:val="ro-RO"/>
              </w:rPr>
              <w:t xml:space="preserve"> </w:t>
            </w:r>
            <w:bookmarkEnd w:id="3"/>
            <w:r w:rsidR="00C34A3D" w:rsidRPr="00A10374">
              <w:rPr>
                <w:rFonts w:ascii="Times New Roman" w:hAnsi="Times New Roman"/>
                <w:shd w:val="clear" w:color="auto" w:fill="FFFFFF"/>
                <w:lang w:val="ro-RO"/>
              </w:rPr>
              <w:t>”</w:t>
            </w:r>
          </w:p>
          <w:p w14:paraId="5B249C2B" w14:textId="77777777" w:rsidR="00C34A3D" w:rsidRPr="00A10374" w:rsidRDefault="00C34A3D" w:rsidP="00C34A3D">
            <w:pPr>
              <w:pStyle w:val="NormalWeb"/>
              <w:numPr>
                <w:ilvl w:val="0"/>
                <w:numId w:val="9"/>
              </w:numPr>
              <w:spacing w:before="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la art. 13 alin. (4) de exclus textul „de asemenea pot selecta și desemna manageri energetici locali.”;   </w:t>
            </w:r>
          </w:p>
          <w:p w14:paraId="684F616A" w14:textId="4AC200D0" w:rsidR="00AF4781" w:rsidRDefault="00AF4781" w:rsidP="00AF4781">
            <w:pPr>
              <w:pStyle w:val="NormalWeb"/>
              <w:numPr>
                <w:ilvl w:val="0"/>
                <w:numId w:val="9"/>
              </w:numPr>
              <w:spacing w:before="120"/>
              <w:jc w:val="both"/>
              <w:rPr>
                <w:rFonts w:ascii="Times New Roman" w:hAnsi="Times New Roman"/>
                <w:shd w:val="clear" w:color="auto" w:fill="FFFFFF"/>
                <w:lang w:val="ro-RO"/>
              </w:rPr>
            </w:pPr>
            <w:r w:rsidRPr="00A10374">
              <w:rPr>
                <w:rFonts w:ascii="Times New Roman" w:hAnsi="Times New Roman"/>
                <w:shd w:val="clear" w:color="auto" w:fill="FFFFFF"/>
                <w:lang w:val="ro-RO"/>
              </w:rPr>
              <w:t>modificarea art. 10, 12, 13</w:t>
            </w:r>
            <w:r w:rsidR="006646FE">
              <w:rPr>
                <w:rFonts w:ascii="Times New Roman" w:hAnsi="Times New Roman"/>
                <w:shd w:val="clear" w:color="auto" w:fill="FFFFFF"/>
                <w:lang w:val="ro-RO"/>
              </w:rPr>
              <w:t>, 13</w:t>
            </w:r>
            <w:r w:rsidR="006646FE">
              <w:rPr>
                <w:rFonts w:ascii="Times New Roman" w:hAnsi="Times New Roman"/>
                <w:shd w:val="clear" w:color="auto" w:fill="FFFFFF"/>
                <w:vertAlign w:val="superscript"/>
                <w:lang w:val="ro-RO"/>
              </w:rPr>
              <w:t>1</w:t>
            </w:r>
            <w:r w:rsidRPr="00A10374">
              <w:rPr>
                <w:rFonts w:ascii="Times New Roman" w:hAnsi="Times New Roman"/>
                <w:shd w:val="clear" w:color="auto" w:fill="FFFFFF"/>
                <w:lang w:val="ro-RO"/>
              </w:rPr>
              <w:t xml:space="preserve"> și 30 astfel încât să fie exclusă obligativitatea de elaborare a planurilor locale privind energia și clima de către autoritățile administrației publice locale de nivelul al doilea și cele de nivel special și atribuirea acestei obligativități autorităților administrației publice locale care au statut de municipiu, cu menționarea inclusiv a perioadei pentru care se elaborează aceste planuri.</w:t>
            </w:r>
            <w:r w:rsidR="006646FE">
              <w:rPr>
                <w:rFonts w:ascii="Times New Roman" w:hAnsi="Times New Roman"/>
                <w:shd w:val="clear" w:color="auto" w:fill="FFFFFF"/>
                <w:lang w:val="ro-RO"/>
              </w:rPr>
              <w:t xml:space="preserve"> Totodată, este prevăzută completarea sistemului informațional național în domeniul eficienței energetice cu subsisteme noi și prevederi care să asigure atingerea obiectivelor urmărite precum și o durabilitate în timp a acestor subsisteme prin garantarea resurselor financiare necesare pentru întreținerea și actualiz</w:t>
            </w:r>
            <w:r w:rsidR="003C2D71">
              <w:rPr>
                <w:rFonts w:ascii="Times New Roman" w:hAnsi="Times New Roman"/>
                <w:shd w:val="clear" w:color="auto" w:fill="FFFFFF"/>
                <w:lang w:val="ro-RO"/>
              </w:rPr>
              <w:t>area</w:t>
            </w:r>
            <w:r w:rsidR="006646FE">
              <w:rPr>
                <w:rFonts w:ascii="Times New Roman" w:hAnsi="Times New Roman"/>
                <w:shd w:val="clear" w:color="auto" w:fill="FFFFFF"/>
                <w:lang w:val="ro-RO"/>
              </w:rPr>
              <w:t xml:space="preserve"> acestor subsisteme.  </w:t>
            </w:r>
          </w:p>
          <w:p w14:paraId="12B67885" w14:textId="2BBE2BF1" w:rsidR="00FB7854" w:rsidRPr="005C1844" w:rsidRDefault="00FB7854" w:rsidP="00AF4781">
            <w:pPr>
              <w:pStyle w:val="NormalWeb"/>
              <w:numPr>
                <w:ilvl w:val="0"/>
                <w:numId w:val="9"/>
              </w:numPr>
              <w:spacing w:before="120"/>
              <w:jc w:val="both"/>
              <w:rPr>
                <w:rFonts w:ascii="Times New Roman" w:hAnsi="Times New Roman"/>
                <w:shd w:val="clear" w:color="auto" w:fill="FFFFFF"/>
                <w:lang w:val="ro-RO"/>
              </w:rPr>
            </w:pPr>
            <w:r w:rsidRPr="005C1844">
              <w:rPr>
                <w:rFonts w:ascii="Times New Roman" w:hAnsi="Times New Roman"/>
                <w:shd w:val="clear" w:color="auto" w:fill="FFFFFF"/>
                <w:lang w:val="ro-RO"/>
              </w:rPr>
              <w:t xml:space="preserve">Ajustarea prevederilor art. 18 alin.(6) astfel </w:t>
            </w:r>
            <w:r w:rsidRPr="005C1844">
              <w:rPr>
                <w:rFonts w:ascii="Times New Roman" w:hAnsi="Times New Roman"/>
                <w:shd w:val="clear" w:color="auto" w:fill="FFFFFF"/>
                <w:lang w:val="ro-MD"/>
              </w:rPr>
              <w:t>încât să fie exclusă obligativitatea ca IP CNED să elaboreze și să mențină o baza de date cu i</w:t>
            </w:r>
            <w:proofErr w:type="spellStart"/>
            <w:r w:rsidR="00F30C7A" w:rsidRPr="005C1844">
              <w:rPr>
                <w:shd w:val="clear" w:color="auto" w:fill="FFFFFF"/>
                <w:lang w:val="ro-RO"/>
              </w:rPr>
              <w:t>nformaț</w:t>
            </w:r>
            <w:r w:rsidR="00F30C7A" w:rsidRPr="005C1844">
              <w:rPr>
                <w:rFonts w:ascii="Times New Roman" w:hAnsi="Times New Roman"/>
                <w:shd w:val="clear" w:color="auto" w:fill="FFFFFF"/>
                <w:lang w:val="ro-RO"/>
              </w:rPr>
              <w:t>ia</w:t>
            </w:r>
            <w:proofErr w:type="spellEnd"/>
            <w:r w:rsidRPr="005C1844">
              <w:rPr>
                <w:rFonts w:ascii="Times New Roman" w:hAnsi="Times New Roman"/>
                <w:shd w:val="clear" w:color="auto" w:fill="FFFFFF"/>
                <w:lang w:val="ro-RO"/>
              </w:rPr>
              <w:t xml:space="preserve"> aferentă</w:t>
            </w:r>
            <w:r w:rsidRPr="00172941">
              <w:rPr>
                <w:shd w:val="clear" w:color="auto" w:fill="FFFFFF"/>
                <w:lang w:val="ro-RO"/>
              </w:rPr>
              <w:t xml:space="preserve"> domeniul</w:t>
            </w:r>
            <w:r w:rsidRPr="005C1844">
              <w:rPr>
                <w:rFonts w:ascii="Times New Roman" w:hAnsi="Times New Roman"/>
                <w:shd w:val="clear" w:color="auto" w:fill="FFFFFF"/>
                <w:lang w:val="ro-RO"/>
              </w:rPr>
              <w:t>ui</w:t>
            </w:r>
            <w:r w:rsidRPr="00172941">
              <w:rPr>
                <w:shd w:val="clear" w:color="auto" w:fill="FFFFFF"/>
                <w:lang w:val="ro-RO"/>
              </w:rPr>
              <w:t xml:space="preserve"> eficienței energetice și al energiei din surse regenerabile</w:t>
            </w:r>
            <w:r w:rsidRPr="005C1844">
              <w:rPr>
                <w:rFonts w:ascii="Times New Roman" w:hAnsi="Times New Roman"/>
                <w:shd w:val="clear" w:color="auto" w:fill="FFFFFF"/>
                <w:lang w:val="ro-RO"/>
              </w:rPr>
              <w:t xml:space="preserve"> și să se limiteze doar la deținerea acestei informații și </w:t>
            </w:r>
            <w:proofErr w:type="spellStart"/>
            <w:r w:rsidRPr="005C1844">
              <w:rPr>
                <w:rFonts w:ascii="Times New Roman" w:hAnsi="Times New Roman"/>
                <w:shd w:val="clear" w:color="auto" w:fill="FFFFFF"/>
                <w:lang w:val="ro-RO"/>
              </w:rPr>
              <w:t>distrib</w:t>
            </w:r>
            <w:r w:rsidR="003C2D71">
              <w:rPr>
                <w:rFonts w:ascii="Times New Roman" w:hAnsi="Times New Roman"/>
                <w:shd w:val="clear" w:color="auto" w:fill="FFFFFF"/>
                <w:lang w:val="ro-RO"/>
              </w:rPr>
              <w:t>u</w:t>
            </w:r>
            <w:proofErr w:type="spellEnd"/>
            <w:r w:rsidR="003C2D71">
              <w:rPr>
                <w:rFonts w:ascii="Times New Roman" w:hAnsi="Times New Roman"/>
                <w:shd w:val="clear" w:color="auto" w:fill="FFFFFF"/>
                <w:lang w:val="ro-MD"/>
              </w:rPr>
              <w:t>ț</w:t>
            </w:r>
            <w:r w:rsidRPr="005C1844">
              <w:rPr>
                <w:rFonts w:ascii="Times New Roman" w:hAnsi="Times New Roman"/>
                <w:shd w:val="clear" w:color="auto" w:fill="FFFFFF"/>
                <w:lang w:val="ro-RO"/>
              </w:rPr>
              <w:t>ia acesteia către publicul larg.</w:t>
            </w:r>
            <w:r w:rsidRPr="00172941">
              <w:rPr>
                <w:shd w:val="clear" w:color="auto" w:fill="FFFFFF"/>
                <w:lang w:val="ro-RO"/>
              </w:rPr>
              <w:t> </w:t>
            </w:r>
          </w:p>
          <w:p w14:paraId="3DE5BB94" w14:textId="6B1DF0C3" w:rsidR="000924CD" w:rsidRPr="00A10374" w:rsidRDefault="000924CD" w:rsidP="000924CD">
            <w:pPr>
              <w:pStyle w:val="NormalWeb"/>
              <w:numPr>
                <w:ilvl w:val="0"/>
                <w:numId w:val="9"/>
              </w:numPr>
              <w:spacing w:before="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completarea art. 19 alin.(3) cu prevederi prin care să se menționeze că efectuarea auditului energetic este obligatorie </w:t>
            </w:r>
            <w:bookmarkStart w:id="4" w:name="_Hlk180577468"/>
            <w:r w:rsidRPr="00A10374">
              <w:rPr>
                <w:rFonts w:ascii="Times New Roman" w:hAnsi="Times New Roman"/>
                <w:shd w:val="clear" w:color="auto" w:fill="FFFFFF"/>
                <w:lang w:val="ro-RO"/>
              </w:rPr>
              <w:t>doar pentru cazurile în care obiectivul supus renovării</w:t>
            </w:r>
            <w:r w:rsidR="00DB37A7" w:rsidRPr="00A10374">
              <w:rPr>
                <w:rFonts w:ascii="Times New Roman" w:hAnsi="Times New Roman"/>
                <w:shd w:val="clear" w:color="auto" w:fill="FFFFFF"/>
                <w:lang w:val="ro-RO"/>
              </w:rPr>
              <w:t>, are o suprafață mai mare de 250 m</w:t>
            </w:r>
            <w:r w:rsidR="00DB37A7" w:rsidRPr="00A10374">
              <w:rPr>
                <w:rFonts w:ascii="Times New Roman" w:hAnsi="Times New Roman"/>
                <w:shd w:val="clear" w:color="auto" w:fill="FFFFFF"/>
                <w:vertAlign w:val="superscript"/>
                <w:lang w:val="ro-RO"/>
              </w:rPr>
              <w:t>2</w:t>
            </w:r>
            <w:r w:rsidR="00DB37A7" w:rsidRPr="00A10374">
              <w:rPr>
                <w:rFonts w:ascii="Times New Roman" w:hAnsi="Times New Roman"/>
                <w:shd w:val="clear" w:color="auto" w:fill="FFFFFF"/>
                <w:lang w:val="ro-RO"/>
              </w:rPr>
              <w:t xml:space="preserve"> și</w:t>
            </w:r>
            <w:r w:rsidRPr="00A10374">
              <w:rPr>
                <w:rFonts w:ascii="Times New Roman" w:hAnsi="Times New Roman"/>
                <w:shd w:val="clear" w:color="auto" w:fill="FFFFFF"/>
                <w:lang w:val="ro-RO"/>
              </w:rPr>
              <w:t xml:space="preserve"> nu dispune de un certificat de performanță energetică</w:t>
            </w:r>
            <w:bookmarkEnd w:id="4"/>
            <w:r w:rsidRPr="00A10374">
              <w:rPr>
                <w:rFonts w:ascii="Times New Roman" w:hAnsi="Times New Roman"/>
                <w:shd w:val="clear" w:color="auto" w:fill="FFFFFF"/>
                <w:lang w:val="ro-RO"/>
              </w:rPr>
              <w:t>, eliberat conform prevederilor Legii nr. 282/2023 privind performanța energetică a clădirilor;</w:t>
            </w:r>
          </w:p>
          <w:p w14:paraId="38B4E0A5" w14:textId="33E6B100" w:rsidR="00234AA7" w:rsidRDefault="00234AA7" w:rsidP="001A76A5">
            <w:pPr>
              <w:pStyle w:val="NormalWeb"/>
              <w:numPr>
                <w:ilvl w:val="0"/>
                <w:numId w:val="9"/>
              </w:numPr>
              <w:spacing w:before="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instituirea </w:t>
            </w:r>
            <w:r w:rsidR="001A36CD" w:rsidRPr="00A10374">
              <w:rPr>
                <w:rFonts w:ascii="Times New Roman" w:hAnsi="Times New Roman"/>
                <w:shd w:val="clear" w:color="auto" w:fill="FFFFFF"/>
                <w:lang w:val="ro-RO"/>
              </w:rPr>
              <w:t>în cadrul bugetului de stat</w:t>
            </w:r>
            <w:r w:rsidR="0023597F" w:rsidRPr="00A10374">
              <w:rPr>
                <w:rFonts w:ascii="Times New Roman" w:hAnsi="Times New Roman"/>
                <w:shd w:val="clear" w:color="auto" w:fill="FFFFFF"/>
                <w:lang w:val="ro-RO"/>
              </w:rPr>
              <w:t xml:space="preserve"> </w:t>
            </w:r>
            <w:r w:rsidRPr="00A10374">
              <w:rPr>
                <w:rFonts w:ascii="Times New Roman" w:hAnsi="Times New Roman"/>
                <w:shd w:val="clear" w:color="auto" w:fill="FFFFFF"/>
                <w:lang w:val="ro-RO"/>
              </w:rPr>
              <w:t>a „Fondului pentru eficiență energetică”</w:t>
            </w:r>
            <w:r w:rsidR="001C2579" w:rsidRPr="00A10374">
              <w:rPr>
                <w:rFonts w:ascii="Times New Roman" w:hAnsi="Times New Roman"/>
                <w:shd w:val="clear" w:color="auto" w:fill="FFFFFF"/>
                <w:lang w:val="ro-RO"/>
              </w:rPr>
              <w:t xml:space="preserve"> </w:t>
            </w:r>
            <w:r w:rsidR="001A36CD" w:rsidRPr="00A10374">
              <w:rPr>
                <w:rFonts w:ascii="Times New Roman" w:hAnsi="Times New Roman"/>
                <w:shd w:val="clear" w:color="auto" w:fill="FFFFFF"/>
                <w:lang w:val="ro-RO"/>
              </w:rPr>
              <w:t xml:space="preserve">cu atribuirea IP CNED a competenței de administrare a acestuia, precum </w:t>
            </w:r>
            <w:r w:rsidR="001C2579" w:rsidRPr="00A10374">
              <w:rPr>
                <w:rFonts w:ascii="Times New Roman" w:hAnsi="Times New Roman"/>
                <w:shd w:val="clear" w:color="auto" w:fill="FFFFFF"/>
                <w:lang w:val="ro-RO"/>
              </w:rPr>
              <w:t xml:space="preserve">și a prevederilor care ar </w:t>
            </w:r>
            <w:r w:rsidR="006A03F4" w:rsidRPr="00A10374">
              <w:rPr>
                <w:rFonts w:ascii="Times New Roman" w:hAnsi="Times New Roman"/>
                <w:shd w:val="clear" w:color="auto" w:fill="FFFFFF"/>
                <w:lang w:val="ro-RO"/>
              </w:rPr>
              <w:t xml:space="preserve">permite IP CNED </w:t>
            </w:r>
            <w:r w:rsidR="001C2579" w:rsidRPr="00A10374">
              <w:rPr>
                <w:rFonts w:ascii="Times New Roman" w:hAnsi="Times New Roman"/>
                <w:shd w:val="clear" w:color="auto" w:fill="FFFFFF"/>
                <w:lang w:val="ro-RO"/>
              </w:rPr>
              <w:t>oferire</w:t>
            </w:r>
            <w:r w:rsidR="006A03F4" w:rsidRPr="00A10374">
              <w:rPr>
                <w:rFonts w:ascii="Times New Roman" w:hAnsi="Times New Roman"/>
                <w:shd w:val="clear" w:color="auto" w:fill="FFFFFF"/>
                <w:lang w:val="ro-RO"/>
              </w:rPr>
              <w:t>a</w:t>
            </w:r>
            <w:r w:rsidR="001C2579" w:rsidRPr="00A10374">
              <w:rPr>
                <w:rFonts w:ascii="Times New Roman" w:hAnsi="Times New Roman"/>
                <w:shd w:val="clear" w:color="auto" w:fill="FFFFFF"/>
                <w:lang w:val="ro-RO"/>
              </w:rPr>
              <w:t xml:space="preserve"> garanțiilor</w:t>
            </w:r>
            <w:r w:rsidR="00F45638" w:rsidRPr="00A10374">
              <w:rPr>
                <w:rFonts w:ascii="Times New Roman" w:hAnsi="Times New Roman"/>
                <w:shd w:val="clear" w:color="auto" w:fill="FFFFFF"/>
                <w:lang w:val="ro-RO"/>
              </w:rPr>
              <w:t xml:space="preserve"> și </w:t>
            </w:r>
            <w:r w:rsidR="000B2EC8" w:rsidRPr="00A10374">
              <w:rPr>
                <w:rFonts w:ascii="Times New Roman" w:hAnsi="Times New Roman"/>
                <w:shd w:val="clear" w:color="auto" w:fill="FFFFFF"/>
                <w:lang w:val="ro-RO"/>
              </w:rPr>
              <w:t>compensațiilor</w:t>
            </w:r>
            <w:r w:rsidR="001C2579" w:rsidRPr="00A10374">
              <w:rPr>
                <w:rFonts w:ascii="Times New Roman" w:hAnsi="Times New Roman"/>
                <w:shd w:val="clear" w:color="auto" w:fill="FFFFFF"/>
                <w:lang w:val="ro-RO"/>
              </w:rPr>
              <w:t xml:space="preserve"> financiare</w:t>
            </w:r>
            <w:r w:rsidRPr="00A10374">
              <w:rPr>
                <w:rFonts w:ascii="Times New Roman" w:hAnsi="Times New Roman"/>
                <w:shd w:val="clear" w:color="auto" w:fill="FFFFFF"/>
                <w:lang w:val="ro-RO"/>
              </w:rPr>
              <w:t xml:space="preserve"> </w:t>
            </w:r>
            <w:r w:rsidR="001C2579" w:rsidRPr="00A10374">
              <w:rPr>
                <w:rFonts w:ascii="Times New Roman" w:hAnsi="Times New Roman"/>
                <w:shd w:val="clear" w:color="auto" w:fill="FFFFFF"/>
                <w:lang w:val="ro-RO"/>
              </w:rPr>
              <w:t xml:space="preserve">pentru proiectele de eficiență energetică și/sau valorificare a surselor regenerabile de energie </w:t>
            </w:r>
            <w:r w:rsidRPr="00A10374">
              <w:rPr>
                <w:rFonts w:ascii="Times New Roman" w:hAnsi="Times New Roman"/>
                <w:shd w:val="clear" w:color="auto" w:fill="FFFFFF"/>
                <w:lang w:val="ro-RO"/>
              </w:rPr>
              <w:t xml:space="preserve">prin completarea legii cu un </w:t>
            </w:r>
            <w:r w:rsidR="001C2579" w:rsidRPr="00A10374">
              <w:rPr>
                <w:rFonts w:ascii="Times New Roman" w:hAnsi="Times New Roman"/>
                <w:shd w:val="clear" w:color="auto" w:fill="FFFFFF"/>
                <w:lang w:val="ro-RO"/>
              </w:rPr>
              <w:t xml:space="preserve">capitol </w:t>
            </w:r>
            <w:r w:rsidRPr="00A10374">
              <w:rPr>
                <w:rFonts w:ascii="Times New Roman" w:hAnsi="Times New Roman"/>
                <w:shd w:val="clear" w:color="auto" w:fill="FFFFFF"/>
                <w:lang w:val="ro-RO"/>
              </w:rPr>
              <w:t>nou</w:t>
            </w:r>
            <w:r w:rsidR="00B729BF" w:rsidRPr="00A10374">
              <w:rPr>
                <w:rFonts w:ascii="Times New Roman" w:hAnsi="Times New Roman"/>
                <w:shd w:val="clear" w:color="auto" w:fill="FFFFFF"/>
                <w:lang w:val="ro-RO"/>
              </w:rPr>
              <w:t xml:space="preserve"> </w:t>
            </w:r>
            <w:r w:rsidR="00B85221" w:rsidRPr="00A10374">
              <w:rPr>
                <w:rFonts w:ascii="Times New Roman" w:hAnsi="Times New Roman"/>
                <w:shd w:val="clear" w:color="auto" w:fill="FFFFFF"/>
                <w:lang w:val="ro-RO"/>
              </w:rPr>
              <w:t>V</w:t>
            </w:r>
            <w:r w:rsidR="00B729BF" w:rsidRPr="00A10374">
              <w:rPr>
                <w:rFonts w:ascii="Times New Roman" w:hAnsi="Times New Roman"/>
                <w:shd w:val="clear" w:color="auto" w:fill="FFFFFF"/>
                <w:vertAlign w:val="superscript"/>
                <w:lang w:val="ro-RO"/>
              </w:rPr>
              <w:t>1</w:t>
            </w:r>
            <w:r w:rsidR="00B729BF" w:rsidRPr="00A10374">
              <w:rPr>
                <w:rFonts w:ascii="Times New Roman" w:hAnsi="Times New Roman"/>
                <w:shd w:val="clear" w:color="auto" w:fill="FFFFFF"/>
                <w:lang w:val="ro-RO"/>
              </w:rPr>
              <w:t>)</w:t>
            </w:r>
            <w:r w:rsidR="00E42793" w:rsidRPr="00A10374">
              <w:rPr>
                <w:rFonts w:ascii="Times New Roman" w:hAnsi="Times New Roman"/>
                <w:shd w:val="clear" w:color="auto" w:fill="FFFFFF"/>
                <w:lang w:val="ro-RO"/>
              </w:rPr>
              <w:t xml:space="preserve"> „</w:t>
            </w:r>
            <w:r w:rsidR="006A03F4" w:rsidRPr="00A10374">
              <w:rPr>
                <w:rFonts w:ascii="Times New Roman" w:hAnsi="Times New Roman"/>
                <w:shd w:val="clear" w:color="auto" w:fill="FFFFFF"/>
                <w:lang w:val="ro-RO"/>
              </w:rPr>
              <w:t>Instrumente</w:t>
            </w:r>
            <w:r w:rsidR="00E42793" w:rsidRPr="00A10374">
              <w:rPr>
                <w:rFonts w:ascii="Times New Roman" w:hAnsi="Times New Roman"/>
                <w:shd w:val="clear" w:color="auto" w:fill="FFFFFF"/>
                <w:lang w:val="ro-RO"/>
              </w:rPr>
              <w:t xml:space="preserve"> de finanțare a</w:t>
            </w:r>
            <w:r w:rsidR="00433594" w:rsidRPr="00A10374">
              <w:rPr>
                <w:rFonts w:ascii="Times New Roman" w:hAnsi="Times New Roman"/>
                <w:shd w:val="clear" w:color="auto" w:fill="FFFFFF"/>
                <w:lang w:val="ro-RO"/>
              </w:rPr>
              <w:t xml:space="preserve"> proiectelor în domeniul</w:t>
            </w:r>
            <w:r w:rsidR="00E42793" w:rsidRPr="00A10374">
              <w:rPr>
                <w:rFonts w:ascii="Times New Roman" w:hAnsi="Times New Roman"/>
                <w:shd w:val="clear" w:color="auto" w:fill="FFFFFF"/>
                <w:lang w:val="ro-RO"/>
              </w:rPr>
              <w:t xml:space="preserve"> eficienței energetice”</w:t>
            </w:r>
            <w:r w:rsidR="00EA5B6C" w:rsidRPr="00A10374">
              <w:rPr>
                <w:rFonts w:ascii="Times New Roman" w:hAnsi="Times New Roman"/>
                <w:shd w:val="clear" w:color="auto" w:fill="FFFFFF"/>
                <w:lang w:val="ro-RO"/>
              </w:rPr>
              <w:t xml:space="preserve"> cu următorul cuprins:</w:t>
            </w:r>
          </w:p>
          <w:p w14:paraId="257196AA" w14:textId="77777777" w:rsidR="00F30C7A" w:rsidRDefault="00F30C7A" w:rsidP="00F30C7A">
            <w:pPr>
              <w:pStyle w:val="NormalWeb"/>
              <w:spacing w:before="120"/>
              <w:jc w:val="both"/>
              <w:rPr>
                <w:rFonts w:ascii="Times New Roman" w:hAnsi="Times New Roman"/>
                <w:shd w:val="clear" w:color="auto" w:fill="FFFFFF"/>
                <w:lang w:val="ro-RO"/>
              </w:rPr>
            </w:pPr>
          </w:p>
          <w:p w14:paraId="5A272090" w14:textId="77777777" w:rsidR="00162CD6" w:rsidRDefault="00162CD6" w:rsidP="00F30C7A">
            <w:pPr>
              <w:pStyle w:val="NormalWeb"/>
              <w:spacing w:before="120"/>
              <w:jc w:val="both"/>
              <w:rPr>
                <w:rFonts w:ascii="Times New Roman" w:hAnsi="Times New Roman"/>
                <w:shd w:val="clear" w:color="auto" w:fill="FFFFFF"/>
                <w:lang w:val="ro-RO"/>
              </w:rPr>
            </w:pPr>
          </w:p>
          <w:p w14:paraId="1E3DDFF9" w14:textId="77777777" w:rsidR="00162CD6" w:rsidRDefault="00162CD6" w:rsidP="00F30C7A">
            <w:pPr>
              <w:pStyle w:val="NormalWeb"/>
              <w:spacing w:before="120"/>
              <w:jc w:val="both"/>
              <w:rPr>
                <w:rFonts w:ascii="Times New Roman" w:hAnsi="Times New Roman"/>
                <w:shd w:val="clear" w:color="auto" w:fill="FFFFFF"/>
                <w:lang w:val="ro-RO"/>
              </w:rPr>
            </w:pPr>
          </w:p>
          <w:p w14:paraId="37600533" w14:textId="77777777" w:rsidR="00162CD6" w:rsidRPr="00162CD6" w:rsidRDefault="00162CD6" w:rsidP="00162CD6">
            <w:pPr>
              <w:rPr>
                <w:rFonts w:ascii="Times New Roman" w:hAnsi="Times New Roman"/>
                <w:b/>
                <w:lang w:val="ro-RO"/>
              </w:rPr>
            </w:pPr>
            <w:r w:rsidRPr="00162CD6">
              <w:rPr>
                <w:rFonts w:ascii="Times New Roman" w:hAnsi="Times New Roman"/>
                <w:lang w:val="ro-RO"/>
              </w:rPr>
              <w:lastRenderedPageBreak/>
              <w:t>„</w:t>
            </w:r>
            <w:r w:rsidRPr="00162CD6">
              <w:rPr>
                <w:rFonts w:ascii="Times New Roman" w:hAnsi="Times New Roman"/>
                <w:bCs/>
                <w:lang w:val="ro-RO"/>
              </w:rPr>
              <w:t>Articolul 23</w:t>
            </w:r>
            <w:r w:rsidRPr="00162CD6">
              <w:rPr>
                <w:rFonts w:ascii="Times New Roman" w:hAnsi="Times New Roman"/>
                <w:bCs/>
                <w:vertAlign w:val="superscript"/>
                <w:lang w:val="ro-RO"/>
              </w:rPr>
              <w:t>1</w:t>
            </w:r>
            <w:r w:rsidRPr="00162CD6">
              <w:rPr>
                <w:rFonts w:ascii="Times New Roman" w:hAnsi="Times New Roman"/>
                <w:bCs/>
                <w:lang w:val="ro-RO"/>
              </w:rPr>
              <w:t>.</w:t>
            </w:r>
            <w:r w:rsidRPr="00162CD6">
              <w:rPr>
                <w:rFonts w:ascii="Times New Roman" w:hAnsi="Times New Roman"/>
                <w:lang w:val="ro-RO"/>
              </w:rPr>
              <w:t xml:space="preserve"> Fondul pentru eficiență energetică </w:t>
            </w:r>
          </w:p>
          <w:p w14:paraId="79B43E0E" w14:textId="77777777"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(1) Întru finanțarea măsurilor de eficiență energetică și/sau valorificare a surselor regenerabile de energie, se constituie Fondul pentru Eficiență Energetică (în continuare - FEE).</w:t>
            </w:r>
          </w:p>
          <w:p w14:paraId="12BD98B3" w14:textId="77777777"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 xml:space="preserve">(2) Mijloacele financiare colectate în cadrul schemei de obligații în domeniul eficienței energetice conform prevederilor art.8 se vor transfera la contul unic </w:t>
            </w:r>
            <w:proofErr w:type="spellStart"/>
            <w:r w:rsidRPr="00162CD6">
              <w:rPr>
                <w:rFonts w:ascii="Times New Roman" w:hAnsi="Times New Roman"/>
                <w:szCs w:val="22"/>
                <w:shd w:val="clear" w:color="auto" w:fill="FFFFFF"/>
                <w:lang w:val="ro-RO"/>
              </w:rPr>
              <w:t>trezorerial</w:t>
            </w:r>
            <w:proofErr w:type="spellEnd"/>
            <w:r w:rsidRPr="00162CD6">
              <w:rPr>
                <w:rFonts w:ascii="Times New Roman" w:hAnsi="Times New Roman"/>
                <w:szCs w:val="22"/>
                <w:shd w:val="clear" w:color="auto" w:fill="FFFFFF"/>
                <w:lang w:val="ro-RO"/>
              </w:rPr>
              <w:t xml:space="preserve"> al IP CNED.</w:t>
            </w:r>
          </w:p>
          <w:p w14:paraId="0E97B703" w14:textId="01E1688E"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 xml:space="preserve">(3) </w:t>
            </w:r>
            <w:r w:rsidR="009D253B" w:rsidRPr="009D253B">
              <w:rPr>
                <w:rFonts w:ascii="Times New Roman" w:hAnsi="Times New Roman"/>
                <w:szCs w:val="22"/>
                <w:shd w:val="clear" w:color="auto" w:fill="FFFFFF"/>
                <w:lang w:val="ro-RO"/>
              </w:rPr>
              <w:t>Mijloacele financiare ale FEE colectate în cadrul schemei de obligații în domeniul eficienței energetice  destinate  finanțării programelor/măsurilor de eficiență energetică și/sau  valorificare a surselor regenerabile de energie se aprobă prin legea anuală a bugetului de stat, în corespundere cu prevederile Legii finanțelor publice și responsabilității bugetar- fiscale nr.181/2014</w:t>
            </w:r>
            <w:r w:rsidRPr="00162CD6">
              <w:rPr>
                <w:rFonts w:ascii="Times New Roman" w:hAnsi="Times New Roman"/>
                <w:szCs w:val="22"/>
                <w:shd w:val="clear" w:color="auto" w:fill="FFFFFF"/>
                <w:lang w:val="ro-RO"/>
              </w:rPr>
              <w:t>.</w:t>
            </w:r>
          </w:p>
          <w:p w14:paraId="6D54B977" w14:textId="77777777" w:rsidR="00162CD6" w:rsidRPr="00162CD6" w:rsidRDefault="00162CD6" w:rsidP="00162CD6">
            <w:pPr>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(4) Sursele de finanțare ale FEE sunt:</w:t>
            </w:r>
          </w:p>
          <w:p w14:paraId="665C0017" w14:textId="77777777" w:rsidR="00162CD6" w:rsidRPr="00162CD6" w:rsidRDefault="00162CD6" w:rsidP="00162CD6">
            <w:pPr>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a) mijloacele financiare colectate în cadrul schemei de obligații în domeniul eficienței energetice conform prevederilor art. 8;</w:t>
            </w:r>
          </w:p>
          <w:p w14:paraId="727C67EA" w14:textId="77777777" w:rsidR="00162CD6" w:rsidRPr="00162CD6" w:rsidRDefault="00162CD6" w:rsidP="00162CD6">
            <w:pPr>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c) granturi, donații sau alte surse de asistență externă;</w:t>
            </w:r>
          </w:p>
          <w:p w14:paraId="29AB7BFD" w14:textId="77777777" w:rsidR="00162CD6" w:rsidRPr="00162CD6" w:rsidRDefault="00162CD6" w:rsidP="00162CD6">
            <w:pPr>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d) venituri financiare (dobânzi, comisioane) obținute ca urmare a administrării mijloacelor financiare și finanțărilor acordate din cadrul FEE;</w:t>
            </w:r>
          </w:p>
          <w:p w14:paraId="32C055AE" w14:textId="77777777" w:rsidR="00162CD6" w:rsidRPr="00162CD6" w:rsidRDefault="00162CD6" w:rsidP="00162CD6">
            <w:pPr>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e) contribuții ale beneficiarilor programelor de finanțare;</w:t>
            </w:r>
          </w:p>
          <w:p w14:paraId="17A3B39A" w14:textId="77777777" w:rsidR="00162CD6" w:rsidRPr="00162CD6" w:rsidRDefault="00162CD6" w:rsidP="00162CD6">
            <w:pPr>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f) alte surse ce nu contravin legislației.</w:t>
            </w:r>
          </w:p>
          <w:p w14:paraId="7E2DE80B" w14:textId="3BE7B55C"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 xml:space="preserve">(5) </w:t>
            </w:r>
            <w:r w:rsidRPr="00162CD6">
              <w:rPr>
                <w:rFonts w:ascii="Times New Roman" w:hAnsi="Times New Roman"/>
                <w:lang w:val="ro-RO"/>
              </w:rPr>
              <w:t>Mijloacele</w:t>
            </w:r>
            <w:r w:rsidRPr="00162CD6">
              <w:rPr>
                <w:rFonts w:ascii="Times New Roman" w:hAnsi="Times New Roman"/>
                <w:szCs w:val="22"/>
                <w:shd w:val="clear" w:color="auto" w:fill="FFFFFF"/>
                <w:lang w:val="ro-RO"/>
              </w:rPr>
              <w:t xml:space="preserve"> financiare ale FEE prevăzute la alin.(4), primite de la bugetul de stat, se gestionează prin contul </w:t>
            </w:r>
            <w:r w:rsidR="009D253B">
              <w:rPr>
                <w:rFonts w:ascii="Times New Roman" w:hAnsi="Times New Roman"/>
                <w:szCs w:val="22"/>
                <w:shd w:val="clear" w:color="auto" w:fill="FFFFFF"/>
                <w:lang w:val="ro-RO"/>
              </w:rPr>
              <w:t xml:space="preserve">unic </w:t>
            </w:r>
            <w:proofErr w:type="spellStart"/>
            <w:r w:rsidRPr="00162CD6">
              <w:rPr>
                <w:rFonts w:ascii="Times New Roman" w:hAnsi="Times New Roman"/>
                <w:szCs w:val="22"/>
                <w:shd w:val="clear" w:color="auto" w:fill="FFFFFF"/>
                <w:lang w:val="ro-RO"/>
              </w:rPr>
              <w:t>trezorerial</w:t>
            </w:r>
            <w:proofErr w:type="spellEnd"/>
            <w:r w:rsidRPr="00162CD6">
              <w:rPr>
                <w:rFonts w:ascii="Times New Roman" w:hAnsi="Times New Roman"/>
                <w:szCs w:val="22"/>
                <w:shd w:val="clear" w:color="auto" w:fill="FFFFFF"/>
                <w:lang w:val="ro-RO"/>
              </w:rPr>
              <w:t xml:space="preserve"> al </w:t>
            </w:r>
            <w:r w:rsidRPr="00162CD6">
              <w:rPr>
                <w:rFonts w:ascii="Times New Roman" w:hAnsi="Times New Roman"/>
                <w:lang w:val="ro-RO"/>
              </w:rPr>
              <w:t>IP CNED</w:t>
            </w:r>
            <w:r w:rsidRPr="00162CD6">
              <w:rPr>
                <w:rFonts w:ascii="Times New Roman" w:hAnsi="Times New Roman"/>
                <w:szCs w:val="22"/>
                <w:shd w:val="clear" w:color="auto" w:fill="FFFFFF"/>
                <w:lang w:val="ro-RO"/>
              </w:rPr>
              <w:t>.</w:t>
            </w:r>
          </w:p>
          <w:p w14:paraId="422BEAAD" w14:textId="788BE90E"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(6) Mijloacele financiare prevăzute la alin.(4), altele decât cele indicate la alin.(</w:t>
            </w:r>
            <w:r w:rsidR="00E4369C">
              <w:rPr>
                <w:rFonts w:ascii="Times New Roman" w:hAnsi="Times New Roman"/>
                <w:szCs w:val="22"/>
                <w:shd w:val="clear" w:color="auto" w:fill="FFFFFF"/>
                <w:lang w:val="ro-RO"/>
              </w:rPr>
              <w:t>5</w:t>
            </w:r>
            <w:r w:rsidRPr="00162CD6">
              <w:rPr>
                <w:rFonts w:ascii="Times New Roman" w:hAnsi="Times New Roman"/>
                <w:szCs w:val="22"/>
                <w:shd w:val="clear" w:color="auto" w:fill="FFFFFF"/>
                <w:lang w:val="ro-RO"/>
              </w:rPr>
              <w:t xml:space="preserve">) , se gestionează prin contul </w:t>
            </w:r>
            <w:r w:rsidR="009D253B">
              <w:rPr>
                <w:rFonts w:ascii="Times New Roman" w:hAnsi="Times New Roman"/>
                <w:szCs w:val="22"/>
                <w:shd w:val="clear" w:color="auto" w:fill="FFFFFF"/>
                <w:lang w:val="ro-RO"/>
              </w:rPr>
              <w:t xml:space="preserve">unic </w:t>
            </w:r>
            <w:proofErr w:type="spellStart"/>
            <w:r w:rsidRPr="00162CD6">
              <w:rPr>
                <w:rFonts w:ascii="Times New Roman" w:hAnsi="Times New Roman"/>
                <w:szCs w:val="22"/>
                <w:shd w:val="clear" w:color="auto" w:fill="FFFFFF"/>
                <w:lang w:val="ro-RO"/>
              </w:rPr>
              <w:t>trezorerial</w:t>
            </w:r>
            <w:proofErr w:type="spellEnd"/>
            <w:r w:rsidRPr="00162CD6">
              <w:rPr>
                <w:rFonts w:ascii="Times New Roman" w:hAnsi="Times New Roman"/>
                <w:szCs w:val="22"/>
                <w:shd w:val="clear" w:color="auto" w:fill="FFFFFF"/>
                <w:lang w:val="ro-RO"/>
              </w:rPr>
              <w:t xml:space="preserve"> și/sau prin conturile bancare ale </w:t>
            </w:r>
            <w:r w:rsidRPr="00162CD6">
              <w:rPr>
                <w:rFonts w:ascii="Times New Roman" w:hAnsi="Times New Roman"/>
                <w:lang w:val="ro-RO"/>
              </w:rPr>
              <w:t>IP CNED</w:t>
            </w:r>
            <w:r w:rsidRPr="00162CD6">
              <w:rPr>
                <w:rFonts w:ascii="Times New Roman" w:hAnsi="Times New Roman"/>
                <w:szCs w:val="22"/>
                <w:shd w:val="clear" w:color="auto" w:fill="FFFFFF"/>
                <w:lang w:val="ro-RO"/>
              </w:rPr>
              <w:t>,</w:t>
            </w:r>
            <w:r w:rsidRPr="00162CD6" w:rsidDel="00753B40">
              <w:rPr>
                <w:rFonts w:ascii="Times New Roman" w:hAnsi="Times New Roman"/>
                <w:szCs w:val="22"/>
                <w:shd w:val="clear" w:color="auto" w:fill="FFFFFF"/>
                <w:lang w:val="ro-RO"/>
              </w:rPr>
              <w:t xml:space="preserve"> </w:t>
            </w:r>
            <w:r w:rsidRPr="00162CD6">
              <w:rPr>
                <w:rFonts w:ascii="Times New Roman" w:hAnsi="Times New Roman"/>
                <w:szCs w:val="22"/>
                <w:shd w:val="clear" w:color="auto" w:fill="FFFFFF"/>
                <w:lang w:val="ro-RO"/>
              </w:rPr>
              <w:t>sau în modul prevăzut de acordurile încheiate în acest sens cu partenerii de dezvoltare</w:t>
            </w:r>
          </w:p>
          <w:p w14:paraId="29D6D247" w14:textId="77777777"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lang w:val="ro-RO"/>
              </w:rPr>
              <w:t>(7) Măsurile de eficiență energetică și/sau  valorificare a surselor regenerabile de energie sunt finanțate din mijloacele financiare ale FEE prin intermediul</w:t>
            </w:r>
            <w:r w:rsidRPr="00162CD6">
              <w:rPr>
                <w:rFonts w:ascii="Times New Roman" w:hAnsi="Times New Roman"/>
                <w:szCs w:val="22"/>
                <w:shd w:val="clear" w:color="auto" w:fill="FFFFFF"/>
                <w:lang w:val="ro-RO"/>
              </w:rPr>
              <w:t xml:space="preserve"> granturilor, garanțiilor financiare și/sau compensațiilor financiare.</w:t>
            </w:r>
          </w:p>
          <w:p w14:paraId="314DC90F" w14:textId="77777777"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 xml:space="preserve">(8) Valorificarea mijloacelor financiare din cadrul FEE se efectuează exclusiv în limitele și cuantumul prevăzut de programele de finanțare și bugetul </w:t>
            </w:r>
            <w:r w:rsidRPr="00162CD6">
              <w:rPr>
                <w:rFonts w:ascii="Times New Roman" w:hAnsi="Times New Roman"/>
                <w:lang w:val="ro-RO"/>
              </w:rPr>
              <w:t>IP CNED</w:t>
            </w:r>
            <w:r w:rsidRPr="00162CD6">
              <w:rPr>
                <w:rFonts w:ascii="Times New Roman" w:hAnsi="Times New Roman"/>
                <w:szCs w:val="22"/>
                <w:shd w:val="clear" w:color="auto" w:fill="FFFFFF"/>
                <w:lang w:val="ro-RO"/>
              </w:rPr>
              <w:t>.</w:t>
            </w:r>
          </w:p>
          <w:p w14:paraId="10270112" w14:textId="77777777"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 xml:space="preserve">(9) </w:t>
            </w:r>
            <w:r w:rsidRPr="00162CD6">
              <w:rPr>
                <w:rFonts w:ascii="Times New Roman" w:hAnsi="Times New Roman"/>
                <w:lang w:val="ro-RO"/>
              </w:rPr>
              <w:t>Gestionarea</w:t>
            </w:r>
            <w:r w:rsidRPr="00162CD6">
              <w:rPr>
                <w:rFonts w:ascii="Times New Roman" w:hAnsi="Times New Roman"/>
                <w:szCs w:val="22"/>
                <w:shd w:val="clear" w:color="auto" w:fill="FFFFFF"/>
                <w:lang w:val="ro-RO"/>
              </w:rPr>
              <w:t xml:space="preserve"> mijloacelor financiare din cadrul FEE se efectuează de către </w:t>
            </w:r>
            <w:r w:rsidRPr="00162CD6">
              <w:rPr>
                <w:rFonts w:ascii="Times New Roman" w:hAnsi="Times New Roman"/>
                <w:lang w:val="ro-RO"/>
              </w:rPr>
              <w:t>IP CNED</w:t>
            </w:r>
            <w:r w:rsidRPr="00162CD6" w:rsidDel="00957833">
              <w:rPr>
                <w:rFonts w:ascii="Times New Roman" w:hAnsi="Times New Roman"/>
                <w:lang w:val="ro-RO"/>
              </w:rPr>
              <w:t xml:space="preserve"> </w:t>
            </w:r>
            <w:r w:rsidRPr="00162CD6">
              <w:rPr>
                <w:rFonts w:ascii="Times New Roman" w:hAnsi="Times New Roman"/>
                <w:szCs w:val="22"/>
                <w:shd w:val="clear" w:color="auto" w:fill="FFFFFF"/>
                <w:lang w:val="ro-RO"/>
              </w:rPr>
              <w:t>în conformitate cu prevederile statutului acesteia și a programelor de finanțare.</w:t>
            </w:r>
          </w:p>
          <w:p w14:paraId="4360C0FE" w14:textId="77777777"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 xml:space="preserve">(10) Mijloacele financiare ale FEE sunt utilizate exclusiv pentru: </w:t>
            </w:r>
          </w:p>
          <w:p w14:paraId="71D8A59D" w14:textId="77777777"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a) finanțarea măsurilor de eficiență energetică și/sau valorificare a surselor regenerabile de energie conform modului prevăzut în cadrul programelor de finanțare;</w:t>
            </w:r>
          </w:p>
          <w:p w14:paraId="1F5673F8" w14:textId="77777777"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b) finanțarea lucrărilor de reparație sau instalare, care sunt strict necesare pentru a proteja sau facilita implementarea măsurilor aprobate spre finanțare;</w:t>
            </w:r>
          </w:p>
          <w:p w14:paraId="52ABB55A" w14:textId="77777777"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c) finanțarea serviciilor de elaborare a documentației de proiect, a expertizei tehnice, a certificatelor de performanță energetică a clădirilor, a rapoartelor de audit energetic, precum și alte servicii și asistență tehnică necesare pentru pregătirea și implementarea proiectelor în conformitate cu condițiile și criteriile prevăzute în cadrul Programelor de finanțare aferente eficienței energetice și valorificării surselor regenerabile de energie aprobate de Guvern;</w:t>
            </w:r>
          </w:p>
          <w:p w14:paraId="205929BF" w14:textId="77777777"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 xml:space="preserve">d) emiterea garanțiilor financiare și acordarea  compensațiilor financiare de către </w:t>
            </w:r>
            <w:r w:rsidRPr="00162CD6">
              <w:rPr>
                <w:rFonts w:ascii="Times New Roman" w:hAnsi="Times New Roman"/>
                <w:lang w:val="ro-RO"/>
              </w:rPr>
              <w:t>IP CNED</w:t>
            </w:r>
            <w:r w:rsidRPr="00162CD6" w:rsidDel="00957833">
              <w:rPr>
                <w:rFonts w:ascii="Times New Roman" w:hAnsi="Times New Roman"/>
                <w:lang w:val="ro-RO"/>
              </w:rPr>
              <w:t xml:space="preserve"> </w:t>
            </w:r>
            <w:r w:rsidRPr="00162CD6">
              <w:rPr>
                <w:rFonts w:ascii="Times New Roman" w:hAnsi="Times New Roman"/>
                <w:szCs w:val="22"/>
                <w:shd w:val="clear" w:color="auto" w:fill="FFFFFF"/>
                <w:lang w:val="ro-RO"/>
              </w:rPr>
              <w:t>în conformitate cu art. 23</w:t>
            </w:r>
            <w:r w:rsidRPr="00162CD6">
              <w:rPr>
                <w:rFonts w:ascii="Times New Roman" w:hAnsi="Times New Roman"/>
                <w:szCs w:val="22"/>
                <w:shd w:val="clear" w:color="auto" w:fill="FFFFFF"/>
                <w:vertAlign w:val="superscript"/>
                <w:lang w:val="ro-RO"/>
              </w:rPr>
              <w:t>3</w:t>
            </w:r>
            <w:r w:rsidRPr="00162CD6">
              <w:rPr>
                <w:rFonts w:ascii="Times New Roman" w:hAnsi="Times New Roman"/>
                <w:szCs w:val="22"/>
                <w:shd w:val="clear" w:color="auto" w:fill="FFFFFF"/>
                <w:lang w:val="ro-RO"/>
              </w:rPr>
              <w:t>;</w:t>
            </w:r>
          </w:p>
          <w:p w14:paraId="17A33505" w14:textId="77777777"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lastRenderedPageBreak/>
              <w:t>e) finanțarea cheltuielilor de gestionare și implementare a Programelor de finanțare, conform prevederilor art. 11 alin. (3);</w:t>
            </w:r>
          </w:p>
          <w:p w14:paraId="6B35AFDE" w14:textId="77777777" w:rsidR="00162CD6" w:rsidRPr="004B3984" w:rsidRDefault="00162CD6" w:rsidP="00162CD6">
            <w:pPr>
              <w:spacing w:before="120" w:after="120"/>
              <w:jc w:val="both"/>
              <w:rPr>
                <w:rFonts w:ascii="Times New Roman" w:hAnsi="Times New Roman"/>
                <w:szCs w:val="22"/>
                <w:shd w:val="clear" w:color="auto" w:fill="FFFFFF"/>
                <w:lang w:val="ro-RO"/>
              </w:rPr>
            </w:pPr>
            <w:r w:rsidRPr="004B3984">
              <w:rPr>
                <w:rFonts w:ascii="Times New Roman" w:hAnsi="Times New Roman"/>
                <w:szCs w:val="22"/>
                <w:shd w:val="clear" w:color="auto" w:fill="FFFFFF"/>
                <w:lang w:val="ro-RO"/>
              </w:rPr>
              <w:t xml:space="preserve">f) cofinanțarea proiectelor/programelor în domeniul eficienței energetice și valorificării surselor de energie regenerabilă, finanțate de donatori, parteneri de dezvoltare, autorități/instituții publice, asociații. </w:t>
            </w:r>
            <w:r w:rsidRPr="004B3984" w:rsidDel="00445CC0">
              <w:rPr>
                <w:rFonts w:ascii="Times New Roman" w:hAnsi="Times New Roman"/>
                <w:szCs w:val="22"/>
                <w:shd w:val="clear" w:color="auto" w:fill="FFFFFF"/>
                <w:lang w:val="ro-RO"/>
              </w:rPr>
              <w:t xml:space="preserve"> </w:t>
            </w:r>
            <w:r w:rsidRPr="004B3984">
              <w:rPr>
                <w:rFonts w:ascii="Times New Roman" w:hAnsi="Times New Roman"/>
                <w:szCs w:val="22"/>
                <w:shd w:val="clear" w:color="auto" w:fill="FFFFFF"/>
                <w:lang w:val="ro-RO"/>
              </w:rPr>
              <w:t xml:space="preserve">  </w:t>
            </w:r>
          </w:p>
          <w:p w14:paraId="05A8DA8D" w14:textId="77777777" w:rsidR="00162CD6" w:rsidRPr="00162CD6" w:rsidRDefault="00162CD6" w:rsidP="00162CD6">
            <w:pPr>
              <w:spacing w:before="120" w:after="120"/>
              <w:jc w:val="both"/>
              <w:rPr>
                <w:rFonts w:ascii="Times New Roman" w:hAnsi="Times New Roman"/>
                <w:lang w:val="ro-RO"/>
              </w:rPr>
            </w:pPr>
            <w:r w:rsidRPr="00162CD6">
              <w:rPr>
                <w:rFonts w:ascii="Times New Roman" w:hAnsi="Times New Roman"/>
                <w:szCs w:val="22"/>
                <w:shd w:val="clear" w:color="auto" w:fill="FFFFFF"/>
                <w:lang w:val="ro-RO"/>
              </w:rPr>
              <w:t>(11) Măsurile</w:t>
            </w:r>
            <w:r w:rsidRPr="00162CD6">
              <w:rPr>
                <w:rFonts w:ascii="Times New Roman" w:hAnsi="Times New Roman"/>
                <w:lang w:val="ro-RO"/>
              </w:rPr>
              <w:t xml:space="preserve"> de eficiență energetică și/sau valorificare a surselor regenerabile de energie, implementate din mijloacele financiare ale FEE trebuie să fie justificate din punct de vedere economic și să contribuie la realizarea obiectivelor de eficiență energetică prevăzute la art.7</w:t>
            </w:r>
            <w:r w:rsidRPr="00162CD6">
              <w:rPr>
                <w:rFonts w:ascii="Times New Roman" w:hAnsi="Times New Roman"/>
                <w:vertAlign w:val="superscript"/>
                <w:lang w:val="ro-RO"/>
              </w:rPr>
              <w:t>1</w:t>
            </w:r>
            <w:r w:rsidRPr="00162CD6">
              <w:rPr>
                <w:rFonts w:ascii="Times New Roman" w:hAnsi="Times New Roman"/>
                <w:lang w:val="ro-RO"/>
              </w:rPr>
              <w:t>.</w:t>
            </w:r>
          </w:p>
          <w:p w14:paraId="39D51349" w14:textId="77777777" w:rsidR="00162CD6" w:rsidRPr="00162CD6" w:rsidRDefault="00162CD6" w:rsidP="00162CD6">
            <w:pPr>
              <w:spacing w:before="120" w:after="120"/>
              <w:jc w:val="both"/>
              <w:rPr>
                <w:rFonts w:ascii="Times New Roman" w:hAnsi="Times New Roman"/>
                <w:lang w:val="ro-RO"/>
              </w:rPr>
            </w:pPr>
            <w:r w:rsidRPr="00162CD6">
              <w:rPr>
                <w:rFonts w:ascii="Times New Roman" w:hAnsi="Times New Roman"/>
                <w:lang w:val="ro-RO"/>
              </w:rPr>
              <w:t>Articolul 23</w:t>
            </w:r>
            <w:r w:rsidRPr="00162CD6">
              <w:rPr>
                <w:rFonts w:ascii="Times New Roman" w:hAnsi="Times New Roman"/>
                <w:vertAlign w:val="superscript"/>
                <w:lang w:val="ro-RO"/>
              </w:rPr>
              <w:t>2</w:t>
            </w:r>
            <w:r w:rsidRPr="00162CD6">
              <w:rPr>
                <w:rFonts w:ascii="Times New Roman" w:hAnsi="Times New Roman"/>
                <w:lang w:val="ro-RO"/>
              </w:rPr>
              <w:t xml:space="preserve"> Alte surse de finanțare a programelor/măsurilor de eficiență energetică</w:t>
            </w:r>
          </w:p>
          <w:p w14:paraId="3E51BCF9" w14:textId="77777777" w:rsidR="00162CD6" w:rsidRPr="00162CD6" w:rsidRDefault="00162CD6" w:rsidP="00162CD6">
            <w:pPr>
              <w:spacing w:before="120" w:after="120"/>
              <w:jc w:val="both"/>
              <w:rPr>
                <w:rFonts w:ascii="Times New Roman" w:hAnsi="Times New Roman"/>
                <w:lang w:val="ro-RO"/>
              </w:rPr>
            </w:pPr>
            <w:r w:rsidRPr="00162CD6">
              <w:rPr>
                <w:rFonts w:ascii="Times New Roman" w:hAnsi="Times New Roman"/>
                <w:lang w:val="ro-RO"/>
              </w:rPr>
              <w:t xml:space="preserve">(1) Programele/măsurile de eficiență energetică și/sau valorificare a surselor regenerabile de energie, sunt finanțate și din alte surse decât cele acumulate în cadrul FEE, inclusiv din sursele pentru eficientizarea consumului de resurse energetice, conform prevederilor </w:t>
            </w:r>
            <w:r w:rsidRPr="00162CD6">
              <w:rPr>
                <w:rFonts w:ascii="Times New Roman" w:hAnsi="Times New Roman"/>
                <w:szCs w:val="22"/>
                <w:shd w:val="clear" w:color="auto" w:fill="FFFFFF"/>
                <w:lang w:val="ro-RO"/>
              </w:rPr>
              <w:t>art. 5 alin. (1) lit. b) din Legea nr. 241/2022 privind Fondul de reducere a vulnerabilității energetice;</w:t>
            </w:r>
          </w:p>
          <w:p w14:paraId="60CB740C" w14:textId="77777777" w:rsidR="00162CD6" w:rsidRPr="00162CD6" w:rsidRDefault="00162CD6" w:rsidP="00162CD6">
            <w:pPr>
              <w:spacing w:before="120" w:after="120"/>
              <w:jc w:val="both"/>
              <w:rPr>
                <w:rFonts w:ascii="Times New Roman" w:hAnsi="Times New Roman"/>
                <w:lang w:val="ro-RO"/>
              </w:rPr>
            </w:pPr>
            <w:r w:rsidRPr="00162CD6">
              <w:rPr>
                <w:rFonts w:ascii="Times New Roman" w:hAnsi="Times New Roman"/>
                <w:lang w:val="ro-RO"/>
              </w:rPr>
              <w:t>(2) Implementarea măsurilor prevăzute la alin. (1), se realizează prin intermediul IP CNED, în coordonare cu organul central de specialitate al administrației publice în domeniul energeticii, dacă cadrul normativ nu prevede altfel;</w:t>
            </w:r>
          </w:p>
          <w:p w14:paraId="782FD728" w14:textId="347B5B12"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 xml:space="preserve">(3) </w:t>
            </w:r>
            <w:r w:rsidRPr="00162CD6">
              <w:rPr>
                <w:rFonts w:ascii="Times New Roman" w:hAnsi="Times New Roman"/>
                <w:lang w:val="ro-RO"/>
              </w:rPr>
              <w:t>Mijloacele</w:t>
            </w:r>
            <w:r w:rsidRPr="00162CD6">
              <w:rPr>
                <w:rFonts w:ascii="Times New Roman" w:hAnsi="Times New Roman"/>
                <w:szCs w:val="22"/>
                <w:shd w:val="clear" w:color="auto" w:fill="FFFFFF"/>
                <w:lang w:val="ro-RO"/>
              </w:rPr>
              <w:t xml:space="preserve"> financiare prevăzute pentru implementarea măsurilor de la alin.(1), primite de la bugetul de stat, se gestionează prin contul </w:t>
            </w:r>
            <w:r w:rsidR="00997304">
              <w:rPr>
                <w:rFonts w:ascii="Times New Roman" w:hAnsi="Times New Roman"/>
                <w:szCs w:val="22"/>
                <w:shd w:val="clear" w:color="auto" w:fill="FFFFFF"/>
                <w:lang w:val="ro-RO"/>
              </w:rPr>
              <w:t xml:space="preserve">unic </w:t>
            </w:r>
            <w:proofErr w:type="spellStart"/>
            <w:r w:rsidRPr="00162CD6">
              <w:rPr>
                <w:rFonts w:ascii="Times New Roman" w:hAnsi="Times New Roman"/>
                <w:szCs w:val="22"/>
                <w:shd w:val="clear" w:color="auto" w:fill="FFFFFF"/>
                <w:lang w:val="ro-RO"/>
              </w:rPr>
              <w:t>trezorerial</w:t>
            </w:r>
            <w:proofErr w:type="spellEnd"/>
            <w:r w:rsidRPr="00162CD6">
              <w:rPr>
                <w:rFonts w:ascii="Times New Roman" w:hAnsi="Times New Roman"/>
                <w:szCs w:val="22"/>
                <w:shd w:val="clear" w:color="auto" w:fill="FFFFFF"/>
                <w:lang w:val="ro-RO"/>
              </w:rPr>
              <w:t xml:space="preserve"> al </w:t>
            </w:r>
            <w:r w:rsidRPr="00162CD6">
              <w:rPr>
                <w:rFonts w:ascii="Times New Roman" w:hAnsi="Times New Roman"/>
                <w:lang w:val="ro-RO"/>
              </w:rPr>
              <w:t>IP CNED</w:t>
            </w:r>
            <w:r w:rsidRPr="00162CD6">
              <w:rPr>
                <w:rFonts w:ascii="Times New Roman" w:hAnsi="Times New Roman"/>
                <w:szCs w:val="22"/>
                <w:shd w:val="clear" w:color="auto" w:fill="FFFFFF"/>
                <w:lang w:val="ro-RO"/>
              </w:rPr>
              <w:t>.</w:t>
            </w:r>
          </w:p>
          <w:p w14:paraId="5E5E21D3" w14:textId="77777777" w:rsidR="00162CD6" w:rsidRPr="00162CD6" w:rsidRDefault="00162CD6" w:rsidP="00162CD6">
            <w:pPr>
              <w:spacing w:before="120" w:after="120"/>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Articolul 23</w:t>
            </w:r>
            <w:r w:rsidRPr="00162CD6">
              <w:rPr>
                <w:rFonts w:ascii="Times New Roman" w:hAnsi="Times New Roman"/>
                <w:szCs w:val="22"/>
                <w:shd w:val="clear" w:color="auto" w:fill="FFFFFF"/>
                <w:vertAlign w:val="superscript"/>
                <w:lang w:val="ro-RO"/>
              </w:rPr>
              <w:t>3</w:t>
            </w:r>
            <w:r w:rsidRPr="00162CD6">
              <w:rPr>
                <w:rFonts w:ascii="Times New Roman" w:hAnsi="Times New Roman"/>
                <w:szCs w:val="22"/>
                <w:shd w:val="clear" w:color="auto" w:fill="FFFFFF"/>
                <w:lang w:val="ro-RO"/>
              </w:rPr>
              <w:t xml:space="preserve">. Garanțiile financiare și compensațiile financiare   </w:t>
            </w:r>
          </w:p>
          <w:p w14:paraId="5C448513" w14:textId="77777777" w:rsidR="00162CD6"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 xml:space="preserve"> (1) </w:t>
            </w:r>
            <w:r w:rsidRPr="00162CD6">
              <w:rPr>
                <w:rFonts w:ascii="Times New Roman" w:hAnsi="Times New Roman"/>
                <w:lang w:val="ro-RO"/>
              </w:rPr>
              <w:t>IP CNED</w:t>
            </w:r>
            <w:r w:rsidRPr="00162CD6" w:rsidDel="00957833">
              <w:rPr>
                <w:rFonts w:ascii="Times New Roman" w:hAnsi="Times New Roman"/>
                <w:lang w:val="ro-RO"/>
              </w:rPr>
              <w:t xml:space="preserve"> </w:t>
            </w:r>
            <w:r w:rsidRPr="00162CD6">
              <w:rPr>
                <w:rFonts w:ascii="Times New Roman" w:hAnsi="Times New Roman"/>
                <w:szCs w:val="22"/>
                <w:shd w:val="clear" w:color="auto" w:fill="FFFFFF"/>
                <w:lang w:val="ro-RO"/>
              </w:rPr>
              <w:t xml:space="preserve">poate emite garanții financiare precum și acorda compensații financiare, în corespundere cu condițiile programelor de finanțare, produselor de garantare și/sau compensare, în limitele capacității proprii de garantare sau de acordare a compensațiilor financiare, precum și în limita plafoanelor aprobate de Guvern pentru fiecare creditor, în corespundere cu criteriile de risc stabilite de </w:t>
            </w:r>
            <w:r w:rsidRPr="00162CD6">
              <w:rPr>
                <w:rFonts w:ascii="Times New Roman" w:hAnsi="Times New Roman"/>
                <w:lang w:val="ro-RO"/>
              </w:rPr>
              <w:t xml:space="preserve">IP CNED în colaborare cu </w:t>
            </w:r>
            <w:proofErr w:type="spellStart"/>
            <w:r w:rsidRPr="00162CD6">
              <w:rPr>
                <w:rFonts w:ascii="Times New Roman" w:hAnsi="Times New Roman"/>
                <w:lang w:val="pt-BR"/>
              </w:rPr>
              <w:t>organul</w:t>
            </w:r>
            <w:proofErr w:type="spellEnd"/>
            <w:r w:rsidRPr="00162CD6">
              <w:rPr>
                <w:rFonts w:ascii="Times New Roman" w:hAnsi="Times New Roman"/>
                <w:lang w:val="pt-BR"/>
              </w:rPr>
              <w:t xml:space="preserve"> central de </w:t>
            </w:r>
            <w:proofErr w:type="spellStart"/>
            <w:r w:rsidRPr="00162CD6">
              <w:rPr>
                <w:rFonts w:ascii="Times New Roman" w:hAnsi="Times New Roman"/>
                <w:lang w:val="pt-BR"/>
              </w:rPr>
              <w:t>specialitate</w:t>
            </w:r>
            <w:proofErr w:type="spellEnd"/>
            <w:r w:rsidRPr="00162CD6">
              <w:rPr>
                <w:rFonts w:ascii="Times New Roman" w:hAnsi="Times New Roman"/>
                <w:lang w:val="pt-BR"/>
              </w:rPr>
              <w:t xml:space="preserve"> al </w:t>
            </w:r>
            <w:proofErr w:type="spellStart"/>
            <w:r w:rsidRPr="00162CD6">
              <w:rPr>
                <w:rFonts w:ascii="Times New Roman" w:hAnsi="Times New Roman"/>
                <w:lang w:val="pt-BR"/>
              </w:rPr>
              <w:t>administrației</w:t>
            </w:r>
            <w:proofErr w:type="spellEnd"/>
            <w:r w:rsidRPr="00162CD6">
              <w:rPr>
                <w:rFonts w:ascii="Times New Roman" w:hAnsi="Times New Roman"/>
                <w:lang w:val="pt-BR"/>
              </w:rPr>
              <w:t xml:space="preserve"> publice </w:t>
            </w:r>
            <w:proofErr w:type="spellStart"/>
            <w:r w:rsidRPr="00162CD6">
              <w:rPr>
                <w:rFonts w:ascii="Times New Roman" w:hAnsi="Times New Roman"/>
                <w:lang w:val="pt-BR"/>
              </w:rPr>
              <w:t>în</w:t>
            </w:r>
            <w:proofErr w:type="spellEnd"/>
            <w:r w:rsidRPr="00162CD6">
              <w:rPr>
                <w:rFonts w:ascii="Times New Roman" w:hAnsi="Times New Roman"/>
                <w:lang w:val="pt-BR"/>
              </w:rPr>
              <w:t xml:space="preserve"> </w:t>
            </w:r>
            <w:proofErr w:type="spellStart"/>
            <w:r w:rsidRPr="00162CD6">
              <w:rPr>
                <w:rFonts w:ascii="Times New Roman" w:hAnsi="Times New Roman"/>
                <w:lang w:val="pt-BR"/>
              </w:rPr>
              <w:t>domeniul</w:t>
            </w:r>
            <w:proofErr w:type="spellEnd"/>
            <w:r w:rsidRPr="00162CD6">
              <w:rPr>
                <w:rFonts w:ascii="Times New Roman" w:hAnsi="Times New Roman"/>
                <w:lang w:val="pt-BR"/>
              </w:rPr>
              <w:t xml:space="preserve"> </w:t>
            </w:r>
            <w:proofErr w:type="spellStart"/>
            <w:r w:rsidRPr="00162CD6">
              <w:rPr>
                <w:rFonts w:ascii="Times New Roman" w:hAnsi="Times New Roman"/>
                <w:lang w:val="pt-BR"/>
              </w:rPr>
              <w:t>energeticii</w:t>
            </w:r>
            <w:proofErr w:type="spellEnd"/>
            <w:r w:rsidRPr="00162CD6">
              <w:rPr>
                <w:rFonts w:ascii="Times New Roman" w:hAnsi="Times New Roman"/>
                <w:szCs w:val="22"/>
                <w:shd w:val="clear" w:color="auto" w:fill="FFFFFF"/>
                <w:lang w:val="ro-RO"/>
              </w:rPr>
              <w:t>;</w:t>
            </w:r>
          </w:p>
          <w:p w14:paraId="4BB2198C" w14:textId="77777777" w:rsidR="00162CD6" w:rsidRPr="00162CD6" w:rsidRDefault="00162CD6" w:rsidP="00162CD6">
            <w:pPr>
              <w:jc w:val="both"/>
              <w:rPr>
                <w:rFonts w:ascii="Times New Roman" w:hAnsi="Times New Roman"/>
                <w:sz w:val="22"/>
                <w:szCs w:val="22"/>
                <w:shd w:val="clear" w:color="auto" w:fill="FFFFFF"/>
                <w:lang w:val="pt-BR"/>
              </w:rPr>
            </w:pPr>
            <w:r w:rsidRPr="00162CD6">
              <w:rPr>
                <w:rFonts w:ascii="Times New Roman" w:hAnsi="Times New Roman"/>
                <w:szCs w:val="22"/>
                <w:shd w:val="clear" w:color="auto" w:fill="FFFFFF"/>
                <w:lang w:val="ro-RO"/>
              </w:rPr>
              <w:t xml:space="preserve">(2) </w:t>
            </w:r>
            <w:r w:rsidRPr="00162CD6">
              <w:rPr>
                <w:rFonts w:ascii="Times New Roman" w:hAnsi="Times New Roman"/>
                <w:sz w:val="22"/>
                <w:szCs w:val="22"/>
                <w:shd w:val="clear" w:color="auto" w:fill="FFFFFF"/>
                <w:lang w:val="pt-BR"/>
              </w:rPr>
              <w:t> </w:t>
            </w:r>
            <w:r w:rsidRPr="00162CD6">
              <w:rPr>
                <w:rFonts w:ascii="Times New Roman" w:hAnsi="Times New Roman"/>
                <w:szCs w:val="22"/>
                <w:shd w:val="clear" w:color="auto" w:fill="FFFFFF"/>
                <w:lang w:val="ro-RO"/>
              </w:rPr>
              <w:t xml:space="preserve">Produsele de garantare sau de compensare se elaborează, se modifică și se aprobă de către </w:t>
            </w:r>
            <w:r w:rsidRPr="00162CD6">
              <w:rPr>
                <w:rFonts w:ascii="Times New Roman" w:hAnsi="Times New Roman"/>
                <w:lang w:val="ro-RO"/>
              </w:rPr>
              <w:t>IP CNED</w:t>
            </w:r>
            <w:r w:rsidRPr="00162CD6" w:rsidDel="00957833">
              <w:rPr>
                <w:rFonts w:ascii="Times New Roman" w:hAnsi="Times New Roman"/>
                <w:lang w:val="ro-RO"/>
              </w:rPr>
              <w:t xml:space="preserve"> </w:t>
            </w:r>
            <w:r w:rsidRPr="00162CD6">
              <w:rPr>
                <w:rFonts w:ascii="Times New Roman" w:hAnsi="Times New Roman"/>
                <w:szCs w:val="22"/>
                <w:shd w:val="clear" w:color="auto" w:fill="FFFFFF"/>
                <w:lang w:val="ro-RO"/>
              </w:rPr>
              <w:t>în conformitate cu programele de finanțare și alte priorități de politici publice stabilite de Guvern, obiectivele de eficiență energetică și condițiile stabilite în acordurile cu partenerii de dezvoltare;</w:t>
            </w:r>
          </w:p>
          <w:p w14:paraId="2511C794" w14:textId="20ECC757" w:rsidR="00F30C7A" w:rsidRPr="00162CD6" w:rsidRDefault="00162CD6" w:rsidP="00162CD6">
            <w:pPr>
              <w:spacing w:before="120" w:after="120"/>
              <w:jc w:val="both"/>
              <w:rPr>
                <w:rFonts w:ascii="Times New Roman" w:hAnsi="Times New Roman"/>
                <w:szCs w:val="22"/>
                <w:shd w:val="clear" w:color="auto" w:fill="FFFFFF"/>
                <w:lang w:val="ro-RO"/>
              </w:rPr>
            </w:pPr>
            <w:r w:rsidRPr="00162CD6">
              <w:rPr>
                <w:rFonts w:ascii="Times New Roman" w:hAnsi="Times New Roman"/>
                <w:szCs w:val="22"/>
                <w:shd w:val="clear" w:color="auto" w:fill="FFFFFF"/>
                <w:lang w:val="ro-RO"/>
              </w:rPr>
              <w:t>(3) Criteriile de eligibilitate a creditorilor și modul de acordare și gestionare a garanțiilor financiare și compensațiilor financiare se stabilesc de Guvern.”</w:t>
            </w:r>
          </w:p>
          <w:p w14:paraId="1DE54C93" w14:textId="474166F2" w:rsidR="00EA5B6C" w:rsidRPr="00A10374" w:rsidRDefault="00EA5B6C" w:rsidP="001A76A5">
            <w:pPr>
              <w:pStyle w:val="NormalWeb"/>
              <w:numPr>
                <w:ilvl w:val="0"/>
                <w:numId w:val="9"/>
              </w:numPr>
              <w:spacing w:before="120"/>
              <w:jc w:val="both"/>
              <w:rPr>
                <w:rFonts w:ascii="Times New Roman" w:hAnsi="Times New Roman"/>
                <w:shd w:val="clear" w:color="auto" w:fill="FFFFFF"/>
                <w:lang w:val="ro-RO"/>
              </w:rPr>
            </w:pPr>
            <w:r w:rsidRPr="00A10374">
              <w:rPr>
                <w:rFonts w:ascii="Times New Roman" w:hAnsi="Times New Roman"/>
                <w:shd w:val="clear" w:color="auto" w:fill="FFFFFF"/>
                <w:lang w:val="ro-RO"/>
              </w:rPr>
              <w:t>modificarea prevederilor de la art. 20 astfel încât să fie extins dreptul de prestare a serviciilor de audit energetic de către toate organizațiile</w:t>
            </w:r>
            <w:r w:rsidR="00AA1109" w:rsidRPr="00A10374">
              <w:rPr>
                <w:rFonts w:ascii="Times New Roman" w:hAnsi="Times New Roman"/>
                <w:shd w:val="clear" w:color="auto" w:fill="FFFFFF"/>
                <w:lang w:val="ro-RO"/>
              </w:rPr>
              <w:t xml:space="preserve"> necomerciale sau persoanelor juridice</w:t>
            </w:r>
            <w:r w:rsidRPr="00A10374">
              <w:rPr>
                <w:rFonts w:ascii="Times New Roman" w:hAnsi="Times New Roman"/>
                <w:shd w:val="clear" w:color="auto" w:fill="FFFFFF"/>
                <w:lang w:val="ro-RO"/>
              </w:rPr>
              <w:t xml:space="preserve">, indiferent de forma </w:t>
            </w:r>
            <w:proofErr w:type="spellStart"/>
            <w:r w:rsidRPr="00A10374">
              <w:rPr>
                <w:rFonts w:ascii="Times New Roman" w:hAnsi="Times New Roman"/>
                <w:shd w:val="clear" w:color="auto" w:fill="FFFFFF"/>
                <w:lang w:val="ro-RO"/>
              </w:rPr>
              <w:t>org</w:t>
            </w:r>
            <w:r w:rsidR="00F7367F" w:rsidRPr="00A10374">
              <w:rPr>
                <w:rFonts w:ascii="Times New Roman" w:hAnsi="Times New Roman"/>
                <w:shd w:val="clear" w:color="auto" w:fill="FFFFFF"/>
                <w:lang w:val="ro-RO"/>
              </w:rPr>
              <w:t>anizatorico</w:t>
            </w:r>
            <w:proofErr w:type="spellEnd"/>
            <w:r w:rsidR="00F7367F" w:rsidRPr="00A10374">
              <w:rPr>
                <w:rFonts w:ascii="Times New Roman" w:hAnsi="Times New Roman"/>
                <w:shd w:val="clear" w:color="auto" w:fill="FFFFFF"/>
                <w:lang w:val="ro-RO"/>
              </w:rPr>
              <w:t>-juridică a acestora.</w:t>
            </w:r>
          </w:p>
          <w:p w14:paraId="66F4884B" w14:textId="29040318" w:rsidR="00217C7D" w:rsidRPr="00A10374" w:rsidRDefault="00EA5B6C" w:rsidP="00163896">
            <w:pPr>
              <w:pStyle w:val="NormalWeb"/>
              <w:numPr>
                <w:ilvl w:val="0"/>
                <w:numId w:val="9"/>
              </w:numPr>
              <w:spacing w:before="120"/>
              <w:jc w:val="both"/>
              <w:rPr>
                <w:rFonts w:ascii="Times New Roman" w:hAnsi="Times New Roman"/>
                <w:shd w:val="clear" w:color="auto" w:fill="FFFFFF"/>
                <w:lang w:val="ro-RO"/>
              </w:rPr>
            </w:pPr>
            <w:r w:rsidRPr="00A10374">
              <w:rPr>
                <w:rFonts w:ascii="Times New Roman" w:hAnsi="Times New Roman"/>
                <w:shd w:val="clear" w:color="auto" w:fill="FFFFFF"/>
                <w:lang w:val="ro-RO"/>
              </w:rPr>
              <w:t>Modificarea a</w:t>
            </w:r>
            <w:r w:rsidR="00234AA7" w:rsidRPr="00A10374">
              <w:rPr>
                <w:rFonts w:ascii="Times New Roman" w:hAnsi="Times New Roman"/>
                <w:shd w:val="clear" w:color="auto" w:fill="FFFFFF"/>
                <w:lang w:val="ro-RO"/>
              </w:rPr>
              <w:t xml:space="preserve">rt. 19 alin. (3) </w:t>
            </w:r>
            <w:r w:rsidRPr="00A10374">
              <w:rPr>
                <w:rFonts w:ascii="Times New Roman" w:hAnsi="Times New Roman"/>
                <w:shd w:val="clear" w:color="auto" w:fill="FFFFFF"/>
                <w:lang w:val="ro-RO"/>
              </w:rPr>
              <w:t xml:space="preserve">astfel </w:t>
            </w:r>
            <w:r w:rsidR="00927302" w:rsidRPr="00A10374">
              <w:rPr>
                <w:rFonts w:ascii="Times New Roman" w:hAnsi="Times New Roman"/>
                <w:shd w:val="clear" w:color="auto" w:fill="FFFFFF"/>
                <w:lang w:val="ro-RO"/>
              </w:rPr>
              <w:t>încât</w:t>
            </w:r>
            <w:r w:rsidRPr="00A10374">
              <w:rPr>
                <w:rFonts w:ascii="Times New Roman" w:hAnsi="Times New Roman"/>
                <w:shd w:val="clear" w:color="auto" w:fill="FFFFFF"/>
                <w:lang w:val="ro-RO"/>
              </w:rPr>
              <w:t xml:space="preserve"> să fie exclusă obligativitatea elaborării auditului energetic î</w:t>
            </w:r>
            <w:r w:rsidR="00234AA7" w:rsidRPr="00A10374">
              <w:rPr>
                <w:rFonts w:ascii="Times New Roman" w:hAnsi="Times New Roman"/>
                <w:shd w:val="clear" w:color="auto" w:fill="FFFFFF"/>
                <w:lang w:val="ro-RO"/>
              </w:rPr>
              <w:t xml:space="preserve">n cazul proiectelor în </w:t>
            </w:r>
            <w:r w:rsidRPr="00A10374">
              <w:rPr>
                <w:rFonts w:ascii="Times New Roman" w:hAnsi="Times New Roman"/>
                <w:shd w:val="clear" w:color="auto" w:fill="FFFFFF"/>
                <w:lang w:val="ro-RO"/>
              </w:rPr>
              <w:t>domeniul eficienței energetice</w:t>
            </w:r>
            <w:r w:rsidR="00234AA7" w:rsidRPr="00A10374">
              <w:rPr>
                <w:rFonts w:ascii="Times New Roman" w:hAnsi="Times New Roman"/>
                <w:shd w:val="clear" w:color="auto" w:fill="FFFFFF"/>
                <w:lang w:val="ro-RO"/>
              </w:rPr>
              <w:t>, finanțate total sau parțial din bugetul de stat sau din bugetele autoritățilo</w:t>
            </w:r>
            <w:r w:rsidR="00927302" w:rsidRPr="00A10374">
              <w:rPr>
                <w:rFonts w:ascii="Times New Roman" w:hAnsi="Times New Roman"/>
                <w:shd w:val="clear" w:color="auto" w:fill="FFFFFF"/>
                <w:lang w:val="ro-RO"/>
              </w:rPr>
              <w:t xml:space="preserve">r administrației publice locale și păstrarea obligativității elaborării acestuia </w:t>
            </w:r>
            <w:r w:rsidR="00163896" w:rsidRPr="00A10374">
              <w:rPr>
                <w:rFonts w:ascii="Times New Roman" w:hAnsi="Times New Roman"/>
                <w:shd w:val="clear" w:color="auto" w:fill="FFFFFF"/>
                <w:lang w:val="ro-RO"/>
              </w:rPr>
              <w:t>doar pentru cazurile în care obiectivul supus renovării nu dispune de un certificat de performanță energetică, eliberat conform prevederilor Legii nr. 282/2023 privind performanța energetică a clădirilor</w:t>
            </w:r>
          </w:p>
          <w:p w14:paraId="27926302" w14:textId="33173CEA" w:rsidR="00267AE6" w:rsidRPr="00A10374" w:rsidRDefault="00267AE6" w:rsidP="001A76A5">
            <w:pPr>
              <w:pStyle w:val="NormalWeb"/>
              <w:numPr>
                <w:ilvl w:val="0"/>
                <w:numId w:val="9"/>
              </w:numPr>
              <w:spacing w:before="120"/>
              <w:jc w:val="both"/>
              <w:rPr>
                <w:rFonts w:ascii="Times New Roman" w:hAnsi="Times New Roman"/>
                <w:shd w:val="clear" w:color="auto" w:fill="FFFFFF"/>
                <w:lang w:val="ro-RO"/>
              </w:rPr>
            </w:pPr>
            <w:r w:rsidRPr="00A10374">
              <w:rPr>
                <w:rFonts w:ascii="Times New Roman" w:hAnsi="Times New Roman"/>
                <w:shd w:val="clear" w:color="auto" w:fill="FFFFFF"/>
                <w:lang w:val="ro-RO"/>
              </w:rPr>
              <w:t>Completarea art. 23</w:t>
            </w:r>
            <w:r w:rsidR="00591355" w:rsidRPr="00A10374">
              <w:rPr>
                <w:rFonts w:ascii="Times New Roman" w:hAnsi="Times New Roman"/>
                <w:shd w:val="clear" w:color="auto" w:fill="FFFFFF"/>
                <w:lang w:val="ro-RO"/>
              </w:rPr>
              <w:t xml:space="preserve"> </w:t>
            </w:r>
            <w:r w:rsidR="005F6554" w:rsidRPr="00A10374">
              <w:rPr>
                <w:rFonts w:ascii="Times New Roman" w:hAnsi="Times New Roman"/>
                <w:shd w:val="clear" w:color="auto" w:fill="FFFFFF"/>
                <w:lang w:val="ro-RO"/>
              </w:rPr>
              <w:t>cu prevederi care</w:t>
            </w:r>
            <w:r w:rsidR="00591355" w:rsidRPr="00A10374">
              <w:rPr>
                <w:rFonts w:ascii="Times New Roman" w:hAnsi="Times New Roman"/>
                <w:shd w:val="clear" w:color="auto" w:fill="FFFFFF"/>
                <w:lang w:val="ro-RO"/>
              </w:rPr>
              <w:t xml:space="preserve"> să permită </w:t>
            </w:r>
            <w:r w:rsidR="00C30E90" w:rsidRPr="00A10374">
              <w:rPr>
                <w:rFonts w:ascii="Times New Roman" w:hAnsi="Times New Roman"/>
                <w:shd w:val="clear" w:color="auto" w:fill="FFFFFF"/>
                <w:lang w:val="ro-RO"/>
              </w:rPr>
              <w:t xml:space="preserve">IP CNED </w:t>
            </w:r>
            <w:r w:rsidR="005F6554" w:rsidRPr="00A10374">
              <w:rPr>
                <w:rFonts w:ascii="Times New Roman" w:hAnsi="Times New Roman"/>
                <w:shd w:val="clear" w:color="auto" w:fill="FFFFFF"/>
                <w:lang w:val="ro-RO"/>
              </w:rPr>
              <w:t>să semneze contracte</w:t>
            </w:r>
            <w:r w:rsidR="00591355" w:rsidRPr="00A10374">
              <w:rPr>
                <w:rFonts w:ascii="Times New Roman" w:hAnsi="Times New Roman"/>
                <w:shd w:val="clear" w:color="auto" w:fill="FFFFFF"/>
                <w:lang w:val="ro-RO"/>
              </w:rPr>
              <w:t xml:space="preserve"> </w:t>
            </w:r>
            <w:r w:rsidR="005F6554" w:rsidRPr="00A10374">
              <w:rPr>
                <w:rFonts w:ascii="Times New Roman" w:hAnsi="Times New Roman"/>
                <w:shd w:val="clear" w:color="auto" w:fill="FFFFFF"/>
                <w:lang w:val="ro-RO"/>
              </w:rPr>
              <w:t xml:space="preserve">cu </w:t>
            </w:r>
            <w:r w:rsidR="00591355" w:rsidRPr="00A10374">
              <w:rPr>
                <w:rFonts w:ascii="Times New Roman" w:hAnsi="Times New Roman"/>
                <w:shd w:val="clear" w:color="auto" w:fill="FFFFFF"/>
                <w:lang w:val="ro-RO"/>
              </w:rPr>
              <w:t xml:space="preserve">beneficiarul </w:t>
            </w:r>
            <w:r w:rsidR="005F6554" w:rsidRPr="00A10374">
              <w:rPr>
                <w:rFonts w:ascii="Times New Roman" w:hAnsi="Times New Roman"/>
                <w:shd w:val="clear" w:color="auto" w:fill="FFFFFF"/>
                <w:lang w:val="ro-RO"/>
              </w:rPr>
              <w:t xml:space="preserve">serviciilor energetice și/sau prestatorii de astfel de servicii, în baza unui Program aprobat de Guvern.   </w:t>
            </w:r>
            <w:r w:rsidR="00591355" w:rsidRPr="00A10374">
              <w:rPr>
                <w:rFonts w:ascii="Times New Roman" w:hAnsi="Times New Roman"/>
                <w:shd w:val="clear" w:color="auto" w:fill="FFFFFF"/>
                <w:lang w:val="ro-RO"/>
              </w:rPr>
              <w:t xml:space="preserve">  </w:t>
            </w:r>
            <w:r w:rsidRPr="00A10374">
              <w:rPr>
                <w:rFonts w:ascii="Times New Roman" w:hAnsi="Times New Roman"/>
                <w:shd w:val="clear" w:color="auto" w:fill="FFFFFF"/>
                <w:lang w:val="ro-RO"/>
              </w:rPr>
              <w:t xml:space="preserve"> </w:t>
            </w:r>
          </w:p>
          <w:p w14:paraId="54C4F54D" w14:textId="77777777" w:rsidR="00732AE9" w:rsidRPr="00A10374" w:rsidRDefault="00C02694" w:rsidP="005F1688">
            <w:pPr>
              <w:pStyle w:val="NormalWeb"/>
              <w:numPr>
                <w:ilvl w:val="0"/>
                <w:numId w:val="9"/>
              </w:numPr>
              <w:spacing w:before="120"/>
              <w:jc w:val="both"/>
              <w:rPr>
                <w:rFonts w:ascii="Times New Roman" w:hAnsi="Times New Roman"/>
                <w:color w:val="FF0000"/>
                <w:shd w:val="clear" w:color="auto" w:fill="FFFFFF"/>
                <w:lang w:val="ro-RO"/>
              </w:rPr>
            </w:pPr>
            <w:r w:rsidRPr="00A10374">
              <w:rPr>
                <w:rFonts w:ascii="Times New Roman" w:hAnsi="Times New Roman"/>
                <w:shd w:val="clear" w:color="auto" w:fill="FFFFFF"/>
                <w:lang w:val="ro-RO"/>
              </w:rPr>
              <w:lastRenderedPageBreak/>
              <w:t xml:space="preserve">Modificarea art. 30 alin.(14) astfel încât termenul de 1 an în care întreprinderile mari sunt obligate să efectueze auditul energetică să decurgă din momentul recepționării notificării din partea IP CNED și nu din momentul publicării, în Monitorul Oficial al Republicii Moldova, a Regulamentului cu privire la efectuarea auditului energetic de către întreprinderile mari.  </w:t>
            </w:r>
          </w:p>
          <w:p w14:paraId="0E4919AE" w14:textId="736B761B" w:rsidR="00234AA7" w:rsidRPr="00A10374" w:rsidRDefault="00732AE9" w:rsidP="005F1688">
            <w:pPr>
              <w:pStyle w:val="NormalWeb"/>
              <w:numPr>
                <w:ilvl w:val="0"/>
                <w:numId w:val="9"/>
              </w:numPr>
              <w:spacing w:before="120"/>
              <w:jc w:val="both"/>
              <w:rPr>
                <w:rFonts w:ascii="Times New Roman" w:hAnsi="Times New Roman"/>
                <w:lang w:val="ro-RO"/>
              </w:rPr>
            </w:pPr>
            <w:r w:rsidRPr="00A10374">
              <w:rPr>
                <w:rFonts w:ascii="Times New Roman" w:hAnsi="Times New Roman"/>
                <w:shd w:val="clear" w:color="auto" w:fill="FFFFFF"/>
                <w:lang w:val="ro-RO"/>
              </w:rPr>
              <w:t xml:space="preserve">Ajustarea în textul legii a referințelor la cadrul normativ primar în domeniul performanței energetice și etichetării produselor cu impact energetic în condițiile noilor legi aprobate în acest sens; </w:t>
            </w:r>
            <w:r w:rsidR="00C02694" w:rsidRPr="00A10374">
              <w:rPr>
                <w:rFonts w:ascii="Times New Roman" w:hAnsi="Times New Roman"/>
                <w:shd w:val="clear" w:color="auto" w:fill="FFFFFF"/>
                <w:lang w:val="ro-RO"/>
              </w:rPr>
              <w:t xml:space="preserve">      </w:t>
            </w:r>
          </w:p>
        </w:tc>
      </w:tr>
      <w:tr w:rsidR="006D3EB7" w:rsidRPr="00A10374"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A10374" w:rsidRDefault="00D927DB" w:rsidP="000E1660">
            <w:pPr>
              <w:rPr>
                <w:rFonts w:ascii="Times New Roman" w:hAnsi="Times New Roman"/>
                <w:i/>
                <w:lang w:val="ro-RO"/>
              </w:rPr>
            </w:pPr>
            <w:r w:rsidRPr="00A10374">
              <w:rPr>
                <w:rFonts w:ascii="Times New Roman" w:hAnsi="Times New Roman"/>
                <w:i/>
                <w:lang w:val="ro-RO"/>
              </w:rPr>
              <w:lastRenderedPageBreak/>
              <w:t>3.2.</w:t>
            </w:r>
            <w:r w:rsidR="00032B46" w:rsidRPr="00A10374">
              <w:rPr>
                <w:rFonts w:ascii="Times New Roman" w:hAnsi="Times New Roman"/>
                <w:i/>
                <w:lang w:val="ro-RO"/>
              </w:rPr>
              <w:t xml:space="preserve"> </w:t>
            </w:r>
            <w:r w:rsidRPr="00A10374">
              <w:rPr>
                <w:rFonts w:ascii="Times New Roman" w:hAnsi="Times New Roman"/>
                <w:i/>
                <w:lang w:val="ro-RO"/>
              </w:rPr>
              <w:t>Op</w:t>
            </w:r>
            <w:r w:rsidR="00863417" w:rsidRPr="00A10374">
              <w:rPr>
                <w:rFonts w:ascii="Times New Roman" w:hAnsi="Times New Roman"/>
                <w:i/>
                <w:lang w:val="ro-RO"/>
              </w:rPr>
              <w:t>ț</w:t>
            </w:r>
            <w:r w:rsidRPr="00A10374">
              <w:rPr>
                <w:rFonts w:ascii="Times New Roman" w:hAnsi="Times New Roman"/>
                <w:i/>
                <w:lang w:val="ro-RO"/>
              </w:rPr>
              <w:t>iunile</w:t>
            </w:r>
            <w:r w:rsidR="00032B46" w:rsidRPr="00A10374">
              <w:rPr>
                <w:rFonts w:ascii="Times New Roman" w:hAnsi="Times New Roman"/>
                <w:i/>
                <w:lang w:val="ro-RO"/>
              </w:rPr>
              <w:t xml:space="preserve"> </w:t>
            </w:r>
            <w:r w:rsidRPr="00A10374">
              <w:rPr>
                <w:rFonts w:ascii="Times New Roman" w:hAnsi="Times New Roman"/>
                <w:i/>
                <w:lang w:val="ro-RO"/>
              </w:rPr>
              <w:t>alternative</w:t>
            </w:r>
            <w:r w:rsidR="00032B46" w:rsidRPr="00A10374">
              <w:rPr>
                <w:rFonts w:ascii="Times New Roman" w:hAnsi="Times New Roman"/>
                <w:i/>
                <w:lang w:val="ro-RO"/>
              </w:rPr>
              <w:t xml:space="preserve"> </w:t>
            </w:r>
            <w:r w:rsidRPr="00A10374">
              <w:rPr>
                <w:rFonts w:ascii="Times New Roman" w:hAnsi="Times New Roman"/>
                <w:i/>
                <w:lang w:val="ro-RO"/>
              </w:rPr>
              <w:t>analizate</w:t>
            </w:r>
            <w:r w:rsidR="00032B46" w:rsidRPr="00A10374">
              <w:rPr>
                <w:rFonts w:ascii="Times New Roman" w:hAnsi="Times New Roman"/>
                <w:i/>
                <w:lang w:val="ro-RO"/>
              </w:rPr>
              <w:t xml:space="preserve"> </w:t>
            </w:r>
            <w:r w:rsidR="00863417" w:rsidRPr="00A10374">
              <w:rPr>
                <w:rFonts w:ascii="Times New Roman" w:hAnsi="Times New Roman"/>
                <w:i/>
                <w:lang w:val="ro-RO"/>
              </w:rPr>
              <w:t>ș</w:t>
            </w:r>
            <w:r w:rsidRPr="00A10374">
              <w:rPr>
                <w:rFonts w:ascii="Times New Roman" w:hAnsi="Times New Roman"/>
                <w:i/>
                <w:lang w:val="ro-RO"/>
              </w:rPr>
              <w:t>i</w:t>
            </w:r>
            <w:r w:rsidR="00032B46" w:rsidRPr="00A10374">
              <w:rPr>
                <w:rFonts w:ascii="Times New Roman" w:hAnsi="Times New Roman"/>
                <w:i/>
                <w:lang w:val="ro-RO"/>
              </w:rPr>
              <w:t xml:space="preserve"> </w:t>
            </w:r>
            <w:r w:rsidRPr="00A10374">
              <w:rPr>
                <w:rFonts w:ascii="Times New Roman" w:hAnsi="Times New Roman"/>
                <w:i/>
                <w:lang w:val="ro-RO"/>
              </w:rPr>
              <w:t>motivele</w:t>
            </w:r>
            <w:r w:rsidR="00032B46" w:rsidRPr="00A10374">
              <w:rPr>
                <w:rFonts w:ascii="Times New Roman" w:hAnsi="Times New Roman"/>
                <w:i/>
                <w:lang w:val="ro-RO"/>
              </w:rPr>
              <w:t xml:space="preserve"> </w:t>
            </w:r>
            <w:r w:rsidR="00E44F7F" w:rsidRPr="00A10374">
              <w:rPr>
                <w:rFonts w:ascii="Times New Roman" w:hAnsi="Times New Roman"/>
                <w:i/>
                <w:lang w:val="ro-RO"/>
              </w:rPr>
              <w:t>pentru</w:t>
            </w:r>
            <w:r w:rsidR="00032B46" w:rsidRPr="00A10374">
              <w:rPr>
                <w:rFonts w:ascii="Times New Roman" w:hAnsi="Times New Roman"/>
                <w:i/>
                <w:lang w:val="ro-RO"/>
              </w:rPr>
              <w:t xml:space="preserve"> </w:t>
            </w:r>
            <w:r w:rsidR="00E44F7F" w:rsidRPr="00A10374">
              <w:rPr>
                <w:rFonts w:ascii="Times New Roman" w:hAnsi="Times New Roman"/>
                <w:i/>
                <w:lang w:val="ro-RO"/>
              </w:rPr>
              <w:t>care</w:t>
            </w:r>
            <w:r w:rsidR="00032B46" w:rsidRPr="00A10374">
              <w:rPr>
                <w:rFonts w:ascii="Times New Roman" w:hAnsi="Times New Roman"/>
                <w:i/>
                <w:lang w:val="ro-RO"/>
              </w:rPr>
              <w:t xml:space="preserve"> </w:t>
            </w:r>
            <w:r w:rsidRPr="00A10374">
              <w:rPr>
                <w:rFonts w:ascii="Times New Roman" w:hAnsi="Times New Roman"/>
                <w:i/>
                <w:lang w:val="ro-RO"/>
              </w:rPr>
              <w:t>acestea</w:t>
            </w:r>
            <w:r w:rsidR="00032B46" w:rsidRPr="00A10374">
              <w:rPr>
                <w:rFonts w:ascii="Times New Roman" w:hAnsi="Times New Roman"/>
                <w:i/>
                <w:lang w:val="ro-RO"/>
              </w:rPr>
              <w:t xml:space="preserve"> </w:t>
            </w:r>
            <w:r w:rsidRPr="00A10374">
              <w:rPr>
                <w:rFonts w:ascii="Times New Roman" w:hAnsi="Times New Roman"/>
                <w:i/>
                <w:lang w:val="ro-RO"/>
              </w:rPr>
              <w:t>nu</w:t>
            </w:r>
            <w:r w:rsidR="00032B46" w:rsidRPr="00A10374">
              <w:rPr>
                <w:rFonts w:ascii="Times New Roman" w:hAnsi="Times New Roman"/>
                <w:i/>
                <w:lang w:val="ro-RO"/>
              </w:rPr>
              <w:t xml:space="preserve"> </w:t>
            </w:r>
            <w:r w:rsidRPr="00A10374">
              <w:rPr>
                <w:rFonts w:ascii="Times New Roman" w:hAnsi="Times New Roman"/>
                <w:i/>
                <w:lang w:val="ro-RO"/>
              </w:rPr>
              <w:t>au</w:t>
            </w:r>
            <w:r w:rsidR="00032B46" w:rsidRPr="00A10374">
              <w:rPr>
                <w:rFonts w:ascii="Times New Roman" w:hAnsi="Times New Roman"/>
                <w:i/>
                <w:lang w:val="ro-RO"/>
              </w:rPr>
              <w:t xml:space="preserve"> </w:t>
            </w:r>
            <w:r w:rsidRPr="00A10374">
              <w:rPr>
                <w:rFonts w:ascii="Times New Roman" w:hAnsi="Times New Roman"/>
                <w:i/>
                <w:lang w:val="ro-RO"/>
              </w:rPr>
              <w:t>fost</w:t>
            </w:r>
            <w:r w:rsidR="00032B46" w:rsidRPr="00A10374">
              <w:rPr>
                <w:rFonts w:ascii="Times New Roman" w:hAnsi="Times New Roman"/>
                <w:i/>
                <w:lang w:val="ro-RO"/>
              </w:rPr>
              <w:t xml:space="preserve"> </w:t>
            </w:r>
            <w:r w:rsidRPr="00A10374">
              <w:rPr>
                <w:rFonts w:ascii="Times New Roman" w:hAnsi="Times New Roman"/>
                <w:i/>
                <w:lang w:val="ro-RO"/>
              </w:rPr>
              <w:t>luate</w:t>
            </w:r>
            <w:r w:rsidR="00032B46" w:rsidRPr="00A10374">
              <w:rPr>
                <w:rFonts w:ascii="Times New Roman" w:hAnsi="Times New Roman"/>
                <w:i/>
                <w:lang w:val="ro-RO"/>
              </w:rPr>
              <w:t xml:space="preserve"> </w:t>
            </w:r>
            <w:r w:rsidRPr="00A10374">
              <w:rPr>
                <w:rFonts w:ascii="Times New Roman" w:hAnsi="Times New Roman"/>
                <w:i/>
                <w:lang w:val="ro-RO"/>
              </w:rPr>
              <w:t>în</w:t>
            </w:r>
            <w:r w:rsidR="00032B46" w:rsidRPr="00A10374">
              <w:rPr>
                <w:rFonts w:ascii="Times New Roman" w:hAnsi="Times New Roman"/>
                <w:i/>
                <w:lang w:val="ro-RO"/>
              </w:rPr>
              <w:t xml:space="preserve"> </w:t>
            </w:r>
            <w:r w:rsidRPr="00A10374">
              <w:rPr>
                <w:rFonts w:ascii="Times New Roman" w:hAnsi="Times New Roman"/>
                <w:i/>
                <w:lang w:val="ro-RO"/>
              </w:rPr>
              <w:t>considerare</w:t>
            </w:r>
          </w:p>
        </w:tc>
      </w:tr>
      <w:tr w:rsidR="006D3EB7" w:rsidRPr="00A10374"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6C57E4" w14:textId="77777777" w:rsidR="008B4BE6" w:rsidRDefault="00E9054F" w:rsidP="001A76A5">
            <w:pPr>
              <w:jc w:val="both"/>
              <w:rPr>
                <w:rFonts w:ascii="Times New Roman" w:hAnsi="Times New Roman"/>
                <w:lang w:val="ro-RO"/>
              </w:rPr>
            </w:pPr>
            <w:r w:rsidRPr="00A10374">
              <w:rPr>
                <w:rFonts w:ascii="Times New Roman" w:hAnsi="Times New Roman"/>
                <w:lang w:val="ro-RO"/>
              </w:rPr>
              <w:t>Având</w:t>
            </w:r>
            <w:r w:rsidR="00F4445B" w:rsidRPr="00A10374">
              <w:rPr>
                <w:rFonts w:ascii="Times New Roman" w:hAnsi="Times New Roman"/>
                <w:lang w:val="ro-RO"/>
              </w:rPr>
              <w:t xml:space="preserve"> în vedere necesitatea operării modificărilor propuse,</w:t>
            </w:r>
            <w:r w:rsidR="00607B2A" w:rsidRPr="00A10374">
              <w:rPr>
                <w:rFonts w:ascii="Times New Roman" w:hAnsi="Times New Roman"/>
                <w:lang w:val="ro-RO"/>
              </w:rPr>
              <w:t xml:space="preserve"> în baza argumentărilor menționate mai sus,</w:t>
            </w:r>
            <w:r w:rsidR="00F4445B" w:rsidRPr="00A10374">
              <w:rPr>
                <w:rFonts w:ascii="Times New Roman" w:hAnsi="Times New Roman"/>
                <w:lang w:val="ro-RO"/>
              </w:rPr>
              <w:t xml:space="preserve"> </w:t>
            </w:r>
            <w:r w:rsidR="008A482B" w:rsidRPr="00A10374">
              <w:rPr>
                <w:rFonts w:ascii="Times New Roman" w:hAnsi="Times New Roman"/>
                <w:lang w:val="ro-RO"/>
              </w:rPr>
              <w:t xml:space="preserve">opțiunea alternativă nu a fost analizată, </w:t>
            </w:r>
            <w:r w:rsidR="00F4445B" w:rsidRPr="00A10374">
              <w:rPr>
                <w:rFonts w:ascii="Times New Roman" w:hAnsi="Times New Roman"/>
                <w:lang w:val="ro-RO"/>
              </w:rPr>
              <w:t>dat fiind importanța</w:t>
            </w:r>
            <w:r w:rsidR="008A482B" w:rsidRPr="00A10374">
              <w:rPr>
                <w:rFonts w:ascii="Times New Roman" w:hAnsi="Times New Roman"/>
                <w:lang w:val="ro-RO"/>
              </w:rPr>
              <w:t xml:space="preserve"> </w:t>
            </w:r>
            <w:r w:rsidR="00F4445B" w:rsidRPr="00A10374">
              <w:rPr>
                <w:rFonts w:ascii="Times New Roman" w:hAnsi="Times New Roman"/>
                <w:lang w:val="ro-RO"/>
              </w:rPr>
              <w:t xml:space="preserve">operării modificărilor în baza deficiențelor identificate în vederea asigurării sinergiei între prevederile actelor normative și </w:t>
            </w:r>
            <w:r w:rsidR="004428C5" w:rsidRPr="00A10374">
              <w:rPr>
                <w:rFonts w:ascii="Times New Roman" w:hAnsi="Times New Roman"/>
                <w:lang w:val="ro-RO"/>
              </w:rPr>
              <w:t xml:space="preserve">cele </w:t>
            </w:r>
            <w:r w:rsidR="00F4445B" w:rsidRPr="00A10374">
              <w:rPr>
                <w:rFonts w:ascii="Times New Roman" w:hAnsi="Times New Roman"/>
                <w:lang w:val="ro-RO"/>
              </w:rPr>
              <w:t>de politici în domeniul eficienței energetice.</w:t>
            </w:r>
          </w:p>
          <w:p w14:paraId="6862D268" w14:textId="22967DBD" w:rsidR="005864B2" w:rsidRPr="00A10374" w:rsidRDefault="005864B2" w:rsidP="001A76A5">
            <w:pPr>
              <w:jc w:val="both"/>
              <w:rPr>
                <w:rFonts w:ascii="Times New Roman" w:hAnsi="Times New Roman"/>
                <w:color w:val="FF0000"/>
                <w:lang w:val="ro-RO"/>
              </w:rPr>
            </w:pPr>
          </w:p>
        </w:tc>
      </w:tr>
      <w:tr w:rsidR="006D3EB7" w:rsidRPr="00A10374"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A10374" w:rsidRDefault="006933C3" w:rsidP="000E1660">
            <w:pPr>
              <w:rPr>
                <w:rFonts w:ascii="Times New Roman" w:hAnsi="Times New Roman"/>
                <w:b/>
                <w:bCs/>
                <w:lang w:val="ro-RO"/>
              </w:rPr>
            </w:pPr>
            <w:r w:rsidRPr="00A10374">
              <w:rPr>
                <w:rFonts w:ascii="Times New Roman" w:hAnsi="Times New Roman"/>
                <w:b/>
                <w:bCs/>
                <w:lang w:val="ro-RO"/>
              </w:rPr>
              <w:t>4.</w:t>
            </w:r>
            <w:r w:rsidR="00032B46" w:rsidRPr="00A10374">
              <w:rPr>
                <w:rFonts w:ascii="Times New Roman" w:hAnsi="Times New Roman"/>
                <w:b/>
                <w:bCs/>
                <w:lang w:val="ro-RO"/>
              </w:rPr>
              <w:t xml:space="preserve"> </w:t>
            </w:r>
            <w:r w:rsidRPr="00A10374">
              <w:rPr>
                <w:rFonts w:ascii="Times New Roman" w:hAnsi="Times New Roman"/>
                <w:b/>
                <w:bCs/>
                <w:lang w:val="ro-RO"/>
              </w:rPr>
              <w:t>Analiza</w:t>
            </w:r>
            <w:r w:rsidR="00032B46" w:rsidRPr="00A10374">
              <w:rPr>
                <w:rFonts w:ascii="Times New Roman" w:hAnsi="Times New Roman"/>
                <w:b/>
                <w:bCs/>
                <w:lang w:val="ro-RO"/>
              </w:rPr>
              <w:t xml:space="preserve"> </w:t>
            </w:r>
            <w:r w:rsidRPr="00A10374">
              <w:rPr>
                <w:rFonts w:ascii="Times New Roman" w:hAnsi="Times New Roman"/>
                <w:b/>
                <w:bCs/>
                <w:lang w:val="ro-RO"/>
              </w:rPr>
              <w:t>impactului</w:t>
            </w:r>
            <w:r w:rsidR="00032B46" w:rsidRPr="00A10374">
              <w:rPr>
                <w:rFonts w:ascii="Times New Roman" w:hAnsi="Times New Roman"/>
                <w:b/>
                <w:bCs/>
                <w:lang w:val="ro-RO"/>
              </w:rPr>
              <w:t xml:space="preserve"> </w:t>
            </w:r>
            <w:r w:rsidRPr="00A10374">
              <w:rPr>
                <w:rFonts w:ascii="Times New Roman" w:hAnsi="Times New Roman"/>
                <w:b/>
                <w:bCs/>
                <w:lang w:val="ro-RO"/>
              </w:rPr>
              <w:t>de</w:t>
            </w:r>
            <w:r w:rsidR="00032B46" w:rsidRPr="00A10374">
              <w:rPr>
                <w:rFonts w:ascii="Times New Roman" w:hAnsi="Times New Roman"/>
                <w:b/>
                <w:bCs/>
                <w:lang w:val="ro-RO"/>
              </w:rPr>
              <w:t xml:space="preserve"> </w:t>
            </w:r>
            <w:r w:rsidRPr="00A10374">
              <w:rPr>
                <w:rFonts w:ascii="Times New Roman" w:hAnsi="Times New Roman"/>
                <w:b/>
                <w:bCs/>
                <w:lang w:val="ro-RO"/>
              </w:rPr>
              <w:t>reglementare</w:t>
            </w:r>
            <w:r w:rsidR="00032B46" w:rsidRPr="00A10374">
              <w:rPr>
                <w:rFonts w:ascii="Times New Roman" w:hAnsi="Times New Roman"/>
                <w:b/>
                <w:bCs/>
                <w:lang w:val="ro-RO"/>
              </w:rPr>
              <w:t xml:space="preserve"> </w:t>
            </w:r>
          </w:p>
        </w:tc>
      </w:tr>
      <w:tr w:rsidR="006D3EB7" w:rsidRPr="00997304" w14:paraId="07121640" w14:textId="77777777" w:rsidTr="00236599">
        <w:trPr>
          <w:trHeight w:val="317"/>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99B514" w14:textId="0A878918" w:rsidR="009B1B11" w:rsidRPr="00A10374" w:rsidRDefault="006933C3" w:rsidP="000E1660">
            <w:pPr>
              <w:rPr>
                <w:rFonts w:ascii="Times New Roman" w:hAnsi="Times New Roman"/>
                <w:i/>
                <w:lang w:val="ro-RO"/>
              </w:rPr>
            </w:pPr>
            <w:r w:rsidRPr="00A10374">
              <w:rPr>
                <w:rFonts w:ascii="Times New Roman" w:hAnsi="Times New Roman"/>
                <w:i/>
                <w:lang w:val="ro-RO"/>
              </w:rPr>
              <w:t>4.1.</w:t>
            </w:r>
            <w:r w:rsidR="00032B46" w:rsidRPr="00A10374">
              <w:rPr>
                <w:rFonts w:ascii="Times New Roman" w:hAnsi="Times New Roman"/>
                <w:i/>
                <w:lang w:val="ro-RO"/>
              </w:rPr>
              <w:t xml:space="preserve"> </w:t>
            </w:r>
            <w:r w:rsidR="00CA2822" w:rsidRPr="00A10374">
              <w:rPr>
                <w:rFonts w:ascii="Times New Roman" w:hAnsi="Times New Roman"/>
                <w:i/>
                <w:lang w:val="ro-RO"/>
              </w:rPr>
              <w:t>Impactul</w:t>
            </w:r>
            <w:r w:rsidR="00032B46" w:rsidRPr="00A10374">
              <w:rPr>
                <w:rFonts w:ascii="Times New Roman" w:hAnsi="Times New Roman"/>
                <w:i/>
                <w:lang w:val="ro-RO"/>
              </w:rPr>
              <w:t xml:space="preserve"> </w:t>
            </w:r>
            <w:r w:rsidR="00CA2822" w:rsidRPr="00A10374">
              <w:rPr>
                <w:rFonts w:ascii="Times New Roman" w:hAnsi="Times New Roman"/>
                <w:i/>
                <w:lang w:val="ro-RO"/>
              </w:rPr>
              <w:t>asupra</w:t>
            </w:r>
            <w:r w:rsidR="00032B46" w:rsidRPr="00A10374">
              <w:rPr>
                <w:rFonts w:ascii="Times New Roman" w:hAnsi="Times New Roman"/>
                <w:i/>
                <w:lang w:val="ro-RO"/>
              </w:rPr>
              <w:t xml:space="preserve"> </w:t>
            </w:r>
            <w:r w:rsidR="00CA2822" w:rsidRPr="00A10374">
              <w:rPr>
                <w:rFonts w:ascii="Times New Roman" w:hAnsi="Times New Roman"/>
                <w:i/>
                <w:lang w:val="ro-RO"/>
              </w:rPr>
              <w:t>sectorului</w:t>
            </w:r>
            <w:r w:rsidR="00032B46" w:rsidRPr="00A10374">
              <w:rPr>
                <w:rFonts w:ascii="Times New Roman" w:hAnsi="Times New Roman"/>
                <w:i/>
                <w:lang w:val="ro-RO"/>
              </w:rPr>
              <w:t xml:space="preserve"> </w:t>
            </w:r>
            <w:r w:rsidR="00CA2822" w:rsidRPr="00A10374">
              <w:rPr>
                <w:rFonts w:ascii="Times New Roman" w:hAnsi="Times New Roman"/>
                <w:i/>
                <w:lang w:val="ro-RO"/>
              </w:rPr>
              <w:t>public</w:t>
            </w:r>
          </w:p>
          <w:p w14:paraId="413AEA58" w14:textId="77777777" w:rsidR="007225FC" w:rsidRPr="00A10374" w:rsidRDefault="00E1085A" w:rsidP="001A76A5">
            <w:pPr>
              <w:tabs>
                <w:tab w:val="left" w:pos="884"/>
                <w:tab w:val="left" w:pos="1196"/>
              </w:tabs>
              <w:spacing w:before="120" w:after="120"/>
              <w:jc w:val="both"/>
              <w:rPr>
                <w:rFonts w:ascii="Times New Roman" w:hAnsi="Times New Roman"/>
                <w:lang w:val="ro-RO"/>
              </w:rPr>
            </w:pPr>
            <w:r w:rsidRPr="00A10374">
              <w:rPr>
                <w:rFonts w:ascii="Times New Roman" w:hAnsi="Times New Roman"/>
                <w:lang w:val="ro-RO"/>
              </w:rPr>
              <w:t xml:space="preserve">Modificările propuse în Legea nr. 139/2018 cu privire la eficiența energetică nu presupun crearea unui cadru nou instituțional, monitorizarea și punerea in aplicare a modificărilor propuse urmează a fi efectuată de către IP CNED și Agenția Națională pentru Reglementare în Energetică. </w:t>
            </w:r>
          </w:p>
          <w:p w14:paraId="30F35277" w14:textId="77777777" w:rsidR="00E1085A" w:rsidRPr="00A10374" w:rsidRDefault="00E1085A" w:rsidP="001A76A5">
            <w:pPr>
              <w:tabs>
                <w:tab w:val="left" w:pos="884"/>
                <w:tab w:val="left" w:pos="1196"/>
              </w:tabs>
              <w:spacing w:before="120" w:after="120"/>
              <w:jc w:val="both"/>
              <w:rPr>
                <w:rFonts w:ascii="Times New Roman" w:hAnsi="Times New Roman"/>
                <w:lang w:val="ro-RO"/>
              </w:rPr>
            </w:pPr>
            <w:r w:rsidRPr="00A10374">
              <w:rPr>
                <w:rFonts w:ascii="Times New Roman" w:hAnsi="Times New Roman"/>
                <w:lang w:val="ro-RO"/>
              </w:rPr>
              <w:t>Modificările propuse vor avea un impact pe termen lung</w:t>
            </w:r>
            <w:r w:rsidR="00F4210D" w:rsidRPr="00A10374">
              <w:rPr>
                <w:rFonts w:ascii="Times New Roman" w:hAnsi="Times New Roman"/>
                <w:lang w:val="ro-RO"/>
              </w:rPr>
              <w:t xml:space="preserve"> asupra domeniului eficienței energetice</w:t>
            </w:r>
            <w:r w:rsidRPr="00A10374">
              <w:rPr>
                <w:rFonts w:ascii="Times New Roman" w:hAnsi="Times New Roman"/>
                <w:lang w:val="ro-RO"/>
              </w:rPr>
              <w:t>, asigurând în acest sens crearea premiselor pentru implementarea proiectelor de eficiență energetică și valorificare a surselor de energie regenerabilă</w:t>
            </w:r>
            <w:r w:rsidR="00F4210D" w:rsidRPr="00A10374">
              <w:rPr>
                <w:rFonts w:ascii="Times New Roman" w:hAnsi="Times New Roman"/>
                <w:lang w:val="ro-RO"/>
              </w:rPr>
              <w:t xml:space="preserve"> </w:t>
            </w:r>
            <w:proofErr w:type="spellStart"/>
            <w:r w:rsidR="00F4210D" w:rsidRPr="00A10374">
              <w:rPr>
                <w:rFonts w:ascii="Times New Roman" w:hAnsi="Times New Roman"/>
                <w:lang w:val="ro-RO"/>
              </w:rPr>
              <w:t>atît</w:t>
            </w:r>
            <w:proofErr w:type="spellEnd"/>
            <w:r w:rsidR="00F4210D" w:rsidRPr="00A10374">
              <w:rPr>
                <w:rFonts w:ascii="Times New Roman" w:hAnsi="Times New Roman"/>
                <w:lang w:val="ro-RO"/>
              </w:rPr>
              <w:t xml:space="preserve"> în sectorul public </w:t>
            </w:r>
            <w:proofErr w:type="spellStart"/>
            <w:r w:rsidR="00F4210D" w:rsidRPr="00A10374">
              <w:rPr>
                <w:rFonts w:ascii="Times New Roman" w:hAnsi="Times New Roman"/>
                <w:lang w:val="ro-RO"/>
              </w:rPr>
              <w:t>cît</w:t>
            </w:r>
            <w:proofErr w:type="spellEnd"/>
            <w:r w:rsidR="00F4210D" w:rsidRPr="00A10374">
              <w:rPr>
                <w:rFonts w:ascii="Times New Roman" w:hAnsi="Times New Roman"/>
                <w:lang w:val="ro-RO"/>
              </w:rPr>
              <w:t xml:space="preserve"> și privat, contribuind astfel la atingerea obligației până la 31 decembrie 2030 de a obține economii de energie anuale echivalente cu minimum 0,8% din valoarea medie a consumului de energie finală înregistrat între 1 ianuarie 2019 și 1 ianuarie 2022.</w:t>
            </w:r>
          </w:p>
          <w:p w14:paraId="6731D7D4" w14:textId="77777777" w:rsidR="00452324" w:rsidRPr="00A10374" w:rsidRDefault="00235DF4">
            <w:pPr>
              <w:spacing w:before="120" w:after="120"/>
              <w:jc w:val="both"/>
              <w:rPr>
                <w:rFonts w:ascii="Times New Roman" w:hAnsi="Times New Roman"/>
                <w:shd w:val="clear" w:color="auto" w:fill="FFFFFF"/>
                <w:lang w:val="ro-RO"/>
              </w:rPr>
            </w:pPr>
            <w:r w:rsidRPr="00A10374">
              <w:rPr>
                <w:rFonts w:ascii="Times New Roman" w:hAnsi="Times New Roman"/>
                <w:lang w:val="ro-RO"/>
              </w:rPr>
              <w:t xml:space="preserve">Excluderea </w:t>
            </w:r>
            <w:r w:rsidRPr="00A10374">
              <w:rPr>
                <w:rFonts w:ascii="Times New Roman" w:hAnsi="Times New Roman"/>
                <w:shd w:val="clear" w:color="auto" w:fill="FFFFFF"/>
                <w:lang w:val="ro-RO"/>
              </w:rPr>
              <w:t xml:space="preserve">obligativității </w:t>
            </w:r>
            <w:r w:rsidR="00452324" w:rsidRPr="00A10374">
              <w:rPr>
                <w:rFonts w:ascii="Times New Roman" w:hAnsi="Times New Roman"/>
                <w:shd w:val="clear" w:color="auto" w:fill="FFFFFF"/>
                <w:lang w:val="ro-RO"/>
              </w:rPr>
              <w:t>autorităților administrației publice locale de nivelul al doilea și cele de nivel special de elaborare</w:t>
            </w:r>
            <w:r w:rsidRPr="00A10374">
              <w:rPr>
                <w:rFonts w:ascii="Times New Roman" w:hAnsi="Times New Roman"/>
                <w:shd w:val="clear" w:color="auto" w:fill="FFFFFF"/>
                <w:lang w:val="ro-RO"/>
              </w:rPr>
              <w:t xml:space="preserve"> a planurilor locale integrate privind energia și clima </w:t>
            </w:r>
            <w:r w:rsidR="00452324" w:rsidRPr="00A10374">
              <w:rPr>
                <w:rFonts w:ascii="Times New Roman" w:hAnsi="Times New Roman"/>
                <w:shd w:val="clear" w:color="auto" w:fill="FFFFFF"/>
                <w:lang w:val="ro-RO"/>
              </w:rPr>
              <w:t xml:space="preserve">și atribuirea acestor obligațiuni doar </w:t>
            </w:r>
            <w:r w:rsidRPr="00A10374">
              <w:rPr>
                <w:rFonts w:ascii="Times New Roman" w:hAnsi="Times New Roman"/>
                <w:shd w:val="clear" w:color="auto" w:fill="FFFFFF"/>
                <w:lang w:val="ro-RO"/>
              </w:rPr>
              <w:t>asupra autorităților administrației publice locale, care au statut de municipiu,</w:t>
            </w:r>
            <w:r w:rsidR="00452324" w:rsidRPr="00A10374">
              <w:rPr>
                <w:rFonts w:ascii="Times New Roman" w:hAnsi="Times New Roman"/>
                <w:shd w:val="clear" w:color="auto" w:fill="FFFFFF"/>
                <w:lang w:val="ro-RO"/>
              </w:rPr>
              <w:t xml:space="preserve"> va avea un impact pozitiv asupra autorităților publice locale de nivelul doi și cele de nivel special prin reducerea poverii financiare și administrative necesare pentru elaborarea și implementarea acestor planuri</w:t>
            </w:r>
            <w:r w:rsidRPr="00A10374">
              <w:rPr>
                <w:rFonts w:ascii="Times New Roman" w:hAnsi="Times New Roman"/>
                <w:shd w:val="clear" w:color="auto" w:fill="FFFFFF"/>
                <w:lang w:val="ro-RO"/>
              </w:rPr>
              <w:t>.</w:t>
            </w:r>
          </w:p>
          <w:p w14:paraId="74A6418F" w14:textId="33C2DC3A" w:rsidR="00235DF4" w:rsidRPr="00A10374" w:rsidRDefault="00452324">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Mai mult ca atât, în vederea reducerii poverii administrative și financiare pentru autoritățile administrației publice locale, care au statut de municipiu, care vor avea obligațiunea de elaborare a acestor planuri și totodată în vederea asigurării unui nivel de calitate a acestor documente, Ministerul Energiei împreună cu IP CNED poartă discuții cu partenerii de dezvoltare, ca prin intermediul proiectelor de asistență tehnică lansate să asigure elaborarea acestor planuri pentru aceste autorități publice locale cu statut de municipiu. </w:t>
            </w:r>
          </w:p>
          <w:p w14:paraId="560EB955" w14:textId="662A306D" w:rsidR="0052219C" w:rsidRPr="00A10374" w:rsidRDefault="0052219C" w:rsidP="001A76A5">
            <w:pPr>
              <w:tabs>
                <w:tab w:val="left" w:pos="884"/>
                <w:tab w:val="left" w:pos="1196"/>
              </w:tabs>
              <w:spacing w:before="120" w:after="120"/>
              <w:jc w:val="both"/>
              <w:rPr>
                <w:rFonts w:ascii="Times New Roman" w:hAnsi="Times New Roman"/>
                <w:lang w:val="ro-RO"/>
              </w:rPr>
            </w:pPr>
            <w:r w:rsidRPr="00A10374">
              <w:rPr>
                <w:rFonts w:ascii="Times New Roman" w:hAnsi="Times New Roman"/>
                <w:lang w:val="ro-RO"/>
              </w:rPr>
              <w:t>Este de menționat că modificările propuse în vederea punerii în aplicare a contractelor de performanță energetică vor avea un impact pozitiv prin crearea premiselor care vor permite colectarea de către IP CNED a mijloacelor financiare economisite ca rezultat al implementării contractelor de performanță energetică în cadrul instituțiilor publice, generând astfel un ciclu sustenabil de finanțare și dezvoltare a unor astfel de proiecte în cadrul altor instituții publice.</w:t>
            </w:r>
          </w:p>
          <w:p w14:paraId="3AFC95F8" w14:textId="41AA711D" w:rsidR="0052219C" w:rsidRPr="00A10374" w:rsidRDefault="0052219C" w:rsidP="001A76A5">
            <w:pPr>
              <w:tabs>
                <w:tab w:val="left" w:pos="884"/>
                <w:tab w:val="left" w:pos="1196"/>
              </w:tabs>
              <w:spacing w:before="120" w:after="120"/>
              <w:jc w:val="both"/>
              <w:rPr>
                <w:rFonts w:ascii="Times New Roman" w:hAnsi="Times New Roman"/>
                <w:lang w:val="ro-RO"/>
              </w:rPr>
            </w:pPr>
            <w:r w:rsidRPr="00A10374">
              <w:rPr>
                <w:rFonts w:ascii="Times New Roman" w:hAnsi="Times New Roman"/>
                <w:lang w:val="ro-RO"/>
              </w:rPr>
              <w:t xml:space="preserve">De menționat că pilotarea unor astfel de proiecte are loc prin intermediul proiectului USAID </w:t>
            </w:r>
            <w:r w:rsidR="007D3FB1" w:rsidRPr="00A10374">
              <w:rPr>
                <w:rFonts w:ascii="Times New Roman" w:hAnsi="Times New Roman"/>
                <w:lang w:val="ro-RO"/>
              </w:rPr>
              <w:t xml:space="preserve">Securitatea Energetică a Republicii Moldova, care pe parcursul perioadei 2024-2026, în baza </w:t>
            </w:r>
            <w:r w:rsidR="007D3FB1" w:rsidRPr="00A10374">
              <w:rPr>
                <w:rFonts w:ascii="Times New Roman" w:hAnsi="Times New Roman"/>
                <w:lang w:val="ro-RO"/>
              </w:rPr>
              <w:lastRenderedPageBreak/>
              <w:t xml:space="preserve">experienței acumulate pe parcursul </w:t>
            </w:r>
            <w:r w:rsidR="00C31DFD" w:rsidRPr="00A10374">
              <w:rPr>
                <w:rFonts w:ascii="Times New Roman" w:hAnsi="Times New Roman"/>
                <w:lang w:val="ro-RO"/>
              </w:rPr>
              <w:t>etapei de pilotare în cadrul a 3</w:t>
            </w:r>
            <w:r w:rsidR="007D3FB1" w:rsidRPr="00A10374">
              <w:rPr>
                <w:rFonts w:ascii="Times New Roman" w:hAnsi="Times New Roman"/>
                <w:lang w:val="ro-RO"/>
              </w:rPr>
              <w:t xml:space="preserve"> instituții publice, urmează să asiste Ministerul Energiei și Ministerul Finanțelor în ajustarea cadrului normativ necesar care ar permite implementarea proiectelor de eficiență energetică în baza conceptului de Super ESCO.  </w:t>
            </w:r>
          </w:p>
        </w:tc>
      </w:tr>
      <w:tr w:rsidR="006D3EB7" w:rsidRPr="00997304" w14:paraId="44F24487" w14:textId="77777777" w:rsidTr="002365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692150" w14:textId="77777777" w:rsidR="008B4BE6" w:rsidRPr="00A10374" w:rsidRDefault="006933C3" w:rsidP="000E1660">
            <w:pPr>
              <w:rPr>
                <w:rFonts w:ascii="Times New Roman" w:hAnsi="Times New Roman"/>
                <w:i/>
                <w:lang w:val="ro-RO"/>
              </w:rPr>
            </w:pPr>
            <w:r w:rsidRPr="00A10374">
              <w:rPr>
                <w:rFonts w:ascii="Times New Roman" w:hAnsi="Times New Roman"/>
                <w:i/>
                <w:lang w:val="ro-RO"/>
              </w:rPr>
              <w:lastRenderedPageBreak/>
              <w:t>4.2.</w:t>
            </w:r>
            <w:r w:rsidR="00032B46" w:rsidRPr="00A10374">
              <w:rPr>
                <w:rFonts w:ascii="Times New Roman" w:hAnsi="Times New Roman"/>
                <w:i/>
                <w:lang w:val="ro-RO"/>
              </w:rPr>
              <w:t xml:space="preserve"> </w:t>
            </w:r>
            <w:r w:rsidR="00CA2822" w:rsidRPr="00A10374">
              <w:rPr>
                <w:rFonts w:ascii="Times New Roman" w:hAnsi="Times New Roman"/>
                <w:i/>
                <w:lang w:val="ro-RO"/>
              </w:rPr>
              <w:t>Impactul</w:t>
            </w:r>
            <w:r w:rsidR="00032B46" w:rsidRPr="00A10374">
              <w:rPr>
                <w:rFonts w:ascii="Times New Roman" w:hAnsi="Times New Roman"/>
                <w:i/>
                <w:lang w:val="ro-RO"/>
              </w:rPr>
              <w:t xml:space="preserve"> </w:t>
            </w:r>
            <w:r w:rsidR="00CA2822" w:rsidRPr="00A10374">
              <w:rPr>
                <w:rFonts w:ascii="Times New Roman" w:hAnsi="Times New Roman"/>
                <w:i/>
                <w:lang w:val="ro-RO"/>
              </w:rPr>
              <w:t>financiar</w:t>
            </w:r>
            <w:r w:rsidR="00032B46" w:rsidRPr="00A10374">
              <w:rPr>
                <w:rFonts w:ascii="Times New Roman" w:hAnsi="Times New Roman"/>
                <w:i/>
                <w:lang w:val="ro-RO"/>
              </w:rPr>
              <w:t xml:space="preserve"> </w:t>
            </w:r>
            <w:r w:rsidR="00863417" w:rsidRPr="00A10374">
              <w:rPr>
                <w:rFonts w:ascii="Times New Roman" w:hAnsi="Times New Roman"/>
                <w:i/>
                <w:lang w:val="ro-RO"/>
              </w:rPr>
              <w:t>ș</w:t>
            </w:r>
            <w:r w:rsidR="00CA2822" w:rsidRPr="00A10374">
              <w:rPr>
                <w:rFonts w:ascii="Times New Roman" w:hAnsi="Times New Roman"/>
                <w:i/>
                <w:lang w:val="ro-RO"/>
              </w:rPr>
              <w:t>i</w:t>
            </w:r>
            <w:r w:rsidR="00032B46" w:rsidRPr="00A10374">
              <w:rPr>
                <w:rFonts w:ascii="Times New Roman" w:hAnsi="Times New Roman"/>
                <w:i/>
                <w:lang w:val="ro-RO"/>
              </w:rPr>
              <w:t xml:space="preserve"> </w:t>
            </w:r>
            <w:r w:rsidR="00CA2822" w:rsidRPr="00A10374">
              <w:rPr>
                <w:rFonts w:ascii="Times New Roman" w:hAnsi="Times New Roman"/>
                <w:i/>
                <w:lang w:val="ro-RO"/>
              </w:rPr>
              <w:t>argumentarea</w:t>
            </w:r>
            <w:r w:rsidR="00032B46" w:rsidRPr="00A10374">
              <w:rPr>
                <w:rFonts w:ascii="Times New Roman" w:hAnsi="Times New Roman"/>
                <w:i/>
                <w:lang w:val="ro-RO"/>
              </w:rPr>
              <w:t xml:space="preserve"> </w:t>
            </w:r>
            <w:r w:rsidR="00CA2822" w:rsidRPr="00A10374">
              <w:rPr>
                <w:rFonts w:ascii="Times New Roman" w:hAnsi="Times New Roman"/>
                <w:i/>
                <w:lang w:val="ro-RO"/>
              </w:rPr>
              <w:t>costurilor</w:t>
            </w:r>
            <w:r w:rsidR="00032B46" w:rsidRPr="00A10374">
              <w:rPr>
                <w:rFonts w:ascii="Times New Roman" w:hAnsi="Times New Roman"/>
                <w:i/>
                <w:lang w:val="ro-RO"/>
              </w:rPr>
              <w:t xml:space="preserve"> </w:t>
            </w:r>
            <w:r w:rsidR="00CA2822" w:rsidRPr="00A10374">
              <w:rPr>
                <w:rFonts w:ascii="Times New Roman" w:hAnsi="Times New Roman"/>
                <w:i/>
                <w:lang w:val="ro-RO"/>
              </w:rPr>
              <w:t>estimative</w:t>
            </w:r>
          </w:p>
          <w:p w14:paraId="488C2A7A" w14:textId="735CB6AF" w:rsidR="007225FC" w:rsidRPr="00A10374" w:rsidRDefault="00F4210D" w:rsidP="001A76A5">
            <w:pPr>
              <w:tabs>
                <w:tab w:val="left" w:pos="884"/>
                <w:tab w:val="left" w:pos="1196"/>
              </w:tabs>
              <w:spacing w:before="120" w:after="120"/>
              <w:jc w:val="both"/>
              <w:rPr>
                <w:rFonts w:ascii="Times New Roman" w:hAnsi="Times New Roman"/>
                <w:lang w:val="ro-RO"/>
              </w:rPr>
            </w:pPr>
            <w:r w:rsidRPr="00A10374">
              <w:rPr>
                <w:rFonts w:ascii="Times New Roman" w:hAnsi="Times New Roman"/>
                <w:lang w:val="ro-RO"/>
              </w:rPr>
              <w:t xml:space="preserve">Aprobarea </w:t>
            </w:r>
            <w:r w:rsidR="0020204D" w:rsidRPr="00A10374">
              <w:rPr>
                <w:rFonts w:ascii="Times New Roman" w:hAnsi="Times New Roman"/>
                <w:lang w:val="ro-RO"/>
              </w:rPr>
              <w:t>m</w:t>
            </w:r>
            <w:r w:rsidRPr="00A10374">
              <w:rPr>
                <w:rFonts w:ascii="Times New Roman" w:hAnsi="Times New Roman"/>
                <w:lang w:val="ro-RO"/>
              </w:rPr>
              <w:t>odificăril</w:t>
            </w:r>
            <w:r w:rsidR="006A03F4" w:rsidRPr="00A10374">
              <w:rPr>
                <w:rFonts w:ascii="Times New Roman" w:hAnsi="Times New Roman"/>
                <w:lang w:val="ro-RO"/>
              </w:rPr>
              <w:t xml:space="preserve">or </w:t>
            </w:r>
            <w:r w:rsidRPr="00A10374">
              <w:rPr>
                <w:rFonts w:ascii="Times New Roman" w:hAnsi="Times New Roman"/>
                <w:lang w:val="ro-RO"/>
              </w:rPr>
              <w:t>propuse în Legea nr. 139/2018 cu privire la eficiența energetică nu presupune alocarea mijloacelor financiare suplimentare de la bugetul de Stat.</w:t>
            </w:r>
          </w:p>
          <w:p w14:paraId="13A68360" w14:textId="0E7D816E" w:rsidR="00464EA9" w:rsidRPr="00A10374" w:rsidRDefault="00F4210D" w:rsidP="001A76A5">
            <w:pPr>
              <w:spacing w:before="120" w:after="120"/>
              <w:jc w:val="both"/>
              <w:rPr>
                <w:rFonts w:ascii="Times New Roman" w:hAnsi="Times New Roman"/>
                <w:lang w:val="ro-RO"/>
              </w:rPr>
            </w:pPr>
            <w:r w:rsidRPr="00A10374">
              <w:rPr>
                <w:rFonts w:ascii="Times New Roman" w:hAnsi="Times New Roman"/>
                <w:lang w:val="ro-RO"/>
              </w:rPr>
              <w:t>Instituirea FEE</w:t>
            </w:r>
            <w:r w:rsidR="008B3818" w:rsidRPr="00A10374">
              <w:rPr>
                <w:rFonts w:ascii="Times New Roman" w:hAnsi="Times New Roman"/>
                <w:lang w:val="ro-RO"/>
              </w:rPr>
              <w:t xml:space="preserve"> prec</w:t>
            </w:r>
            <w:r w:rsidR="006A03F4" w:rsidRPr="00A10374">
              <w:rPr>
                <w:rFonts w:ascii="Times New Roman" w:hAnsi="Times New Roman"/>
                <w:lang w:val="ro-RO"/>
              </w:rPr>
              <w:t>um și crearea premiselor care vor</w:t>
            </w:r>
            <w:r w:rsidR="008B3818" w:rsidRPr="00A10374">
              <w:rPr>
                <w:rFonts w:ascii="Times New Roman" w:hAnsi="Times New Roman"/>
                <w:lang w:val="ro-RO"/>
              </w:rPr>
              <w:t xml:space="preserve"> oferi posibilitatea IP CNED să ofere garanții </w:t>
            </w:r>
            <w:r w:rsidR="00F45638" w:rsidRPr="00A10374">
              <w:rPr>
                <w:rFonts w:ascii="Times New Roman" w:hAnsi="Times New Roman"/>
                <w:lang w:val="ro-RO"/>
              </w:rPr>
              <w:t xml:space="preserve">și compensații </w:t>
            </w:r>
            <w:r w:rsidR="008B3818" w:rsidRPr="00A10374">
              <w:rPr>
                <w:rFonts w:ascii="Times New Roman" w:hAnsi="Times New Roman"/>
                <w:lang w:val="ro-RO"/>
              </w:rPr>
              <w:t xml:space="preserve">financiare, prin includerea prevederilor care reglementează acest fapt </w:t>
            </w:r>
            <w:r w:rsidRPr="00A10374">
              <w:rPr>
                <w:rFonts w:ascii="Times New Roman" w:hAnsi="Times New Roman"/>
                <w:lang w:val="ro-RO"/>
              </w:rPr>
              <w:t xml:space="preserve">la nivel de cadru normativ primar va </w:t>
            </w:r>
            <w:r w:rsidR="00464EA9" w:rsidRPr="00A10374">
              <w:rPr>
                <w:rFonts w:ascii="Times New Roman" w:hAnsi="Times New Roman"/>
                <w:lang w:val="ro-RO"/>
              </w:rPr>
              <w:t xml:space="preserve">spori încrederea partenerilor de dezvoltare și instituțiilor organizațiilor internaționale în vederea alocării mijloacelor financiare pentru implementarea proiectelor de eficiență energetică și/sau valorificare a surselor de energie regenerabilă.  </w:t>
            </w:r>
            <w:r w:rsidRPr="00A10374">
              <w:rPr>
                <w:rFonts w:ascii="Times New Roman" w:hAnsi="Times New Roman"/>
                <w:lang w:val="ro-RO"/>
              </w:rPr>
              <w:t xml:space="preserve"> </w:t>
            </w:r>
          </w:p>
          <w:p w14:paraId="12E86486" w14:textId="40D5EA94" w:rsidR="00464EA9" w:rsidRPr="00A10374" w:rsidRDefault="00464EA9" w:rsidP="001A76A5">
            <w:pPr>
              <w:spacing w:before="120" w:after="120"/>
              <w:jc w:val="both"/>
              <w:rPr>
                <w:rFonts w:ascii="Times New Roman" w:hAnsi="Times New Roman"/>
                <w:shd w:val="clear" w:color="auto" w:fill="FFFFFF"/>
                <w:lang w:val="ro-RO"/>
              </w:rPr>
            </w:pPr>
            <w:r w:rsidRPr="00A10374">
              <w:rPr>
                <w:rFonts w:ascii="Times New Roman" w:hAnsi="Times New Roman"/>
                <w:lang w:val="ro-RO"/>
              </w:rPr>
              <w:t xml:space="preserve">Conform prevederilor Programului privind implementarea schemei de obligații în domeniul eficienței energetice pentru perioada 2024-2026 aprobat prin Hotărârea Guvernului nr. 1064/2023 a fost estimate </w:t>
            </w:r>
            <w:r w:rsidRPr="00A10374">
              <w:rPr>
                <w:rFonts w:ascii="Times New Roman" w:hAnsi="Times New Roman"/>
                <w:shd w:val="clear" w:color="auto" w:fill="FFFFFF"/>
                <w:lang w:val="ro-RO"/>
              </w:rPr>
              <w:t xml:space="preserve">mobilizarea unei cantități estimative anuale de resurse financiare echivalentă cu </w:t>
            </w:r>
            <w:r w:rsidRPr="00A10374">
              <w:rPr>
                <w:rFonts w:ascii="Times New Roman" w:hAnsi="Times New Roman"/>
                <w:b/>
                <w:shd w:val="clear" w:color="auto" w:fill="FFFFFF"/>
                <w:lang w:val="ro-RO"/>
              </w:rPr>
              <w:t>minim 229 de milioane lei sub formă de granturi și donații</w:t>
            </w:r>
            <w:r w:rsidRPr="00A10374">
              <w:rPr>
                <w:rFonts w:ascii="Times New Roman" w:hAnsi="Times New Roman"/>
                <w:shd w:val="clear" w:color="auto" w:fill="FFFFFF"/>
                <w:lang w:val="ro-RO"/>
              </w:rPr>
              <w:t xml:space="preserve"> </w:t>
            </w:r>
            <w:r w:rsidRPr="00A10374">
              <w:rPr>
                <w:rFonts w:ascii="Times New Roman" w:hAnsi="Times New Roman"/>
                <w:b/>
                <w:shd w:val="clear" w:color="auto" w:fill="FFFFFF"/>
                <w:lang w:val="ro-RO"/>
              </w:rPr>
              <w:t>din partea partenerilor de dezvoltare și/sau a organizațiilor internaționale</w:t>
            </w:r>
            <w:r w:rsidRPr="00A10374">
              <w:rPr>
                <w:rFonts w:ascii="Times New Roman" w:hAnsi="Times New Roman"/>
                <w:shd w:val="clear" w:color="auto" w:fill="FFFFFF"/>
                <w:lang w:val="ro-RO"/>
              </w:rPr>
              <w:t>, care constituie 50 % din suma echivalentă de 458 de milioane de lei prevăzută a fi acumulată anual.</w:t>
            </w:r>
          </w:p>
          <w:p w14:paraId="6C43941C" w14:textId="541C677F" w:rsidR="008B3818" w:rsidRPr="00A10374" w:rsidRDefault="008B3818" w:rsidP="008B3818">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În rezultatul discuțiilor purtate cu partenerii de dezvoltare și organizațiile internaționale, până la moment, </w:t>
            </w:r>
            <w:r w:rsidR="006A03F4" w:rsidRPr="00A10374">
              <w:rPr>
                <w:rFonts w:ascii="Times New Roman" w:hAnsi="Times New Roman"/>
                <w:shd w:val="clear" w:color="auto" w:fill="FFFFFF"/>
                <w:lang w:val="ro-RO"/>
              </w:rPr>
              <w:t>a fost prevăzută</w:t>
            </w:r>
            <w:r w:rsidRPr="00A10374">
              <w:rPr>
                <w:rFonts w:ascii="Times New Roman" w:hAnsi="Times New Roman"/>
                <w:shd w:val="clear" w:color="auto" w:fill="FFFFFF"/>
                <w:lang w:val="ro-RO"/>
              </w:rPr>
              <w:t xml:space="preserve"> obținerea mijloacelor financiare sub formă de grant în valoare de cca. 10 mil. Euro din partea Băncii Europene pentru Investiții</w:t>
            </w:r>
            <w:r w:rsidR="00433594" w:rsidRPr="00A10374">
              <w:rPr>
                <w:rFonts w:ascii="Times New Roman" w:hAnsi="Times New Roman"/>
                <w:shd w:val="clear" w:color="auto" w:fill="FFFFFF"/>
                <w:lang w:val="ro-RO"/>
              </w:rPr>
              <w:t xml:space="preserve"> și cca. 1 mil Euro din partea Uniunii Europene</w:t>
            </w:r>
            <w:r w:rsidRPr="00A10374">
              <w:rPr>
                <w:rFonts w:ascii="Times New Roman" w:hAnsi="Times New Roman"/>
                <w:shd w:val="clear" w:color="auto" w:fill="FFFFFF"/>
                <w:lang w:val="ro-RO"/>
              </w:rPr>
              <w:t xml:space="preserve"> (pentru Programul de finanțare FEERM) precum și a cca. 8.5 mil Euro (1 mil. Euro pentru Programul de finanțare FEERM și 7.5 mil. Euro pentru Programul Eco-Vouchere) din partea Agenției Norvegiene pentru Dezvoltare și Cooperare (NORAD) prin intermediul Agenției de Cooperare Internațională a Germaniei (GIZ). Acordarea mijloacelor financiare sus menționate urmează a fi efectuată în baza prevederilor acordurilor ce urmează a fi semnate în acest sens.  </w:t>
            </w:r>
          </w:p>
          <w:p w14:paraId="043C25AD" w14:textId="4C875050" w:rsidR="008B3818" w:rsidRPr="00A10374" w:rsidRDefault="008B3818"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Prin urmare, mijloacele financiare ale FEE urmează a fi utilizate drept sursă de finanțare pentru toate Programele de finanțare în domeniul eficienței energetice aprobate de Guvern și care urmează a fi implementate de către IP CNED.  </w:t>
            </w:r>
          </w:p>
          <w:p w14:paraId="100966E6" w14:textId="77777777" w:rsidR="00F4210D" w:rsidRPr="00A10374" w:rsidRDefault="00464EA9" w:rsidP="001A76A5">
            <w:pPr>
              <w:spacing w:before="120" w:after="120"/>
              <w:jc w:val="both"/>
              <w:rPr>
                <w:rFonts w:ascii="Times New Roman" w:hAnsi="Times New Roman"/>
                <w:lang w:val="ro-RO"/>
              </w:rPr>
            </w:pPr>
            <w:r w:rsidRPr="00A10374">
              <w:rPr>
                <w:rFonts w:ascii="Times New Roman" w:hAnsi="Times New Roman"/>
                <w:lang w:val="ro-RO"/>
              </w:rPr>
              <w:t xml:space="preserve">Mai mult ca atât, implementarea schemei de obligații în domeniul eficienței energetice urmează a fi efectuată cel puțin </w:t>
            </w:r>
            <w:r w:rsidR="00E260F7" w:rsidRPr="00A10374">
              <w:rPr>
                <w:rFonts w:ascii="Times New Roman" w:hAnsi="Times New Roman"/>
                <w:lang w:val="ro-RO"/>
              </w:rPr>
              <w:t>până</w:t>
            </w:r>
            <w:r w:rsidRPr="00A10374">
              <w:rPr>
                <w:rFonts w:ascii="Times New Roman" w:hAnsi="Times New Roman"/>
                <w:lang w:val="ro-RO"/>
              </w:rPr>
              <w:t xml:space="preserve"> în anul 2030, </w:t>
            </w:r>
            <w:r w:rsidR="00E260F7" w:rsidRPr="00A10374">
              <w:rPr>
                <w:rFonts w:ascii="Times New Roman" w:hAnsi="Times New Roman"/>
                <w:lang w:val="ro-RO"/>
              </w:rPr>
              <w:t xml:space="preserve">astfel mijloacele financiare din partea </w:t>
            </w:r>
            <w:r w:rsidR="00E260F7" w:rsidRPr="00A10374">
              <w:rPr>
                <w:rFonts w:ascii="Times New Roman" w:hAnsi="Times New Roman"/>
                <w:b/>
                <w:shd w:val="clear" w:color="auto" w:fill="FFFFFF"/>
                <w:lang w:val="ro-RO"/>
              </w:rPr>
              <w:t xml:space="preserve">partenerilor de dezvoltare și/sau a organizațiilor internaționale </w:t>
            </w:r>
            <w:r w:rsidR="00E260F7" w:rsidRPr="00A10374">
              <w:rPr>
                <w:rFonts w:ascii="Times New Roman" w:hAnsi="Times New Roman"/>
                <w:shd w:val="clear" w:color="auto" w:fill="FFFFFF"/>
                <w:lang w:val="ro-RO"/>
              </w:rPr>
              <w:t>în domeniul eficienței energetice și valorificare a surselor de energie regenerabilă se așteaptă că vor fi substanțiale</w:t>
            </w:r>
            <w:r w:rsidR="00E260F7" w:rsidRPr="00A10374">
              <w:rPr>
                <w:rFonts w:ascii="Times New Roman" w:hAnsi="Times New Roman"/>
                <w:lang w:val="ro-RO"/>
              </w:rPr>
              <w:t xml:space="preserve"> având în vedere procesul de aderare la Uniunea Europeană precum și necesitatea atingerii obligațiunilor în domeniul eficienței energetice la nivel național. </w:t>
            </w:r>
          </w:p>
          <w:p w14:paraId="638AC446" w14:textId="0B61BFC5" w:rsidR="009263C1" w:rsidRPr="00C33A74" w:rsidRDefault="00E2684E" w:rsidP="00364A24">
            <w:pPr>
              <w:spacing w:before="120" w:after="120"/>
              <w:jc w:val="both"/>
              <w:rPr>
                <w:rFonts w:ascii="Times New Roman" w:hAnsi="Times New Roman"/>
                <w:lang w:val="ro-RO"/>
              </w:rPr>
            </w:pPr>
            <w:r w:rsidRPr="00C33A74">
              <w:rPr>
                <w:rFonts w:ascii="Times New Roman" w:hAnsi="Times New Roman"/>
                <w:lang w:val="ro-RO"/>
              </w:rPr>
              <w:t>Cu referire la o</w:t>
            </w:r>
            <w:r w:rsidR="009263C1" w:rsidRPr="00C33A74">
              <w:rPr>
                <w:rFonts w:ascii="Times New Roman" w:hAnsi="Times New Roman"/>
                <w:lang w:val="ro-RO"/>
              </w:rPr>
              <w:t xml:space="preserve">ferirea garanțiilor financiare, a fost estimat că pentru asigurarea cofinanțării proiectelor de eficiență energetică și/sau valorificare a surselor de energie regenerabile finanțate în cadrul Programului FEERM sunt necesare emiterea garanțiilor financiare </w:t>
            </w:r>
            <w:r w:rsidR="00457286" w:rsidRPr="00C33A74">
              <w:rPr>
                <w:rFonts w:ascii="Times New Roman" w:hAnsi="Times New Roman"/>
                <w:lang w:val="ro-RO"/>
              </w:rPr>
              <w:t xml:space="preserve">estimate </w:t>
            </w:r>
            <w:r w:rsidR="009263C1" w:rsidRPr="00C33A74">
              <w:rPr>
                <w:rFonts w:ascii="Times New Roman" w:hAnsi="Times New Roman"/>
                <w:lang w:val="ro-RO"/>
              </w:rPr>
              <w:t xml:space="preserve">în valoare de </w:t>
            </w:r>
            <w:r w:rsidR="004131A7" w:rsidRPr="00C33A74">
              <w:rPr>
                <w:rFonts w:ascii="Times New Roman" w:hAnsi="Times New Roman"/>
                <w:lang w:val="ro-RO"/>
              </w:rPr>
              <w:t xml:space="preserve">105 </w:t>
            </w:r>
            <w:r w:rsidR="009263C1" w:rsidRPr="00C33A74">
              <w:rPr>
                <w:rFonts w:ascii="Times New Roman" w:hAnsi="Times New Roman"/>
                <w:lang w:val="ro-RO"/>
              </w:rPr>
              <w:t xml:space="preserve"> mil</w:t>
            </w:r>
            <w:r w:rsidR="004131A7" w:rsidRPr="00C33A74">
              <w:rPr>
                <w:rFonts w:ascii="Times New Roman" w:hAnsi="Times New Roman"/>
                <w:lang w:val="ro-RO"/>
              </w:rPr>
              <w:t>ioane</w:t>
            </w:r>
            <w:r w:rsidR="009263C1" w:rsidRPr="00C33A74">
              <w:rPr>
                <w:rFonts w:ascii="Times New Roman" w:hAnsi="Times New Roman"/>
                <w:lang w:val="ro-RO"/>
              </w:rPr>
              <w:t xml:space="preserve"> </w:t>
            </w:r>
            <w:r w:rsidR="004131A7" w:rsidRPr="00C33A74">
              <w:rPr>
                <w:rFonts w:ascii="Times New Roman" w:hAnsi="Times New Roman"/>
                <w:lang w:val="ro-RO"/>
              </w:rPr>
              <w:t>L</w:t>
            </w:r>
            <w:r w:rsidR="009263C1" w:rsidRPr="00C33A74">
              <w:rPr>
                <w:rFonts w:ascii="Times New Roman" w:hAnsi="Times New Roman"/>
                <w:lang w:val="ro-RO"/>
              </w:rPr>
              <w:t>ei</w:t>
            </w:r>
            <w:r w:rsidR="004131A7" w:rsidRPr="00C33A74">
              <w:rPr>
                <w:rFonts w:ascii="Times New Roman" w:hAnsi="Times New Roman"/>
                <w:lang w:val="ro-RO"/>
              </w:rPr>
              <w:t xml:space="preserve"> (scenariu minim) </w:t>
            </w:r>
            <w:proofErr w:type="spellStart"/>
            <w:r w:rsidR="004131A7" w:rsidRPr="00C33A74">
              <w:rPr>
                <w:rFonts w:ascii="Times New Roman" w:hAnsi="Times New Roman"/>
                <w:lang w:val="ro-RO"/>
              </w:rPr>
              <w:t>pînă</w:t>
            </w:r>
            <w:proofErr w:type="spellEnd"/>
            <w:r w:rsidR="004131A7" w:rsidRPr="00C33A74">
              <w:rPr>
                <w:rFonts w:ascii="Times New Roman" w:hAnsi="Times New Roman"/>
                <w:lang w:val="ro-RO"/>
              </w:rPr>
              <w:t xml:space="preserve"> la 144 milioane lei (scenariu maxim)</w:t>
            </w:r>
            <w:r w:rsidR="009263C1" w:rsidRPr="00C33A74">
              <w:rPr>
                <w:rFonts w:ascii="Times New Roman" w:hAnsi="Times New Roman"/>
                <w:lang w:val="ro-RO"/>
              </w:rPr>
              <w:t xml:space="preserve">, fapt ce va asigura debursarea creditelor pentru astfel de proiecte în valoare de cca. </w:t>
            </w:r>
            <w:r w:rsidR="004131A7" w:rsidRPr="00C33A74">
              <w:rPr>
                <w:rFonts w:ascii="Times New Roman" w:hAnsi="Times New Roman"/>
                <w:lang w:val="ro-RO"/>
              </w:rPr>
              <w:t xml:space="preserve">144 </w:t>
            </w:r>
            <w:r w:rsidR="009263C1" w:rsidRPr="00C33A74">
              <w:rPr>
                <w:rFonts w:ascii="Times New Roman" w:hAnsi="Times New Roman"/>
                <w:lang w:val="ro-RO"/>
              </w:rPr>
              <w:t>mil</w:t>
            </w:r>
            <w:r w:rsidR="004131A7" w:rsidRPr="00C33A74">
              <w:rPr>
                <w:rFonts w:ascii="Times New Roman" w:hAnsi="Times New Roman"/>
                <w:lang w:val="ro-RO"/>
              </w:rPr>
              <w:t>ioane</w:t>
            </w:r>
            <w:r w:rsidR="009263C1" w:rsidRPr="00C33A74">
              <w:rPr>
                <w:rFonts w:ascii="Times New Roman" w:hAnsi="Times New Roman"/>
                <w:lang w:val="ro-RO"/>
              </w:rPr>
              <w:t xml:space="preserve"> lei. </w:t>
            </w:r>
            <w:r w:rsidR="00364A24" w:rsidRPr="00C33A74">
              <w:rPr>
                <w:rFonts w:ascii="Times New Roman" w:hAnsi="Times New Roman"/>
                <w:lang w:val="ro-RO"/>
              </w:rPr>
              <w:t xml:space="preserve">Valoarea exactă a acestora urmează a fi precizată în cadrul produselor financiare ce urmează a fi elaborate și aprobate în acest sens de către </w:t>
            </w:r>
            <w:r w:rsidR="00D046DF" w:rsidRPr="00C33A74">
              <w:rPr>
                <w:rFonts w:ascii="Times New Roman" w:hAnsi="Times New Roman"/>
                <w:shd w:val="clear" w:color="auto" w:fill="FFFFFF"/>
                <w:lang w:val="ro-RO"/>
              </w:rPr>
              <w:t>IP CNED</w:t>
            </w:r>
            <w:r w:rsidR="00364A24" w:rsidRPr="00C33A74">
              <w:rPr>
                <w:rFonts w:ascii="Times New Roman" w:hAnsi="Times New Roman"/>
                <w:lang w:val="ro-RO"/>
              </w:rPr>
              <w:t>, cu luarea în considerare a prevederilor Programului de Finanțare FEERM aprobat prin Hotărârea Guvernului nr. 251/2024  și a statutul Instituției Publice Centrul Național pentru Energie Durabilă aprobat prin Hotărârea Guvernului nr. 1060/2023.</w:t>
            </w:r>
          </w:p>
          <w:p w14:paraId="38B2F644" w14:textId="0A5E51E5" w:rsidR="004131A7" w:rsidRPr="00C33A74" w:rsidRDefault="004131A7" w:rsidP="004131A7">
            <w:pPr>
              <w:spacing w:before="120" w:after="120"/>
              <w:jc w:val="both"/>
              <w:rPr>
                <w:rFonts w:ascii="Times New Roman" w:hAnsi="Times New Roman"/>
                <w:lang w:val="ro-RO"/>
              </w:rPr>
            </w:pPr>
            <w:r w:rsidRPr="00C33A74">
              <w:rPr>
                <w:rFonts w:ascii="Times New Roman" w:hAnsi="Times New Roman"/>
                <w:lang w:val="ro-RO"/>
              </w:rPr>
              <w:lastRenderedPageBreak/>
              <w:t xml:space="preserve">În tabelul de mai jos sunt prezentate scenariile și valoarea garanțiilor financiare estimate, considerând următoarele ipoteze: proiectele sunt finanțate în proporție de 70% grant din FEERM. Contribuția asociațiilor de proprietari din condominium (APC) este de 30% din valoarea proiectului total, dar se estimează că 60% din APC vor asigura această contribuție prin credite. </w:t>
            </w:r>
          </w:p>
          <w:p w14:paraId="7D20B43E" w14:textId="3FC95BDE" w:rsidR="00EF3B91" w:rsidRPr="00C33A74" w:rsidRDefault="00EF3B91" w:rsidP="004131A7">
            <w:pPr>
              <w:spacing w:before="120" w:after="120"/>
              <w:jc w:val="both"/>
              <w:rPr>
                <w:rFonts w:ascii="Times New Roman" w:hAnsi="Times New Roman"/>
                <w:lang w:val="ro-RO"/>
              </w:rPr>
            </w:pPr>
            <w:r w:rsidRPr="00C33A74">
              <w:rPr>
                <w:rFonts w:ascii="Times New Roman" w:hAnsi="Times New Roman"/>
                <w:b/>
                <w:bCs/>
                <w:lang w:val="ro-RO"/>
              </w:rPr>
              <w:t>Tabelul 1</w:t>
            </w:r>
            <w:r w:rsidRPr="00C33A74">
              <w:rPr>
                <w:rFonts w:ascii="Times New Roman" w:hAnsi="Times New Roman"/>
                <w:lang w:val="ro-RO"/>
              </w:rPr>
              <w:t xml:space="preserve">. Estimări cu privire la valoarea garanțiilor financiare și valoarea compensațiilor pentru compensarea dobânzii </w:t>
            </w:r>
          </w:p>
          <w:tbl>
            <w:tblPr>
              <w:tblW w:w="4505"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9"/>
              <w:gridCol w:w="640"/>
              <w:gridCol w:w="929"/>
              <w:gridCol w:w="929"/>
              <w:gridCol w:w="929"/>
              <w:gridCol w:w="859"/>
              <w:gridCol w:w="904"/>
              <w:gridCol w:w="904"/>
              <w:gridCol w:w="1034"/>
              <w:gridCol w:w="990"/>
            </w:tblGrid>
            <w:tr w:rsidR="005B0912" w:rsidRPr="00997304" w14:paraId="62167EB5" w14:textId="77777777" w:rsidTr="00172941">
              <w:trPr>
                <w:trHeight w:val="79"/>
              </w:trPr>
              <w:tc>
                <w:tcPr>
                  <w:tcW w:w="281" w:type="pct"/>
                  <w:vAlign w:val="center"/>
                  <w:hideMark/>
                </w:tcPr>
                <w:p w14:paraId="16F3D2F1" w14:textId="77777777" w:rsidR="005B0912" w:rsidRPr="00172941" w:rsidRDefault="005B0912" w:rsidP="00172941">
                  <w:pPr>
                    <w:ind w:left="-113" w:right="-113"/>
                    <w:jc w:val="center"/>
                    <w:rPr>
                      <w:b/>
                      <w:bCs/>
                      <w:color w:val="000000" w:themeColor="text1"/>
                      <w:sz w:val="14"/>
                      <w:szCs w:val="14"/>
                      <w:lang w:val="pt-BR"/>
                    </w:rPr>
                  </w:pPr>
                  <w:r w:rsidRPr="00172941">
                    <w:rPr>
                      <w:b/>
                      <w:bCs/>
                      <w:color w:val="000000" w:themeColor="text1"/>
                      <w:sz w:val="14"/>
                      <w:szCs w:val="14"/>
                      <w:lang w:val="pt-BR"/>
                    </w:rPr>
                    <w:t>Anul</w:t>
                  </w:r>
                </w:p>
              </w:tc>
              <w:tc>
                <w:tcPr>
                  <w:tcW w:w="348" w:type="pct"/>
                  <w:vAlign w:val="center"/>
                  <w:hideMark/>
                </w:tcPr>
                <w:p w14:paraId="22F02EF6" w14:textId="77777777" w:rsidR="005B0912" w:rsidRPr="00172941" w:rsidRDefault="005B0912" w:rsidP="00172941">
                  <w:pPr>
                    <w:ind w:left="-113" w:right="-113"/>
                    <w:jc w:val="center"/>
                    <w:rPr>
                      <w:b/>
                      <w:bCs/>
                      <w:color w:val="000000" w:themeColor="text1"/>
                      <w:sz w:val="14"/>
                      <w:szCs w:val="14"/>
                      <w:lang w:val="pt-BR"/>
                    </w:rPr>
                  </w:pPr>
                  <w:r w:rsidRPr="00172941">
                    <w:rPr>
                      <w:b/>
                      <w:bCs/>
                      <w:color w:val="000000" w:themeColor="text1"/>
                      <w:sz w:val="14"/>
                      <w:szCs w:val="14"/>
                      <w:lang w:val="pt-BR"/>
                    </w:rPr>
                    <w:t>Număr APC aprobate</w:t>
                  </w:r>
                </w:p>
              </w:tc>
              <w:tc>
                <w:tcPr>
                  <w:tcW w:w="496" w:type="pct"/>
                  <w:vAlign w:val="center"/>
                  <w:hideMark/>
                </w:tcPr>
                <w:p w14:paraId="73464AD0" w14:textId="77777777" w:rsidR="005B0912" w:rsidRPr="00CF0410" w:rsidRDefault="005B0912" w:rsidP="00172941">
                  <w:pPr>
                    <w:ind w:left="-113" w:right="-113"/>
                    <w:jc w:val="center"/>
                    <w:rPr>
                      <w:b/>
                      <w:bCs/>
                      <w:color w:val="000000" w:themeColor="text1"/>
                      <w:sz w:val="14"/>
                      <w:szCs w:val="14"/>
                      <w:lang w:val="pt-BR"/>
                    </w:rPr>
                  </w:pPr>
                  <w:r w:rsidRPr="00CF0410">
                    <w:rPr>
                      <w:b/>
                      <w:bCs/>
                      <w:color w:val="000000" w:themeColor="text1"/>
                      <w:sz w:val="14"/>
                      <w:szCs w:val="14"/>
                      <w:lang w:val="pt-BR"/>
                    </w:rPr>
                    <w:t>Valoarea totală a proiectelor, lei</w:t>
                  </w:r>
                </w:p>
              </w:tc>
              <w:tc>
                <w:tcPr>
                  <w:tcW w:w="496" w:type="pct"/>
                  <w:vAlign w:val="center"/>
                  <w:hideMark/>
                </w:tcPr>
                <w:p w14:paraId="6AB0F749" w14:textId="77777777" w:rsidR="005B0912" w:rsidRPr="00CF0410" w:rsidRDefault="005B0912" w:rsidP="00172941">
                  <w:pPr>
                    <w:ind w:left="-113" w:right="-113"/>
                    <w:jc w:val="center"/>
                    <w:rPr>
                      <w:b/>
                      <w:bCs/>
                      <w:color w:val="000000" w:themeColor="text1"/>
                      <w:sz w:val="14"/>
                      <w:szCs w:val="14"/>
                    </w:rPr>
                  </w:pPr>
                  <w:r w:rsidRPr="00CF0410">
                    <w:rPr>
                      <w:b/>
                      <w:bCs/>
                      <w:color w:val="000000" w:themeColor="text1"/>
                      <w:sz w:val="14"/>
                      <w:szCs w:val="14"/>
                    </w:rPr>
                    <w:t>Grant din FEERM, lei</w:t>
                  </w:r>
                </w:p>
              </w:tc>
              <w:tc>
                <w:tcPr>
                  <w:tcW w:w="496" w:type="pct"/>
                  <w:vAlign w:val="center"/>
                  <w:hideMark/>
                </w:tcPr>
                <w:p w14:paraId="220B90C0" w14:textId="77777777" w:rsidR="005B0912" w:rsidRPr="00CF0410" w:rsidRDefault="005B0912" w:rsidP="00172941">
                  <w:pPr>
                    <w:ind w:left="-113" w:right="-113"/>
                    <w:jc w:val="center"/>
                    <w:rPr>
                      <w:b/>
                      <w:bCs/>
                      <w:color w:val="000000" w:themeColor="text1"/>
                      <w:sz w:val="14"/>
                      <w:szCs w:val="14"/>
                    </w:rPr>
                  </w:pPr>
                  <w:proofErr w:type="spellStart"/>
                  <w:r w:rsidRPr="00CF0410">
                    <w:rPr>
                      <w:b/>
                      <w:bCs/>
                      <w:color w:val="000000" w:themeColor="text1"/>
                      <w:sz w:val="14"/>
                      <w:szCs w:val="14"/>
                    </w:rPr>
                    <w:t>Contribuția</w:t>
                  </w:r>
                  <w:proofErr w:type="spellEnd"/>
                  <w:r w:rsidRPr="00CF0410">
                    <w:rPr>
                      <w:b/>
                      <w:bCs/>
                      <w:color w:val="000000" w:themeColor="text1"/>
                      <w:sz w:val="14"/>
                      <w:szCs w:val="14"/>
                    </w:rPr>
                    <w:t xml:space="preserve"> </w:t>
                  </w:r>
                  <w:proofErr w:type="spellStart"/>
                  <w:r w:rsidRPr="00CF0410">
                    <w:rPr>
                      <w:b/>
                      <w:bCs/>
                      <w:color w:val="000000" w:themeColor="text1"/>
                      <w:sz w:val="14"/>
                      <w:szCs w:val="14"/>
                    </w:rPr>
                    <w:t>beneficiari</w:t>
                  </w:r>
                  <w:proofErr w:type="spellEnd"/>
                  <w:r w:rsidRPr="00CF0410">
                    <w:rPr>
                      <w:b/>
                      <w:bCs/>
                      <w:color w:val="000000" w:themeColor="text1"/>
                      <w:sz w:val="14"/>
                      <w:szCs w:val="14"/>
                    </w:rPr>
                    <w:t xml:space="preserve"> </w:t>
                  </w:r>
                  <w:proofErr w:type="spellStart"/>
                  <w:r w:rsidRPr="00CF0410">
                    <w:rPr>
                      <w:b/>
                      <w:bCs/>
                      <w:color w:val="000000" w:themeColor="text1"/>
                      <w:sz w:val="14"/>
                      <w:szCs w:val="14"/>
                    </w:rPr>
                    <w:t>totală</w:t>
                  </w:r>
                  <w:proofErr w:type="spellEnd"/>
                </w:p>
              </w:tc>
              <w:tc>
                <w:tcPr>
                  <w:tcW w:w="460" w:type="pct"/>
                  <w:vAlign w:val="center"/>
                  <w:hideMark/>
                </w:tcPr>
                <w:p w14:paraId="30BCD870" w14:textId="77777777" w:rsidR="005B0912" w:rsidRPr="00CF0410" w:rsidRDefault="005B0912" w:rsidP="00172941">
                  <w:pPr>
                    <w:ind w:left="-113" w:right="-113"/>
                    <w:jc w:val="center"/>
                    <w:rPr>
                      <w:b/>
                      <w:bCs/>
                      <w:color w:val="000000" w:themeColor="text1"/>
                      <w:sz w:val="14"/>
                      <w:szCs w:val="14"/>
                      <w:lang w:val="pt-BR"/>
                    </w:rPr>
                  </w:pPr>
                  <w:r w:rsidRPr="00CF0410">
                    <w:rPr>
                      <w:b/>
                      <w:bCs/>
                      <w:color w:val="000000" w:themeColor="text1"/>
                      <w:sz w:val="14"/>
                      <w:szCs w:val="14"/>
                      <w:lang w:val="pt-BR"/>
                    </w:rPr>
                    <w:t>Contribuția beneficiari ce vor lua credit, lei</w:t>
                  </w:r>
                </w:p>
              </w:tc>
              <w:tc>
                <w:tcPr>
                  <w:tcW w:w="640" w:type="pct"/>
                  <w:vAlign w:val="center"/>
                  <w:hideMark/>
                </w:tcPr>
                <w:p w14:paraId="57C80D7D" w14:textId="73214591" w:rsidR="005B0912" w:rsidRPr="00172941" w:rsidRDefault="005B0912" w:rsidP="00172941">
                  <w:pPr>
                    <w:ind w:left="-113" w:right="-113"/>
                    <w:jc w:val="center"/>
                    <w:rPr>
                      <w:b/>
                      <w:bCs/>
                      <w:color w:val="000000" w:themeColor="text1"/>
                      <w:sz w:val="14"/>
                      <w:szCs w:val="14"/>
                      <w:lang w:val="pt-BR"/>
                    </w:rPr>
                  </w:pPr>
                  <w:r w:rsidRPr="00172941">
                    <w:rPr>
                      <w:b/>
                      <w:bCs/>
                      <w:color w:val="000000" w:themeColor="text1"/>
                      <w:sz w:val="14"/>
                      <w:szCs w:val="14"/>
                      <w:lang w:val="pt-BR"/>
                    </w:rPr>
                    <w:t>% ajutor financiar pentru eficientizarea consumului de resurse energetice, scenarii</w:t>
                  </w:r>
                </w:p>
              </w:tc>
              <w:tc>
                <w:tcPr>
                  <w:tcW w:w="655" w:type="pct"/>
                  <w:vAlign w:val="center"/>
                  <w:hideMark/>
                </w:tcPr>
                <w:p w14:paraId="30BA5538" w14:textId="5E76C86E" w:rsidR="005B0912" w:rsidRPr="00172941" w:rsidRDefault="005B0912" w:rsidP="00172941">
                  <w:pPr>
                    <w:ind w:left="-113" w:right="-113"/>
                    <w:jc w:val="center"/>
                    <w:rPr>
                      <w:b/>
                      <w:bCs/>
                      <w:color w:val="000000" w:themeColor="text1"/>
                      <w:sz w:val="14"/>
                      <w:szCs w:val="14"/>
                      <w:lang w:val="pt-BR"/>
                    </w:rPr>
                  </w:pPr>
                  <w:r w:rsidRPr="00172941">
                    <w:rPr>
                      <w:b/>
                      <w:bCs/>
                      <w:color w:val="000000" w:themeColor="text1"/>
                      <w:sz w:val="14"/>
                      <w:szCs w:val="14"/>
                      <w:lang w:val="pt-BR"/>
                    </w:rPr>
                    <w:t xml:space="preserve">Valoarea </w:t>
                  </w:r>
                  <w:r w:rsidRPr="003950E4">
                    <w:rPr>
                      <w:b/>
                      <w:bCs/>
                      <w:color w:val="000000" w:themeColor="text1"/>
                      <w:sz w:val="14"/>
                      <w:szCs w:val="14"/>
                      <w:lang w:val="pt-BR"/>
                    </w:rPr>
                    <w:t>ajutor financiar pentru eficientizarea consumului de resurse energetice</w:t>
                  </w:r>
                  <w:r w:rsidRPr="00172941">
                    <w:rPr>
                      <w:b/>
                      <w:bCs/>
                      <w:color w:val="000000" w:themeColor="text1"/>
                      <w:sz w:val="14"/>
                      <w:szCs w:val="14"/>
                      <w:lang w:val="pt-BR"/>
                    </w:rPr>
                    <w:t>, lei</w:t>
                  </w:r>
                </w:p>
              </w:tc>
              <w:tc>
                <w:tcPr>
                  <w:tcW w:w="549" w:type="pct"/>
                  <w:vAlign w:val="center"/>
                  <w:hideMark/>
                </w:tcPr>
                <w:p w14:paraId="776412E4" w14:textId="77777777" w:rsidR="005B0912" w:rsidRPr="00CF0410" w:rsidRDefault="005B0912" w:rsidP="00172941">
                  <w:pPr>
                    <w:ind w:left="-113" w:right="-113"/>
                    <w:jc w:val="center"/>
                    <w:rPr>
                      <w:b/>
                      <w:bCs/>
                      <w:color w:val="000000" w:themeColor="text1"/>
                      <w:sz w:val="14"/>
                      <w:szCs w:val="14"/>
                    </w:rPr>
                  </w:pPr>
                  <w:proofErr w:type="spellStart"/>
                  <w:r w:rsidRPr="00CF0410">
                    <w:rPr>
                      <w:b/>
                      <w:bCs/>
                      <w:color w:val="000000" w:themeColor="text1"/>
                      <w:sz w:val="14"/>
                      <w:szCs w:val="14"/>
                    </w:rPr>
                    <w:t>Aportul</w:t>
                  </w:r>
                  <w:proofErr w:type="spellEnd"/>
                  <w:r w:rsidRPr="00CF0410">
                    <w:rPr>
                      <w:b/>
                      <w:bCs/>
                      <w:color w:val="000000" w:themeColor="text1"/>
                      <w:sz w:val="14"/>
                      <w:szCs w:val="14"/>
                    </w:rPr>
                    <w:t xml:space="preserve"> </w:t>
                  </w:r>
                  <w:proofErr w:type="spellStart"/>
                  <w:r w:rsidRPr="00CF0410">
                    <w:rPr>
                      <w:b/>
                      <w:bCs/>
                      <w:color w:val="000000" w:themeColor="text1"/>
                      <w:sz w:val="14"/>
                      <w:szCs w:val="14"/>
                    </w:rPr>
                    <w:t>prin</w:t>
                  </w:r>
                  <w:proofErr w:type="spellEnd"/>
                  <w:r w:rsidRPr="00CF0410">
                    <w:rPr>
                      <w:b/>
                      <w:bCs/>
                      <w:color w:val="000000" w:themeColor="text1"/>
                      <w:sz w:val="14"/>
                      <w:szCs w:val="14"/>
                    </w:rPr>
                    <w:t xml:space="preserve"> credit </w:t>
                  </w:r>
                  <w:proofErr w:type="spellStart"/>
                  <w:r w:rsidRPr="00CF0410">
                    <w:rPr>
                      <w:b/>
                      <w:bCs/>
                      <w:color w:val="000000" w:themeColor="text1"/>
                      <w:sz w:val="14"/>
                      <w:szCs w:val="14"/>
                    </w:rPr>
                    <w:t>garantat</w:t>
                  </w:r>
                  <w:proofErr w:type="spellEnd"/>
                  <w:r w:rsidRPr="00CF0410">
                    <w:rPr>
                      <w:b/>
                      <w:bCs/>
                      <w:color w:val="000000" w:themeColor="text1"/>
                      <w:sz w:val="14"/>
                      <w:szCs w:val="14"/>
                    </w:rPr>
                    <w:t>, lei</w:t>
                  </w:r>
                </w:p>
              </w:tc>
              <w:tc>
                <w:tcPr>
                  <w:tcW w:w="579" w:type="pct"/>
                  <w:vAlign w:val="center"/>
                  <w:hideMark/>
                </w:tcPr>
                <w:p w14:paraId="5535B4F4" w14:textId="625DE59E" w:rsidR="005B0912" w:rsidRPr="00CF0410" w:rsidRDefault="005B0912" w:rsidP="00172941">
                  <w:pPr>
                    <w:ind w:left="-113" w:right="-113"/>
                    <w:jc w:val="center"/>
                    <w:rPr>
                      <w:b/>
                      <w:bCs/>
                      <w:color w:val="000000" w:themeColor="text1"/>
                      <w:sz w:val="14"/>
                      <w:szCs w:val="14"/>
                      <w:lang w:val="pt-BR"/>
                    </w:rPr>
                  </w:pPr>
                  <w:r>
                    <w:rPr>
                      <w:b/>
                      <w:bCs/>
                      <w:color w:val="000000" w:themeColor="text1"/>
                      <w:sz w:val="14"/>
                      <w:szCs w:val="14"/>
                      <w:lang w:val="pt-BR"/>
                    </w:rPr>
                    <w:t>Valoarea c</w:t>
                  </w:r>
                  <w:r w:rsidRPr="00CF0410">
                    <w:rPr>
                      <w:b/>
                      <w:bCs/>
                      <w:color w:val="000000" w:themeColor="text1"/>
                      <w:sz w:val="14"/>
                      <w:szCs w:val="14"/>
                      <w:lang w:val="pt-BR"/>
                    </w:rPr>
                    <w:t>ompensa</w:t>
                  </w:r>
                  <w:r>
                    <w:rPr>
                      <w:b/>
                      <w:bCs/>
                      <w:color w:val="000000" w:themeColor="text1"/>
                      <w:sz w:val="14"/>
                      <w:szCs w:val="14"/>
                      <w:lang w:val="pt-BR"/>
                    </w:rPr>
                    <w:t>țiilor aferente</w:t>
                  </w:r>
                  <w:r w:rsidRPr="00CF0410">
                    <w:rPr>
                      <w:b/>
                      <w:bCs/>
                      <w:color w:val="000000" w:themeColor="text1"/>
                      <w:sz w:val="14"/>
                      <w:szCs w:val="14"/>
                      <w:lang w:val="pt-BR"/>
                    </w:rPr>
                    <w:t xml:space="preserve"> </w:t>
                  </w:r>
                  <w:r>
                    <w:rPr>
                      <w:b/>
                      <w:bCs/>
                      <w:color w:val="000000" w:themeColor="text1"/>
                      <w:sz w:val="14"/>
                      <w:szCs w:val="14"/>
                      <w:lang w:val="pt-BR"/>
                    </w:rPr>
                    <w:t>d</w:t>
                  </w:r>
                  <w:r w:rsidRPr="00CF0410">
                    <w:rPr>
                      <w:b/>
                      <w:bCs/>
                      <w:color w:val="000000" w:themeColor="text1"/>
                      <w:sz w:val="14"/>
                      <w:szCs w:val="14"/>
                      <w:lang w:val="pt-BR"/>
                    </w:rPr>
                    <w:t>obin</w:t>
                  </w:r>
                  <w:r>
                    <w:rPr>
                      <w:b/>
                      <w:bCs/>
                      <w:color w:val="000000" w:themeColor="text1"/>
                      <w:sz w:val="14"/>
                      <w:szCs w:val="14"/>
                      <w:lang w:val="pt-BR"/>
                    </w:rPr>
                    <w:t>zilor</w:t>
                  </w:r>
                  <w:r w:rsidRPr="00CF0410">
                    <w:rPr>
                      <w:b/>
                      <w:bCs/>
                      <w:color w:val="000000" w:themeColor="text1"/>
                      <w:sz w:val="14"/>
                      <w:szCs w:val="14"/>
                      <w:lang w:val="pt-BR"/>
                    </w:rPr>
                    <w:t xml:space="preserve"> pentru creditele emise în anul de referinta, lei</w:t>
                  </w:r>
                </w:p>
              </w:tc>
            </w:tr>
            <w:tr w:rsidR="005B0912" w:rsidRPr="00997304" w14:paraId="700A84BC" w14:textId="77777777" w:rsidTr="00172941">
              <w:trPr>
                <w:trHeight w:val="20"/>
              </w:trPr>
              <w:tc>
                <w:tcPr>
                  <w:tcW w:w="281" w:type="pct"/>
                  <w:vMerge w:val="restart"/>
                  <w:noWrap/>
                  <w:vAlign w:val="center"/>
                  <w:hideMark/>
                </w:tcPr>
                <w:p w14:paraId="2E5DEE02"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2025</w:t>
                  </w:r>
                </w:p>
              </w:tc>
              <w:tc>
                <w:tcPr>
                  <w:tcW w:w="348" w:type="pct"/>
                  <w:vMerge w:val="restart"/>
                  <w:noWrap/>
                  <w:vAlign w:val="center"/>
                  <w:hideMark/>
                </w:tcPr>
                <w:p w14:paraId="64808855"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10</w:t>
                  </w:r>
                </w:p>
              </w:tc>
              <w:tc>
                <w:tcPr>
                  <w:tcW w:w="496" w:type="pct"/>
                  <w:vMerge w:val="restart"/>
                  <w:noWrap/>
                  <w:vAlign w:val="center"/>
                  <w:hideMark/>
                </w:tcPr>
                <w:p w14:paraId="31FB1B44"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130 000 000</w:t>
                  </w:r>
                </w:p>
              </w:tc>
              <w:tc>
                <w:tcPr>
                  <w:tcW w:w="496" w:type="pct"/>
                  <w:vMerge w:val="restart"/>
                  <w:noWrap/>
                  <w:vAlign w:val="center"/>
                  <w:hideMark/>
                </w:tcPr>
                <w:p w14:paraId="0951D93F"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91 000 000</w:t>
                  </w:r>
                </w:p>
              </w:tc>
              <w:tc>
                <w:tcPr>
                  <w:tcW w:w="496" w:type="pct"/>
                  <w:vMerge w:val="restart"/>
                  <w:noWrap/>
                  <w:vAlign w:val="center"/>
                  <w:hideMark/>
                </w:tcPr>
                <w:p w14:paraId="2407FBB0"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39 000 000</w:t>
                  </w:r>
                </w:p>
              </w:tc>
              <w:tc>
                <w:tcPr>
                  <w:tcW w:w="460" w:type="pct"/>
                  <w:vMerge w:val="restart"/>
                  <w:noWrap/>
                  <w:vAlign w:val="center"/>
                  <w:hideMark/>
                </w:tcPr>
                <w:p w14:paraId="614F5272"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16 380 000</w:t>
                  </w:r>
                </w:p>
              </w:tc>
              <w:tc>
                <w:tcPr>
                  <w:tcW w:w="640" w:type="pct"/>
                  <w:noWrap/>
                  <w:vAlign w:val="center"/>
                  <w:hideMark/>
                </w:tcPr>
                <w:p w14:paraId="3B1AD281"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0%</w:t>
                  </w:r>
                </w:p>
              </w:tc>
              <w:tc>
                <w:tcPr>
                  <w:tcW w:w="655" w:type="pct"/>
                  <w:noWrap/>
                  <w:vAlign w:val="center"/>
                  <w:hideMark/>
                </w:tcPr>
                <w:p w14:paraId="0F0A78B5"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w:t>
                  </w:r>
                </w:p>
              </w:tc>
              <w:tc>
                <w:tcPr>
                  <w:tcW w:w="549" w:type="pct"/>
                  <w:noWrap/>
                  <w:vAlign w:val="center"/>
                  <w:hideMark/>
                </w:tcPr>
                <w:p w14:paraId="1FC56311"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16 380 000</w:t>
                  </w:r>
                </w:p>
              </w:tc>
              <w:tc>
                <w:tcPr>
                  <w:tcW w:w="579" w:type="pct"/>
                  <w:noWrap/>
                  <w:vAlign w:val="center"/>
                  <w:hideMark/>
                </w:tcPr>
                <w:p w14:paraId="72763633" w14:textId="73F22ABC"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2 010 656</w:t>
                  </w:r>
                </w:p>
              </w:tc>
            </w:tr>
            <w:tr w:rsidR="005B0912" w:rsidRPr="00997304" w14:paraId="30560A4B" w14:textId="77777777" w:rsidTr="00172941">
              <w:trPr>
                <w:trHeight w:val="20"/>
              </w:trPr>
              <w:tc>
                <w:tcPr>
                  <w:tcW w:w="281" w:type="pct"/>
                  <w:vMerge/>
                  <w:vAlign w:val="center"/>
                  <w:hideMark/>
                </w:tcPr>
                <w:p w14:paraId="6EF145A6" w14:textId="77777777" w:rsidR="005B0912" w:rsidRPr="00CF0410" w:rsidRDefault="005B0912" w:rsidP="004131A7">
                  <w:pPr>
                    <w:ind w:left="-57" w:right="-57"/>
                    <w:jc w:val="center"/>
                    <w:rPr>
                      <w:color w:val="000000" w:themeColor="text1"/>
                      <w:sz w:val="14"/>
                      <w:szCs w:val="14"/>
                      <w:lang w:val="pt-BR"/>
                    </w:rPr>
                  </w:pPr>
                </w:p>
              </w:tc>
              <w:tc>
                <w:tcPr>
                  <w:tcW w:w="348" w:type="pct"/>
                  <w:vMerge/>
                  <w:vAlign w:val="center"/>
                  <w:hideMark/>
                </w:tcPr>
                <w:p w14:paraId="3909E3A5" w14:textId="77777777" w:rsidR="005B0912" w:rsidRPr="00CF0410" w:rsidRDefault="005B0912" w:rsidP="004131A7">
                  <w:pPr>
                    <w:ind w:left="-57" w:right="-57"/>
                    <w:jc w:val="center"/>
                    <w:rPr>
                      <w:color w:val="000000" w:themeColor="text1"/>
                      <w:sz w:val="14"/>
                      <w:szCs w:val="14"/>
                      <w:lang w:val="pt-BR"/>
                    </w:rPr>
                  </w:pPr>
                </w:p>
              </w:tc>
              <w:tc>
                <w:tcPr>
                  <w:tcW w:w="496" w:type="pct"/>
                  <w:vMerge/>
                  <w:vAlign w:val="center"/>
                  <w:hideMark/>
                </w:tcPr>
                <w:p w14:paraId="4B6F11F9" w14:textId="77777777" w:rsidR="005B0912" w:rsidRPr="00CF0410" w:rsidRDefault="005B0912" w:rsidP="004131A7">
                  <w:pPr>
                    <w:ind w:left="-57" w:right="-57"/>
                    <w:jc w:val="center"/>
                    <w:rPr>
                      <w:color w:val="000000" w:themeColor="text1"/>
                      <w:sz w:val="14"/>
                      <w:szCs w:val="14"/>
                      <w:lang w:val="pt-BR"/>
                    </w:rPr>
                  </w:pPr>
                </w:p>
              </w:tc>
              <w:tc>
                <w:tcPr>
                  <w:tcW w:w="496" w:type="pct"/>
                  <w:vMerge/>
                  <w:vAlign w:val="center"/>
                  <w:hideMark/>
                </w:tcPr>
                <w:p w14:paraId="7F115FE9" w14:textId="77777777" w:rsidR="005B0912" w:rsidRPr="00CF0410" w:rsidRDefault="005B0912" w:rsidP="004131A7">
                  <w:pPr>
                    <w:ind w:left="-57" w:right="-57"/>
                    <w:jc w:val="center"/>
                    <w:rPr>
                      <w:color w:val="000000" w:themeColor="text1"/>
                      <w:sz w:val="14"/>
                      <w:szCs w:val="14"/>
                      <w:lang w:val="pt-BR"/>
                    </w:rPr>
                  </w:pPr>
                </w:p>
              </w:tc>
              <w:tc>
                <w:tcPr>
                  <w:tcW w:w="496" w:type="pct"/>
                  <w:vMerge/>
                  <w:vAlign w:val="center"/>
                  <w:hideMark/>
                </w:tcPr>
                <w:p w14:paraId="58996168" w14:textId="77777777" w:rsidR="005B0912" w:rsidRPr="00CF0410" w:rsidRDefault="005B0912" w:rsidP="004131A7">
                  <w:pPr>
                    <w:ind w:left="-57" w:right="-57"/>
                    <w:jc w:val="center"/>
                    <w:rPr>
                      <w:color w:val="000000" w:themeColor="text1"/>
                      <w:sz w:val="14"/>
                      <w:szCs w:val="14"/>
                      <w:lang w:val="pt-BR"/>
                    </w:rPr>
                  </w:pPr>
                </w:p>
              </w:tc>
              <w:tc>
                <w:tcPr>
                  <w:tcW w:w="460" w:type="pct"/>
                  <w:vMerge/>
                  <w:vAlign w:val="center"/>
                  <w:hideMark/>
                </w:tcPr>
                <w:p w14:paraId="0F3AC50D" w14:textId="77777777" w:rsidR="005B0912" w:rsidRPr="00CF0410" w:rsidRDefault="005B0912" w:rsidP="004131A7">
                  <w:pPr>
                    <w:ind w:left="-57" w:right="-57"/>
                    <w:jc w:val="center"/>
                    <w:rPr>
                      <w:color w:val="000000" w:themeColor="text1"/>
                      <w:sz w:val="14"/>
                      <w:szCs w:val="14"/>
                      <w:lang w:val="pt-BR"/>
                    </w:rPr>
                  </w:pPr>
                </w:p>
              </w:tc>
              <w:tc>
                <w:tcPr>
                  <w:tcW w:w="640" w:type="pct"/>
                  <w:noWrap/>
                  <w:vAlign w:val="center"/>
                  <w:hideMark/>
                </w:tcPr>
                <w:p w14:paraId="5CA63746"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50%</w:t>
                  </w:r>
                </w:p>
              </w:tc>
              <w:tc>
                <w:tcPr>
                  <w:tcW w:w="655" w:type="pct"/>
                  <w:noWrap/>
                  <w:vAlign w:val="center"/>
                  <w:hideMark/>
                </w:tcPr>
                <w:p w14:paraId="6FA35111"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8 190 000</w:t>
                  </w:r>
                </w:p>
              </w:tc>
              <w:tc>
                <w:tcPr>
                  <w:tcW w:w="549" w:type="pct"/>
                  <w:noWrap/>
                  <w:vAlign w:val="center"/>
                  <w:hideMark/>
                </w:tcPr>
                <w:p w14:paraId="6769F4CE"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8 190 000</w:t>
                  </w:r>
                </w:p>
              </w:tc>
              <w:tc>
                <w:tcPr>
                  <w:tcW w:w="579" w:type="pct"/>
                  <w:noWrap/>
                  <w:vAlign w:val="center"/>
                  <w:hideMark/>
                </w:tcPr>
                <w:p w14:paraId="66E177F2" w14:textId="3E856D74"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1 005 328</w:t>
                  </w:r>
                </w:p>
              </w:tc>
            </w:tr>
            <w:tr w:rsidR="005B0912" w:rsidRPr="00997304" w14:paraId="10637D00" w14:textId="77777777" w:rsidTr="00172941">
              <w:trPr>
                <w:trHeight w:val="20"/>
              </w:trPr>
              <w:tc>
                <w:tcPr>
                  <w:tcW w:w="281" w:type="pct"/>
                  <w:vMerge w:val="restart"/>
                  <w:noWrap/>
                  <w:vAlign w:val="center"/>
                  <w:hideMark/>
                </w:tcPr>
                <w:p w14:paraId="506399E8"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2026</w:t>
                  </w:r>
                </w:p>
              </w:tc>
              <w:tc>
                <w:tcPr>
                  <w:tcW w:w="348" w:type="pct"/>
                  <w:vMerge w:val="restart"/>
                  <w:noWrap/>
                  <w:vAlign w:val="center"/>
                  <w:hideMark/>
                </w:tcPr>
                <w:p w14:paraId="18143CDD"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34</w:t>
                  </w:r>
                </w:p>
              </w:tc>
              <w:tc>
                <w:tcPr>
                  <w:tcW w:w="496" w:type="pct"/>
                  <w:vMerge w:val="restart"/>
                  <w:noWrap/>
                  <w:vAlign w:val="center"/>
                  <w:hideMark/>
                </w:tcPr>
                <w:p w14:paraId="5B6FAD1F"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442 000 000</w:t>
                  </w:r>
                </w:p>
              </w:tc>
              <w:tc>
                <w:tcPr>
                  <w:tcW w:w="496" w:type="pct"/>
                  <w:vMerge w:val="restart"/>
                  <w:noWrap/>
                  <w:vAlign w:val="center"/>
                  <w:hideMark/>
                </w:tcPr>
                <w:p w14:paraId="665158FF"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309 400 000</w:t>
                  </w:r>
                </w:p>
              </w:tc>
              <w:tc>
                <w:tcPr>
                  <w:tcW w:w="496" w:type="pct"/>
                  <w:vMerge w:val="restart"/>
                  <w:noWrap/>
                  <w:vAlign w:val="center"/>
                  <w:hideMark/>
                </w:tcPr>
                <w:p w14:paraId="59D02D90"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132 600 000</w:t>
                  </w:r>
                </w:p>
              </w:tc>
              <w:tc>
                <w:tcPr>
                  <w:tcW w:w="460" w:type="pct"/>
                  <w:vMerge w:val="restart"/>
                  <w:noWrap/>
                  <w:vAlign w:val="center"/>
                  <w:hideMark/>
                </w:tcPr>
                <w:p w14:paraId="2270E1FA"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55 692 000</w:t>
                  </w:r>
                </w:p>
              </w:tc>
              <w:tc>
                <w:tcPr>
                  <w:tcW w:w="640" w:type="pct"/>
                  <w:noWrap/>
                  <w:vAlign w:val="center"/>
                  <w:hideMark/>
                </w:tcPr>
                <w:p w14:paraId="5F9A068A"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0%</w:t>
                  </w:r>
                </w:p>
              </w:tc>
              <w:tc>
                <w:tcPr>
                  <w:tcW w:w="655" w:type="pct"/>
                  <w:noWrap/>
                  <w:vAlign w:val="center"/>
                  <w:hideMark/>
                </w:tcPr>
                <w:p w14:paraId="32F9CA5A"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w:t>
                  </w:r>
                </w:p>
              </w:tc>
              <w:tc>
                <w:tcPr>
                  <w:tcW w:w="549" w:type="pct"/>
                  <w:noWrap/>
                  <w:vAlign w:val="center"/>
                  <w:hideMark/>
                </w:tcPr>
                <w:p w14:paraId="33D4BFF4"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55 692 000</w:t>
                  </w:r>
                </w:p>
              </w:tc>
              <w:tc>
                <w:tcPr>
                  <w:tcW w:w="579" w:type="pct"/>
                  <w:noWrap/>
                  <w:vAlign w:val="center"/>
                  <w:hideMark/>
                </w:tcPr>
                <w:p w14:paraId="03D4C4A4" w14:textId="5C651BC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6 836 230</w:t>
                  </w:r>
                </w:p>
              </w:tc>
            </w:tr>
            <w:tr w:rsidR="005B0912" w:rsidRPr="00997304" w14:paraId="494836ED" w14:textId="77777777" w:rsidTr="00172941">
              <w:trPr>
                <w:trHeight w:val="20"/>
              </w:trPr>
              <w:tc>
                <w:tcPr>
                  <w:tcW w:w="281" w:type="pct"/>
                  <w:vMerge/>
                  <w:vAlign w:val="center"/>
                  <w:hideMark/>
                </w:tcPr>
                <w:p w14:paraId="54EDE259" w14:textId="77777777" w:rsidR="005B0912" w:rsidRPr="00CF0410" w:rsidRDefault="005B0912" w:rsidP="004131A7">
                  <w:pPr>
                    <w:ind w:left="-57" w:right="-57"/>
                    <w:jc w:val="center"/>
                    <w:rPr>
                      <w:color w:val="000000" w:themeColor="text1"/>
                      <w:sz w:val="14"/>
                      <w:szCs w:val="14"/>
                      <w:lang w:val="pt-BR"/>
                    </w:rPr>
                  </w:pPr>
                </w:p>
              </w:tc>
              <w:tc>
                <w:tcPr>
                  <w:tcW w:w="348" w:type="pct"/>
                  <w:vMerge/>
                  <w:vAlign w:val="center"/>
                  <w:hideMark/>
                </w:tcPr>
                <w:p w14:paraId="45115F13" w14:textId="77777777" w:rsidR="005B0912" w:rsidRPr="00CF0410" w:rsidRDefault="005B0912" w:rsidP="004131A7">
                  <w:pPr>
                    <w:ind w:left="-57" w:right="-57"/>
                    <w:jc w:val="center"/>
                    <w:rPr>
                      <w:color w:val="000000" w:themeColor="text1"/>
                      <w:sz w:val="14"/>
                      <w:szCs w:val="14"/>
                      <w:lang w:val="pt-BR"/>
                    </w:rPr>
                  </w:pPr>
                </w:p>
              </w:tc>
              <w:tc>
                <w:tcPr>
                  <w:tcW w:w="496" w:type="pct"/>
                  <w:vMerge/>
                  <w:vAlign w:val="center"/>
                  <w:hideMark/>
                </w:tcPr>
                <w:p w14:paraId="46794793" w14:textId="77777777" w:rsidR="005B0912" w:rsidRPr="00CF0410" w:rsidRDefault="005B0912" w:rsidP="004131A7">
                  <w:pPr>
                    <w:ind w:left="-57" w:right="-57"/>
                    <w:jc w:val="center"/>
                    <w:rPr>
                      <w:color w:val="000000" w:themeColor="text1"/>
                      <w:sz w:val="14"/>
                      <w:szCs w:val="14"/>
                      <w:lang w:val="pt-BR"/>
                    </w:rPr>
                  </w:pPr>
                </w:p>
              </w:tc>
              <w:tc>
                <w:tcPr>
                  <w:tcW w:w="496" w:type="pct"/>
                  <w:vMerge/>
                  <w:vAlign w:val="center"/>
                  <w:hideMark/>
                </w:tcPr>
                <w:p w14:paraId="35BBACEB" w14:textId="77777777" w:rsidR="005B0912" w:rsidRPr="00CF0410" w:rsidRDefault="005B0912" w:rsidP="004131A7">
                  <w:pPr>
                    <w:ind w:left="-57" w:right="-57"/>
                    <w:jc w:val="center"/>
                    <w:rPr>
                      <w:color w:val="000000" w:themeColor="text1"/>
                      <w:sz w:val="14"/>
                      <w:szCs w:val="14"/>
                      <w:lang w:val="pt-BR"/>
                    </w:rPr>
                  </w:pPr>
                </w:p>
              </w:tc>
              <w:tc>
                <w:tcPr>
                  <w:tcW w:w="496" w:type="pct"/>
                  <w:vMerge/>
                  <w:vAlign w:val="center"/>
                  <w:hideMark/>
                </w:tcPr>
                <w:p w14:paraId="7BE57707" w14:textId="77777777" w:rsidR="005B0912" w:rsidRPr="00CF0410" w:rsidRDefault="005B0912" w:rsidP="004131A7">
                  <w:pPr>
                    <w:ind w:left="-57" w:right="-57"/>
                    <w:jc w:val="center"/>
                    <w:rPr>
                      <w:color w:val="000000" w:themeColor="text1"/>
                      <w:sz w:val="14"/>
                      <w:szCs w:val="14"/>
                      <w:lang w:val="pt-BR"/>
                    </w:rPr>
                  </w:pPr>
                </w:p>
              </w:tc>
              <w:tc>
                <w:tcPr>
                  <w:tcW w:w="460" w:type="pct"/>
                  <w:vMerge/>
                  <w:vAlign w:val="center"/>
                  <w:hideMark/>
                </w:tcPr>
                <w:p w14:paraId="2D144892" w14:textId="77777777" w:rsidR="005B0912" w:rsidRPr="00CF0410" w:rsidRDefault="005B0912" w:rsidP="004131A7">
                  <w:pPr>
                    <w:ind w:left="-57" w:right="-57"/>
                    <w:jc w:val="center"/>
                    <w:rPr>
                      <w:color w:val="000000" w:themeColor="text1"/>
                      <w:sz w:val="14"/>
                      <w:szCs w:val="14"/>
                      <w:lang w:val="pt-BR"/>
                    </w:rPr>
                  </w:pPr>
                </w:p>
              </w:tc>
              <w:tc>
                <w:tcPr>
                  <w:tcW w:w="640" w:type="pct"/>
                  <w:noWrap/>
                  <w:vAlign w:val="center"/>
                  <w:hideMark/>
                </w:tcPr>
                <w:p w14:paraId="7E30DAC8"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33%</w:t>
                  </w:r>
                </w:p>
              </w:tc>
              <w:tc>
                <w:tcPr>
                  <w:tcW w:w="655" w:type="pct"/>
                  <w:noWrap/>
                  <w:vAlign w:val="center"/>
                  <w:hideMark/>
                </w:tcPr>
                <w:p w14:paraId="33463161"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18 564 000</w:t>
                  </w:r>
                </w:p>
              </w:tc>
              <w:tc>
                <w:tcPr>
                  <w:tcW w:w="549" w:type="pct"/>
                  <w:noWrap/>
                  <w:vAlign w:val="center"/>
                  <w:hideMark/>
                </w:tcPr>
                <w:p w14:paraId="26E1207E"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37 128 000</w:t>
                  </w:r>
                </w:p>
              </w:tc>
              <w:tc>
                <w:tcPr>
                  <w:tcW w:w="579" w:type="pct"/>
                  <w:noWrap/>
                  <w:vAlign w:val="center"/>
                  <w:hideMark/>
                </w:tcPr>
                <w:p w14:paraId="25A85BD7" w14:textId="26B8DE83"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4 557 486</w:t>
                  </w:r>
                </w:p>
              </w:tc>
            </w:tr>
            <w:tr w:rsidR="005B0912" w:rsidRPr="00997304" w14:paraId="4EDAB04A" w14:textId="77777777" w:rsidTr="00172941">
              <w:trPr>
                <w:trHeight w:val="20"/>
              </w:trPr>
              <w:tc>
                <w:tcPr>
                  <w:tcW w:w="281" w:type="pct"/>
                  <w:vMerge w:val="restart"/>
                  <w:noWrap/>
                  <w:vAlign w:val="center"/>
                  <w:hideMark/>
                </w:tcPr>
                <w:p w14:paraId="689DA1D0"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2027</w:t>
                  </w:r>
                </w:p>
              </w:tc>
              <w:tc>
                <w:tcPr>
                  <w:tcW w:w="348" w:type="pct"/>
                  <w:vMerge w:val="restart"/>
                  <w:noWrap/>
                  <w:vAlign w:val="center"/>
                  <w:hideMark/>
                </w:tcPr>
                <w:p w14:paraId="02559E47"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44</w:t>
                  </w:r>
                </w:p>
              </w:tc>
              <w:tc>
                <w:tcPr>
                  <w:tcW w:w="496" w:type="pct"/>
                  <w:vMerge w:val="restart"/>
                  <w:noWrap/>
                  <w:vAlign w:val="center"/>
                  <w:hideMark/>
                </w:tcPr>
                <w:p w14:paraId="29A5CAFB"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572 000 000</w:t>
                  </w:r>
                </w:p>
              </w:tc>
              <w:tc>
                <w:tcPr>
                  <w:tcW w:w="496" w:type="pct"/>
                  <w:vMerge w:val="restart"/>
                  <w:noWrap/>
                  <w:vAlign w:val="center"/>
                  <w:hideMark/>
                </w:tcPr>
                <w:p w14:paraId="5868DA13"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400 400 000</w:t>
                  </w:r>
                </w:p>
              </w:tc>
              <w:tc>
                <w:tcPr>
                  <w:tcW w:w="496" w:type="pct"/>
                  <w:vMerge w:val="restart"/>
                  <w:noWrap/>
                  <w:vAlign w:val="center"/>
                  <w:hideMark/>
                </w:tcPr>
                <w:p w14:paraId="4982E20B"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171 600 000</w:t>
                  </w:r>
                </w:p>
              </w:tc>
              <w:tc>
                <w:tcPr>
                  <w:tcW w:w="460" w:type="pct"/>
                  <w:vMerge w:val="restart"/>
                  <w:noWrap/>
                  <w:vAlign w:val="center"/>
                  <w:hideMark/>
                </w:tcPr>
                <w:p w14:paraId="3D26A35A"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72 072 000</w:t>
                  </w:r>
                </w:p>
              </w:tc>
              <w:tc>
                <w:tcPr>
                  <w:tcW w:w="640" w:type="pct"/>
                  <w:noWrap/>
                  <w:vAlign w:val="center"/>
                  <w:hideMark/>
                </w:tcPr>
                <w:p w14:paraId="0E5587FE"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0%</w:t>
                  </w:r>
                </w:p>
              </w:tc>
              <w:tc>
                <w:tcPr>
                  <w:tcW w:w="655" w:type="pct"/>
                  <w:noWrap/>
                  <w:vAlign w:val="center"/>
                  <w:hideMark/>
                </w:tcPr>
                <w:p w14:paraId="024EDC04"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w:t>
                  </w:r>
                </w:p>
              </w:tc>
              <w:tc>
                <w:tcPr>
                  <w:tcW w:w="549" w:type="pct"/>
                  <w:noWrap/>
                  <w:vAlign w:val="center"/>
                  <w:hideMark/>
                </w:tcPr>
                <w:p w14:paraId="265B3688"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72 072 000</w:t>
                  </w:r>
                </w:p>
              </w:tc>
              <w:tc>
                <w:tcPr>
                  <w:tcW w:w="579" w:type="pct"/>
                  <w:noWrap/>
                  <w:vAlign w:val="center"/>
                  <w:hideMark/>
                </w:tcPr>
                <w:p w14:paraId="1447D847" w14:textId="4D076CD5"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8 846 885</w:t>
                  </w:r>
                </w:p>
              </w:tc>
            </w:tr>
            <w:tr w:rsidR="005B0912" w:rsidRPr="00997304" w14:paraId="1E47ACE9" w14:textId="77777777" w:rsidTr="00172941">
              <w:trPr>
                <w:trHeight w:val="20"/>
              </w:trPr>
              <w:tc>
                <w:tcPr>
                  <w:tcW w:w="281" w:type="pct"/>
                  <w:vMerge/>
                  <w:vAlign w:val="center"/>
                  <w:hideMark/>
                </w:tcPr>
                <w:p w14:paraId="0881BA10" w14:textId="77777777" w:rsidR="005B0912" w:rsidRPr="00CF0410" w:rsidRDefault="005B0912" w:rsidP="004131A7">
                  <w:pPr>
                    <w:jc w:val="center"/>
                    <w:rPr>
                      <w:color w:val="000000" w:themeColor="text1"/>
                      <w:sz w:val="14"/>
                      <w:szCs w:val="14"/>
                      <w:lang w:val="pt-BR"/>
                    </w:rPr>
                  </w:pPr>
                </w:p>
              </w:tc>
              <w:tc>
                <w:tcPr>
                  <w:tcW w:w="348" w:type="pct"/>
                  <w:vMerge/>
                  <w:vAlign w:val="center"/>
                  <w:hideMark/>
                </w:tcPr>
                <w:p w14:paraId="73CB9BA0" w14:textId="77777777" w:rsidR="005B0912" w:rsidRPr="00CF0410" w:rsidRDefault="005B0912" w:rsidP="004131A7">
                  <w:pPr>
                    <w:jc w:val="center"/>
                    <w:rPr>
                      <w:color w:val="000000" w:themeColor="text1"/>
                      <w:sz w:val="14"/>
                      <w:szCs w:val="14"/>
                      <w:lang w:val="pt-BR"/>
                    </w:rPr>
                  </w:pPr>
                </w:p>
              </w:tc>
              <w:tc>
                <w:tcPr>
                  <w:tcW w:w="496" w:type="pct"/>
                  <w:vMerge/>
                  <w:vAlign w:val="center"/>
                  <w:hideMark/>
                </w:tcPr>
                <w:p w14:paraId="651E4295" w14:textId="77777777" w:rsidR="005B0912" w:rsidRPr="00CF0410" w:rsidRDefault="005B0912" w:rsidP="004131A7">
                  <w:pPr>
                    <w:jc w:val="center"/>
                    <w:rPr>
                      <w:color w:val="000000" w:themeColor="text1"/>
                      <w:sz w:val="14"/>
                      <w:szCs w:val="14"/>
                      <w:lang w:val="pt-BR"/>
                    </w:rPr>
                  </w:pPr>
                </w:p>
              </w:tc>
              <w:tc>
                <w:tcPr>
                  <w:tcW w:w="496" w:type="pct"/>
                  <w:vMerge/>
                  <w:vAlign w:val="center"/>
                  <w:hideMark/>
                </w:tcPr>
                <w:p w14:paraId="54ED38E7" w14:textId="77777777" w:rsidR="005B0912" w:rsidRPr="00CF0410" w:rsidRDefault="005B0912" w:rsidP="004131A7">
                  <w:pPr>
                    <w:jc w:val="center"/>
                    <w:rPr>
                      <w:color w:val="000000" w:themeColor="text1"/>
                      <w:sz w:val="14"/>
                      <w:szCs w:val="14"/>
                      <w:lang w:val="pt-BR"/>
                    </w:rPr>
                  </w:pPr>
                </w:p>
              </w:tc>
              <w:tc>
                <w:tcPr>
                  <w:tcW w:w="496" w:type="pct"/>
                  <w:vMerge/>
                  <w:vAlign w:val="center"/>
                  <w:hideMark/>
                </w:tcPr>
                <w:p w14:paraId="2BACC98A" w14:textId="77777777" w:rsidR="005B0912" w:rsidRPr="00CF0410" w:rsidRDefault="005B0912" w:rsidP="004131A7">
                  <w:pPr>
                    <w:jc w:val="center"/>
                    <w:rPr>
                      <w:color w:val="000000" w:themeColor="text1"/>
                      <w:sz w:val="14"/>
                      <w:szCs w:val="14"/>
                      <w:lang w:val="pt-BR"/>
                    </w:rPr>
                  </w:pPr>
                </w:p>
              </w:tc>
              <w:tc>
                <w:tcPr>
                  <w:tcW w:w="460" w:type="pct"/>
                  <w:vMerge/>
                  <w:vAlign w:val="center"/>
                  <w:hideMark/>
                </w:tcPr>
                <w:p w14:paraId="1EBC81E3" w14:textId="77777777" w:rsidR="005B0912" w:rsidRPr="00CF0410" w:rsidRDefault="005B0912" w:rsidP="004131A7">
                  <w:pPr>
                    <w:jc w:val="center"/>
                    <w:rPr>
                      <w:color w:val="000000" w:themeColor="text1"/>
                      <w:sz w:val="14"/>
                      <w:szCs w:val="14"/>
                      <w:lang w:val="pt-BR"/>
                    </w:rPr>
                  </w:pPr>
                </w:p>
              </w:tc>
              <w:tc>
                <w:tcPr>
                  <w:tcW w:w="640" w:type="pct"/>
                  <w:noWrap/>
                  <w:vAlign w:val="center"/>
                  <w:hideMark/>
                </w:tcPr>
                <w:p w14:paraId="40CF9145"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17%</w:t>
                  </w:r>
                </w:p>
              </w:tc>
              <w:tc>
                <w:tcPr>
                  <w:tcW w:w="655" w:type="pct"/>
                  <w:noWrap/>
                  <w:vAlign w:val="center"/>
                  <w:hideMark/>
                </w:tcPr>
                <w:p w14:paraId="7604D98E"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12 012 000</w:t>
                  </w:r>
                </w:p>
              </w:tc>
              <w:tc>
                <w:tcPr>
                  <w:tcW w:w="549" w:type="pct"/>
                  <w:noWrap/>
                  <w:vAlign w:val="center"/>
                  <w:hideMark/>
                </w:tcPr>
                <w:p w14:paraId="331B2675"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60 060 000</w:t>
                  </w:r>
                </w:p>
              </w:tc>
              <w:tc>
                <w:tcPr>
                  <w:tcW w:w="579" w:type="pct"/>
                  <w:noWrap/>
                  <w:vAlign w:val="center"/>
                  <w:hideMark/>
                </w:tcPr>
                <w:p w14:paraId="339F125F" w14:textId="28157F4E"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7 372 404</w:t>
                  </w:r>
                </w:p>
              </w:tc>
            </w:tr>
            <w:tr w:rsidR="005B0912" w:rsidRPr="00997304" w14:paraId="4D92A0CB" w14:textId="77777777" w:rsidTr="00172941">
              <w:trPr>
                <w:trHeight w:val="20"/>
              </w:trPr>
              <w:tc>
                <w:tcPr>
                  <w:tcW w:w="3872" w:type="pct"/>
                  <w:gridSpan w:val="8"/>
                  <w:vAlign w:val="center"/>
                </w:tcPr>
                <w:p w14:paraId="602505B3"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 xml:space="preserve">Total – </w:t>
                  </w:r>
                  <w:proofErr w:type="spellStart"/>
                  <w:r w:rsidRPr="00CF0410">
                    <w:rPr>
                      <w:color w:val="000000" w:themeColor="text1"/>
                      <w:sz w:val="14"/>
                      <w:szCs w:val="14"/>
                      <w:lang w:val="pt-BR"/>
                    </w:rPr>
                    <w:t>scenariu</w:t>
                  </w:r>
                  <w:proofErr w:type="spellEnd"/>
                  <w:r w:rsidRPr="00CF0410">
                    <w:rPr>
                      <w:color w:val="000000" w:themeColor="text1"/>
                      <w:sz w:val="14"/>
                      <w:szCs w:val="14"/>
                      <w:lang w:val="pt-BR"/>
                    </w:rPr>
                    <w:t xml:space="preserve"> </w:t>
                  </w:r>
                  <w:proofErr w:type="spellStart"/>
                  <w:r w:rsidRPr="00CF0410">
                    <w:rPr>
                      <w:color w:val="000000" w:themeColor="text1"/>
                      <w:sz w:val="14"/>
                      <w:szCs w:val="14"/>
                      <w:lang w:val="pt-BR"/>
                    </w:rPr>
                    <w:t>minim</w:t>
                  </w:r>
                  <w:proofErr w:type="spellEnd"/>
                  <w:r w:rsidRPr="00CF0410">
                    <w:rPr>
                      <w:color w:val="000000" w:themeColor="text1"/>
                      <w:sz w:val="14"/>
                      <w:szCs w:val="14"/>
                      <w:lang w:val="pt-BR"/>
                    </w:rPr>
                    <w:t>, lei</w:t>
                  </w:r>
                </w:p>
              </w:tc>
              <w:tc>
                <w:tcPr>
                  <w:tcW w:w="549" w:type="pct"/>
                  <w:noWrap/>
                  <w:vAlign w:val="center"/>
                </w:tcPr>
                <w:p w14:paraId="07589C4B"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 xml:space="preserve">105 378 000   </w:t>
                  </w:r>
                </w:p>
              </w:tc>
              <w:tc>
                <w:tcPr>
                  <w:tcW w:w="579" w:type="pct"/>
                  <w:noWrap/>
                  <w:vAlign w:val="center"/>
                </w:tcPr>
                <w:p w14:paraId="6D708AD0" w14:textId="2B7A3E6F"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 xml:space="preserve">12 935 219   </w:t>
                  </w:r>
                </w:p>
              </w:tc>
            </w:tr>
            <w:tr w:rsidR="005B0912" w:rsidRPr="00997304" w14:paraId="614DF6F5" w14:textId="77777777" w:rsidTr="00172941">
              <w:trPr>
                <w:trHeight w:val="20"/>
              </w:trPr>
              <w:tc>
                <w:tcPr>
                  <w:tcW w:w="3872" w:type="pct"/>
                  <w:gridSpan w:val="8"/>
                  <w:vAlign w:val="center"/>
                </w:tcPr>
                <w:p w14:paraId="7E3E5355"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 xml:space="preserve">Total – </w:t>
                  </w:r>
                  <w:proofErr w:type="spellStart"/>
                  <w:r w:rsidRPr="00CF0410">
                    <w:rPr>
                      <w:color w:val="000000" w:themeColor="text1"/>
                      <w:sz w:val="14"/>
                      <w:szCs w:val="14"/>
                      <w:lang w:val="pt-BR"/>
                    </w:rPr>
                    <w:t>scenariu</w:t>
                  </w:r>
                  <w:proofErr w:type="spellEnd"/>
                  <w:r w:rsidRPr="00CF0410">
                    <w:rPr>
                      <w:color w:val="000000" w:themeColor="text1"/>
                      <w:sz w:val="14"/>
                      <w:szCs w:val="14"/>
                      <w:lang w:val="pt-BR"/>
                    </w:rPr>
                    <w:t xml:space="preserve"> </w:t>
                  </w:r>
                  <w:proofErr w:type="spellStart"/>
                  <w:r w:rsidRPr="00CF0410">
                    <w:rPr>
                      <w:color w:val="000000" w:themeColor="text1"/>
                      <w:sz w:val="14"/>
                      <w:szCs w:val="14"/>
                      <w:lang w:val="pt-BR"/>
                    </w:rPr>
                    <w:t>maxim</w:t>
                  </w:r>
                  <w:proofErr w:type="spellEnd"/>
                  <w:r w:rsidRPr="00CF0410">
                    <w:rPr>
                      <w:color w:val="000000" w:themeColor="text1"/>
                      <w:sz w:val="14"/>
                      <w:szCs w:val="14"/>
                      <w:lang w:val="pt-BR"/>
                    </w:rPr>
                    <w:t>, lei</w:t>
                  </w:r>
                </w:p>
              </w:tc>
              <w:tc>
                <w:tcPr>
                  <w:tcW w:w="549" w:type="pct"/>
                  <w:noWrap/>
                  <w:vAlign w:val="center"/>
                </w:tcPr>
                <w:p w14:paraId="380FD2A0" w14:textId="77777777"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 xml:space="preserve">144 144 000   </w:t>
                  </w:r>
                </w:p>
              </w:tc>
              <w:tc>
                <w:tcPr>
                  <w:tcW w:w="579" w:type="pct"/>
                  <w:noWrap/>
                  <w:vAlign w:val="center"/>
                </w:tcPr>
                <w:p w14:paraId="52100995" w14:textId="763A61BC" w:rsidR="005B0912" w:rsidRPr="00CF0410" w:rsidRDefault="005B0912" w:rsidP="004131A7">
                  <w:pPr>
                    <w:ind w:left="-57" w:right="-57"/>
                    <w:jc w:val="center"/>
                    <w:rPr>
                      <w:color w:val="000000" w:themeColor="text1"/>
                      <w:sz w:val="14"/>
                      <w:szCs w:val="14"/>
                      <w:lang w:val="pt-BR"/>
                    </w:rPr>
                  </w:pPr>
                  <w:r w:rsidRPr="00CF0410">
                    <w:rPr>
                      <w:color w:val="000000" w:themeColor="text1"/>
                      <w:sz w:val="14"/>
                      <w:szCs w:val="14"/>
                      <w:lang w:val="pt-BR"/>
                    </w:rPr>
                    <w:t xml:space="preserve">17 693 771   </w:t>
                  </w:r>
                </w:p>
              </w:tc>
            </w:tr>
          </w:tbl>
          <w:p w14:paraId="73C02A1D" w14:textId="41794410" w:rsidR="005B0912" w:rsidRDefault="005B0912" w:rsidP="00457286">
            <w:pPr>
              <w:spacing w:before="120" w:after="120"/>
              <w:jc w:val="both"/>
              <w:rPr>
                <w:rFonts w:ascii="Times New Roman" w:hAnsi="Times New Roman"/>
                <w:lang w:val="ro-RO"/>
              </w:rPr>
            </w:pPr>
            <w:r>
              <w:rPr>
                <w:rFonts w:ascii="Times New Roman" w:hAnsi="Times New Roman"/>
                <w:lang w:val="ro-RO"/>
              </w:rPr>
              <w:t xml:space="preserve">Pentru ambele scenarii (minim </w:t>
            </w:r>
            <w:r>
              <w:rPr>
                <w:rFonts w:ascii="Times New Roman" w:hAnsi="Times New Roman"/>
                <w:lang w:val="ro-MD"/>
              </w:rPr>
              <w:t>ș</w:t>
            </w:r>
            <w:r>
              <w:rPr>
                <w:rFonts w:ascii="Times New Roman" w:hAnsi="Times New Roman"/>
                <w:lang w:val="ro-RO"/>
              </w:rPr>
              <w:t>i maxim) prezentate în tabelul de mai sus au fost efectuate estimările pentru plățile ce urmează a fi realizate de IP CNED pentru perioada 2025-2027 pentru acoperirea compensațiilor financiare și a garanțiilor financiare, inclusiv pentru executarea acestora.</w:t>
            </w:r>
          </w:p>
          <w:p w14:paraId="1F63CA4E" w14:textId="2BE2EA1F" w:rsidR="005B0912" w:rsidRDefault="005B0912" w:rsidP="00457286">
            <w:pPr>
              <w:spacing w:before="120" w:after="120"/>
              <w:jc w:val="both"/>
              <w:rPr>
                <w:rFonts w:ascii="Times New Roman" w:hAnsi="Times New Roman"/>
                <w:lang w:val="ro-RO"/>
              </w:rPr>
            </w:pPr>
            <w:r>
              <w:rPr>
                <w:rFonts w:ascii="Times New Roman" w:hAnsi="Times New Roman"/>
                <w:lang w:val="ro-RO"/>
              </w:rPr>
              <w:t xml:space="preserve">Tabelul 2. </w:t>
            </w:r>
            <w:r w:rsidR="00172941" w:rsidRPr="005B0912">
              <w:rPr>
                <w:rFonts w:ascii="Times New Roman" w:hAnsi="Times New Roman"/>
                <w:lang w:val="ro-RO"/>
              </w:rPr>
              <w:t>Situația</w:t>
            </w:r>
            <w:r w:rsidRPr="005B0912">
              <w:rPr>
                <w:rFonts w:ascii="Times New Roman" w:hAnsi="Times New Roman"/>
                <w:lang w:val="ro-RO"/>
              </w:rPr>
              <w:t xml:space="preserve"> Fluxurilor financiare pentru creditele acordate in perioada 2025-2027) - </w:t>
            </w:r>
            <w:r w:rsidRPr="00172941">
              <w:rPr>
                <w:b/>
                <w:bCs/>
                <w:u w:val="single"/>
                <w:lang w:val="ro-RO"/>
              </w:rPr>
              <w:t xml:space="preserve">Scenariul </w:t>
            </w:r>
            <w:r w:rsidR="00281FC0" w:rsidRPr="00172941">
              <w:rPr>
                <w:b/>
                <w:bCs/>
                <w:u w:val="single"/>
                <w:lang w:val="ro-RO"/>
              </w:rPr>
              <w:t>minim</w:t>
            </w:r>
          </w:p>
          <w:p w14:paraId="15709203" w14:textId="24F2B07B" w:rsidR="005B0912" w:rsidRPr="00172941" w:rsidRDefault="005B0912" w:rsidP="00457286">
            <w:pPr>
              <w:spacing w:before="120" w:after="120"/>
              <w:jc w:val="both"/>
              <w:rPr>
                <w:rFonts w:ascii="Times New Roman" w:hAnsi="Times New Roman"/>
                <w:lang w:val="pt-BR"/>
              </w:rPr>
            </w:pPr>
            <w:r w:rsidRPr="005B0912">
              <w:rPr>
                <w:noProof/>
                <w:lang w:val="pt-BR"/>
              </w:rPr>
              <w:drawing>
                <wp:inline distT="0" distB="0" distL="0" distR="0" wp14:anchorId="0D692558" wp14:editId="4294EF3A">
                  <wp:extent cx="5851525" cy="2453825"/>
                  <wp:effectExtent l="0" t="0" r="0" b="3810"/>
                  <wp:docPr id="630201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01758" name=""/>
                          <pic:cNvPicPr/>
                        </pic:nvPicPr>
                        <pic:blipFill>
                          <a:blip r:embed="rId11"/>
                          <a:stretch>
                            <a:fillRect/>
                          </a:stretch>
                        </pic:blipFill>
                        <pic:spPr>
                          <a:xfrm>
                            <a:off x="0" y="0"/>
                            <a:ext cx="5862889" cy="2458590"/>
                          </a:xfrm>
                          <a:prstGeom prst="rect">
                            <a:avLst/>
                          </a:prstGeom>
                        </pic:spPr>
                      </pic:pic>
                    </a:graphicData>
                  </a:graphic>
                </wp:inline>
              </w:drawing>
            </w:r>
          </w:p>
          <w:p w14:paraId="181EB0CB" w14:textId="73BEEEC4" w:rsidR="005B0912" w:rsidRPr="00172941" w:rsidRDefault="00281FC0" w:rsidP="00457286">
            <w:pPr>
              <w:spacing w:before="120" w:after="120"/>
              <w:jc w:val="both"/>
              <w:rPr>
                <w:rFonts w:ascii="Times New Roman" w:hAnsi="Times New Roman"/>
                <w:b/>
                <w:bCs/>
                <w:u w:val="single"/>
                <w:lang w:val="ro-RO"/>
              </w:rPr>
            </w:pPr>
            <w:r w:rsidRPr="00172941">
              <w:rPr>
                <w:b/>
                <w:bCs/>
                <w:u w:val="single"/>
                <w:lang w:val="ro-RO"/>
              </w:rPr>
              <w:t>Scenariul  maxim</w:t>
            </w:r>
          </w:p>
          <w:p w14:paraId="0FB4D834" w14:textId="66415259" w:rsidR="00281FC0" w:rsidRDefault="00281FC0" w:rsidP="00457286">
            <w:pPr>
              <w:spacing w:before="120" w:after="120"/>
              <w:jc w:val="both"/>
              <w:rPr>
                <w:rFonts w:ascii="Times New Roman" w:hAnsi="Times New Roman"/>
                <w:lang w:val="ro-RO"/>
              </w:rPr>
            </w:pPr>
            <w:r w:rsidRPr="00281FC0">
              <w:rPr>
                <w:noProof/>
                <w:lang w:val="ro-RO"/>
              </w:rPr>
              <w:lastRenderedPageBreak/>
              <w:drawing>
                <wp:inline distT="0" distB="0" distL="0" distR="0" wp14:anchorId="73010495" wp14:editId="0DF8943B">
                  <wp:extent cx="5826125" cy="2564616"/>
                  <wp:effectExtent l="0" t="0" r="3175" b="7620"/>
                  <wp:docPr id="394324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324040" name=""/>
                          <pic:cNvPicPr/>
                        </pic:nvPicPr>
                        <pic:blipFill>
                          <a:blip r:embed="rId12"/>
                          <a:stretch>
                            <a:fillRect/>
                          </a:stretch>
                        </pic:blipFill>
                        <pic:spPr>
                          <a:xfrm>
                            <a:off x="0" y="0"/>
                            <a:ext cx="5835259" cy="2568637"/>
                          </a:xfrm>
                          <a:prstGeom prst="rect">
                            <a:avLst/>
                          </a:prstGeom>
                        </pic:spPr>
                      </pic:pic>
                    </a:graphicData>
                  </a:graphic>
                </wp:inline>
              </w:drawing>
            </w:r>
          </w:p>
          <w:p w14:paraId="0FD81962" w14:textId="525E5359" w:rsidR="00C732A5" w:rsidRDefault="00C732A5" w:rsidP="00457286">
            <w:pPr>
              <w:spacing w:before="120" w:after="120"/>
              <w:jc w:val="both"/>
              <w:rPr>
                <w:rFonts w:ascii="Times New Roman" w:hAnsi="Times New Roman"/>
                <w:lang w:val="ro-RO"/>
              </w:rPr>
            </w:pPr>
            <w:r>
              <w:rPr>
                <w:rFonts w:ascii="Times New Roman" w:hAnsi="Times New Roman"/>
                <w:lang w:val="ro-RO"/>
              </w:rPr>
              <w:t>Având în vedere faptul că</w:t>
            </w:r>
            <w:r w:rsidR="00EB4E93">
              <w:rPr>
                <w:rFonts w:ascii="Times New Roman" w:hAnsi="Times New Roman"/>
                <w:lang w:val="ro-RO"/>
              </w:rPr>
              <w:t>,</w:t>
            </w:r>
            <w:r>
              <w:rPr>
                <w:rFonts w:ascii="Times New Roman" w:hAnsi="Times New Roman"/>
                <w:lang w:val="ro-RO"/>
              </w:rPr>
              <w:t xml:space="preserve"> până la moment nu există </w:t>
            </w:r>
            <w:r w:rsidR="003C2D71">
              <w:rPr>
                <w:rFonts w:ascii="Times New Roman" w:hAnsi="Times New Roman"/>
                <w:lang w:val="ro-RO"/>
              </w:rPr>
              <w:t>suficientă</w:t>
            </w:r>
            <w:r>
              <w:rPr>
                <w:rFonts w:ascii="Times New Roman" w:hAnsi="Times New Roman"/>
                <w:lang w:val="ro-RO"/>
              </w:rPr>
              <w:t xml:space="preserve"> experiență</w:t>
            </w:r>
            <w:r w:rsidR="00EB4E93">
              <w:rPr>
                <w:rFonts w:ascii="Times New Roman" w:hAnsi="Times New Roman"/>
                <w:lang w:val="ro-RO"/>
              </w:rPr>
              <w:t xml:space="preserve"> </w:t>
            </w:r>
            <w:r>
              <w:rPr>
                <w:rFonts w:ascii="Times New Roman" w:hAnsi="Times New Roman"/>
                <w:lang w:val="ro-RO"/>
              </w:rPr>
              <w:t>cu privire la creditele luate de asociații</w:t>
            </w:r>
            <w:r w:rsidR="00EB4E93">
              <w:rPr>
                <w:rFonts w:ascii="Times New Roman" w:hAnsi="Times New Roman"/>
                <w:lang w:val="ro-RO"/>
              </w:rPr>
              <w:t>le</w:t>
            </w:r>
            <w:r>
              <w:rPr>
                <w:rFonts w:ascii="Times New Roman" w:hAnsi="Times New Roman"/>
                <w:lang w:val="ro-RO"/>
              </w:rPr>
              <w:t xml:space="preserve"> de proprietari în condominiu de la băncile comerciale, pe motiv că numărul de credite acordate acestora este foarte mic sau chiar nu există în cazul unor bănci comerciale, pentru estimarea riscului creditelor neperformante pentru garanțiile financiare ce urmează a fi acordate de IP CNED, în calcule a fost luată rata de </w:t>
            </w:r>
            <w:r w:rsidR="009B6342">
              <w:rPr>
                <w:rFonts w:ascii="Times New Roman" w:hAnsi="Times New Roman"/>
                <w:lang w:val="ro-RO"/>
              </w:rPr>
              <w:t>20</w:t>
            </w:r>
            <w:r>
              <w:rPr>
                <w:rFonts w:ascii="Times New Roman" w:hAnsi="Times New Roman"/>
                <w:lang w:val="ro-RO"/>
              </w:rPr>
              <w:t xml:space="preserve">%, care </w:t>
            </w:r>
            <w:r w:rsidR="009B6342">
              <w:rPr>
                <w:rFonts w:ascii="Times New Roman" w:hAnsi="Times New Roman"/>
                <w:lang w:val="ro-RO"/>
              </w:rPr>
              <w:t xml:space="preserve">este </w:t>
            </w:r>
            <w:r>
              <w:rPr>
                <w:rFonts w:ascii="Times New Roman" w:hAnsi="Times New Roman"/>
                <w:lang w:val="ro-RO"/>
              </w:rPr>
              <w:t xml:space="preserve">mai mare </w:t>
            </w:r>
            <w:r w:rsidR="009B6342">
              <w:rPr>
                <w:rFonts w:ascii="Times New Roman" w:hAnsi="Times New Roman"/>
                <w:lang w:val="ro-RO"/>
              </w:rPr>
              <w:t xml:space="preserve">cu cca. 4.5% comparativ cu </w:t>
            </w:r>
            <w:r>
              <w:rPr>
                <w:rFonts w:ascii="Times New Roman" w:hAnsi="Times New Roman"/>
                <w:lang w:val="ro-RO"/>
              </w:rPr>
              <w:t xml:space="preserve">rată </w:t>
            </w:r>
            <w:r w:rsidR="00EB4E93">
              <w:rPr>
                <w:rFonts w:ascii="Times New Roman" w:hAnsi="Times New Roman"/>
                <w:lang w:val="ro-RO"/>
              </w:rPr>
              <w:t xml:space="preserve">pentru creditele neperformante acordate </w:t>
            </w:r>
            <w:r w:rsidR="009B6342">
              <w:rPr>
                <w:rFonts w:ascii="Times New Roman" w:hAnsi="Times New Roman"/>
                <w:lang w:val="ro-RO"/>
              </w:rPr>
              <w:t xml:space="preserve">solicitanților din sectorului agricol, care reprezintă unul dintre cele mai riscante sectoare sub aspectul creditelor neperformante acordate până în anul 2023 conform datelor publicate de Banca Națională a Moldovei în cadrul </w:t>
            </w:r>
            <w:r w:rsidR="009B6342" w:rsidRPr="00AB2653">
              <w:rPr>
                <w:rFonts w:ascii="Times New Roman" w:hAnsi="Times New Roman"/>
                <w:lang w:val="ro-RO"/>
              </w:rPr>
              <w:t>Raport</w:t>
            </w:r>
            <w:r w:rsidR="009B6342">
              <w:rPr>
                <w:rFonts w:ascii="Times New Roman" w:hAnsi="Times New Roman"/>
                <w:lang w:val="ro-RO"/>
              </w:rPr>
              <w:t>ului</w:t>
            </w:r>
            <w:r w:rsidR="009B6342" w:rsidRPr="00AB2653">
              <w:rPr>
                <w:rFonts w:ascii="Times New Roman" w:hAnsi="Times New Roman"/>
                <w:lang w:val="ro-RO"/>
              </w:rPr>
              <w:t xml:space="preserve"> asupra stabilității financiare </w:t>
            </w:r>
            <w:r w:rsidR="009B6342">
              <w:rPr>
                <w:rFonts w:ascii="Times New Roman" w:hAnsi="Times New Roman"/>
                <w:lang w:val="ro-RO"/>
              </w:rPr>
              <w:t xml:space="preserve">pentru anul </w:t>
            </w:r>
            <w:r w:rsidR="009B6342" w:rsidRPr="00AB2653">
              <w:rPr>
                <w:rFonts w:ascii="Times New Roman" w:hAnsi="Times New Roman"/>
                <w:lang w:val="ro-RO"/>
              </w:rPr>
              <w:t>2023</w:t>
            </w:r>
            <w:r w:rsidR="009B6342">
              <w:rPr>
                <w:rStyle w:val="FootnoteReference"/>
                <w:rFonts w:ascii="Times New Roman" w:hAnsi="Times New Roman"/>
                <w:lang w:val="ro-RO"/>
              </w:rPr>
              <w:footnoteReference w:id="1"/>
            </w:r>
            <w:r w:rsidR="009B6342">
              <w:rPr>
                <w:rFonts w:ascii="Times New Roman" w:hAnsi="Times New Roman"/>
                <w:lang w:val="ro-RO"/>
              </w:rPr>
              <w:t xml:space="preserve"> (a se vedea tabelul 2).</w:t>
            </w:r>
          </w:p>
          <w:p w14:paraId="02888C05" w14:textId="34818680" w:rsidR="00AB2653" w:rsidRPr="00172941" w:rsidRDefault="00AB2653" w:rsidP="00457286">
            <w:pPr>
              <w:spacing w:before="120" w:after="120"/>
              <w:jc w:val="both"/>
              <w:rPr>
                <w:rFonts w:ascii="Times New Roman" w:hAnsi="Times New Roman"/>
                <w:lang w:val="ro-RO"/>
              </w:rPr>
            </w:pPr>
            <w:r w:rsidRPr="00172941">
              <w:rPr>
                <w:rFonts w:ascii="Times New Roman" w:hAnsi="Times New Roman"/>
                <w:b/>
                <w:bCs/>
                <w:lang w:val="ro-RO"/>
              </w:rPr>
              <w:t>Tabelul 2</w:t>
            </w:r>
            <w:r w:rsidRPr="00172941">
              <w:rPr>
                <w:rFonts w:ascii="Times New Roman" w:hAnsi="Times New Roman"/>
                <w:lang w:val="ro-RO"/>
              </w:rPr>
              <w:t>. Rata creditelor neperformante pe tipuri de credite și ramuri de activitate</w:t>
            </w:r>
          </w:p>
          <w:tbl>
            <w:tblPr>
              <w:tblStyle w:val="TableGrid"/>
              <w:tblW w:w="0" w:type="auto"/>
              <w:tblLook w:val="04A0" w:firstRow="1" w:lastRow="0" w:firstColumn="1" w:lastColumn="0" w:noHBand="0" w:noVBand="1"/>
            </w:tblPr>
            <w:tblGrid>
              <w:gridCol w:w="591"/>
              <w:gridCol w:w="3052"/>
              <w:gridCol w:w="1822"/>
              <w:gridCol w:w="1822"/>
              <w:gridCol w:w="1822"/>
            </w:tblGrid>
            <w:tr w:rsidR="00AB2653" w:rsidRPr="00172941" w14:paraId="04FA77FC" w14:textId="77777777" w:rsidTr="00172941">
              <w:trPr>
                <w:trHeight w:val="400"/>
              </w:trPr>
              <w:tc>
                <w:tcPr>
                  <w:tcW w:w="591" w:type="dxa"/>
                  <w:vMerge w:val="restart"/>
                  <w:shd w:val="clear" w:color="auto" w:fill="C6D9F1" w:themeFill="text2" w:themeFillTint="33"/>
                  <w:vAlign w:val="center"/>
                </w:tcPr>
                <w:p w14:paraId="4E8F3F67" w14:textId="7D1D876A" w:rsidR="00AB2653" w:rsidRPr="00172941" w:rsidRDefault="00AB2653" w:rsidP="00172941">
                  <w:pPr>
                    <w:jc w:val="center"/>
                    <w:rPr>
                      <w:rFonts w:ascii="Times New Roman" w:hAnsi="Times New Roman"/>
                      <w:b/>
                      <w:bCs/>
                      <w:sz w:val="22"/>
                      <w:szCs w:val="22"/>
                      <w:lang w:val="ro-RO"/>
                    </w:rPr>
                  </w:pPr>
                  <w:r w:rsidRPr="00172941">
                    <w:rPr>
                      <w:rFonts w:ascii="Times New Roman" w:hAnsi="Times New Roman"/>
                      <w:b/>
                      <w:bCs/>
                      <w:sz w:val="22"/>
                      <w:szCs w:val="22"/>
                      <w:lang w:val="ro-RO"/>
                    </w:rPr>
                    <w:t>Nr.</w:t>
                  </w:r>
                </w:p>
              </w:tc>
              <w:tc>
                <w:tcPr>
                  <w:tcW w:w="3052" w:type="dxa"/>
                  <w:vMerge w:val="restart"/>
                  <w:shd w:val="clear" w:color="auto" w:fill="C6D9F1" w:themeFill="text2" w:themeFillTint="33"/>
                  <w:vAlign w:val="center"/>
                </w:tcPr>
                <w:p w14:paraId="68802297" w14:textId="40CD7680" w:rsidR="00AB2653" w:rsidRPr="00172941" w:rsidRDefault="00AB2653" w:rsidP="00172941">
                  <w:pPr>
                    <w:jc w:val="center"/>
                    <w:rPr>
                      <w:rFonts w:ascii="Times New Roman" w:hAnsi="Times New Roman"/>
                      <w:b/>
                      <w:bCs/>
                      <w:sz w:val="22"/>
                      <w:szCs w:val="22"/>
                      <w:lang w:val="ro-RO"/>
                    </w:rPr>
                  </w:pPr>
                  <w:r w:rsidRPr="00172941">
                    <w:rPr>
                      <w:rFonts w:ascii="Times New Roman" w:hAnsi="Times New Roman"/>
                      <w:b/>
                      <w:bCs/>
                      <w:sz w:val="22"/>
                      <w:szCs w:val="22"/>
                      <w:lang w:val="ro-RO"/>
                    </w:rPr>
                    <w:t>Denumirea ramurii debitorului</w:t>
                  </w:r>
                </w:p>
              </w:tc>
              <w:tc>
                <w:tcPr>
                  <w:tcW w:w="1822" w:type="dxa"/>
                  <w:vMerge w:val="restart"/>
                  <w:shd w:val="clear" w:color="auto" w:fill="C6D9F1" w:themeFill="text2" w:themeFillTint="33"/>
                  <w:vAlign w:val="center"/>
                </w:tcPr>
                <w:p w14:paraId="16BBE256" w14:textId="39BFB4D2" w:rsidR="00AB2653" w:rsidRPr="00172941" w:rsidRDefault="00AB2653" w:rsidP="00172941">
                  <w:pPr>
                    <w:jc w:val="center"/>
                    <w:rPr>
                      <w:rFonts w:ascii="Times New Roman" w:hAnsi="Times New Roman"/>
                      <w:b/>
                      <w:bCs/>
                      <w:sz w:val="22"/>
                      <w:szCs w:val="22"/>
                      <w:lang w:val="ro-RO"/>
                    </w:rPr>
                  </w:pPr>
                  <w:r w:rsidRPr="00172941">
                    <w:rPr>
                      <w:rFonts w:ascii="Times New Roman" w:hAnsi="Times New Roman"/>
                      <w:b/>
                      <w:bCs/>
                      <w:sz w:val="22"/>
                      <w:szCs w:val="22"/>
                      <w:lang w:val="ro-RO"/>
                    </w:rPr>
                    <w:t>Sold 2023, mil. MDL</w:t>
                  </w:r>
                </w:p>
              </w:tc>
              <w:tc>
                <w:tcPr>
                  <w:tcW w:w="3644" w:type="dxa"/>
                  <w:gridSpan w:val="2"/>
                  <w:tcBorders>
                    <w:bottom w:val="single" w:sz="4" w:space="0" w:color="auto"/>
                  </w:tcBorders>
                  <w:shd w:val="clear" w:color="auto" w:fill="C6D9F1" w:themeFill="text2" w:themeFillTint="33"/>
                  <w:vAlign w:val="center"/>
                </w:tcPr>
                <w:p w14:paraId="6C333EBB" w14:textId="30355987" w:rsidR="00AB2653" w:rsidRPr="00172941" w:rsidRDefault="00AB2653" w:rsidP="00172941">
                  <w:pPr>
                    <w:jc w:val="center"/>
                    <w:rPr>
                      <w:rFonts w:ascii="Times New Roman" w:hAnsi="Times New Roman"/>
                      <w:b/>
                      <w:bCs/>
                      <w:sz w:val="22"/>
                      <w:szCs w:val="22"/>
                      <w:lang w:val="ro-RO"/>
                    </w:rPr>
                  </w:pPr>
                  <w:r w:rsidRPr="00172941">
                    <w:rPr>
                      <w:rFonts w:ascii="Times New Roman" w:hAnsi="Times New Roman"/>
                      <w:b/>
                      <w:bCs/>
                      <w:sz w:val="22"/>
                      <w:szCs w:val="22"/>
                      <w:lang w:val="ro-RO"/>
                    </w:rPr>
                    <w:t>Rata creditelor neperformante</w:t>
                  </w:r>
                  <w:r w:rsidR="00ED29FB" w:rsidRPr="00172941">
                    <w:rPr>
                      <w:rFonts w:ascii="Times New Roman" w:hAnsi="Times New Roman"/>
                      <w:b/>
                      <w:bCs/>
                      <w:sz w:val="22"/>
                      <w:szCs w:val="22"/>
                      <w:lang w:val="ro-RO"/>
                    </w:rPr>
                    <w:t>, %</w:t>
                  </w:r>
                </w:p>
              </w:tc>
            </w:tr>
            <w:tr w:rsidR="00AB2653" w:rsidRPr="00172941" w14:paraId="1785AF92" w14:textId="77777777" w:rsidTr="00172941">
              <w:trPr>
                <w:trHeight w:val="426"/>
              </w:trPr>
              <w:tc>
                <w:tcPr>
                  <w:tcW w:w="591" w:type="dxa"/>
                  <w:vMerge/>
                  <w:shd w:val="clear" w:color="auto" w:fill="C6D9F1" w:themeFill="text2" w:themeFillTint="33"/>
                  <w:vAlign w:val="center"/>
                </w:tcPr>
                <w:p w14:paraId="4CFAC332" w14:textId="77777777" w:rsidR="00AB2653" w:rsidRPr="00172941" w:rsidRDefault="00AB2653" w:rsidP="00172941">
                  <w:pPr>
                    <w:jc w:val="center"/>
                    <w:rPr>
                      <w:rFonts w:ascii="Times New Roman" w:hAnsi="Times New Roman"/>
                      <w:b/>
                      <w:bCs/>
                      <w:sz w:val="22"/>
                      <w:szCs w:val="22"/>
                      <w:lang w:val="ro-RO"/>
                    </w:rPr>
                  </w:pPr>
                </w:p>
              </w:tc>
              <w:tc>
                <w:tcPr>
                  <w:tcW w:w="3052" w:type="dxa"/>
                  <w:vMerge/>
                  <w:shd w:val="clear" w:color="auto" w:fill="C6D9F1" w:themeFill="text2" w:themeFillTint="33"/>
                  <w:vAlign w:val="center"/>
                </w:tcPr>
                <w:p w14:paraId="4B1F281C" w14:textId="77777777" w:rsidR="00AB2653" w:rsidRPr="00172941" w:rsidRDefault="00AB2653" w:rsidP="00172941">
                  <w:pPr>
                    <w:jc w:val="center"/>
                    <w:rPr>
                      <w:rFonts w:ascii="Times New Roman" w:hAnsi="Times New Roman"/>
                      <w:b/>
                      <w:bCs/>
                      <w:sz w:val="22"/>
                      <w:szCs w:val="22"/>
                      <w:lang w:val="ro-RO"/>
                    </w:rPr>
                  </w:pPr>
                </w:p>
              </w:tc>
              <w:tc>
                <w:tcPr>
                  <w:tcW w:w="1822" w:type="dxa"/>
                  <w:vMerge/>
                  <w:shd w:val="clear" w:color="auto" w:fill="C6D9F1" w:themeFill="text2" w:themeFillTint="33"/>
                  <w:vAlign w:val="center"/>
                </w:tcPr>
                <w:p w14:paraId="055296F0" w14:textId="77777777" w:rsidR="00AB2653" w:rsidRPr="00172941" w:rsidRDefault="00AB2653" w:rsidP="00172941">
                  <w:pPr>
                    <w:jc w:val="center"/>
                    <w:rPr>
                      <w:rFonts w:ascii="Times New Roman" w:hAnsi="Times New Roman"/>
                      <w:b/>
                      <w:bCs/>
                      <w:sz w:val="22"/>
                      <w:szCs w:val="22"/>
                      <w:lang w:val="ro-RO"/>
                    </w:rPr>
                  </w:pPr>
                </w:p>
              </w:tc>
              <w:tc>
                <w:tcPr>
                  <w:tcW w:w="1822" w:type="dxa"/>
                  <w:tcBorders>
                    <w:top w:val="single" w:sz="4" w:space="0" w:color="auto"/>
                  </w:tcBorders>
                  <w:shd w:val="clear" w:color="auto" w:fill="C6D9F1" w:themeFill="text2" w:themeFillTint="33"/>
                  <w:vAlign w:val="center"/>
                </w:tcPr>
                <w:p w14:paraId="4C7523B8" w14:textId="0859B591" w:rsidR="00AB2653" w:rsidRPr="00172941" w:rsidRDefault="00AB2653" w:rsidP="00172941">
                  <w:pPr>
                    <w:jc w:val="center"/>
                    <w:rPr>
                      <w:rFonts w:ascii="Times New Roman" w:hAnsi="Times New Roman"/>
                      <w:b/>
                      <w:bCs/>
                      <w:sz w:val="22"/>
                      <w:szCs w:val="22"/>
                      <w:lang w:val="ro-RO"/>
                    </w:rPr>
                  </w:pPr>
                  <w:r w:rsidRPr="00172941">
                    <w:rPr>
                      <w:rFonts w:ascii="Times New Roman" w:hAnsi="Times New Roman"/>
                      <w:b/>
                      <w:bCs/>
                      <w:sz w:val="22"/>
                      <w:szCs w:val="22"/>
                      <w:lang w:val="ro-RO"/>
                    </w:rPr>
                    <w:t>2023</w:t>
                  </w:r>
                </w:p>
              </w:tc>
              <w:tc>
                <w:tcPr>
                  <w:tcW w:w="1822" w:type="dxa"/>
                  <w:tcBorders>
                    <w:top w:val="single" w:sz="4" w:space="0" w:color="auto"/>
                  </w:tcBorders>
                  <w:shd w:val="clear" w:color="auto" w:fill="C6D9F1" w:themeFill="text2" w:themeFillTint="33"/>
                  <w:vAlign w:val="center"/>
                </w:tcPr>
                <w:p w14:paraId="44E81BF7" w14:textId="4AD36D0D" w:rsidR="00AB2653" w:rsidRPr="00172941" w:rsidRDefault="00AB2653" w:rsidP="00172941">
                  <w:pPr>
                    <w:jc w:val="center"/>
                    <w:rPr>
                      <w:rFonts w:ascii="Times New Roman" w:hAnsi="Times New Roman"/>
                      <w:b/>
                      <w:bCs/>
                      <w:sz w:val="22"/>
                      <w:szCs w:val="22"/>
                      <w:lang w:val="ro-RO"/>
                    </w:rPr>
                  </w:pPr>
                  <w:r w:rsidRPr="00172941">
                    <w:rPr>
                      <w:rFonts w:ascii="Times New Roman" w:hAnsi="Times New Roman"/>
                      <w:b/>
                      <w:bCs/>
                      <w:sz w:val="22"/>
                      <w:szCs w:val="22"/>
                      <w:lang w:val="ro-RO"/>
                    </w:rPr>
                    <w:t>2022</w:t>
                  </w:r>
                </w:p>
              </w:tc>
            </w:tr>
            <w:tr w:rsidR="00AB2653" w:rsidRPr="00172941" w14:paraId="7A2E5F8F" w14:textId="77777777" w:rsidTr="00172941">
              <w:tc>
                <w:tcPr>
                  <w:tcW w:w="591" w:type="dxa"/>
                  <w:vAlign w:val="center"/>
                </w:tcPr>
                <w:p w14:paraId="46D6875A" w14:textId="77777777" w:rsidR="00AB2653" w:rsidRPr="00172941" w:rsidRDefault="00AB2653"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2F135CAA" w14:textId="5CFC37E4" w:rsidR="00AB2653" w:rsidRPr="00172941" w:rsidRDefault="00AB2653" w:rsidP="00172941">
                  <w:pPr>
                    <w:rPr>
                      <w:rFonts w:ascii="Times New Roman" w:hAnsi="Times New Roman"/>
                      <w:lang w:val="ro-RO"/>
                    </w:rPr>
                  </w:pPr>
                  <w:r w:rsidRPr="00172941">
                    <w:rPr>
                      <w:rFonts w:ascii="Times New Roman" w:hAnsi="Times New Roman"/>
                      <w:lang w:val="ro-RO"/>
                    </w:rPr>
                    <w:t>Agricultura</w:t>
                  </w:r>
                </w:p>
              </w:tc>
              <w:tc>
                <w:tcPr>
                  <w:tcW w:w="1822" w:type="dxa"/>
                  <w:vAlign w:val="center"/>
                </w:tcPr>
                <w:p w14:paraId="14D6BEDA" w14:textId="089F6EB7" w:rsidR="00AB2653" w:rsidRPr="00172941" w:rsidRDefault="00ED29FB" w:rsidP="00172941">
                  <w:pPr>
                    <w:jc w:val="center"/>
                    <w:rPr>
                      <w:rFonts w:ascii="Times New Roman" w:hAnsi="Times New Roman"/>
                      <w:lang w:val="ro-RO"/>
                    </w:rPr>
                  </w:pPr>
                  <w:r w:rsidRPr="00172941">
                    <w:rPr>
                      <w:rFonts w:ascii="Times New Roman" w:hAnsi="Times New Roman"/>
                      <w:lang w:val="ro-RO"/>
                    </w:rPr>
                    <w:t>4521.8</w:t>
                  </w:r>
                </w:p>
              </w:tc>
              <w:tc>
                <w:tcPr>
                  <w:tcW w:w="1822" w:type="dxa"/>
                  <w:vAlign w:val="center"/>
                </w:tcPr>
                <w:p w14:paraId="0D64638D" w14:textId="4F5601D0" w:rsidR="00AB2653" w:rsidRPr="00172941" w:rsidRDefault="00ED29FB" w:rsidP="00172941">
                  <w:pPr>
                    <w:jc w:val="center"/>
                    <w:rPr>
                      <w:rFonts w:ascii="Times New Roman" w:hAnsi="Times New Roman"/>
                      <w:lang w:val="ro-RO"/>
                    </w:rPr>
                  </w:pPr>
                  <w:r w:rsidRPr="00172941">
                    <w:rPr>
                      <w:rFonts w:ascii="Times New Roman" w:hAnsi="Times New Roman"/>
                      <w:lang w:val="ro-RO"/>
                    </w:rPr>
                    <w:t>15.4</w:t>
                  </w:r>
                </w:p>
              </w:tc>
              <w:tc>
                <w:tcPr>
                  <w:tcW w:w="1822" w:type="dxa"/>
                  <w:vAlign w:val="center"/>
                </w:tcPr>
                <w:p w14:paraId="5F4BCE18" w14:textId="04447E57" w:rsidR="00AB2653" w:rsidRPr="00172941" w:rsidRDefault="00ED29FB" w:rsidP="00172941">
                  <w:pPr>
                    <w:jc w:val="center"/>
                    <w:rPr>
                      <w:rFonts w:ascii="Times New Roman" w:hAnsi="Times New Roman"/>
                      <w:lang w:val="ro-RO"/>
                    </w:rPr>
                  </w:pPr>
                  <w:r w:rsidRPr="00172941">
                    <w:rPr>
                      <w:rFonts w:ascii="Times New Roman" w:hAnsi="Times New Roman"/>
                      <w:lang w:val="ro-RO"/>
                    </w:rPr>
                    <w:t>14.7</w:t>
                  </w:r>
                </w:p>
              </w:tc>
            </w:tr>
            <w:tr w:rsidR="00AB2653" w:rsidRPr="00172941" w14:paraId="7C1A94FF" w14:textId="77777777" w:rsidTr="00172941">
              <w:tc>
                <w:tcPr>
                  <w:tcW w:w="591" w:type="dxa"/>
                  <w:vAlign w:val="center"/>
                </w:tcPr>
                <w:p w14:paraId="6014DFEB" w14:textId="77777777" w:rsidR="00AB2653" w:rsidRPr="00172941" w:rsidRDefault="00AB2653"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1BDF14AA" w14:textId="06EC2361" w:rsidR="00AB2653" w:rsidRPr="00172941" w:rsidRDefault="00AB2653" w:rsidP="00172941">
                  <w:pPr>
                    <w:rPr>
                      <w:rFonts w:ascii="Times New Roman" w:hAnsi="Times New Roman"/>
                      <w:lang w:val="ro-RO"/>
                    </w:rPr>
                  </w:pPr>
                  <w:r w:rsidRPr="00172941">
                    <w:rPr>
                      <w:rFonts w:ascii="Times New Roman" w:hAnsi="Times New Roman"/>
                      <w:lang w:val="ro-RO"/>
                    </w:rPr>
                    <w:t>Industria alimentară</w:t>
                  </w:r>
                </w:p>
              </w:tc>
              <w:tc>
                <w:tcPr>
                  <w:tcW w:w="1822" w:type="dxa"/>
                  <w:vAlign w:val="center"/>
                </w:tcPr>
                <w:p w14:paraId="58286C83" w14:textId="41B79398" w:rsidR="00AB2653" w:rsidRPr="00172941" w:rsidRDefault="00ED29FB" w:rsidP="00172941">
                  <w:pPr>
                    <w:jc w:val="center"/>
                    <w:rPr>
                      <w:rFonts w:ascii="Times New Roman" w:hAnsi="Times New Roman"/>
                      <w:lang w:val="ro-RO"/>
                    </w:rPr>
                  </w:pPr>
                  <w:r w:rsidRPr="00172941">
                    <w:rPr>
                      <w:rFonts w:ascii="Times New Roman" w:hAnsi="Times New Roman"/>
                      <w:lang w:val="ro-RO"/>
                    </w:rPr>
                    <w:t>4151.7</w:t>
                  </w:r>
                </w:p>
              </w:tc>
              <w:tc>
                <w:tcPr>
                  <w:tcW w:w="1822" w:type="dxa"/>
                  <w:vAlign w:val="center"/>
                </w:tcPr>
                <w:p w14:paraId="21D7C49E" w14:textId="5112F991" w:rsidR="00AB2653" w:rsidRPr="00172941" w:rsidRDefault="00ED29FB" w:rsidP="00172941">
                  <w:pPr>
                    <w:jc w:val="center"/>
                    <w:rPr>
                      <w:rFonts w:ascii="Times New Roman" w:hAnsi="Times New Roman"/>
                      <w:lang w:val="ro-RO"/>
                    </w:rPr>
                  </w:pPr>
                  <w:r w:rsidRPr="00172941">
                    <w:rPr>
                      <w:rFonts w:ascii="Times New Roman" w:hAnsi="Times New Roman"/>
                      <w:lang w:val="ro-RO"/>
                    </w:rPr>
                    <w:t>5.1</w:t>
                  </w:r>
                </w:p>
              </w:tc>
              <w:tc>
                <w:tcPr>
                  <w:tcW w:w="1822" w:type="dxa"/>
                  <w:vAlign w:val="center"/>
                </w:tcPr>
                <w:p w14:paraId="6D9EB1DE" w14:textId="1137C275" w:rsidR="00AB2653" w:rsidRPr="00172941" w:rsidRDefault="00ED29FB" w:rsidP="00172941">
                  <w:pPr>
                    <w:jc w:val="center"/>
                    <w:rPr>
                      <w:rFonts w:ascii="Times New Roman" w:hAnsi="Times New Roman"/>
                      <w:lang w:val="ro-RO"/>
                    </w:rPr>
                  </w:pPr>
                  <w:r w:rsidRPr="00172941">
                    <w:rPr>
                      <w:rFonts w:ascii="Times New Roman" w:hAnsi="Times New Roman"/>
                      <w:lang w:val="ro-RO"/>
                    </w:rPr>
                    <w:t>5.9</w:t>
                  </w:r>
                </w:p>
              </w:tc>
            </w:tr>
            <w:tr w:rsidR="00AB2653" w:rsidRPr="00172941" w14:paraId="54B7754C" w14:textId="77777777" w:rsidTr="00172941">
              <w:tc>
                <w:tcPr>
                  <w:tcW w:w="591" w:type="dxa"/>
                  <w:vAlign w:val="center"/>
                </w:tcPr>
                <w:p w14:paraId="1558A430" w14:textId="77777777" w:rsidR="00AB2653" w:rsidRPr="00172941" w:rsidRDefault="00AB2653"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049F79AB" w14:textId="0102E688" w:rsidR="00AB2653" w:rsidRPr="00172941" w:rsidRDefault="00AB2653" w:rsidP="00172941">
                  <w:pPr>
                    <w:rPr>
                      <w:rFonts w:ascii="Times New Roman" w:hAnsi="Times New Roman"/>
                      <w:lang w:val="ro-RO"/>
                    </w:rPr>
                  </w:pPr>
                  <w:r w:rsidRPr="00172941">
                    <w:rPr>
                      <w:rFonts w:ascii="Times New Roman" w:hAnsi="Times New Roman"/>
                      <w:lang w:val="ro-RO"/>
                    </w:rPr>
                    <w:t>Domeniul construcțiilor</w:t>
                  </w:r>
                </w:p>
              </w:tc>
              <w:tc>
                <w:tcPr>
                  <w:tcW w:w="1822" w:type="dxa"/>
                  <w:vAlign w:val="center"/>
                </w:tcPr>
                <w:p w14:paraId="750B3962" w14:textId="4B229459" w:rsidR="00AB2653" w:rsidRPr="00172941" w:rsidRDefault="00ED29FB" w:rsidP="00172941">
                  <w:pPr>
                    <w:jc w:val="center"/>
                    <w:rPr>
                      <w:rFonts w:ascii="Times New Roman" w:hAnsi="Times New Roman"/>
                      <w:lang w:val="ro-RO"/>
                    </w:rPr>
                  </w:pPr>
                  <w:r w:rsidRPr="00172941">
                    <w:rPr>
                      <w:rFonts w:ascii="Times New Roman" w:hAnsi="Times New Roman"/>
                      <w:lang w:val="ro-RO"/>
                    </w:rPr>
                    <w:t>1186.5</w:t>
                  </w:r>
                </w:p>
              </w:tc>
              <w:tc>
                <w:tcPr>
                  <w:tcW w:w="1822" w:type="dxa"/>
                  <w:vAlign w:val="center"/>
                </w:tcPr>
                <w:p w14:paraId="4AA56182" w14:textId="090895DC" w:rsidR="00AB2653" w:rsidRPr="00172941" w:rsidRDefault="00ED29FB" w:rsidP="00172941">
                  <w:pPr>
                    <w:jc w:val="center"/>
                    <w:rPr>
                      <w:rFonts w:ascii="Times New Roman" w:hAnsi="Times New Roman"/>
                      <w:lang w:val="ro-RO"/>
                    </w:rPr>
                  </w:pPr>
                  <w:r w:rsidRPr="00172941">
                    <w:rPr>
                      <w:rFonts w:ascii="Times New Roman" w:hAnsi="Times New Roman"/>
                      <w:lang w:val="ro-RO"/>
                    </w:rPr>
                    <w:t>5.5</w:t>
                  </w:r>
                </w:p>
              </w:tc>
              <w:tc>
                <w:tcPr>
                  <w:tcW w:w="1822" w:type="dxa"/>
                  <w:vAlign w:val="center"/>
                </w:tcPr>
                <w:p w14:paraId="459A8A46" w14:textId="7C018B75" w:rsidR="00AB2653" w:rsidRPr="00172941" w:rsidRDefault="00ED29FB" w:rsidP="00172941">
                  <w:pPr>
                    <w:jc w:val="center"/>
                    <w:rPr>
                      <w:rFonts w:ascii="Times New Roman" w:hAnsi="Times New Roman"/>
                      <w:lang w:val="ro-RO"/>
                    </w:rPr>
                  </w:pPr>
                  <w:r w:rsidRPr="00172941">
                    <w:rPr>
                      <w:rFonts w:ascii="Times New Roman" w:hAnsi="Times New Roman"/>
                      <w:lang w:val="ro-RO"/>
                    </w:rPr>
                    <w:t>10.1</w:t>
                  </w:r>
                </w:p>
              </w:tc>
            </w:tr>
            <w:tr w:rsidR="00AB2653" w:rsidRPr="00172941" w14:paraId="05D327E0" w14:textId="77777777" w:rsidTr="00172941">
              <w:tc>
                <w:tcPr>
                  <w:tcW w:w="591" w:type="dxa"/>
                  <w:vAlign w:val="center"/>
                </w:tcPr>
                <w:p w14:paraId="1D1BC498" w14:textId="77777777" w:rsidR="00AB2653" w:rsidRPr="00172941" w:rsidRDefault="00AB2653"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4D51C8D8" w14:textId="58DD4EC6" w:rsidR="00AB2653" w:rsidRPr="00172941" w:rsidRDefault="00AB2653" w:rsidP="00172941">
                  <w:pPr>
                    <w:rPr>
                      <w:rFonts w:ascii="Times New Roman" w:hAnsi="Times New Roman"/>
                      <w:lang w:val="ro-RO"/>
                    </w:rPr>
                  </w:pPr>
                  <w:r w:rsidRPr="00172941">
                    <w:rPr>
                      <w:rFonts w:ascii="Times New Roman" w:hAnsi="Times New Roman"/>
                      <w:lang w:val="ro-RO"/>
                    </w:rPr>
                    <w:t>Credite de consum</w:t>
                  </w:r>
                </w:p>
              </w:tc>
              <w:tc>
                <w:tcPr>
                  <w:tcW w:w="1822" w:type="dxa"/>
                  <w:vAlign w:val="center"/>
                </w:tcPr>
                <w:p w14:paraId="5592E733" w14:textId="309CDEB9" w:rsidR="00AB2653" w:rsidRPr="00172941" w:rsidRDefault="00ED29FB" w:rsidP="00172941">
                  <w:pPr>
                    <w:jc w:val="center"/>
                    <w:rPr>
                      <w:rFonts w:ascii="Times New Roman" w:hAnsi="Times New Roman"/>
                      <w:lang w:val="ro-RO"/>
                    </w:rPr>
                  </w:pPr>
                  <w:r w:rsidRPr="00172941">
                    <w:rPr>
                      <w:rFonts w:ascii="Times New Roman" w:hAnsi="Times New Roman"/>
                      <w:lang w:val="ro-RO"/>
                    </w:rPr>
                    <w:t>11199.9</w:t>
                  </w:r>
                </w:p>
              </w:tc>
              <w:tc>
                <w:tcPr>
                  <w:tcW w:w="1822" w:type="dxa"/>
                  <w:vAlign w:val="center"/>
                </w:tcPr>
                <w:p w14:paraId="7FBC7C78" w14:textId="28590D26" w:rsidR="00AB2653" w:rsidRPr="00172941" w:rsidRDefault="00ED29FB" w:rsidP="00172941">
                  <w:pPr>
                    <w:jc w:val="center"/>
                    <w:rPr>
                      <w:rFonts w:ascii="Times New Roman" w:hAnsi="Times New Roman"/>
                      <w:lang w:val="ro-RO"/>
                    </w:rPr>
                  </w:pPr>
                  <w:r w:rsidRPr="00172941">
                    <w:rPr>
                      <w:rFonts w:ascii="Times New Roman" w:hAnsi="Times New Roman"/>
                      <w:lang w:val="ro-RO"/>
                    </w:rPr>
                    <w:t>4.9</w:t>
                  </w:r>
                </w:p>
              </w:tc>
              <w:tc>
                <w:tcPr>
                  <w:tcW w:w="1822" w:type="dxa"/>
                  <w:vAlign w:val="center"/>
                </w:tcPr>
                <w:p w14:paraId="7D000BD7" w14:textId="4CCAD4F0" w:rsidR="00AB2653" w:rsidRPr="00172941" w:rsidRDefault="00ED29FB" w:rsidP="00172941">
                  <w:pPr>
                    <w:jc w:val="center"/>
                    <w:rPr>
                      <w:rFonts w:ascii="Times New Roman" w:hAnsi="Times New Roman"/>
                      <w:lang w:val="ro-RO"/>
                    </w:rPr>
                  </w:pPr>
                  <w:r w:rsidRPr="00172941">
                    <w:rPr>
                      <w:rFonts w:ascii="Times New Roman" w:hAnsi="Times New Roman"/>
                      <w:lang w:val="ro-RO"/>
                    </w:rPr>
                    <w:t>7.0</w:t>
                  </w:r>
                </w:p>
              </w:tc>
            </w:tr>
            <w:tr w:rsidR="00AB2653" w:rsidRPr="00172941" w14:paraId="3668ABF1" w14:textId="77777777" w:rsidTr="00172941">
              <w:tc>
                <w:tcPr>
                  <w:tcW w:w="591" w:type="dxa"/>
                  <w:vAlign w:val="center"/>
                </w:tcPr>
                <w:p w14:paraId="10AD7E17" w14:textId="77777777" w:rsidR="00AB2653" w:rsidRPr="00172941" w:rsidRDefault="00AB2653"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6ACAF74B" w14:textId="4A41F378" w:rsidR="00AB2653" w:rsidRPr="00172941" w:rsidRDefault="00ED29FB" w:rsidP="00172941">
                  <w:pPr>
                    <w:rPr>
                      <w:rFonts w:ascii="Times New Roman" w:hAnsi="Times New Roman"/>
                      <w:lang w:val="ro-RO"/>
                    </w:rPr>
                  </w:pPr>
                  <w:r w:rsidRPr="00172941">
                    <w:rPr>
                      <w:rFonts w:ascii="Times New Roman" w:hAnsi="Times New Roman"/>
                      <w:lang w:val="ro-RO"/>
                    </w:rPr>
                    <w:t>Industria energetică</w:t>
                  </w:r>
                </w:p>
              </w:tc>
              <w:tc>
                <w:tcPr>
                  <w:tcW w:w="1822" w:type="dxa"/>
                  <w:vAlign w:val="center"/>
                </w:tcPr>
                <w:p w14:paraId="077DE845" w14:textId="3A00DB72" w:rsidR="00AB2653" w:rsidRPr="00172941" w:rsidRDefault="00ED29FB" w:rsidP="00172941">
                  <w:pPr>
                    <w:jc w:val="center"/>
                    <w:rPr>
                      <w:rFonts w:ascii="Times New Roman" w:hAnsi="Times New Roman"/>
                      <w:lang w:val="ro-RO"/>
                    </w:rPr>
                  </w:pPr>
                  <w:r w:rsidRPr="00172941">
                    <w:rPr>
                      <w:rFonts w:ascii="Times New Roman" w:hAnsi="Times New Roman"/>
                      <w:lang w:val="ro-RO"/>
                    </w:rPr>
                    <w:t>749.1</w:t>
                  </w:r>
                </w:p>
              </w:tc>
              <w:tc>
                <w:tcPr>
                  <w:tcW w:w="1822" w:type="dxa"/>
                  <w:vAlign w:val="center"/>
                </w:tcPr>
                <w:p w14:paraId="04444176" w14:textId="4FAFC869" w:rsidR="00AB2653" w:rsidRPr="00172941" w:rsidRDefault="00ED29FB" w:rsidP="00172941">
                  <w:pPr>
                    <w:jc w:val="center"/>
                    <w:rPr>
                      <w:rFonts w:ascii="Times New Roman" w:hAnsi="Times New Roman"/>
                      <w:lang w:val="ro-RO"/>
                    </w:rPr>
                  </w:pPr>
                  <w:r w:rsidRPr="00172941">
                    <w:rPr>
                      <w:rFonts w:ascii="Times New Roman" w:hAnsi="Times New Roman"/>
                      <w:lang w:val="ro-RO"/>
                    </w:rPr>
                    <w:t>12.1</w:t>
                  </w:r>
                </w:p>
              </w:tc>
              <w:tc>
                <w:tcPr>
                  <w:tcW w:w="1822" w:type="dxa"/>
                  <w:vAlign w:val="center"/>
                </w:tcPr>
                <w:p w14:paraId="49900DA7" w14:textId="5421E0E6" w:rsidR="00AB2653" w:rsidRPr="00172941" w:rsidRDefault="00ED29FB" w:rsidP="00172941">
                  <w:pPr>
                    <w:jc w:val="center"/>
                    <w:rPr>
                      <w:rFonts w:ascii="Times New Roman" w:hAnsi="Times New Roman"/>
                      <w:lang w:val="ro-RO"/>
                    </w:rPr>
                  </w:pPr>
                  <w:r w:rsidRPr="00172941">
                    <w:rPr>
                      <w:rFonts w:ascii="Times New Roman" w:hAnsi="Times New Roman"/>
                      <w:lang w:val="ro-RO"/>
                    </w:rPr>
                    <w:t>1.8</w:t>
                  </w:r>
                </w:p>
              </w:tc>
            </w:tr>
            <w:tr w:rsidR="00AB2653" w:rsidRPr="00172941" w14:paraId="173E4BF1" w14:textId="77777777" w:rsidTr="00172941">
              <w:tc>
                <w:tcPr>
                  <w:tcW w:w="591" w:type="dxa"/>
                  <w:vAlign w:val="center"/>
                </w:tcPr>
                <w:p w14:paraId="68990215" w14:textId="77777777" w:rsidR="00AB2653" w:rsidRPr="00172941" w:rsidRDefault="00AB2653"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50F1CF0C" w14:textId="1232BADB" w:rsidR="00AB2653" w:rsidRPr="00172941" w:rsidRDefault="00ED29FB" w:rsidP="00172941">
                  <w:pPr>
                    <w:rPr>
                      <w:rFonts w:ascii="Times New Roman" w:hAnsi="Times New Roman"/>
                      <w:lang w:val="ro-RO"/>
                    </w:rPr>
                  </w:pPr>
                  <w:r w:rsidRPr="00172941">
                    <w:rPr>
                      <w:rFonts w:ascii="Times New Roman" w:hAnsi="Times New Roman"/>
                      <w:lang w:val="ro-RO"/>
                    </w:rPr>
                    <w:t>UAT/instituții subordonate UAT</w:t>
                  </w:r>
                </w:p>
              </w:tc>
              <w:tc>
                <w:tcPr>
                  <w:tcW w:w="1822" w:type="dxa"/>
                  <w:vAlign w:val="center"/>
                </w:tcPr>
                <w:p w14:paraId="67A0DD05" w14:textId="6CD17C4D" w:rsidR="00AB2653" w:rsidRPr="00172941" w:rsidRDefault="00ED29FB" w:rsidP="00172941">
                  <w:pPr>
                    <w:jc w:val="center"/>
                    <w:rPr>
                      <w:rFonts w:ascii="Times New Roman" w:hAnsi="Times New Roman"/>
                      <w:lang w:val="ro-RO"/>
                    </w:rPr>
                  </w:pPr>
                  <w:r w:rsidRPr="00172941">
                    <w:rPr>
                      <w:rFonts w:ascii="Times New Roman" w:hAnsi="Times New Roman"/>
                      <w:lang w:val="ro-RO"/>
                    </w:rPr>
                    <w:t>926.9</w:t>
                  </w:r>
                </w:p>
              </w:tc>
              <w:tc>
                <w:tcPr>
                  <w:tcW w:w="1822" w:type="dxa"/>
                  <w:vAlign w:val="center"/>
                </w:tcPr>
                <w:p w14:paraId="214BE49B" w14:textId="6D4435E5" w:rsidR="00AB2653" w:rsidRPr="00172941" w:rsidRDefault="00ED29FB" w:rsidP="00172941">
                  <w:pPr>
                    <w:jc w:val="center"/>
                    <w:rPr>
                      <w:rFonts w:ascii="Times New Roman" w:hAnsi="Times New Roman"/>
                      <w:lang w:val="ro-RO"/>
                    </w:rPr>
                  </w:pPr>
                  <w:r w:rsidRPr="00172941">
                    <w:rPr>
                      <w:rFonts w:ascii="Times New Roman" w:hAnsi="Times New Roman"/>
                      <w:lang w:val="ro-RO"/>
                    </w:rPr>
                    <w:t>0.0</w:t>
                  </w:r>
                </w:p>
              </w:tc>
              <w:tc>
                <w:tcPr>
                  <w:tcW w:w="1822" w:type="dxa"/>
                  <w:vAlign w:val="center"/>
                </w:tcPr>
                <w:p w14:paraId="778DD556" w14:textId="44C9B563" w:rsidR="00AB2653" w:rsidRPr="00172941" w:rsidRDefault="00ED29FB" w:rsidP="00172941">
                  <w:pPr>
                    <w:jc w:val="center"/>
                    <w:rPr>
                      <w:rFonts w:ascii="Times New Roman" w:hAnsi="Times New Roman"/>
                      <w:lang w:val="ro-RO"/>
                    </w:rPr>
                  </w:pPr>
                  <w:r w:rsidRPr="00172941">
                    <w:rPr>
                      <w:rFonts w:ascii="Times New Roman" w:hAnsi="Times New Roman"/>
                      <w:lang w:val="ro-RO"/>
                    </w:rPr>
                    <w:t>0.0</w:t>
                  </w:r>
                </w:p>
              </w:tc>
            </w:tr>
            <w:tr w:rsidR="00AB2653" w:rsidRPr="00172941" w14:paraId="6C35606E" w14:textId="77777777" w:rsidTr="00172941">
              <w:tc>
                <w:tcPr>
                  <w:tcW w:w="591" w:type="dxa"/>
                  <w:vAlign w:val="center"/>
                </w:tcPr>
                <w:p w14:paraId="278EAAC3" w14:textId="77777777" w:rsidR="00AB2653" w:rsidRPr="00172941" w:rsidRDefault="00AB2653"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2739D402" w14:textId="114FECD2" w:rsidR="00AB2653" w:rsidRPr="00172941" w:rsidRDefault="00ED29FB" w:rsidP="00172941">
                  <w:pPr>
                    <w:rPr>
                      <w:rFonts w:ascii="Times New Roman" w:hAnsi="Times New Roman"/>
                      <w:lang w:val="ro-RO"/>
                    </w:rPr>
                  </w:pPr>
                  <w:r w:rsidRPr="00172941">
                    <w:rPr>
                      <w:rFonts w:ascii="Times New Roman" w:hAnsi="Times New Roman"/>
                      <w:lang w:val="ro-RO"/>
                    </w:rPr>
                    <w:t>Industria productivă</w:t>
                  </w:r>
                </w:p>
              </w:tc>
              <w:tc>
                <w:tcPr>
                  <w:tcW w:w="1822" w:type="dxa"/>
                  <w:vAlign w:val="center"/>
                </w:tcPr>
                <w:p w14:paraId="70870A0B" w14:textId="20FA16CB" w:rsidR="00AB2653" w:rsidRPr="00172941" w:rsidRDefault="00ED29FB" w:rsidP="00172941">
                  <w:pPr>
                    <w:jc w:val="center"/>
                    <w:rPr>
                      <w:rFonts w:ascii="Times New Roman" w:hAnsi="Times New Roman"/>
                      <w:lang w:val="ro-RO"/>
                    </w:rPr>
                  </w:pPr>
                  <w:r w:rsidRPr="00172941">
                    <w:rPr>
                      <w:rFonts w:ascii="Times New Roman" w:hAnsi="Times New Roman"/>
                      <w:lang w:val="ro-RO"/>
                    </w:rPr>
                    <w:t>2601.5</w:t>
                  </w:r>
                </w:p>
              </w:tc>
              <w:tc>
                <w:tcPr>
                  <w:tcW w:w="1822" w:type="dxa"/>
                  <w:vAlign w:val="center"/>
                </w:tcPr>
                <w:p w14:paraId="0799467B" w14:textId="0F385BA6" w:rsidR="00AB2653" w:rsidRPr="00172941" w:rsidRDefault="00ED29FB" w:rsidP="00172941">
                  <w:pPr>
                    <w:jc w:val="center"/>
                    <w:rPr>
                      <w:rFonts w:ascii="Times New Roman" w:hAnsi="Times New Roman"/>
                      <w:lang w:val="ro-RO"/>
                    </w:rPr>
                  </w:pPr>
                  <w:r w:rsidRPr="00172941">
                    <w:rPr>
                      <w:rFonts w:ascii="Times New Roman" w:hAnsi="Times New Roman"/>
                      <w:lang w:val="ro-RO"/>
                    </w:rPr>
                    <w:t>12.2</w:t>
                  </w:r>
                </w:p>
              </w:tc>
              <w:tc>
                <w:tcPr>
                  <w:tcW w:w="1822" w:type="dxa"/>
                  <w:vAlign w:val="center"/>
                </w:tcPr>
                <w:p w14:paraId="1E31812D" w14:textId="16E2B2BE" w:rsidR="00AB2653" w:rsidRPr="00172941" w:rsidRDefault="00ED29FB" w:rsidP="00172941">
                  <w:pPr>
                    <w:jc w:val="center"/>
                    <w:rPr>
                      <w:rFonts w:ascii="Times New Roman" w:hAnsi="Times New Roman"/>
                      <w:lang w:val="ro-RO"/>
                    </w:rPr>
                  </w:pPr>
                  <w:r w:rsidRPr="00172941">
                    <w:rPr>
                      <w:rFonts w:ascii="Times New Roman" w:hAnsi="Times New Roman"/>
                      <w:lang w:val="ro-RO"/>
                    </w:rPr>
                    <w:t>16.9</w:t>
                  </w:r>
                </w:p>
              </w:tc>
            </w:tr>
            <w:tr w:rsidR="00AB2653" w:rsidRPr="00172941" w14:paraId="27624677" w14:textId="77777777" w:rsidTr="00172941">
              <w:tc>
                <w:tcPr>
                  <w:tcW w:w="591" w:type="dxa"/>
                  <w:vAlign w:val="center"/>
                </w:tcPr>
                <w:p w14:paraId="56C147EE" w14:textId="77777777" w:rsidR="00AB2653" w:rsidRPr="00172941" w:rsidRDefault="00AB2653"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4FF16BEC" w14:textId="0C6977C5" w:rsidR="00AB2653" w:rsidRPr="00172941" w:rsidRDefault="00ED29FB" w:rsidP="00172941">
                  <w:pPr>
                    <w:rPr>
                      <w:rFonts w:ascii="Times New Roman" w:hAnsi="Times New Roman"/>
                      <w:lang w:val="ro-RO"/>
                    </w:rPr>
                  </w:pPr>
                  <w:r w:rsidRPr="00172941">
                    <w:rPr>
                      <w:rFonts w:ascii="Times New Roman" w:hAnsi="Times New Roman"/>
                      <w:lang w:val="ro-RO"/>
                    </w:rPr>
                    <w:t>Domeniul Comerțului</w:t>
                  </w:r>
                </w:p>
              </w:tc>
              <w:tc>
                <w:tcPr>
                  <w:tcW w:w="1822" w:type="dxa"/>
                  <w:vAlign w:val="center"/>
                </w:tcPr>
                <w:p w14:paraId="7BC61D3D" w14:textId="7F8C8777" w:rsidR="00AB2653" w:rsidRPr="00172941" w:rsidRDefault="00ED29FB" w:rsidP="00172941">
                  <w:pPr>
                    <w:jc w:val="center"/>
                    <w:rPr>
                      <w:rFonts w:ascii="Times New Roman" w:hAnsi="Times New Roman"/>
                      <w:lang w:val="ro-RO"/>
                    </w:rPr>
                  </w:pPr>
                  <w:r w:rsidRPr="00172941">
                    <w:rPr>
                      <w:rFonts w:ascii="Times New Roman" w:hAnsi="Times New Roman"/>
                      <w:lang w:val="ro-RO"/>
                    </w:rPr>
                    <w:t>14238.7</w:t>
                  </w:r>
                </w:p>
              </w:tc>
              <w:tc>
                <w:tcPr>
                  <w:tcW w:w="1822" w:type="dxa"/>
                  <w:vAlign w:val="center"/>
                </w:tcPr>
                <w:p w14:paraId="7A5CAB90" w14:textId="4EF5C6C4" w:rsidR="00AB2653" w:rsidRPr="00172941" w:rsidRDefault="00ED29FB" w:rsidP="00172941">
                  <w:pPr>
                    <w:jc w:val="center"/>
                    <w:rPr>
                      <w:rFonts w:ascii="Times New Roman" w:hAnsi="Times New Roman"/>
                      <w:lang w:val="ro-RO"/>
                    </w:rPr>
                  </w:pPr>
                  <w:r w:rsidRPr="00172941">
                    <w:rPr>
                      <w:rFonts w:ascii="Times New Roman" w:hAnsi="Times New Roman"/>
                      <w:lang w:val="ro-RO"/>
                    </w:rPr>
                    <w:t>3.9</w:t>
                  </w:r>
                </w:p>
              </w:tc>
              <w:tc>
                <w:tcPr>
                  <w:tcW w:w="1822" w:type="dxa"/>
                  <w:vAlign w:val="center"/>
                </w:tcPr>
                <w:p w14:paraId="502E9DA3" w14:textId="27BE9BF6" w:rsidR="00AB2653" w:rsidRPr="00172941" w:rsidRDefault="00ED29FB" w:rsidP="00172941">
                  <w:pPr>
                    <w:jc w:val="center"/>
                    <w:rPr>
                      <w:rFonts w:ascii="Times New Roman" w:hAnsi="Times New Roman"/>
                      <w:lang w:val="ro-RO"/>
                    </w:rPr>
                  </w:pPr>
                  <w:r w:rsidRPr="00172941">
                    <w:rPr>
                      <w:rFonts w:ascii="Times New Roman" w:hAnsi="Times New Roman"/>
                      <w:lang w:val="ro-RO"/>
                    </w:rPr>
                    <w:t>4.5</w:t>
                  </w:r>
                </w:p>
              </w:tc>
            </w:tr>
            <w:tr w:rsidR="00AB2653" w:rsidRPr="00172941" w14:paraId="4F2D90D9" w14:textId="77777777" w:rsidTr="00172941">
              <w:tc>
                <w:tcPr>
                  <w:tcW w:w="591" w:type="dxa"/>
                  <w:vAlign w:val="center"/>
                </w:tcPr>
                <w:p w14:paraId="00360B51" w14:textId="77777777" w:rsidR="00AB2653" w:rsidRPr="00172941" w:rsidRDefault="00AB2653"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345CCBDD" w14:textId="03340671" w:rsidR="00AB2653" w:rsidRPr="00172941" w:rsidRDefault="00ED29FB" w:rsidP="00172941">
                  <w:pPr>
                    <w:rPr>
                      <w:rFonts w:ascii="Times New Roman" w:hAnsi="Times New Roman"/>
                      <w:lang w:val="ro-RO"/>
                    </w:rPr>
                  </w:pPr>
                  <w:r w:rsidRPr="00172941">
                    <w:rPr>
                      <w:rFonts w:ascii="Times New Roman" w:hAnsi="Times New Roman"/>
                      <w:lang w:val="ro-RO"/>
                    </w:rPr>
                    <w:t>Mediul financiar nebancar</w:t>
                  </w:r>
                </w:p>
              </w:tc>
              <w:tc>
                <w:tcPr>
                  <w:tcW w:w="1822" w:type="dxa"/>
                  <w:vAlign w:val="center"/>
                </w:tcPr>
                <w:p w14:paraId="6705A1EB" w14:textId="6A0178C5" w:rsidR="00AB2653" w:rsidRPr="00172941" w:rsidRDefault="00ED29FB" w:rsidP="00172941">
                  <w:pPr>
                    <w:jc w:val="center"/>
                    <w:rPr>
                      <w:rFonts w:ascii="Times New Roman" w:hAnsi="Times New Roman"/>
                      <w:lang w:val="ro-RO"/>
                    </w:rPr>
                  </w:pPr>
                  <w:r w:rsidRPr="00172941">
                    <w:rPr>
                      <w:rFonts w:ascii="Times New Roman" w:hAnsi="Times New Roman"/>
                      <w:lang w:val="ro-RO"/>
                    </w:rPr>
                    <w:t>2757.6</w:t>
                  </w:r>
                </w:p>
              </w:tc>
              <w:tc>
                <w:tcPr>
                  <w:tcW w:w="1822" w:type="dxa"/>
                  <w:vAlign w:val="center"/>
                </w:tcPr>
                <w:p w14:paraId="5E21AB48" w14:textId="3BA961E7" w:rsidR="00AB2653" w:rsidRPr="00172941" w:rsidRDefault="00ED29FB" w:rsidP="00172941">
                  <w:pPr>
                    <w:jc w:val="center"/>
                    <w:rPr>
                      <w:rFonts w:ascii="Times New Roman" w:hAnsi="Times New Roman"/>
                      <w:lang w:val="ro-RO"/>
                    </w:rPr>
                  </w:pPr>
                  <w:r w:rsidRPr="00172941">
                    <w:rPr>
                      <w:rFonts w:ascii="Times New Roman" w:hAnsi="Times New Roman"/>
                      <w:lang w:val="ro-RO"/>
                    </w:rPr>
                    <w:t>0.3</w:t>
                  </w:r>
                </w:p>
              </w:tc>
              <w:tc>
                <w:tcPr>
                  <w:tcW w:w="1822" w:type="dxa"/>
                  <w:vAlign w:val="center"/>
                </w:tcPr>
                <w:p w14:paraId="4CB4CD1C" w14:textId="534C81A4" w:rsidR="00AB2653" w:rsidRPr="00172941" w:rsidRDefault="00ED29FB" w:rsidP="00172941">
                  <w:pPr>
                    <w:jc w:val="center"/>
                    <w:rPr>
                      <w:rFonts w:ascii="Times New Roman" w:hAnsi="Times New Roman"/>
                      <w:lang w:val="ro-RO"/>
                    </w:rPr>
                  </w:pPr>
                  <w:r w:rsidRPr="00172941">
                    <w:rPr>
                      <w:rFonts w:ascii="Times New Roman" w:hAnsi="Times New Roman"/>
                      <w:lang w:val="ro-RO"/>
                    </w:rPr>
                    <w:t>1.6</w:t>
                  </w:r>
                </w:p>
              </w:tc>
            </w:tr>
            <w:tr w:rsidR="00AB2653" w:rsidRPr="00172941" w14:paraId="3541E1BA" w14:textId="77777777" w:rsidTr="00172941">
              <w:tc>
                <w:tcPr>
                  <w:tcW w:w="591" w:type="dxa"/>
                  <w:vAlign w:val="center"/>
                </w:tcPr>
                <w:p w14:paraId="221AC155" w14:textId="77777777" w:rsidR="00AB2653" w:rsidRPr="00172941" w:rsidRDefault="00AB2653"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77778DF3" w14:textId="051C86AF" w:rsidR="00AB2653" w:rsidRPr="00172941" w:rsidRDefault="00ED29FB" w:rsidP="00172941">
                  <w:pPr>
                    <w:rPr>
                      <w:rFonts w:ascii="Times New Roman" w:hAnsi="Times New Roman"/>
                      <w:lang w:val="ro-RO"/>
                    </w:rPr>
                  </w:pPr>
                  <w:r w:rsidRPr="00172941">
                    <w:rPr>
                      <w:rFonts w:ascii="Times New Roman" w:hAnsi="Times New Roman"/>
                      <w:lang w:val="ro-RO"/>
                    </w:rPr>
                    <w:t>Procurarea imobilului</w:t>
                  </w:r>
                </w:p>
              </w:tc>
              <w:tc>
                <w:tcPr>
                  <w:tcW w:w="1822" w:type="dxa"/>
                  <w:vAlign w:val="center"/>
                </w:tcPr>
                <w:p w14:paraId="408DACB2" w14:textId="0C88AA0B" w:rsidR="00AB2653" w:rsidRPr="00172941" w:rsidRDefault="00ED29FB" w:rsidP="00172941">
                  <w:pPr>
                    <w:jc w:val="center"/>
                    <w:rPr>
                      <w:rFonts w:ascii="Times New Roman" w:hAnsi="Times New Roman"/>
                      <w:lang w:val="ro-RO"/>
                    </w:rPr>
                  </w:pPr>
                  <w:r w:rsidRPr="00172941">
                    <w:rPr>
                      <w:rFonts w:ascii="Times New Roman" w:hAnsi="Times New Roman"/>
                      <w:lang w:val="ro-RO"/>
                    </w:rPr>
                    <w:t>13282.3</w:t>
                  </w:r>
                </w:p>
              </w:tc>
              <w:tc>
                <w:tcPr>
                  <w:tcW w:w="1822" w:type="dxa"/>
                  <w:vAlign w:val="center"/>
                </w:tcPr>
                <w:p w14:paraId="1627079A" w14:textId="0C79A751" w:rsidR="00AB2653" w:rsidRPr="00172941" w:rsidRDefault="00ED29FB" w:rsidP="00172941">
                  <w:pPr>
                    <w:jc w:val="center"/>
                    <w:rPr>
                      <w:rFonts w:ascii="Times New Roman" w:hAnsi="Times New Roman"/>
                      <w:lang w:val="ro-RO"/>
                    </w:rPr>
                  </w:pPr>
                  <w:r w:rsidRPr="00172941">
                    <w:rPr>
                      <w:rFonts w:ascii="Times New Roman" w:hAnsi="Times New Roman"/>
                      <w:lang w:val="ro-RO"/>
                    </w:rPr>
                    <w:t>2.3</w:t>
                  </w:r>
                </w:p>
              </w:tc>
              <w:tc>
                <w:tcPr>
                  <w:tcW w:w="1822" w:type="dxa"/>
                  <w:vAlign w:val="center"/>
                </w:tcPr>
                <w:p w14:paraId="725B57BD" w14:textId="2D875238" w:rsidR="00AB2653" w:rsidRPr="00172941" w:rsidRDefault="00ED29FB" w:rsidP="00172941">
                  <w:pPr>
                    <w:jc w:val="center"/>
                    <w:rPr>
                      <w:rFonts w:ascii="Times New Roman" w:hAnsi="Times New Roman"/>
                      <w:lang w:val="ro-RO"/>
                    </w:rPr>
                  </w:pPr>
                  <w:r w:rsidRPr="00172941">
                    <w:rPr>
                      <w:rFonts w:ascii="Times New Roman" w:hAnsi="Times New Roman"/>
                      <w:lang w:val="ro-RO"/>
                    </w:rPr>
                    <w:t>2.1</w:t>
                  </w:r>
                </w:p>
              </w:tc>
            </w:tr>
            <w:tr w:rsidR="00AB2653" w:rsidRPr="00172941" w14:paraId="2854C401" w14:textId="77777777" w:rsidTr="00172941">
              <w:tc>
                <w:tcPr>
                  <w:tcW w:w="591" w:type="dxa"/>
                  <w:vAlign w:val="center"/>
                </w:tcPr>
                <w:p w14:paraId="17D9AF54" w14:textId="77777777" w:rsidR="00AB2653" w:rsidRPr="00172941" w:rsidRDefault="00AB2653"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1527E683" w14:textId="32D0881D" w:rsidR="00AB2653" w:rsidRPr="00172941" w:rsidRDefault="00ED29FB" w:rsidP="00172941">
                  <w:pPr>
                    <w:rPr>
                      <w:rFonts w:ascii="Times New Roman" w:hAnsi="Times New Roman"/>
                      <w:lang w:val="ro-RO"/>
                    </w:rPr>
                  </w:pPr>
                  <w:r w:rsidRPr="00172941">
                    <w:rPr>
                      <w:rFonts w:ascii="Times New Roman" w:hAnsi="Times New Roman"/>
                      <w:lang w:val="ro-RO"/>
                    </w:rPr>
                    <w:t>Persoane fizice care practică activitate</w:t>
                  </w:r>
                </w:p>
              </w:tc>
              <w:tc>
                <w:tcPr>
                  <w:tcW w:w="1822" w:type="dxa"/>
                  <w:vAlign w:val="center"/>
                </w:tcPr>
                <w:p w14:paraId="36C2DD86" w14:textId="7E43C727" w:rsidR="00AB2653" w:rsidRPr="00172941" w:rsidRDefault="00ED29FB" w:rsidP="00172941">
                  <w:pPr>
                    <w:jc w:val="center"/>
                    <w:rPr>
                      <w:rFonts w:ascii="Times New Roman" w:hAnsi="Times New Roman"/>
                      <w:lang w:val="ro-RO"/>
                    </w:rPr>
                  </w:pPr>
                  <w:r w:rsidRPr="00172941">
                    <w:rPr>
                      <w:rFonts w:ascii="Times New Roman" w:hAnsi="Times New Roman"/>
                      <w:lang w:val="ro-RO"/>
                    </w:rPr>
                    <w:t>1714.4</w:t>
                  </w:r>
                </w:p>
              </w:tc>
              <w:tc>
                <w:tcPr>
                  <w:tcW w:w="1822" w:type="dxa"/>
                  <w:vAlign w:val="center"/>
                </w:tcPr>
                <w:p w14:paraId="6CB91E6A" w14:textId="42827728" w:rsidR="00AB2653" w:rsidRPr="00172941" w:rsidRDefault="00ED29FB" w:rsidP="00172941">
                  <w:pPr>
                    <w:jc w:val="center"/>
                    <w:rPr>
                      <w:rFonts w:ascii="Times New Roman" w:hAnsi="Times New Roman"/>
                      <w:lang w:val="ro-RO"/>
                    </w:rPr>
                  </w:pPr>
                  <w:r w:rsidRPr="00172941">
                    <w:rPr>
                      <w:rFonts w:ascii="Times New Roman" w:hAnsi="Times New Roman"/>
                      <w:lang w:val="ro-RO"/>
                    </w:rPr>
                    <w:t>12.3</w:t>
                  </w:r>
                </w:p>
              </w:tc>
              <w:tc>
                <w:tcPr>
                  <w:tcW w:w="1822" w:type="dxa"/>
                  <w:vAlign w:val="center"/>
                </w:tcPr>
                <w:p w14:paraId="14D0C651" w14:textId="39CADE05" w:rsidR="00AB2653" w:rsidRPr="00172941" w:rsidRDefault="00ED29FB" w:rsidP="00172941">
                  <w:pPr>
                    <w:jc w:val="center"/>
                    <w:rPr>
                      <w:rFonts w:ascii="Times New Roman" w:hAnsi="Times New Roman"/>
                      <w:lang w:val="ro-RO"/>
                    </w:rPr>
                  </w:pPr>
                  <w:r w:rsidRPr="00172941">
                    <w:rPr>
                      <w:rFonts w:ascii="Times New Roman" w:hAnsi="Times New Roman"/>
                      <w:lang w:val="ro-RO"/>
                    </w:rPr>
                    <w:t>7.2</w:t>
                  </w:r>
                </w:p>
              </w:tc>
            </w:tr>
            <w:tr w:rsidR="00AB2653" w:rsidRPr="00172941" w14:paraId="171FF0F4" w14:textId="77777777" w:rsidTr="00172941">
              <w:tc>
                <w:tcPr>
                  <w:tcW w:w="591" w:type="dxa"/>
                  <w:vAlign w:val="center"/>
                </w:tcPr>
                <w:p w14:paraId="56F02524" w14:textId="77777777" w:rsidR="00AB2653" w:rsidRPr="00172941" w:rsidRDefault="00AB2653"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55CDBA8E" w14:textId="40D0E486" w:rsidR="00AB2653" w:rsidRPr="00172941" w:rsidRDefault="00ED29FB" w:rsidP="00172941">
                  <w:pPr>
                    <w:rPr>
                      <w:rFonts w:ascii="Times New Roman" w:hAnsi="Times New Roman"/>
                      <w:lang w:val="ro-RO"/>
                    </w:rPr>
                  </w:pPr>
                  <w:r w:rsidRPr="00172941">
                    <w:rPr>
                      <w:rFonts w:ascii="Times New Roman" w:hAnsi="Times New Roman"/>
                      <w:lang w:val="ro-RO"/>
                    </w:rPr>
                    <w:t>Transport, telecomunicații și dezvoltarea rețelei</w:t>
                  </w:r>
                </w:p>
              </w:tc>
              <w:tc>
                <w:tcPr>
                  <w:tcW w:w="1822" w:type="dxa"/>
                  <w:vAlign w:val="center"/>
                </w:tcPr>
                <w:p w14:paraId="507AC9AE" w14:textId="552B0337" w:rsidR="00AB2653" w:rsidRPr="00172941" w:rsidRDefault="00ED29FB" w:rsidP="00172941">
                  <w:pPr>
                    <w:jc w:val="center"/>
                    <w:rPr>
                      <w:rFonts w:ascii="Times New Roman" w:hAnsi="Times New Roman"/>
                      <w:lang w:val="ro-RO"/>
                    </w:rPr>
                  </w:pPr>
                  <w:r w:rsidRPr="00172941">
                    <w:rPr>
                      <w:rFonts w:ascii="Times New Roman" w:hAnsi="Times New Roman"/>
                      <w:lang w:val="ro-RO"/>
                    </w:rPr>
                    <w:t>2106.9</w:t>
                  </w:r>
                </w:p>
              </w:tc>
              <w:tc>
                <w:tcPr>
                  <w:tcW w:w="1822" w:type="dxa"/>
                  <w:vAlign w:val="center"/>
                </w:tcPr>
                <w:p w14:paraId="1197E7DD" w14:textId="799ECCA7" w:rsidR="00AB2653" w:rsidRPr="00172941" w:rsidRDefault="00ED29FB" w:rsidP="00172941">
                  <w:pPr>
                    <w:jc w:val="center"/>
                    <w:rPr>
                      <w:rFonts w:ascii="Times New Roman" w:hAnsi="Times New Roman"/>
                      <w:lang w:val="ro-RO"/>
                    </w:rPr>
                  </w:pPr>
                  <w:r w:rsidRPr="00172941">
                    <w:rPr>
                      <w:rFonts w:ascii="Times New Roman" w:hAnsi="Times New Roman"/>
                      <w:lang w:val="ro-RO"/>
                    </w:rPr>
                    <w:t>6.9</w:t>
                  </w:r>
                </w:p>
              </w:tc>
              <w:tc>
                <w:tcPr>
                  <w:tcW w:w="1822" w:type="dxa"/>
                  <w:vAlign w:val="center"/>
                </w:tcPr>
                <w:p w14:paraId="0BA6BFFD" w14:textId="5B82EABB" w:rsidR="00AB2653" w:rsidRPr="00172941" w:rsidRDefault="00ED29FB" w:rsidP="00172941">
                  <w:pPr>
                    <w:jc w:val="center"/>
                    <w:rPr>
                      <w:rFonts w:ascii="Times New Roman" w:hAnsi="Times New Roman"/>
                      <w:lang w:val="ro-RO"/>
                    </w:rPr>
                  </w:pPr>
                  <w:r w:rsidRPr="00172941">
                    <w:rPr>
                      <w:rFonts w:ascii="Times New Roman" w:hAnsi="Times New Roman"/>
                      <w:lang w:val="ro-RO"/>
                    </w:rPr>
                    <w:t>5.7</w:t>
                  </w:r>
                </w:p>
              </w:tc>
            </w:tr>
            <w:tr w:rsidR="00AB2653" w:rsidRPr="00172941" w14:paraId="7AFFE218" w14:textId="77777777" w:rsidTr="00172941">
              <w:tc>
                <w:tcPr>
                  <w:tcW w:w="591" w:type="dxa"/>
                  <w:vAlign w:val="center"/>
                </w:tcPr>
                <w:p w14:paraId="3F6B8247" w14:textId="77777777" w:rsidR="00AB2653" w:rsidRPr="00172941" w:rsidRDefault="00AB2653"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1A71BC21" w14:textId="4739B3C4" w:rsidR="00AB2653" w:rsidRPr="00172941" w:rsidRDefault="00ED29FB" w:rsidP="00172941">
                  <w:pPr>
                    <w:rPr>
                      <w:rFonts w:ascii="Times New Roman" w:hAnsi="Times New Roman"/>
                      <w:lang w:val="ro-RO"/>
                    </w:rPr>
                  </w:pPr>
                  <w:r w:rsidRPr="00172941">
                    <w:rPr>
                      <w:rFonts w:ascii="Times New Roman" w:hAnsi="Times New Roman"/>
                      <w:lang w:val="ro-RO"/>
                    </w:rPr>
                    <w:t>Domeniul prestării serviciilor</w:t>
                  </w:r>
                </w:p>
              </w:tc>
              <w:tc>
                <w:tcPr>
                  <w:tcW w:w="1822" w:type="dxa"/>
                  <w:vAlign w:val="center"/>
                </w:tcPr>
                <w:p w14:paraId="184B0BC4" w14:textId="2D8536B0" w:rsidR="00AB2653" w:rsidRPr="00172941" w:rsidRDefault="00ED29FB" w:rsidP="00172941">
                  <w:pPr>
                    <w:jc w:val="center"/>
                    <w:rPr>
                      <w:rFonts w:ascii="Times New Roman" w:hAnsi="Times New Roman"/>
                      <w:lang w:val="ro-RO"/>
                    </w:rPr>
                  </w:pPr>
                  <w:r w:rsidRPr="00172941">
                    <w:rPr>
                      <w:rFonts w:ascii="Times New Roman" w:hAnsi="Times New Roman"/>
                      <w:lang w:val="ro-RO"/>
                    </w:rPr>
                    <w:t>2168.2</w:t>
                  </w:r>
                </w:p>
              </w:tc>
              <w:tc>
                <w:tcPr>
                  <w:tcW w:w="1822" w:type="dxa"/>
                  <w:vAlign w:val="center"/>
                </w:tcPr>
                <w:p w14:paraId="120F2683" w14:textId="6594D1C9" w:rsidR="00AB2653" w:rsidRPr="00172941" w:rsidRDefault="00ED29FB" w:rsidP="00172941">
                  <w:pPr>
                    <w:jc w:val="center"/>
                    <w:rPr>
                      <w:rFonts w:ascii="Times New Roman" w:hAnsi="Times New Roman"/>
                      <w:lang w:val="ro-RO"/>
                    </w:rPr>
                  </w:pPr>
                  <w:r w:rsidRPr="00172941">
                    <w:rPr>
                      <w:rFonts w:ascii="Times New Roman" w:hAnsi="Times New Roman"/>
                      <w:lang w:val="ro-RO"/>
                    </w:rPr>
                    <w:t>8.1</w:t>
                  </w:r>
                </w:p>
              </w:tc>
              <w:tc>
                <w:tcPr>
                  <w:tcW w:w="1822" w:type="dxa"/>
                  <w:vAlign w:val="center"/>
                </w:tcPr>
                <w:p w14:paraId="6A452DEE" w14:textId="6D184D6A" w:rsidR="00AB2653" w:rsidRPr="00172941" w:rsidRDefault="00ED29FB" w:rsidP="00172941">
                  <w:pPr>
                    <w:jc w:val="center"/>
                    <w:rPr>
                      <w:rFonts w:ascii="Times New Roman" w:hAnsi="Times New Roman"/>
                      <w:lang w:val="ro-RO"/>
                    </w:rPr>
                  </w:pPr>
                  <w:r w:rsidRPr="00172941">
                    <w:rPr>
                      <w:rFonts w:ascii="Times New Roman" w:hAnsi="Times New Roman"/>
                      <w:lang w:val="ro-RO"/>
                    </w:rPr>
                    <w:t>13.1</w:t>
                  </w:r>
                </w:p>
              </w:tc>
            </w:tr>
            <w:tr w:rsidR="00AB2653" w:rsidRPr="00172941" w14:paraId="16A0A10B" w14:textId="77777777" w:rsidTr="00172941">
              <w:tc>
                <w:tcPr>
                  <w:tcW w:w="591" w:type="dxa"/>
                  <w:vAlign w:val="center"/>
                </w:tcPr>
                <w:p w14:paraId="45919C5E" w14:textId="77777777" w:rsidR="00AB2653" w:rsidRPr="00172941" w:rsidRDefault="00AB2653"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7E28A07B" w14:textId="5E64C009" w:rsidR="00AB2653" w:rsidRPr="00172941" w:rsidRDefault="00ED29FB" w:rsidP="00172941">
                  <w:pPr>
                    <w:rPr>
                      <w:rFonts w:ascii="Times New Roman" w:hAnsi="Times New Roman"/>
                      <w:lang w:val="ro-RO"/>
                    </w:rPr>
                  </w:pPr>
                  <w:r w:rsidRPr="00172941">
                    <w:rPr>
                      <w:rFonts w:ascii="Times New Roman" w:hAnsi="Times New Roman"/>
                      <w:lang w:val="ro-RO"/>
                    </w:rPr>
                    <w:t>Alte credite acordate</w:t>
                  </w:r>
                </w:p>
              </w:tc>
              <w:tc>
                <w:tcPr>
                  <w:tcW w:w="1822" w:type="dxa"/>
                  <w:vAlign w:val="center"/>
                </w:tcPr>
                <w:p w14:paraId="77A182D2" w14:textId="022B3094" w:rsidR="00AB2653" w:rsidRPr="00172941" w:rsidRDefault="00ED29FB" w:rsidP="00172941">
                  <w:pPr>
                    <w:jc w:val="center"/>
                    <w:rPr>
                      <w:rFonts w:ascii="Times New Roman" w:hAnsi="Times New Roman"/>
                      <w:lang w:val="ro-RO"/>
                    </w:rPr>
                  </w:pPr>
                  <w:r w:rsidRPr="00172941">
                    <w:rPr>
                      <w:rFonts w:ascii="Times New Roman" w:hAnsi="Times New Roman"/>
                      <w:lang w:val="ro-RO"/>
                    </w:rPr>
                    <w:t>2290.2</w:t>
                  </w:r>
                </w:p>
              </w:tc>
              <w:tc>
                <w:tcPr>
                  <w:tcW w:w="1822" w:type="dxa"/>
                  <w:vAlign w:val="center"/>
                </w:tcPr>
                <w:p w14:paraId="0A24A11D" w14:textId="32C85EF6" w:rsidR="00AB2653" w:rsidRPr="00172941" w:rsidRDefault="00ED29FB" w:rsidP="00172941">
                  <w:pPr>
                    <w:jc w:val="center"/>
                    <w:rPr>
                      <w:rFonts w:ascii="Times New Roman" w:hAnsi="Times New Roman"/>
                      <w:lang w:val="ro-RO"/>
                    </w:rPr>
                  </w:pPr>
                  <w:r w:rsidRPr="00172941">
                    <w:rPr>
                      <w:rFonts w:ascii="Times New Roman" w:hAnsi="Times New Roman"/>
                      <w:lang w:val="ro-RO"/>
                    </w:rPr>
                    <w:t>9.3</w:t>
                  </w:r>
                </w:p>
              </w:tc>
              <w:tc>
                <w:tcPr>
                  <w:tcW w:w="1822" w:type="dxa"/>
                  <w:vAlign w:val="center"/>
                </w:tcPr>
                <w:p w14:paraId="3A457B86" w14:textId="50B8C604" w:rsidR="00AB2653" w:rsidRPr="00172941" w:rsidRDefault="00ED29FB" w:rsidP="00172941">
                  <w:pPr>
                    <w:jc w:val="center"/>
                    <w:rPr>
                      <w:rFonts w:ascii="Times New Roman" w:hAnsi="Times New Roman"/>
                      <w:lang w:val="ro-RO"/>
                    </w:rPr>
                  </w:pPr>
                  <w:r w:rsidRPr="00172941">
                    <w:rPr>
                      <w:rFonts w:ascii="Times New Roman" w:hAnsi="Times New Roman"/>
                      <w:lang w:val="ro-RO"/>
                    </w:rPr>
                    <w:t>11.5</w:t>
                  </w:r>
                </w:p>
              </w:tc>
            </w:tr>
            <w:tr w:rsidR="00ED29FB" w:rsidRPr="00172941" w14:paraId="2DCBABAA" w14:textId="77777777" w:rsidTr="00172941">
              <w:tc>
                <w:tcPr>
                  <w:tcW w:w="591" w:type="dxa"/>
                  <w:vAlign w:val="center"/>
                </w:tcPr>
                <w:p w14:paraId="1FF87709" w14:textId="77777777" w:rsidR="00ED29FB" w:rsidRPr="00172941" w:rsidRDefault="00ED29FB" w:rsidP="00172941">
                  <w:pPr>
                    <w:pStyle w:val="ListParagraph"/>
                    <w:numPr>
                      <w:ilvl w:val="0"/>
                      <w:numId w:val="20"/>
                    </w:numPr>
                    <w:ind w:left="357" w:hanging="357"/>
                    <w:contextualSpacing w:val="0"/>
                    <w:jc w:val="center"/>
                    <w:rPr>
                      <w:rFonts w:ascii="Times New Roman" w:hAnsi="Times New Roman"/>
                      <w:lang w:val="ro-RO"/>
                    </w:rPr>
                  </w:pPr>
                </w:p>
              </w:tc>
              <w:tc>
                <w:tcPr>
                  <w:tcW w:w="3052" w:type="dxa"/>
                  <w:vAlign w:val="center"/>
                </w:tcPr>
                <w:p w14:paraId="19FB6053" w14:textId="7D688AAE" w:rsidR="00ED29FB" w:rsidRPr="00172941" w:rsidRDefault="00ED29FB" w:rsidP="00172941">
                  <w:pPr>
                    <w:jc w:val="center"/>
                    <w:rPr>
                      <w:rFonts w:ascii="Times New Roman" w:hAnsi="Times New Roman"/>
                      <w:b/>
                      <w:bCs/>
                      <w:lang w:val="ro-RO"/>
                    </w:rPr>
                  </w:pPr>
                  <w:r w:rsidRPr="00172941">
                    <w:rPr>
                      <w:rFonts w:ascii="Times New Roman" w:hAnsi="Times New Roman"/>
                      <w:b/>
                      <w:bCs/>
                      <w:lang w:val="ro-RO"/>
                    </w:rPr>
                    <w:t>Total</w:t>
                  </w:r>
                </w:p>
              </w:tc>
              <w:tc>
                <w:tcPr>
                  <w:tcW w:w="1822" w:type="dxa"/>
                  <w:vAlign w:val="center"/>
                </w:tcPr>
                <w:p w14:paraId="5BAB11A3" w14:textId="203D4C43" w:rsidR="00ED29FB" w:rsidRPr="00172941" w:rsidRDefault="00ED29FB" w:rsidP="00172941">
                  <w:pPr>
                    <w:jc w:val="center"/>
                    <w:rPr>
                      <w:rFonts w:ascii="Times New Roman" w:hAnsi="Times New Roman"/>
                      <w:b/>
                      <w:bCs/>
                      <w:lang w:val="ro-RO"/>
                    </w:rPr>
                  </w:pPr>
                  <w:r w:rsidRPr="00172941">
                    <w:rPr>
                      <w:rFonts w:ascii="Times New Roman" w:hAnsi="Times New Roman"/>
                      <w:b/>
                      <w:bCs/>
                      <w:lang w:val="ro-RO"/>
                    </w:rPr>
                    <w:t>63 895,5</w:t>
                  </w:r>
                </w:p>
              </w:tc>
              <w:tc>
                <w:tcPr>
                  <w:tcW w:w="1822" w:type="dxa"/>
                  <w:vAlign w:val="center"/>
                </w:tcPr>
                <w:p w14:paraId="4CD090FA" w14:textId="481EE384" w:rsidR="00ED29FB" w:rsidRPr="00172941" w:rsidRDefault="00ED29FB" w:rsidP="00172941">
                  <w:pPr>
                    <w:jc w:val="center"/>
                    <w:rPr>
                      <w:rFonts w:ascii="Times New Roman" w:hAnsi="Times New Roman"/>
                      <w:b/>
                      <w:bCs/>
                      <w:lang w:val="ro-RO"/>
                    </w:rPr>
                  </w:pPr>
                  <w:r w:rsidRPr="00172941">
                    <w:rPr>
                      <w:rFonts w:ascii="Times New Roman" w:hAnsi="Times New Roman"/>
                      <w:b/>
                      <w:bCs/>
                      <w:lang w:val="ro-RO"/>
                    </w:rPr>
                    <w:t>5.6</w:t>
                  </w:r>
                </w:p>
              </w:tc>
              <w:tc>
                <w:tcPr>
                  <w:tcW w:w="1822" w:type="dxa"/>
                  <w:vAlign w:val="center"/>
                </w:tcPr>
                <w:p w14:paraId="78569CD6" w14:textId="5CD90A6E" w:rsidR="00ED29FB" w:rsidRPr="00172941" w:rsidRDefault="00ED29FB" w:rsidP="00172941">
                  <w:pPr>
                    <w:jc w:val="center"/>
                    <w:rPr>
                      <w:rFonts w:ascii="Times New Roman" w:hAnsi="Times New Roman"/>
                      <w:b/>
                      <w:bCs/>
                      <w:lang w:val="ro-RO"/>
                    </w:rPr>
                  </w:pPr>
                  <w:r w:rsidRPr="00172941">
                    <w:rPr>
                      <w:rFonts w:ascii="Times New Roman" w:hAnsi="Times New Roman"/>
                      <w:b/>
                      <w:bCs/>
                      <w:lang w:val="ro-RO"/>
                    </w:rPr>
                    <w:t>6.4</w:t>
                  </w:r>
                </w:p>
              </w:tc>
            </w:tr>
          </w:tbl>
          <w:p w14:paraId="0DBCE547" w14:textId="1194C7AA" w:rsidR="00F45638" w:rsidRPr="00A10374" w:rsidRDefault="0008775F" w:rsidP="00457286">
            <w:pPr>
              <w:spacing w:before="120" w:after="120"/>
              <w:jc w:val="both"/>
              <w:rPr>
                <w:rFonts w:ascii="Times New Roman" w:hAnsi="Times New Roman"/>
                <w:lang w:val="ro-RO"/>
              </w:rPr>
            </w:pPr>
            <w:r w:rsidRPr="00A10374">
              <w:rPr>
                <w:rFonts w:ascii="Times New Roman" w:hAnsi="Times New Roman"/>
                <w:lang w:val="ro-RO"/>
              </w:rPr>
              <w:lastRenderedPageBreak/>
              <w:t>Condițiile</w:t>
            </w:r>
            <w:r w:rsidR="00457286" w:rsidRPr="00A10374">
              <w:rPr>
                <w:rFonts w:ascii="Times New Roman" w:hAnsi="Times New Roman"/>
                <w:lang w:val="ro-RO"/>
              </w:rPr>
              <w:t xml:space="preserve"> de acordare </w:t>
            </w:r>
            <w:proofErr w:type="spellStart"/>
            <w:r w:rsidR="00457286" w:rsidRPr="00A10374">
              <w:rPr>
                <w:rFonts w:ascii="Times New Roman" w:hAnsi="Times New Roman"/>
                <w:lang w:val="ro-RO"/>
              </w:rPr>
              <w:t>şi</w:t>
            </w:r>
            <w:proofErr w:type="spellEnd"/>
            <w:r w:rsidR="00457286" w:rsidRPr="00A10374">
              <w:rPr>
                <w:rFonts w:ascii="Times New Roman" w:hAnsi="Times New Roman"/>
                <w:lang w:val="ro-RO"/>
              </w:rPr>
              <w:t xml:space="preserve"> executare a </w:t>
            </w:r>
            <w:r w:rsidRPr="00A10374">
              <w:rPr>
                <w:rFonts w:ascii="Times New Roman" w:hAnsi="Times New Roman"/>
                <w:lang w:val="ro-RO"/>
              </w:rPr>
              <w:t>garanției</w:t>
            </w:r>
            <w:r w:rsidR="00457286" w:rsidRPr="00A10374">
              <w:rPr>
                <w:rFonts w:ascii="Times New Roman" w:hAnsi="Times New Roman"/>
                <w:lang w:val="ro-RO"/>
              </w:rPr>
              <w:t xml:space="preserve"> </w:t>
            </w:r>
            <w:r w:rsidRPr="00A10374">
              <w:rPr>
                <w:rFonts w:ascii="Times New Roman" w:hAnsi="Times New Roman"/>
                <w:lang w:val="ro-RO"/>
              </w:rPr>
              <w:t>financiare</w:t>
            </w:r>
            <w:r w:rsidR="00457286" w:rsidRPr="00A10374">
              <w:rPr>
                <w:rFonts w:ascii="Times New Roman" w:hAnsi="Times New Roman"/>
                <w:lang w:val="ro-RO"/>
              </w:rPr>
              <w:t xml:space="preserve"> pentru credite destinate implementării proiectelor de eficiență energetică și/sau valorificare a surselor regenerabile de energie </w:t>
            </w:r>
            <w:r w:rsidRPr="00A10374">
              <w:rPr>
                <w:rFonts w:ascii="Times New Roman" w:hAnsi="Times New Roman"/>
                <w:lang w:val="ro-RO"/>
              </w:rPr>
              <w:t>urmează</w:t>
            </w:r>
            <w:r w:rsidR="00457286" w:rsidRPr="00A10374">
              <w:rPr>
                <w:rFonts w:ascii="Times New Roman" w:hAnsi="Times New Roman"/>
                <w:lang w:val="ro-MD"/>
              </w:rPr>
              <w:t>ă</w:t>
            </w:r>
            <w:r w:rsidR="00457286" w:rsidRPr="00A10374">
              <w:rPr>
                <w:rFonts w:ascii="Times New Roman" w:hAnsi="Times New Roman"/>
                <w:lang w:val="ro-RO"/>
              </w:rPr>
              <w:t xml:space="preserve"> a fi stabilite de Guvern.</w:t>
            </w:r>
          </w:p>
          <w:p w14:paraId="3A2CA2B7" w14:textId="75DDA699" w:rsidR="00457286" w:rsidRDefault="00F45638" w:rsidP="00457286">
            <w:pPr>
              <w:spacing w:before="120" w:after="120"/>
              <w:jc w:val="both"/>
              <w:rPr>
                <w:rFonts w:ascii="Times New Roman" w:hAnsi="Times New Roman"/>
                <w:lang w:val="ro-RO"/>
              </w:rPr>
            </w:pPr>
            <w:r w:rsidRPr="00A10374">
              <w:rPr>
                <w:rFonts w:ascii="Times New Roman" w:hAnsi="Times New Roman"/>
                <w:lang w:val="ro-RO"/>
              </w:rPr>
              <w:t xml:space="preserve">Cu referire la mijloacele financiare necesare pentru acoperirea compensațiilor financiare a fost estimat că vor fi necesare mijloace financiare în valoare de </w:t>
            </w:r>
            <w:r w:rsidR="004131A7">
              <w:rPr>
                <w:rFonts w:ascii="Times New Roman" w:hAnsi="Times New Roman"/>
                <w:lang w:val="ro-RO"/>
              </w:rPr>
              <w:t>la 12.9 milioane</w:t>
            </w:r>
            <w:r w:rsidR="004131A7" w:rsidRPr="00A10374">
              <w:rPr>
                <w:rFonts w:ascii="Times New Roman" w:hAnsi="Times New Roman"/>
                <w:lang w:val="ro-RO"/>
              </w:rPr>
              <w:t xml:space="preserve"> </w:t>
            </w:r>
            <w:r w:rsidRPr="00A10374">
              <w:rPr>
                <w:rFonts w:ascii="Times New Roman" w:hAnsi="Times New Roman"/>
                <w:lang w:val="ro-RO"/>
              </w:rPr>
              <w:t>lei</w:t>
            </w:r>
            <w:r w:rsidR="008E0278" w:rsidRPr="00A10374">
              <w:rPr>
                <w:rFonts w:ascii="Times New Roman" w:hAnsi="Times New Roman"/>
                <w:lang w:val="ro-RO"/>
              </w:rPr>
              <w:t xml:space="preserve"> </w:t>
            </w:r>
            <w:r w:rsidR="00C25575">
              <w:rPr>
                <w:rFonts w:ascii="Times New Roman" w:hAnsi="Times New Roman"/>
                <w:lang w:val="ro-RO"/>
              </w:rPr>
              <w:t>până</w:t>
            </w:r>
            <w:r w:rsidR="004131A7">
              <w:rPr>
                <w:rFonts w:ascii="Times New Roman" w:hAnsi="Times New Roman"/>
                <w:lang w:val="ro-RO"/>
              </w:rPr>
              <w:t xml:space="preserve"> la 17.6 milioane lei pe durata implementării programului</w:t>
            </w:r>
            <w:r w:rsidR="008E0278" w:rsidRPr="00A10374">
              <w:rPr>
                <w:rFonts w:ascii="Times New Roman" w:hAnsi="Times New Roman"/>
                <w:lang w:val="ro-RO"/>
              </w:rPr>
              <w:t>, care vor fi acoperite din contul mijloacelor financiare disponibile în cadrul FEE</w:t>
            </w:r>
            <w:r w:rsidR="004131A7">
              <w:rPr>
                <w:rFonts w:ascii="Times New Roman" w:hAnsi="Times New Roman"/>
                <w:lang w:val="ro-RO"/>
              </w:rPr>
              <w:t>, în ipoteza obținerii creditelor pe o durată de 60 luni la o rată a dobânzii de 5%</w:t>
            </w:r>
            <w:r w:rsidR="0008775F">
              <w:rPr>
                <w:rFonts w:ascii="Times New Roman" w:hAnsi="Times New Roman"/>
                <w:lang w:val="ro-RO"/>
              </w:rPr>
              <w:t>.</w:t>
            </w:r>
          </w:p>
          <w:p w14:paraId="13BFECF6" w14:textId="71E013CC" w:rsidR="0008775F" w:rsidRPr="00A10374" w:rsidRDefault="0008775F" w:rsidP="00457286">
            <w:pPr>
              <w:spacing w:before="120" w:after="120"/>
              <w:jc w:val="both"/>
              <w:rPr>
                <w:rFonts w:ascii="Times New Roman" w:hAnsi="Times New Roman"/>
                <w:lang w:val="ro-RO"/>
              </w:rPr>
            </w:pPr>
            <w:r>
              <w:rPr>
                <w:rFonts w:ascii="Times New Roman" w:hAnsi="Times New Roman"/>
                <w:lang w:val="ro-RO"/>
              </w:rPr>
              <w:t>Cu referire la mijloacele financiare pentru finanțarea subsistemelor informaționale noi care se propun a fi parte a sistemului informațional național în domeniul eficienței energetice</w:t>
            </w:r>
            <w:r w:rsidR="006B677F">
              <w:rPr>
                <w:rFonts w:ascii="Times New Roman" w:hAnsi="Times New Roman"/>
                <w:lang w:val="ro-RO"/>
              </w:rPr>
              <w:t xml:space="preserve"> este de </w:t>
            </w:r>
            <w:r w:rsidR="006B677F" w:rsidRPr="00AF7C7B">
              <w:rPr>
                <w:rFonts w:ascii="Times New Roman" w:hAnsi="Times New Roman"/>
                <w:lang w:val="ro-RO"/>
              </w:rPr>
              <w:t>menționat că acestea urmează a fi create cu suportul proiectului „Eficiență Energetică și Energii Regenerabile în Republica Moldova" (E4M), finanțat de Ministerul Federal German pentru Cooperare Economică și Dezvoltare (BMZ), Uniunea Europeană și Norvegia și implementat de Agenția de Cooperare Internațională a Germaniei (GIZ)</w:t>
            </w:r>
            <w:r w:rsidR="000B585E" w:rsidRPr="00AF7C7B">
              <w:rPr>
                <w:rFonts w:ascii="Times New Roman" w:hAnsi="Times New Roman"/>
                <w:lang w:val="ro-RO"/>
              </w:rPr>
              <w:t xml:space="preserve"> în perioada 2023-2026</w:t>
            </w:r>
            <w:r w:rsidR="006B677F" w:rsidRPr="00AF7C7B">
              <w:rPr>
                <w:rFonts w:ascii="Times New Roman" w:hAnsi="Times New Roman"/>
                <w:lang w:val="ro-RO"/>
              </w:rPr>
              <w:t xml:space="preserve">. Totodată, pentru </w:t>
            </w:r>
            <w:r w:rsidR="000B585E" w:rsidRPr="00AF7C7B">
              <w:rPr>
                <w:rFonts w:ascii="Times New Roman" w:hAnsi="Times New Roman"/>
                <w:lang w:val="ro-RO"/>
              </w:rPr>
              <w:t xml:space="preserve">crearea sistemului informațional național în domeniul eficienței energetice este prevăzută acordarea de mijloace financiare din cadrul asistenței tehnice prevăzute în cadrul proiectului </w:t>
            </w:r>
            <w:r w:rsidR="00AF7C7B" w:rsidRPr="00AF7C7B">
              <w:rPr>
                <w:rFonts w:ascii="Times New Roman" w:hAnsi="Times New Roman"/>
                <w:lang w:val="ro-RO"/>
              </w:rPr>
              <w:t>Băncii</w:t>
            </w:r>
            <w:r w:rsidR="000B585E" w:rsidRPr="00AF7C7B">
              <w:rPr>
                <w:rFonts w:ascii="Times New Roman" w:hAnsi="Times New Roman"/>
                <w:lang w:val="ro-RO"/>
              </w:rPr>
              <w:t xml:space="preserve"> Mondiale ,,Tranziția durabilă către eficiența energetică în Moldova (STEEM)”, implementat pe perioada 2024-2029 de IP Unitatea Consolidată pentru Implementarea și Monitorizarea Proiectelor în domeniul Energetici cu suportul tehnic al IP Centrului Național pentru Energie Durabilă.</w:t>
            </w:r>
          </w:p>
        </w:tc>
      </w:tr>
      <w:tr w:rsidR="006D3EB7" w:rsidRPr="00A10374" w14:paraId="02E2B551" w14:textId="77777777" w:rsidTr="002365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CBB070" w14:textId="59684A66" w:rsidR="00BD7C00" w:rsidRPr="00A10374" w:rsidRDefault="006933C3" w:rsidP="00236599">
            <w:pPr>
              <w:rPr>
                <w:rFonts w:ascii="Times New Roman" w:hAnsi="Times New Roman"/>
                <w:i/>
                <w:lang w:val="ro-RO"/>
              </w:rPr>
            </w:pPr>
            <w:r w:rsidRPr="00A10374">
              <w:rPr>
                <w:rFonts w:ascii="Times New Roman" w:hAnsi="Times New Roman"/>
                <w:i/>
                <w:lang w:val="ro-RO"/>
              </w:rPr>
              <w:lastRenderedPageBreak/>
              <w:t>4.3.</w:t>
            </w:r>
            <w:r w:rsidR="00032B46" w:rsidRPr="00A10374">
              <w:rPr>
                <w:rFonts w:ascii="Times New Roman" w:hAnsi="Times New Roman"/>
                <w:i/>
                <w:lang w:val="ro-RO"/>
              </w:rPr>
              <w:t xml:space="preserve"> </w:t>
            </w:r>
            <w:r w:rsidRPr="00A10374">
              <w:rPr>
                <w:rFonts w:ascii="Times New Roman" w:hAnsi="Times New Roman"/>
                <w:i/>
                <w:lang w:val="ro-RO"/>
              </w:rPr>
              <w:t>Impactul</w:t>
            </w:r>
            <w:r w:rsidR="00032B46" w:rsidRPr="00A10374">
              <w:rPr>
                <w:rFonts w:ascii="Times New Roman" w:hAnsi="Times New Roman"/>
                <w:i/>
                <w:lang w:val="ro-RO"/>
              </w:rPr>
              <w:t xml:space="preserve"> </w:t>
            </w:r>
            <w:r w:rsidR="00CA2822" w:rsidRPr="00A10374">
              <w:rPr>
                <w:rFonts w:ascii="Times New Roman" w:hAnsi="Times New Roman"/>
                <w:i/>
                <w:lang w:val="ro-RO"/>
              </w:rPr>
              <w:t>asupra</w:t>
            </w:r>
            <w:r w:rsidR="00032B46" w:rsidRPr="00A10374">
              <w:rPr>
                <w:rFonts w:ascii="Times New Roman" w:hAnsi="Times New Roman"/>
                <w:i/>
                <w:lang w:val="ro-RO"/>
              </w:rPr>
              <w:t xml:space="preserve"> </w:t>
            </w:r>
            <w:r w:rsidR="00CA2822" w:rsidRPr="00A10374">
              <w:rPr>
                <w:rFonts w:ascii="Times New Roman" w:hAnsi="Times New Roman"/>
                <w:i/>
                <w:lang w:val="ro-RO"/>
              </w:rPr>
              <w:t>sectorului</w:t>
            </w:r>
            <w:r w:rsidR="00032B46" w:rsidRPr="00A10374">
              <w:rPr>
                <w:rFonts w:ascii="Times New Roman" w:hAnsi="Times New Roman"/>
                <w:i/>
                <w:lang w:val="ro-RO"/>
              </w:rPr>
              <w:t xml:space="preserve"> </w:t>
            </w:r>
            <w:r w:rsidR="00CA2822" w:rsidRPr="00A10374">
              <w:rPr>
                <w:rFonts w:ascii="Times New Roman" w:hAnsi="Times New Roman"/>
                <w:i/>
                <w:lang w:val="ro-RO"/>
              </w:rPr>
              <w:t>privat</w:t>
            </w:r>
          </w:p>
          <w:p w14:paraId="7A7F0322" w14:textId="1109E9E7" w:rsidR="009852E6" w:rsidRPr="00A10374" w:rsidRDefault="0020204D" w:rsidP="001A76A5">
            <w:pPr>
              <w:jc w:val="both"/>
              <w:rPr>
                <w:rFonts w:ascii="Times New Roman" w:hAnsi="Times New Roman"/>
                <w:shd w:val="clear" w:color="auto" w:fill="FFFFFF"/>
                <w:lang w:val="ro-RO"/>
              </w:rPr>
            </w:pPr>
            <w:r w:rsidRPr="00A10374">
              <w:rPr>
                <w:rFonts w:ascii="Times New Roman" w:hAnsi="Times New Roman"/>
                <w:lang w:val="ro-RO"/>
              </w:rPr>
              <w:t xml:space="preserve">Aprobarea modificările propuse în Legea nr. 139/2018 cu privire la eficiența energetică va avea impact pozitiv asupra </w:t>
            </w:r>
            <w:r w:rsidRPr="00A10374">
              <w:rPr>
                <w:rFonts w:ascii="Times New Roman" w:hAnsi="Times New Roman"/>
                <w:b/>
                <w:lang w:val="ro-RO"/>
              </w:rPr>
              <w:t>f</w:t>
            </w:r>
            <w:r w:rsidRPr="00A10374">
              <w:rPr>
                <w:rFonts w:ascii="Times New Roman" w:hAnsi="Times New Roman"/>
                <w:b/>
                <w:shd w:val="clear" w:color="auto" w:fill="FFFFFF"/>
                <w:lang w:val="ro-RO"/>
              </w:rPr>
              <w:t>urnizorilor de energie termică pentru încălzire și/sau preparare a ape</w:t>
            </w:r>
            <w:r w:rsidR="009852E6" w:rsidRPr="00A10374">
              <w:rPr>
                <w:rFonts w:ascii="Times New Roman" w:hAnsi="Times New Roman"/>
                <w:b/>
                <w:shd w:val="clear" w:color="auto" w:fill="FFFFFF"/>
                <w:lang w:val="ro-RO"/>
              </w:rPr>
              <w:t>i calde menajere</w:t>
            </w:r>
            <w:r w:rsidR="00F8742F" w:rsidRPr="00A10374">
              <w:rPr>
                <w:rFonts w:ascii="Times New Roman" w:hAnsi="Times New Roman"/>
                <w:b/>
                <w:shd w:val="clear" w:color="auto" w:fill="FFFFFF"/>
                <w:lang w:val="ro-RO"/>
              </w:rPr>
              <w:t xml:space="preserve"> (ACM)</w:t>
            </w:r>
            <w:r w:rsidR="009852E6" w:rsidRPr="00A10374">
              <w:rPr>
                <w:rFonts w:ascii="Times New Roman" w:hAnsi="Times New Roman"/>
                <w:b/>
                <w:shd w:val="clear" w:color="auto" w:fill="FFFFFF"/>
                <w:lang w:val="ro-RO"/>
              </w:rPr>
              <w:t xml:space="preserve">, și/sau răcire </w:t>
            </w:r>
            <w:r w:rsidR="009852E6" w:rsidRPr="00A10374">
              <w:rPr>
                <w:rFonts w:ascii="Times New Roman" w:hAnsi="Times New Roman"/>
                <w:shd w:val="clear" w:color="auto" w:fill="FFFFFF"/>
                <w:lang w:val="ro-RO"/>
              </w:rPr>
              <w:t xml:space="preserve">prin scutirea acestora de contribuțiile ce urmează să le achite în cadrul schemei de obligații în domeniul eficienței energetice pentru energia termică </w:t>
            </w:r>
            <w:r w:rsidR="00F8742F" w:rsidRPr="00A10374">
              <w:rPr>
                <w:rFonts w:ascii="Times New Roman" w:hAnsi="Times New Roman"/>
                <w:shd w:val="clear" w:color="auto" w:fill="FFFFFF"/>
                <w:lang w:val="ro-RO"/>
              </w:rPr>
              <w:t xml:space="preserve">utilizată pentru încălzire </w:t>
            </w:r>
            <w:r w:rsidR="009852E6" w:rsidRPr="00A10374">
              <w:rPr>
                <w:rFonts w:ascii="Times New Roman" w:hAnsi="Times New Roman"/>
                <w:shd w:val="clear" w:color="auto" w:fill="FFFFFF"/>
                <w:lang w:val="ro-RO"/>
              </w:rPr>
              <w:t xml:space="preserve">și </w:t>
            </w:r>
            <w:r w:rsidR="00F8742F" w:rsidRPr="00A10374">
              <w:rPr>
                <w:rFonts w:ascii="Times New Roman" w:hAnsi="Times New Roman"/>
                <w:shd w:val="clear" w:color="auto" w:fill="FFFFFF"/>
                <w:lang w:val="ro-RO"/>
              </w:rPr>
              <w:t xml:space="preserve">preparare a </w:t>
            </w:r>
            <w:r w:rsidR="009852E6" w:rsidRPr="00A10374">
              <w:rPr>
                <w:rFonts w:ascii="Times New Roman" w:hAnsi="Times New Roman"/>
                <w:shd w:val="clear" w:color="auto" w:fill="FFFFFF"/>
                <w:lang w:val="ro-RO"/>
              </w:rPr>
              <w:t>ap</w:t>
            </w:r>
            <w:r w:rsidR="00F8742F" w:rsidRPr="00A10374">
              <w:rPr>
                <w:rFonts w:ascii="Times New Roman" w:hAnsi="Times New Roman"/>
                <w:shd w:val="clear" w:color="auto" w:fill="FFFFFF"/>
                <w:lang w:val="ro-RO"/>
              </w:rPr>
              <w:t>ei</w:t>
            </w:r>
            <w:r w:rsidR="009852E6" w:rsidRPr="00A10374">
              <w:rPr>
                <w:rFonts w:ascii="Times New Roman" w:hAnsi="Times New Roman"/>
                <w:shd w:val="clear" w:color="auto" w:fill="FFFFFF"/>
                <w:lang w:val="ro-RO"/>
              </w:rPr>
              <w:t xml:space="preserve"> cald</w:t>
            </w:r>
            <w:r w:rsidR="00F8742F" w:rsidRPr="00A10374">
              <w:rPr>
                <w:rFonts w:ascii="Times New Roman" w:hAnsi="Times New Roman"/>
                <w:shd w:val="clear" w:color="auto" w:fill="FFFFFF"/>
                <w:lang w:val="ro-RO"/>
              </w:rPr>
              <w:t>e</w:t>
            </w:r>
            <w:r w:rsidR="009852E6" w:rsidRPr="00A10374">
              <w:rPr>
                <w:rFonts w:ascii="Times New Roman" w:hAnsi="Times New Roman"/>
                <w:shd w:val="clear" w:color="auto" w:fill="FFFFFF"/>
                <w:lang w:val="ro-RO"/>
              </w:rPr>
              <w:t xml:space="preserve"> menajeră furnizată consumatorilor finali. Contribuțiile acestora efectuate pe parcursul primului </w:t>
            </w:r>
            <w:r w:rsidR="00F8742F" w:rsidRPr="00A10374">
              <w:rPr>
                <w:rFonts w:ascii="Times New Roman" w:hAnsi="Times New Roman"/>
                <w:shd w:val="clear" w:color="auto" w:fill="FFFFFF"/>
                <w:lang w:val="ro-RO"/>
              </w:rPr>
              <w:t xml:space="preserve">trimestru </w:t>
            </w:r>
            <w:r w:rsidR="009852E6" w:rsidRPr="00A10374">
              <w:rPr>
                <w:rFonts w:ascii="Times New Roman" w:hAnsi="Times New Roman"/>
                <w:shd w:val="clear" w:color="auto" w:fill="FFFFFF"/>
                <w:lang w:val="ro-RO"/>
              </w:rPr>
              <w:t>a anului 2024, sunt prezentate în tabelul de mai jos:</w:t>
            </w:r>
          </w:p>
          <w:p w14:paraId="460F371F" w14:textId="3F44F15A" w:rsidR="0020204D" w:rsidRPr="00A10374" w:rsidRDefault="009852E6" w:rsidP="0020204D">
            <w:pPr>
              <w:rPr>
                <w:rFonts w:ascii="Times New Roman" w:hAnsi="Times New Roman"/>
                <w:shd w:val="clear" w:color="auto" w:fill="FFFFFF"/>
                <w:lang w:val="ro-RO"/>
              </w:rPr>
            </w:pPr>
            <w:r w:rsidRPr="00A10374">
              <w:rPr>
                <w:rFonts w:ascii="Times New Roman" w:hAnsi="Times New Roman"/>
                <w:b/>
                <w:shd w:val="clear" w:color="auto" w:fill="FFFFFF"/>
                <w:lang w:val="ro-RO"/>
              </w:rPr>
              <w:t xml:space="preserve">Tabelul </w:t>
            </w:r>
            <w:r w:rsidR="00ED29FB">
              <w:rPr>
                <w:rFonts w:ascii="Times New Roman" w:hAnsi="Times New Roman"/>
                <w:b/>
                <w:shd w:val="clear" w:color="auto" w:fill="FFFFFF"/>
                <w:lang w:val="ro-RO"/>
              </w:rPr>
              <w:t>3</w:t>
            </w:r>
            <w:r w:rsidRPr="00A10374">
              <w:rPr>
                <w:rFonts w:ascii="Times New Roman" w:hAnsi="Times New Roman"/>
                <w:b/>
                <w:shd w:val="clear" w:color="auto" w:fill="FFFFFF"/>
                <w:lang w:val="ro-RO"/>
              </w:rPr>
              <w:t>.</w:t>
            </w:r>
            <w:r w:rsidRPr="00A10374">
              <w:rPr>
                <w:rFonts w:ascii="Times New Roman" w:hAnsi="Times New Roman"/>
                <w:shd w:val="clear" w:color="auto" w:fill="FFFFFF"/>
                <w:lang w:val="ro-RO"/>
              </w:rPr>
              <w:t xml:space="preserve"> Contribuțiile financiare ale furnizorilor de energie termică pentru încălzire și/sau preparare a apei calde menajere, și/sau răcire realizate</w:t>
            </w:r>
            <w:r w:rsidR="006A03F4" w:rsidRPr="00A10374">
              <w:rPr>
                <w:rFonts w:ascii="Times New Roman" w:hAnsi="Times New Roman"/>
                <w:shd w:val="clear" w:color="auto" w:fill="FFFFFF"/>
                <w:lang w:val="ro-RO"/>
              </w:rPr>
              <w:t>, precum și a altor părți obligate</w:t>
            </w:r>
            <w:r w:rsidRPr="00A10374">
              <w:rPr>
                <w:rFonts w:ascii="Times New Roman" w:hAnsi="Times New Roman"/>
                <w:shd w:val="clear" w:color="auto" w:fill="FFFFFF"/>
                <w:lang w:val="ro-RO"/>
              </w:rPr>
              <w:t xml:space="preserve"> pe parcursul I </w:t>
            </w:r>
            <w:r w:rsidR="00F8742F" w:rsidRPr="00A10374">
              <w:rPr>
                <w:rFonts w:ascii="Times New Roman" w:hAnsi="Times New Roman"/>
                <w:shd w:val="clear" w:color="auto" w:fill="FFFFFF"/>
                <w:lang w:val="ro-RO"/>
              </w:rPr>
              <w:t>trimestru</w:t>
            </w:r>
            <w:r w:rsidRPr="00A10374">
              <w:rPr>
                <w:rFonts w:ascii="Times New Roman" w:hAnsi="Times New Roman"/>
                <w:shd w:val="clear" w:color="auto" w:fill="FFFFFF"/>
                <w:lang w:val="ro-RO"/>
              </w:rPr>
              <w:t xml:space="preserve">, 2024   </w:t>
            </w:r>
          </w:p>
          <w:tbl>
            <w:tblPr>
              <w:tblStyle w:val="TableGrid"/>
              <w:tblW w:w="5000" w:type="pct"/>
              <w:tblLook w:val="04A0" w:firstRow="1" w:lastRow="0" w:firstColumn="1" w:lastColumn="0" w:noHBand="0" w:noVBand="1"/>
            </w:tblPr>
            <w:tblGrid>
              <w:gridCol w:w="601"/>
              <w:gridCol w:w="4651"/>
              <w:gridCol w:w="3857"/>
            </w:tblGrid>
            <w:tr w:rsidR="00F8742F" w:rsidRPr="00997304" w14:paraId="1477B124" w14:textId="77777777" w:rsidTr="001A76A5">
              <w:tc>
                <w:tcPr>
                  <w:tcW w:w="330" w:type="pct"/>
                  <w:shd w:val="clear" w:color="auto" w:fill="C6D9F1" w:themeFill="text2" w:themeFillTint="33"/>
                  <w:vAlign w:val="center"/>
                </w:tcPr>
                <w:p w14:paraId="16DFC6B7" w14:textId="41485CDE" w:rsidR="00F8742F" w:rsidRPr="00A10374" w:rsidRDefault="00F8742F" w:rsidP="001A76A5">
                  <w:pPr>
                    <w:tabs>
                      <w:tab w:val="left" w:pos="884"/>
                      <w:tab w:val="left" w:pos="1196"/>
                    </w:tabs>
                    <w:jc w:val="center"/>
                    <w:rPr>
                      <w:rFonts w:ascii="Times New Roman" w:hAnsi="Times New Roman"/>
                      <w:b/>
                      <w:sz w:val="22"/>
                      <w:szCs w:val="22"/>
                      <w:lang w:val="ro-RO"/>
                    </w:rPr>
                  </w:pPr>
                  <w:r w:rsidRPr="00A10374">
                    <w:rPr>
                      <w:rFonts w:ascii="Times New Roman" w:hAnsi="Times New Roman"/>
                      <w:b/>
                      <w:sz w:val="22"/>
                      <w:szCs w:val="22"/>
                      <w:lang w:val="ro-RO"/>
                    </w:rPr>
                    <w:t xml:space="preserve">Nr. </w:t>
                  </w:r>
                </w:p>
              </w:tc>
              <w:tc>
                <w:tcPr>
                  <w:tcW w:w="2553" w:type="pct"/>
                  <w:shd w:val="clear" w:color="auto" w:fill="C6D9F1" w:themeFill="text2" w:themeFillTint="33"/>
                  <w:vAlign w:val="center"/>
                </w:tcPr>
                <w:p w14:paraId="21D72137" w14:textId="2BE866A1" w:rsidR="00F8742F" w:rsidRPr="00A10374" w:rsidRDefault="00F8742F" w:rsidP="001A76A5">
                  <w:pPr>
                    <w:tabs>
                      <w:tab w:val="left" w:pos="884"/>
                      <w:tab w:val="left" w:pos="1196"/>
                    </w:tabs>
                    <w:jc w:val="center"/>
                    <w:rPr>
                      <w:rFonts w:ascii="Times New Roman" w:hAnsi="Times New Roman"/>
                      <w:b/>
                      <w:sz w:val="22"/>
                      <w:szCs w:val="22"/>
                      <w:lang w:val="ro-RO"/>
                    </w:rPr>
                  </w:pPr>
                  <w:r w:rsidRPr="00A10374">
                    <w:rPr>
                      <w:rFonts w:ascii="Times New Roman" w:hAnsi="Times New Roman"/>
                      <w:b/>
                      <w:sz w:val="22"/>
                      <w:szCs w:val="22"/>
                      <w:lang w:val="ro-RO"/>
                    </w:rPr>
                    <w:t xml:space="preserve">Denumirea </w:t>
                  </w:r>
                  <w:r w:rsidR="0002084F" w:rsidRPr="00A10374">
                    <w:rPr>
                      <w:rFonts w:ascii="Times New Roman" w:hAnsi="Times New Roman"/>
                      <w:b/>
                      <w:sz w:val="22"/>
                      <w:szCs w:val="22"/>
                      <w:lang w:val="ro-RO"/>
                    </w:rPr>
                    <w:t xml:space="preserve"> părților obligate </w:t>
                  </w:r>
                </w:p>
              </w:tc>
              <w:tc>
                <w:tcPr>
                  <w:tcW w:w="2117" w:type="pct"/>
                  <w:shd w:val="clear" w:color="auto" w:fill="C6D9F1" w:themeFill="text2" w:themeFillTint="33"/>
                  <w:vAlign w:val="center"/>
                </w:tcPr>
                <w:p w14:paraId="55220070" w14:textId="521C14A5" w:rsidR="00F8742F" w:rsidRPr="00A10374" w:rsidRDefault="00F8742F" w:rsidP="001A76A5">
                  <w:pPr>
                    <w:tabs>
                      <w:tab w:val="left" w:pos="884"/>
                      <w:tab w:val="left" w:pos="1196"/>
                    </w:tabs>
                    <w:jc w:val="center"/>
                    <w:rPr>
                      <w:rFonts w:ascii="Times New Roman" w:hAnsi="Times New Roman"/>
                      <w:b/>
                      <w:sz w:val="22"/>
                      <w:szCs w:val="22"/>
                      <w:lang w:val="ro-RO"/>
                    </w:rPr>
                  </w:pPr>
                  <w:r w:rsidRPr="00A10374">
                    <w:rPr>
                      <w:rFonts w:ascii="Times New Roman" w:hAnsi="Times New Roman"/>
                      <w:b/>
                      <w:sz w:val="22"/>
                      <w:szCs w:val="22"/>
                      <w:lang w:val="ro-RO"/>
                    </w:rPr>
                    <w:t>Mijloace financiare transferate pe parcursul trimestrului I, 2024, MDL</w:t>
                  </w:r>
                </w:p>
              </w:tc>
            </w:tr>
            <w:tr w:rsidR="0002084F" w:rsidRPr="00997304" w14:paraId="5B564459" w14:textId="77777777" w:rsidTr="0002084F">
              <w:tc>
                <w:tcPr>
                  <w:tcW w:w="5000" w:type="pct"/>
                  <w:gridSpan w:val="3"/>
                  <w:shd w:val="clear" w:color="auto" w:fill="C6D9F1" w:themeFill="text2" w:themeFillTint="33"/>
                  <w:vAlign w:val="center"/>
                </w:tcPr>
                <w:p w14:paraId="674BA06C" w14:textId="6C8319B3" w:rsidR="0002084F" w:rsidRPr="00A10374" w:rsidRDefault="0002084F">
                  <w:pPr>
                    <w:tabs>
                      <w:tab w:val="left" w:pos="884"/>
                      <w:tab w:val="left" w:pos="1196"/>
                    </w:tabs>
                    <w:jc w:val="center"/>
                    <w:rPr>
                      <w:rFonts w:ascii="Times New Roman" w:hAnsi="Times New Roman"/>
                      <w:b/>
                      <w:sz w:val="22"/>
                      <w:szCs w:val="22"/>
                      <w:lang w:val="ro-RO"/>
                    </w:rPr>
                  </w:pPr>
                  <w:r w:rsidRPr="00A10374">
                    <w:rPr>
                      <w:rFonts w:ascii="Times New Roman" w:hAnsi="Times New Roman"/>
                      <w:b/>
                      <w:sz w:val="22"/>
                      <w:szCs w:val="22"/>
                      <w:lang w:val="ro-RO"/>
                    </w:rPr>
                    <w:t>Furnizorii de energie termică pentru încălzire și/sau preparare a ACM</w:t>
                  </w:r>
                </w:p>
              </w:tc>
            </w:tr>
            <w:tr w:rsidR="00F8742F" w:rsidRPr="00A10374" w14:paraId="09025458" w14:textId="77777777" w:rsidTr="001A76A5">
              <w:tc>
                <w:tcPr>
                  <w:tcW w:w="330" w:type="pct"/>
                </w:tcPr>
                <w:p w14:paraId="3F5E1F9E" w14:textId="77777777" w:rsidR="00F8742F" w:rsidRPr="00A10374" w:rsidRDefault="00F8742F" w:rsidP="00F8742F">
                  <w:pPr>
                    <w:pStyle w:val="ListParagraph"/>
                    <w:numPr>
                      <w:ilvl w:val="0"/>
                      <w:numId w:val="11"/>
                    </w:numPr>
                    <w:ind w:left="357" w:hanging="357"/>
                    <w:contextualSpacing w:val="0"/>
                    <w:rPr>
                      <w:rFonts w:ascii="Times New Roman" w:hAnsi="Times New Roman"/>
                      <w:sz w:val="22"/>
                      <w:szCs w:val="22"/>
                      <w:shd w:val="clear" w:color="auto" w:fill="FFFFFF"/>
                      <w:lang w:val="ro-RO"/>
                    </w:rPr>
                  </w:pPr>
                </w:p>
              </w:tc>
              <w:tc>
                <w:tcPr>
                  <w:tcW w:w="2553" w:type="pct"/>
                  <w:vAlign w:val="center"/>
                </w:tcPr>
                <w:p w14:paraId="18EFC36C" w14:textId="0E3FADD6" w:rsidR="00F8742F" w:rsidRPr="00A10374" w:rsidRDefault="00F8742F" w:rsidP="00F8742F">
                  <w:pPr>
                    <w:rPr>
                      <w:rFonts w:ascii="Times New Roman" w:hAnsi="Times New Roman"/>
                      <w:sz w:val="22"/>
                      <w:szCs w:val="22"/>
                      <w:shd w:val="clear" w:color="auto" w:fill="FFFFFF"/>
                      <w:lang w:val="ro-RO"/>
                    </w:rPr>
                  </w:pPr>
                  <w:r w:rsidRPr="00A10374">
                    <w:rPr>
                      <w:rFonts w:ascii="Times New Roman" w:hAnsi="Times New Roman"/>
                      <w:sz w:val="22"/>
                      <w:szCs w:val="22"/>
                      <w:lang w:val="ro-RO"/>
                    </w:rPr>
                    <w:t>S.A.</w:t>
                  </w:r>
                  <w:r w:rsidR="00AE5EEE" w:rsidRPr="00A10374">
                    <w:rPr>
                      <w:rFonts w:ascii="Times New Roman" w:hAnsi="Times New Roman"/>
                      <w:sz w:val="22"/>
                      <w:szCs w:val="22"/>
                      <w:lang w:val="ro-RO"/>
                    </w:rPr>
                    <w:t xml:space="preserve"> </w:t>
                  </w:r>
                  <w:r w:rsidRPr="00A10374">
                    <w:rPr>
                      <w:rFonts w:ascii="Times New Roman" w:hAnsi="Times New Roman"/>
                      <w:sz w:val="22"/>
                      <w:szCs w:val="22"/>
                      <w:lang w:val="ro-RO"/>
                    </w:rPr>
                    <w:t>„Termoelectrica"</w:t>
                  </w:r>
                </w:p>
              </w:tc>
              <w:tc>
                <w:tcPr>
                  <w:tcW w:w="2117" w:type="pct"/>
                  <w:vAlign w:val="bottom"/>
                </w:tcPr>
                <w:p w14:paraId="53E4BBB8" w14:textId="4EEDC80C" w:rsidR="00F8742F" w:rsidRPr="00A10374" w:rsidRDefault="00F8742F" w:rsidP="001A76A5">
                  <w:pPr>
                    <w:jc w:val="center"/>
                    <w:rPr>
                      <w:rFonts w:ascii="Times New Roman" w:hAnsi="Times New Roman"/>
                      <w:sz w:val="22"/>
                      <w:szCs w:val="22"/>
                      <w:shd w:val="clear" w:color="auto" w:fill="FFFFFF"/>
                      <w:lang w:val="ro-RO"/>
                    </w:rPr>
                  </w:pPr>
                  <w:r w:rsidRPr="00A10374">
                    <w:rPr>
                      <w:rFonts w:ascii="Times New Roman" w:hAnsi="Times New Roman"/>
                      <w:color w:val="000000"/>
                      <w:sz w:val="22"/>
                      <w:szCs w:val="22"/>
                      <w:lang w:val="ro-RO"/>
                    </w:rPr>
                    <w:t>10,039,709.20</w:t>
                  </w:r>
                </w:p>
              </w:tc>
            </w:tr>
            <w:tr w:rsidR="00F8742F" w:rsidRPr="00A10374" w14:paraId="78ABBD2F" w14:textId="77777777" w:rsidTr="001A76A5">
              <w:tc>
                <w:tcPr>
                  <w:tcW w:w="330" w:type="pct"/>
                </w:tcPr>
                <w:p w14:paraId="396A66EC" w14:textId="77777777" w:rsidR="00F8742F" w:rsidRPr="00A10374" w:rsidRDefault="00F8742F" w:rsidP="00F8742F">
                  <w:pPr>
                    <w:pStyle w:val="ListParagraph"/>
                    <w:numPr>
                      <w:ilvl w:val="0"/>
                      <w:numId w:val="11"/>
                    </w:numPr>
                    <w:ind w:left="357" w:hanging="357"/>
                    <w:contextualSpacing w:val="0"/>
                    <w:rPr>
                      <w:rFonts w:ascii="Times New Roman" w:hAnsi="Times New Roman"/>
                      <w:sz w:val="22"/>
                      <w:szCs w:val="22"/>
                      <w:shd w:val="clear" w:color="auto" w:fill="FFFFFF"/>
                      <w:lang w:val="ro-RO"/>
                    </w:rPr>
                  </w:pPr>
                </w:p>
              </w:tc>
              <w:tc>
                <w:tcPr>
                  <w:tcW w:w="2553" w:type="pct"/>
                  <w:vAlign w:val="center"/>
                </w:tcPr>
                <w:p w14:paraId="41FB32FE" w14:textId="63036D7F" w:rsidR="00F8742F" w:rsidRPr="00A10374" w:rsidRDefault="00F8742F" w:rsidP="00F8742F">
                  <w:pPr>
                    <w:rPr>
                      <w:rFonts w:ascii="Times New Roman" w:hAnsi="Times New Roman"/>
                      <w:sz w:val="22"/>
                      <w:szCs w:val="22"/>
                      <w:shd w:val="clear" w:color="auto" w:fill="FFFFFF"/>
                      <w:lang w:val="ro-RO"/>
                    </w:rPr>
                  </w:pPr>
                  <w:r w:rsidRPr="00A10374">
                    <w:rPr>
                      <w:rFonts w:ascii="Times New Roman" w:hAnsi="Times New Roman"/>
                      <w:sz w:val="22"/>
                      <w:szCs w:val="22"/>
                      <w:lang w:val="ro-RO"/>
                    </w:rPr>
                    <w:t>S.A. „CET-Nord"</w:t>
                  </w:r>
                </w:p>
              </w:tc>
              <w:tc>
                <w:tcPr>
                  <w:tcW w:w="2117" w:type="pct"/>
                  <w:vAlign w:val="bottom"/>
                </w:tcPr>
                <w:p w14:paraId="19F21F69" w14:textId="595F0C75" w:rsidR="00F8742F" w:rsidRPr="00A10374" w:rsidRDefault="00F8742F" w:rsidP="001A76A5">
                  <w:pPr>
                    <w:jc w:val="center"/>
                    <w:rPr>
                      <w:rFonts w:ascii="Times New Roman" w:hAnsi="Times New Roman"/>
                      <w:sz w:val="22"/>
                      <w:szCs w:val="22"/>
                      <w:shd w:val="clear" w:color="auto" w:fill="FFFFFF"/>
                      <w:lang w:val="ro-RO"/>
                    </w:rPr>
                  </w:pPr>
                  <w:r w:rsidRPr="00A10374">
                    <w:rPr>
                      <w:rFonts w:ascii="Times New Roman" w:hAnsi="Times New Roman"/>
                      <w:color w:val="000000"/>
                      <w:sz w:val="22"/>
                      <w:szCs w:val="22"/>
                      <w:lang w:val="ro-RO"/>
                    </w:rPr>
                    <w:t>1,356,463.92</w:t>
                  </w:r>
                </w:p>
              </w:tc>
            </w:tr>
            <w:tr w:rsidR="00F8742F" w:rsidRPr="00A10374" w14:paraId="629AEA89" w14:textId="77777777" w:rsidTr="001A76A5">
              <w:tc>
                <w:tcPr>
                  <w:tcW w:w="330" w:type="pct"/>
                </w:tcPr>
                <w:p w14:paraId="7B12903A" w14:textId="77777777" w:rsidR="00F8742F" w:rsidRPr="00A10374" w:rsidRDefault="00F8742F" w:rsidP="00F8742F">
                  <w:pPr>
                    <w:pStyle w:val="ListParagraph"/>
                    <w:numPr>
                      <w:ilvl w:val="0"/>
                      <w:numId w:val="11"/>
                    </w:numPr>
                    <w:ind w:left="357" w:hanging="357"/>
                    <w:contextualSpacing w:val="0"/>
                    <w:rPr>
                      <w:rFonts w:ascii="Times New Roman" w:hAnsi="Times New Roman"/>
                      <w:sz w:val="22"/>
                      <w:szCs w:val="22"/>
                      <w:shd w:val="clear" w:color="auto" w:fill="FFFFFF"/>
                      <w:lang w:val="ro-RO"/>
                    </w:rPr>
                  </w:pPr>
                </w:p>
              </w:tc>
              <w:tc>
                <w:tcPr>
                  <w:tcW w:w="2553" w:type="pct"/>
                  <w:vAlign w:val="bottom"/>
                </w:tcPr>
                <w:p w14:paraId="123402D9" w14:textId="4AD2096C" w:rsidR="00F8742F" w:rsidRPr="00A10374" w:rsidRDefault="00F8742F" w:rsidP="00F8742F">
                  <w:pPr>
                    <w:rPr>
                      <w:rFonts w:ascii="Times New Roman" w:hAnsi="Times New Roman"/>
                      <w:sz w:val="22"/>
                      <w:szCs w:val="22"/>
                      <w:shd w:val="clear" w:color="auto" w:fill="FFFFFF"/>
                      <w:lang w:val="ro-RO"/>
                    </w:rPr>
                  </w:pPr>
                  <w:r w:rsidRPr="00A10374">
                    <w:rPr>
                      <w:rFonts w:ascii="Times New Roman" w:hAnsi="Times New Roman"/>
                      <w:sz w:val="22"/>
                      <w:szCs w:val="22"/>
                      <w:lang w:val="ro-RO"/>
                    </w:rPr>
                    <w:t xml:space="preserve">S.A. „Apă-Canal </w:t>
                  </w:r>
                  <w:proofErr w:type="spellStart"/>
                  <w:r w:rsidRPr="00A10374">
                    <w:rPr>
                      <w:rFonts w:ascii="Times New Roman" w:hAnsi="Times New Roman"/>
                      <w:sz w:val="22"/>
                      <w:szCs w:val="22"/>
                      <w:lang w:val="ro-RO"/>
                    </w:rPr>
                    <w:t>Chişinău</w:t>
                  </w:r>
                  <w:proofErr w:type="spellEnd"/>
                  <w:r w:rsidRPr="00A10374">
                    <w:rPr>
                      <w:rFonts w:ascii="Times New Roman" w:hAnsi="Times New Roman"/>
                      <w:sz w:val="22"/>
                      <w:szCs w:val="22"/>
                      <w:lang w:val="ro-RO"/>
                    </w:rPr>
                    <w:t>"</w:t>
                  </w:r>
                </w:p>
              </w:tc>
              <w:tc>
                <w:tcPr>
                  <w:tcW w:w="2117" w:type="pct"/>
                  <w:vAlign w:val="bottom"/>
                </w:tcPr>
                <w:p w14:paraId="705E0962" w14:textId="4456FA31" w:rsidR="00F8742F" w:rsidRPr="00A10374" w:rsidRDefault="00F8742F" w:rsidP="001A76A5">
                  <w:pPr>
                    <w:jc w:val="center"/>
                    <w:rPr>
                      <w:rFonts w:ascii="Times New Roman" w:hAnsi="Times New Roman"/>
                      <w:sz w:val="22"/>
                      <w:szCs w:val="22"/>
                      <w:shd w:val="clear" w:color="auto" w:fill="FFFFFF"/>
                      <w:lang w:val="ro-RO"/>
                    </w:rPr>
                  </w:pPr>
                  <w:r w:rsidRPr="00A10374">
                    <w:rPr>
                      <w:rFonts w:ascii="Times New Roman" w:hAnsi="Times New Roman"/>
                      <w:color w:val="000000"/>
                      <w:sz w:val="22"/>
                      <w:szCs w:val="22"/>
                      <w:lang w:val="ro-RO"/>
                    </w:rPr>
                    <w:t>175,383.03</w:t>
                  </w:r>
                </w:p>
              </w:tc>
            </w:tr>
            <w:tr w:rsidR="00F8742F" w:rsidRPr="00A10374" w14:paraId="246C99E6" w14:textId="77777777" w:rsidTr="001A76A5">
              <w:tc>
                <w:tcPr>
                  <w:tcW w:w="330" w:type="pct"/>
                </w:tcPr>
                <w:p w14:paraId="49F71E48" w14:textId="77777777" w:rsidR="00F8742F" w:rsidRPr="00A10374" w:rsidRDefault="00F8742F" w:rsidP="00F8742F">
                  <w:pPr>
                    <w:pStyle w:val="ListParagraph"/>
                    <w:numPr>
                      <w:ilvl w:val="0"/>
                      <w:numId w:val="11"/>
                    </w:numPr>
                    <w:ind w:left="357" w:hanging="357"/>
                    <w:contextualSpacing w:val="0"/>
                    <w:rPr>
                      <w:rFonts w:ascii="Times New Roman" w:hAnsi="Times New Roman"/>
                      <w:sz w:val="22"/>
                      <w:szCs w:val="22"/>
                      <w:shd w:val="clear" w:color="auto" w:fill="FFFFFF"/>
                      <w:lang w:val="ro-RO"/>
                    </w:rPr>
                  </w:pPr>
                </w:p>
              </w:tc>
              <w:tc>
                <w:tcPr>
                  <w:tcW w:w="2553" w:type="pct"/>
                  <w:vAlign w:val="center"/>
                </w:tcPr>
                <w:p w14:paraId="28519E01" w14:textId="49664D3F" w:rsidR="00F8742F" w:rsidRPr="00A10374" w:rsidRDefault="00F8742F" w:rsidP="00F8742F">
                  <w:pPr>
                    <w:rPr>
                      <w:rFonts w:ascii="Times New Roman" w:hAnsi="Times New Roman"/>
                      <w:sz w:val="22"/>
                      <w:szCs w:val="22"/>
                      <w:shd w:val="clear" w:color="auto" w:fill="FFFFFF"/>
                      <w:lang w:val="ro-RO"/>
                    </w:rPr>
                  </w:pPr>
                  <w:r w:rsidRPr="00A10374">
                    <w:rPr>
                      <w:rFonts w:ascii="Times New Roman" w:hAnsi="Times New Roman"/>
                      <w:sz w:val="22"/>
                      <w:szCs w:val="22"/>
                      <w:lang w:val="ro-RO"/>
                    </w:rPr>
                    <w:t>S.A. „</w:t>
                  </w:r>
                  <w:proofErr w:type="spellStart"/>
                  <w:r w:rsidRPr="00A10374">
                    <w:rPr>
                      <w:rFonts w:ascii="Times New Roman" w:hAnsi="Times New Roman"/>
                      <w:sz w:val="22"/>
                      <w:szCs w:val="22"/>
                      <w:lang w:val="ro-RO"/>
                    </w:rPr>
                    <w:t>Comgaz</w:t>
                  </w:r>
                  <w:proofErr w:type="spellEnd"/>
                  <w:r w:rsidRPr="00A10374">
                    <w:rPr>
                      <w:rFonts w:ascii="Times New Roman" w:hAnsi="Times New Roman"/>
                      <w:sz w:val="22"/>
                      <w:szCs w:val="22"/>
                      <w:lang w:val="ro-RO"/>
                    </w:rPr>
                    <w:t xml:space="preserve"> Plus" </w:t>
                  </w:r>
                </w:p>
              </w:tc>
              <w:tc>
                <w:tcPr>
                  <w:tcW w:w="2117" w:type="pct"/>
                  <w:vAlign w:val="bottom"/>
                </w:tcPr>
                <w:p w14:paraId="5E274AC7" w14:textId="548F4868" w:rsidR="00F8742F" w:rsidRPr="00A10374" w:rsidRDefault="00F8742F" w:rsidP="001A76A5">
                  <w:pPr>
                    <w:jc w:val="center"/>
                    <w:rPr>
                      <w:rFonts w:ascii="Times New Roman" w:hAnsi="Times New Roman"/>
                      <w:sz w:val="22"/>
                      <w:szCs w:val="22"/>
                      <w:shd w:val="clear" w:color="auto" w:fill="FFFFFF"/>
                      <w:lang w:val="ro-RO"/>
                    </w:rPr>
                  </w:pPr>
                  <w:r w:rsidRPr="00A10374">
                    <w:rPr>
                      <w:rFonts w:ascii="Times New Roman" w:hAnsi="Times New Roman"/>
                      <w:color w:val="000000"/>
                      <w:sz w:val="22"/>
                      <w:szCs w:val="22"/>
                      <w:lang w:val="ro-RO"/>
                    </w:rPr>
                    <w:t>30,483.21</w:t>
                  </w:r>
                </w:p>
              </w:tc>
            </w:tr>
            <w:tr w:rsidR="00F8742F" w:rsidRPr="00A10374" w14:paraId="148DAD50" w14:textId="77777777" w:rsidTr="001A76A5">
              <w:tc>
                <w:tcPr>
                  <w:tcW w:w="330" w:type="pct"/>
                </w:tcPr>
                <w:p w14:paraId="05152C0D" w14:textId="77777777" w:rsidR="00F8742F" w:rsidRPr="00A10374" w:rsidRDefault="00F8742F" w:rsidP="00F8742F">
                  <w:pPr>
                    <w:pStyle w:val="ListParagraph"/>
                    <w:numPr>
                      <w:ilvl w:val="0"/>
                      <w:numId w:val="11"/>
                    </w:numPr>
                    <w:ind w:left="357" w:hanging="357"/>
                    <w:contextualSpacing w:val="0"/>
                    <w:rPr>
                      <w:rFonts w:ascii="Times New Roman" w:hAnsi="Times New Roman"/>
                      <w:sz w:val="22"/>
                      <w:szCs w:val="22"/>
                      <w:shd w:val="clear" w:color="auto" w:fill="FFFFFF"/>
                      <w:lang w:val="ro-RO"/>
                    </w:rPr>
                  </w:pPr>
                </w:p>
              </w:tc>
              <w:tc>
                <w:tcPr>
                  <w:tcW w:w="2553" w:type="pct"/>
                  <w:vAlign w:val="bottom"/>
                </w:tcPr>
                <w:p w14:paraId="1847A978" w14:textId="5F5FE619" w:rsidR="00F8742F" w:rsidRPr="00A10374" w:rsidRDefault="00F8742F" w:rsidP="00F8742F">
                  <w:pPr>
                    <w:rPr>
                      <w:rFonts w:ascii="Times New Roman" w:hAnsi="Times New Roman"/>
                      <w:sz w:val="22"/>
                      <w:szCs w:val="22"/>
                      <w:shd w:val="clear" w:color="auto" w:fill="FFFFFF"/>
                      <w:lang w:val="ro-RO"/>
                    </w:rPr>
                  </w:pPr>
                  <w:r w:rsidRPr="00A10374">
                    <w:rPr>
                      <w:rFonts w:ascii="Times New Roman" w:hAnsi="Times New Roman"/>
                      <w:sz w:val="22"/>
                      <w:szCs w:val="22"/>
                      <w:lang w:val="ro-RO"/>
                    </w:rPr>
                    <w:t>Î. M. R. C.T. Comrat</w:t>
                  </w:r>
                </w:p>
              </w:tc>
              <w:tc>
                <w:tcPr>
                  <w:tcW w:w="2117" w:type="pct"/>
                  <w:vAlign w:val="bottom"/>
                </w:tcPr>
                <w:p w14:paraId="103D23A8" w14:textId="1218FABF" w:rsidR="00F8742F" w:rsidRPr="00A10374" w:rsidRDefault="00F8742F" w:rsidP="001A76A5">
                  <w:pPr>
                    <w:jc w:val="center"/>
                    <w:rPr>
                      <w:rFonts w:ascii="Times New Roman" w:hAnsi="Times New Roman"/>
                      <w:sz w:val="22"/>
                      <w:szCs w:val="22"/>
                      <w:shd w:val="clear" w:color="auto" w:fill="FFFFFF"/>
                      <w:lang w:val="ro-RO"/>
                    </w:rPr>
                  </w:pPr>
                  <w:r w:rsidRPr="00A10374">
                    <w:rPr>
                      <w:rFonts w:ascii="Times New Roman" w:hAnsi="Times New Roman"/>
                      <w:color w:val="000000"/>
                      <w:sz w:val="22"/>
                      <w:szCs w:val="22"/>
                      <w:lang w:val="ro-RO"/>
                    </w:rPr>
                    <w:t>48,555.39</w:t>
                  </w:r>
                </w:p>
              </w:tc>
            </w:tr>
            <w:tr w:rsidR="00F8742F" w:rsidRPr="00A10374" w14:paraId="7F3978E2" w14:textId="77777777" w:rsidTr="001A76A5">
              <w:tc>
                <w:tcPr>
                  <w:tcW w:w="330" w:type="pct"/>
                </w:tcPr>
                <w:p w14:paraId="44A02B79" w14:textId="77777777" w:rsidR="00F8742F" w:rsidRPr="00A10374" w:rsidRDefault="00F8742F" w:rsidP="00F8742F">
                  <w:pPr>
                    <w:pStyle w:val="ListParagraph"/>
                    <w:numPr>
                      <w:ilvl w:val="0"/>
                      <w:numId w:val="11"/>
                    </w:numPr>
                    <w:ind w:left="357" w:hanging="357"/>
                    <w:contextualSpacing w:val="0"/>
                    <w:rPr>
                      <w:rFonts w:ascii="Times New Roman" w:hAnsi="Times New Roman"/>
                      <w:sz w:val="22"/>
                      <w:szCs w:val="22"/>
                      <w:shd w:val="clear" w:color="auto" w:fill="FFFFFF"/>
                      <w:lang w:val="ro-RO"/>
                    </w:rPr>
                  </w:pPr>
                </w:p>
              </w:tc>
              <w:tc>
                <w:tcPr>
                  <w:tcW w:w="2553" w:type="pct"/>
                  <w:vAlign w:val="center"/>
                </w:tcPr>
                <w:p w14:paraId="4FB0940D" w14:textId="33845381" w:rsidR="00F8742F" w:rsidRPr="00A10374" w:rsidRDefault="00F8742F" w:rsidP="00F8742F">
                  <w:pPr>
                    <w:rPr>
                      <w:rFonts w:ascii="Times New Roman" w:hAnsi="Times New Roman"/>
                      <w:sz w:val="22"/>
                      <w:szCs w:val="22"/>
                      <w:shd w:val="clear" w:color="auto" w:fill="FFFFFF"/>
                      <w:lang w:val="ro-RO"/>
                    </w:rPr>
                  </w:pPr>
                  <w:r w:rsidRPr="00A10374">
                    <w:rPr>
                      <w:rFonts w:ascii="Times New Roman" w:hAnsi="Times New Roman"/>
                      <w:sz w:val="22"/>
                      <w:szCs w:val="22"/>
                      <w:lang w:val="ro-RO"/>
                    </w:rPr>
                    <w:t>I.M. „Servicii Comunale Glodeni"</w:t>
                  </w:r>
                </w:p>
              </w:tc>
              <w:tc>
                <w:tcPr>
                  <w:tcW w:w="2117" w:type="pct"/>
                  <w:vAlign w:val="bottom"/>
                </w:tcPr>
                <w:p w14:paraId="442CA16C" w14:textId="490C32A1" w:rsidR="00F8742F" w:rsidRPr="00A10374" w:rsidRDefault="00F8742F" w:rsidP="001A76A5">
                  <w:pPr>
                    <w:jc w:val="center"/>
                    <w:rPr>
                      <w:rFonts w:ascii="Times New Roman" w:hAnsi="Times New Roman"/>
                      <w:sz w:val="22"/>
                      <w:szCs w:val="22"/>
                      <w:shd w:val="clear" w:color="auto" w:fill="FFFFFF"/>
                      <w:lang w:val="ro-RO"/>
                    </w:rPr>
                  </w:pPr>
                  <w:r w:rsidRPr="00A10374">
                    <w:rPr>
                      <w:rFonts w:ascii="Times New Roman" w:hAnsi="Times New Roman"/>
                      <w:color w:val="000000"/>
                      <w:sz w:val="22"/>
                      <w:szCs w:val="22"/>
                      <w:lang w:val="ro-RO"/>
                    </w:rPr>
                    <w:t>12,797.15</w:t>
                  </w:r>
                </w:p>
              </w:tc>
            </w:tr>
            <w:tr w:rsidR="0002084F" w:rsidRPr="00997304" w14:paraId="47176150" w14:textId="77777777" w:rsidTr="001A76A5">
              <w:tc>
                <w:tcPr>
                  <w:tcW w:w="5000" w:type="pct"/>
                  <w:gridSpan w:val="3"/>
                  <w:shd w:val="clear" w:color="auto" w:fill="C6D9F1" w:themeFill="text2" w:themeFillTint="33"/>
                </w:tcPr>
                <w:p w14:paraId="53964665" w14:textId="0F54B624" w:rsidR="0002084F" w:rsidRPr="00A10374" w:rsidRDefault="0002084F" w:rsidP="001A76A5">
                  <w:pPr>
                    <w:tabs>
                      <w:tab w:val="left" w:pos="884"/>
                      <w:tab w:val="left" w:pos="1196"/>
                    </w:tabs>
                    <w:jc w:val="center"/>
                    <w:rPr>
                      <w:rFonts w:ascii="Times New Roman" w:hAnsi="Times New Roman"/>
                      <w:b/>
                      <w:sz w:val="22"/>
                      <w:szCs w:val="22"/>
                      <w:lang w:val="ro-RO"/>
                    </w:rPr>
                  </w:pPr>
                  <w:r w:rsidRPr="00A10374">
                    <w:rPr>
                      <w:rFonts w:ascii="Times New Roman" w:hAnsi="Times New Roman"/>
                      <w:b/>
                      <w:sz w:val="22"/>
                      <w:szCs w:val="22"/>
                      <w:lang w:val="ro-RO"/>
                    </w:rPr>
                    <w:t>Denumirea operatorilor sistemelor de distribuție a energiei electrice</w:t>
                  </w:r>
                </w:p>
              </w:tc>
            </w:tr>
            <w:tr w:rsidR="0002084F" w:rsidRPr="00A10374" w14:paraId="3A3B9178" w14:textId="77777777" w:rsidTr="001A76A5">
              <w:tc>
                <w:tcPr>
                  <w:tcW w:w="330" w:type="pct"/>
                </w:tcPr>
                <w:p w14:paraId="21836DBE" w14:textId="77777777" w:rsidR="0002084F" w:rsidRPr="00A10374" w:rsidRDefault="0002084F" w:rsidP="001A76A5">
                  <w:pPr>
                    <w:pStyle w:val="ListParagraph"/>
                    <w:numPr>
                      <w:ilvl w:val="0"/>
                      <w:numId w:val="18"/>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4A15E5A5" w14:textId="4921EF9A" w:rsidR="0002084F" w:rsidRPr="00A10374" w:rsidRDefault="0002084F" w:rsidP="001A76A5">
                  <w:pPr>
                    <w:tabs>
                      <w:tab w:val="left" w:pos="884"/>
                      <w:tab w:val="left" w:pos="1196"/>
                    </w:tabs>
                    <w:rPr>
                      <w:rFonts w:ascii="Times New Roman" w:hAnsi="Times New Roman"/>
                      <w:sz w:val="22"/>
                      <w:szCs w:val="22"/>
                      <w:lang w:val="ro-RO"/>
                    </w:rPr>
                  </w:pPr>
                  <w:r w:rsidRPr="00A10374">
                    <w:rPr>
                      <w:rFonts w:ascii="Times New Roman" w:hAnsi="Times New Roman"/>
                      <w:color w:val="000000"/>
                      <w:sz w:val="22"/>
                      <w:szCs w:val="22"/>
                    </w:rPr>
                    <w:t>„RED Nord” SA</w:t>
                  </w:r>
                </w:p>
              </w:tc>
              <w:tc>
                <w:tcPr>
                  <w:tcW w:w="2117" w:type="pct"/>
                  <w:vAlign w:val="bottom"/>
                </w:tcPr>
                <w:p w14:paraId="4517B9B1" w14:textId="5A894582" w:rsidR="0002084F" w:rsidRPr="00A10374" w:rsidRDefault="0002084F">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rPr>
                    <w:t>2,368,749.33</w:t>
                  </w:r>
                </w:p>
              </w:tc>
            </w:tr>
            <w:tr w:rsidR="0002084F" w:rsidRPr="00A10374" w14:paraId="55B557AE" w14:textId="77777777" w:rsidTr="001A76A5">
              <w:tc>
                <w:tcPr>
                  <w:tcW w:w="330" w:type="pct"/>
                </w:tcPr>
                <w:p w14:paraId="07F36A8E" w14:textId="77777777" w:rsidR="0002084F" w:rsidRPr="00A10374" w:rsidRDefault="0002084F" w:rsidP="001A76A5">
                  <w:pPr>
                    <w:pStyle w:val="ListParagraph"/>
                    <w:numPr>
                      <w:ilvl w:val="0"/>
                      <w:numId w:val="18"/>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204B90C5" w14:textId="1921324D" w:rsidR="0002084F" w:rsidRPr="00A10374" w:rsidRDefault="0002084F" w:rsidP="001A76A5">
                  <w:pPr>
                    <w:tabs>
                      <w:tab w:val="left" w:pos="884"/>
                      <w:tab w:val="left" w:pos="1196"/>
                    </w:tabs>
                    <w:rPr>
                      <w:rFonts w:ascii="Times New Roman" w:hAnsi="Times New Roman"/>
                      <w:sz w:val="22"/>
                      <w:szCs w:val="22"/>
                      <w:lang w:val="ro-RO"/>
                    </w:rPr>
                  </w:pPr>
                  <w:r w:rsidRPr="00A10374">
                    <w:rPr>
                      <w:rFonts w:ascii="Times New Roman" w:hAnsi="Times New Roman"/>
                      <w:color w:val="000000"/>
                      <w:sz w:val="22"/>
                      <w:szCs w:val="22"/>
                    </w:rPr>
                    <w:t>ÎCS "Premier Energy Distribution" SA</w:t>
                  </w:r>
                </w:p>
              </w:tc>
              <w:tc>
                <w:tcPr>
                  <w:tcW w:w="2117" w:type="pct"/>
                  <w:vAlign w:val="bottom"/>
                </w:tcPr>
                <w:p w14:paraId="0DFD9E7A" w14:textId="2D8B902C" w:rsidR="0002084F" w:rsidRPr="00A10374" w:rsidRDefault="0002084F">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rPr>
                    <w:t>8,472,382.32</w:t>
                  </w:r>
                </w:p>
              </w:tc>
            </w:tr>
            <w:tr w:rsidR="0002084F" w:rsidRPr="00997304" w14:paraId="3BB535C5" w14:textId="77777777" w:rsidTr="001A76A5">
              <w:tc>
                <w:tcPr>
                  <w:tcW w:w="5000" w:type="pct"/>
                  <w:gridSpan w:val="3"/>
                  <w:shd w:val="clear" w:color="auto" w:fill="C6D9F1" w:themeFill="text2" w:themeFillTint="33"/>
                </w:tcPr>
                <w:p w14:paraId="442E3507" w14:textId="65BBF933" w:rsidR="0002084F" w:rsidRPr="00A10374" w:rsidRDefault="0002084F" w:rsidP="001A76A5">
                  <w:pPr>
                    <w:jc w:val="center"/>
                    <w:rPr>
                      <w:rFonts w:ascii="Times New Roman" w:hAnsi="Times New Roman"/>
                      <w:b/>
                      <w:bCs/>
                      <w:color w:val="000000"/>
                      <w:sz w:val="22"/>
                      <w:szCs w:val="22"/>
                      <w:lang w:val="ro-RO"/>
                    </w:rPr>
                  </w:pPr>
                  <w:r w:rsidRPr="00A10374">
                    <w:rPr>
                      <w:rFonts w:ascii="Times New Roman" w:hAnsi="Times New Roman"/>
                      <w:b/>
                      <w:bCs/>
                      <w:color w:val="000000"/>
                      <w:sz w:val="22"/>
                      <w:szCs w:val="22"/>
                      <w:lang w:val="ro-RO"/>
                    </w:rPr>
                    <w:t>Operatorii sistemelor de distribuție a gazelor naturale</w:t>
                  </w:r>
                </w:p>
              </w:tc>
            </w:tr>
            <w:tr w:rsidR="007239DD" w:rsidRPr="00A10374" w14:paraId="10C9CC67" w14:textId="77777777" w:rsidTr="00392B28">
              <w:tc>
                <w:tcPr>
                  <w:tcW w:w="330" w:type="pct"/>
                </w:tcPr>
                <w:p w14:paraId="6FBAF001"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71964896" w14:textId="748C1DF4"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w:t>
                  </w:r>
                  <w:proofErr w:type="spellStart"/>
                  <w:r w:rsidRPr="00A10374">
                    <w:rPr>
                      <w:rFonts w:ascii="Times New Roman" w:hAnsi="Times New Roman"/>
                      <w:color w:val="1A1A1D"/>
                      <w:sz w:val="22"/>
                      <w:szCs w:val="22"/>
                      <w:lang w:val="ro-RO"/>
                    </w:rPr>
                    <w:t>Edineț</w:t>
                  </w:r>
                  <w:proofErr w:type="spellEnd"/>
                  <w:r w:rsidRPr="00A10374">
                    <w:rPr>
                      <w:rFonts w:ascii="Times New Roman" w:hAnsi="Times New Roman"/>
                      <w:color w:val="1A1A1D"/>
                      <w:sz w:val="22"/>
                      <w:szCs w:val="22"/>
                      <w:lang w:val="ro-RO"/>
                    </w:rPr>
                    <w:t>-gaz”</w:t>
                  </w:r>
                </w:p>
              </w:tc>
              <w:tc>
                <w:tcPr>
                  <w:tcW w:w="2117" w:type="pct"/>
                  <w:vAlign w:val="bottom"/>
                </w:tcPr>
                <w:p w14:paraId="2D6B8493" w14:textId="3E65FEF2"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pt-BR"/>
                    </w:rPr>
                    <w:t xml:space="preserve">        </w:t>
                  </w:r>
                  <w:r w:rsidRPr="00A10374">
                    <w:rPr>
                      <w:rFonts w:ascii="Times New Roman" w:hAnsi="Times New Roman"/>
                      <w:color w:val="000000"/>
                      <w:sz w:val="22"/>
                      <w:szCs w:val="22"/>
                    </w:rPr>
                    <w:t xml:space="preserve">513,335.45 </w:t>
                  </w:r>
                </w:p>
              </w:tc>
            </w:tr>
            <w:tr w:rsidR="007239DD" w:rsidRPr="00A10374" w14:paraId="2CCD5E0B" w14:textId="77777777" w:rsidTr="00392B28">
              <w:tc>
                <w:tcPr>
                  <w:tcW w:w="330" w:type="pct"/>
                </w:tcPr>
                <w:p w14:paraId="6E8D5630"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3F306E97" w14:textId="69F25391"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„Bălți-gaz”</w:t>
                  </w:r>
                </w:p>
              </w:tc>
              <w:tc>
                <w:tcPr>
                  <w:tcW w:w="2117" w:type="pct"/>
                  <w:vAlign w:val="bottom"/>
                </w:tcPr>
                <w:p w14:paraId="400F7A23" w14:textId="107CD0B9"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w:t>
                  </w:r>
                  <w:r w:rsidRPr="00A10374">
                    <w:rPr>
                      <w:rFonts w:ascii="Times New Roman" w:hAnsi="Times New Roman"/>
                      <w:color w:val="000000"/>
                      <w:sz w:val="22"/>
                      <w:szCs w:val="22"/>
                    </w:rPr>
                    <w:t xml:space="preserve">1,003,004.72 </w:t>
                  </w:r>
                </w:p>
              </w:tc>
            </w:tr>
            <w:tr w:rsidR="007239DD" w:rsidRPr="00A10374" w14:paraId="1299E8BC" w14:textId="77777777" w:rsidTr="00392B28">
              <w:tc>
                <w:tcPr>
                  <w:tcW w:w="330" w:type="pct"/>
                </w:tcPr>
                <w:p w14:paraId="3083F512"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515D855C" w14:textId="1F600407"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„Ialoveni-gaz”</w:t>
                  </w:r>
                </w:p>
              </w:tc>
              <w:tc>
                <w:tcPr>
                  <w:tcW w:w="2117" w:type="pct"/>
                  <w:vAlign w:val="bottom"/>
                </w:tcPr>
                <w:p w14:paraId="0BD201C0" w14:textId="41874A93"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pt-BR"/>
                    </w:rPr>
                    <w:t xml:space="preserve">     </w:t>
                  </w:r>
                  <w:r w:rsidRPr="00A10374">
                    <w:rPr>
                      <w:rFonts w:ascii="Times New Roman" w:hAnsi="Times New Roman"/>
                      <w:color w:val="000000"/>
                      <w:sz w:val="22"/>
                      <w:szCs w:val="22"/>
                    </w:rPr>
                    <w:t xml:space="preserve">1,666,291.89 </w:t>
                  </w:r>
                </w:p>
              </w:tc>
            </w:tr>
            <w:tr w:rsidR="007239DD" w:rsidRPr="00A10374" w14:paraId="6ADD779E" w14:textId="77777777" w:rsidTr="00392B28">
              <w:tc>
                <w:tcPr>
                  <w:tcW w:w="330" w:type="pct"/>
                </w:tcPr>
                <w:p w14:paraId="05314148"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4DA21F0D" w14:textId="7E44AE8F"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„Orhei-gaz”</w:t>
                  </w:r>
                </w:p>
              </w:tc>
              <w:tc>
                <w:tcPr>
                  <w:tcW w:w="2117" w:type="pct"/>
                  <w:vAlign w:val="bottom"/>
                </w:tcPr>
                <w:p w14:paraId="5F8E22E4" w14:textId="2BE996E4"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pt-BR"/>
                    </w:rPr>
                    <w:t xml:space="preserve">        </w:t>
                  </w:r>
                  <w:r w:rsidRPr="00A10374">
                    <w:rPr>
                      <w:rFonts w:ascii="Times New Roman" w:hAnsi="Times New Roman"/>
                      <w:color w:val="000000"/>
                      <w:sz w:val="22"/>
                      <w:szCs w:val="22"/>
                    </w:rPr>
                    <w:t xml:space="preserve">702,991.09 </w:t>
                  </w:r>
                </w:p>
              </w:tc>
            </w:tr>
            <w:tr w:rsidR="007239DD" w:rsidRPr="00A10374" w14:paraId="24BBF814" w14:textId="77777777" w:rsidTr="00392B28">
              <w:tc>
                <w:tcPr>
                  <w:tcW w:w="330" w:type="pct"/>
                </w:tcPr>
                <w:p w14:paraId="0E9DF1DB"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5C5404EC" w14:textId="3B4E74E2"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„Florești-gaz”</w:t>
                  </w:r>
                </w:p>
              </w:tc>
              <w:tc>
                <w:tcPr>
                  <w:tcW w:w="2117" w:type="pct"/>
                  <w:vAlign w:val="bottom"/>
                </w:tcPr>
                <w:p w14:paraId="1E4DAB93" w14:textId="4BE6C397"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rPr>
                    <w:t xml:space="preserve">        585,364.00 </w:t>
                  </w:r>
                </w:p>
              </w:tc>
            </w:tr>
            <w:tr w:rsidR="007239DD" w:rsidRPr="00A10374" w14:paraId="3631A20D" w14:textId="77777777" w:rsidTr="00392B28">
              <w:tc>
                <w:tcPr>
                  <w:tcW w:w="330" w:type="pct"/>
                </w:tcPr>
                <w:p w14:paraId="232E6880"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466BC15A" w14:textId="6EEA4840"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„Ștefan Vodă-gaz”</w:t>
                  </w:r>
                </w:p>
              </w:tc>
              <w:tc>
                <w:tcPr>
                  <w:tcW w:w="2117" w:type="pct"/>
                  <w:vAlign w:val="bottom"/>
                </w:tcPr>
                <w:p w14:paraId="2EE58525" w14:textId="2CE2BBA2"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w:t>
                  </w:r>
                  <w:r w:rsidRPr="00A10374">
                    <w:rPr>
                      <w:rFonts w:ascii="Times New Roman" w:hAnsi="Times New Roman"/>
                      <w:color w:val="000000"/>
                      <w:sz w:val="22"/>
                      <w:szCs w:val="22"/>
                    </w:rPr>
                    <w:t xml:space="preserve">374,262.00 </w:t>
                  </w:r>
                </w:p>
              </w:tc>
            </w:tr>
            <w:tr w:rsidR="007239DD" w:rsidRPr="00A10374" w14:paraId="4CC8345C" w14:textId="77777777" w:rsidTr="00392B28">
              <w:tc>
                <w:tcPr>
                  <w:tcW w:w="330" w:type="pct"/>
                </w:tcPr>
                <w:p w14:paraId="76D42D77"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44E12118" w14:textId="1144FD69"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„Cimișlia-gaz”</w:t>
                  </w:r>
                </w:p>
              </w:tc>
              <w:tc>
                <w:tcPr>
                  <w:tcW w:w="2117" w:type="pct"/>
                  <w:vAlign w:val="bottom"/>
                </w:tcPr>
                <w:p w14:paraId="0BBF8118" w14:textId="1EBA6A88"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pt-BR"/>
                    </w:rPr>
                    <w:t xml:space="preserve">        </w:t>
                  </w:r>
                  <w:r w:rsidRPr="00A10374">
                    <w:rPr>
                      <w:rFonts w:ascii="Times New Roman" w:hAnsi="Times New Roman"/>
                      <w:color w:val="000000"/>
                      <w:sz w:val="22"/>
                      <w:szCs w:val="22"/>
                    </w:rPr>
                    <w:t xml:space="preserve">337,843.22 </w:t>
                  </w:r>
                </w:p>
              </w:tc>
            </w:tr>
            <w:tr w:rsidR="007239DD" w:rsidRPr="00A10374" w14:paraId="5CC88451" w14:textId="77777777" w:rsidTr="00392B28">
              <w:tc>
                <w:tcPr>
                  <w:tcW w:w="330" w:type="pct"/>
                </w:tcPr>
                <w:p w14:paraId="6DBBB86A"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559E9ED6" w14:textId="70959E86"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„Cahul-gaz”</w:t>
                  </w:r>
                </w:p>
              </w:tc>
              <w:tc>
                <w:tcPr>
                  <w:tcW w:w="2117" w:type="pct"/>
                  <w:vAlign w:val="bottom"/>
                </w:tcPr>
                <w:p w14:paraId="414059F9" w14:textId="36EF6095"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rPr>
                    <w:t xml:space="preserve">        552,148.28 </w:t>
                  </w:r>
                </w:p>
              </w:tc>
            </w:tr>
            <w:tr w:rsidR="007239DD" w:rsidRPr="00A10374" w14:paraId="3C87BE11" w14:textId="77777777" w:rsidTr="00392B28">
              <w:tc>
                <w:tcPr>
                  <w:tcW w:w="330" w:type="pct"/>
                </w:tcPr>
                <w:p w14:paraId="273CA7A2"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5CF7AAA5" w14:textId="18590F2B"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w:t>
                  </w:r>
                  <w:proofErr w:type="spellStart"/>
                  <w:r w:rsidRPr="00A10374">
                    <w:rPr>
                      <w:rFonts w:ascii="Times New Roman" w:hAnsi="Times New Roman"/>
                      <w:color w:val="1A1A1D"/>
                      <w:sz w:val="22"/>
                      <w:szCs w:val="22"/>
                      <w:lang w:val="ro-RO"/>
                    </w:rPr>
                    <w:t>Gagauz</w:t>
                  </w:r>
                  <w:proofErr w:type="spellEnd"/>
                  <w:r w:rsidRPr="00A10374">
                    <w:rPr>
                      <w:rFonts w:ascii="Times New Roman" w:hAnsi="Times New Roman"/>
                      <w:color w:val="1A1A1D"/>
                      <w:sz w:val="22"/>
                      <w:szCs w:val="22"/>
                      <w:lang w:val="ro-RO"/>
                    </w:rPr>
                    <w:t>-gaz”</w:t>
                  </w:r>
                </w:p>
              </w:tc>
              <w:tc>
                <w:tcPr>
                  <w:tcW w:w="2117" w:type="pct"/>
                  <w:vAlign w:val="bottom"/>
                </w:tcPr>
                <w:p w14:paraId="245A7002" w14:textId="2BA7B2B3"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pt-BR"/>
                    </w:rPr>
                    <w:t xml:space="preserve">        </w:t>
                  </w:r>
                  <w:r w:rsidRPr="00A10374">
                    <w:rPr>
                      <w:rFonts w:ascii="Times New Roman" w:hAnsi="Times New Roman"/>
                      <w:color w:val="000000"/>
                      <w:sz w:val="22"/>
                      <w:szCs w:val="22"/>
                    </w:rPr>
                    <w:t xml:space="preserve">807,880.00 </w:t>
                  </w:r>
                </w:p>
              </w:tc>
            </w:tr>
            <w:tr w:rsidR="007239DD" w:rsidRPr="00A10374" w14:paraId="540BBA61" w14:textId="77777777" w:rsidTr="00392B28">
              <w:tc>
                <w:tcPr>
                  <w:tcW w:w="330" w:type="pct"/>
                </w:tcPr>
                <w:p w14:paraId="504103D4"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693CAC90" w14:textId="5B7F3AD8"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„Taraclia-gaz”</w:t>
                  </w:r>
                </w:p>
              </w:tc>
              <w:tc>
                <w:tcPr>
                  <w:tcW w:w="2117" w:type="pct"/>
                  <w:vAlign w:val="bottom"/>
                </w:tcPr>
                <w:p w14:paraId="57B4F444" w14:textId="3B0144B0"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pt-BR"/>
                    </w:rPr>
                    <w:t xml:space="preserve">        </w:t>
                  </w:r>
                  <w:r w:rsidRPr="00A10374">
                    <w:rPr>
                      <w:rFonts w:ascii="Times New Roman" w:hAnsi="Times New Roman"/>
                      <w:color w:val="000000"/>
                      <w:sz w:val="22"/>
                      <w:szCs w:val="22"/>
                    </w:rPr>
                    <w:t xml:space="preserve">236,965.99 </w:t>
                  </w:r>
                </w:p>
              </w:tc>
            </w:tr>
            <w:tr w:rsidR="007239DD" w:rsidRPr="00A10374" w14:paraId="143C7408" w14:textId="77777777" w:rsidTr="00392B28">
              <w:tc>
                <w:tcPr>
                  <w:tcW w:w="330" w:type="pct"/>
                </w:tcPr>
                <w:p w14:paraId="49EB7723"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69465CB1" w14:textId="3AB4F412"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„Ungheni-gaz”</w:t>
                  </w:r>
                </w:p>
              </w:tc>
              <w:tc>
                <w:tcPr>
                  <w:tcW w:w="2117" w:type="pct"/>
                  <w:vAlign w:val="bottom"/>
                </w:tcPr>
                <w:p w14:paraId="4B5EF07B" w14:textId="4B04321A"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rPr>
                    <w:t xml:space="preserve">        468,948.98 </w:t>
                  </w:r>
                </w:p>
              </w:tc>
            </w:tr>
            <w:tr w:rsidR="007239DD" w:rsidRPr="00A10374" w14:paraId="330A2D70" w14:textId="77777777" w:rsidTr="00392B28">
              <w:tc>
                <w:tcPr>
                  <w:tcW w:w="330" w:type="pct"/>
                </w:tcPr>
                <w:p w14:paraId="198418C6"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7BB71E5F" w14:textId="7B02E7EF"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„Chișinău-gaz”</w:t>
                  </w:r>
                </w:p>
              </w:tc>
              <w:tc>
                <w:tcPr>
                  <w:tcW w:w="2117" w:type="pct"/>
                  <w:vAlign w:val="bottom"/>
                </w:tcPr>
                <w:p w14:paraId="3B15166D" w14:textId="3988A985"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w:t>
                  </w:r>
                  <w:r w:rsidRPr="00A10374">
                    <w:rPr>
                      <w:rFonts w:ascii="Times New Roman" w:hAnsi="Times New Roman"/>
                      <w:color w:val="000000"/>
                      <w:sz w:val="22"/>
                      <w:szCs w:val="22"/>
                    </w:rPr>
                    <w:t xml:space="preserve">14,171,315.00 </w:t>
                  </w:r>
                </w:p>
              </w:tc>
            </w:tr>
            <w:tr w:rsidR="007239DD" w:rsidRPr="00A10374" w14:paraId="14D82C88" w14:textId="77777777" w:rsidTr="00392B28">
              <w:tc>
                <w:tcPr>
                  <w:tcW w:w="330" w:type="pct"/>
                </w:tcPr>
                <w:p w14:paraId="425D59CF"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124B225C" w14:textId="4ADC2A28"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w:t>
                  </w:r>
                  <w:proofErr w:type="spellStart"/>
                  <w:r w:rsidRPr="00A10374">
                    <w:rPr>
                      <w:rFonts w:ascii="Times New Roman" w:hAnsi="Times New Roman"/>
                      <w:color w:val="1A1A1D"/>
                      <w:sz w:val="22"/>
                      <w:szCs w:val="22"/>
                      <w:lang w:val="ro-RO"/>
                    </w:rPr>
                    <w:t>Rotalin</w:t>
                  </w:r>
                  <w:proofErr w:type="spellEnd"/>
                  <w:r w:rsidRPr="00A10374">
                    <w:rPr>
                      <w:rFonts w:ascii="Times New Roman" w:hAnsi="Times New Roman"/>
                      <w:color w:val="1A1A1D"/>
                      <w:sz w:val="22"/>
                      <w:szCs w:val="22"/>
                      <w:lang w:val="ro-RO"/>
                    </w:rPr>
                    <w:t xml:space="preserve"> Gaz Trading”</w:t>
                  </w:r>
                </w:p>
              </w:tc>
              <w:tc>
                <w:tcPr>
                  <w:tcW w:w="2117" w:type="pct"/>
                  <w:vAlign w:val="bottom"/>
                </w:tcPr>
                <w:p w14:paraId="6771D3D3" w14:textId="7B4A2E5F"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rPr>
                    <w:t xml:space="preserve">        324,743.19 </w:t>
                  </w:r>
                </w:p>
              </w:tc>
            </w:tr>
            <w:tr w:rsidR="007239DD" w:rsidRPr="00A10374" w14:paraId="67959A4F" w14:textId="77777777" w:rsidTr="00392B28">
              <w:tc>
                <w:tcPr>
                  <w:tcW w:w="330" w:type="pct"/>
                </w:tcPr>
                <w:p w14:paraId="37D8BE25"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1103673D" w14:textId="67E1FDA7"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Î.C.S. „Nord Gaz-</w:t>
                  </w:r>
                  <w:proofErr w:type="spellStart"/>
                  <w:r w:rsidRPr="00A10374">
                    <w:rPr>
                      <w:rFonts w:ascii="Times New Roman" w:hAnsi="Times New Roman"/>
                      <w:color w:val="1A1A1D"/>
                      <w:sz w:val="22"/>
                      <w:szCs w:val="22"/>
                      <w:lang w:val="ro-RO"/>
                    </w:rPr>
                    <w:t>Sîngerei</w:t>
                  </w:r>
                  <w:proofErr w:type="spellEnd"/>
                  <w:r w:rsidRPr="00A10374">
                    <w:rPr>
                      <w:rFonts w:ascii="Times New Roman" w:hAnsi="Times New Roman"/>
                      <w:color w:val="1A1A1D"/>
                      <w:sz w:val="22"/>
                      <w:szCs w:val="22"/>
                      <w:lang w:val="ro-RO"/>
                    </w:rPr>
                    <w:t>” S.R.L.</w:t>
                  </w:r>
                </w:p>
              </w:tc>
              <w:tc>
                <w:tcPr>
                  <w:tcW w:w="2117" w:type="pct"/>
                  <w:vAlign w:val="bottom"/>
                </w:tcPr>
                <w:p w14:paraId="4A9C41D0" w14:textId="63CCD558"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w:t>
                  </w:r>
                  <w:r w:rsidRPr="00A10374">
                    <w:rPr>
                      <w:rFonts w:ascii="Times New Roman" w:hAnsi="Times New Roman"/>
                      <w:color w:val="000000"/>
                      <w:sz w:val="22"/>
                      <w:szCs w:val="22"/>
                    </w:rPr>
                    <w:t xml:space="preserve">58,388.58 </w:t>
                  </w:r>
                </w:p>
              </w:tc>
            </w:tr>
            <w:tr w:rsidR="007239DD" w:rsidRPr="00A10374" w14:paraId="41343E6F" w14:textId="77777777" w:rsidTr="00392B28">
              <w:tc>
                <w:tcPr>
                  <w:tcW w:w="330" w:type="pct"/>
                </w:tcPr>
                <w:p w14:paraId="472EF8D7"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700D1D47" w14:textId="44217D77"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w:t>
                  </w:r>
                  <w:proofErr w:type="spellStart"/>
                  <w:r w:rsidRPr="00A10374">
                    <w:rPr>
                      <w:rFonts w:ascii="Times New Roman" w:hAnsi="Times New Roman"/>
                      <w:color w:val="1A1A1D"/>
                      <w:sz w:val="22"/>
                      <w:szCs w:val="22"/>
                      <w:lang w:val="ro-RO"/>
                    </w:rPr>
                    <w:t>Candelux-Com</w:t>
                  </w:r>
                  <w:proofErr w:type="spellEnd"/>
                  <w:r w:rsidRPr="00A10374">
                    <w:rPr>
                      <w:rFonts w:ascii="Times New Roman" w:hAnsi="Times New Roman"/>
                      <w:color w:val="1A1A1D"/>
                      <w:sz w:val="22"/>
                      <w:szCs w:val="22"/>
                      <w:lang w:val="ro-RO"/>
                    </w:rPr>
                    <w:t>”</w:t>
                  </w:r>
                </w:p>
              </w:tc>
              <w:tc>
                <w:tcPr>
                  <w:tcW w:w="2117" w:type="pct"/>
                  <w:vAlign w:val="bottom"/>
                </w:tcPr>
                <w:p w14:paraId="42293071" w14:textId="4C9CB993"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pt-BR"/>
                    </w:rPr>
                    <w:t> </w:t>
                  </w:r>
                  <w:r w:rsidR="00E02055" w:rsidRPr="00A10374">
                    <w:rPr>
                      <w:rFonts w:ascii="Times New Roman" w:hAnsi="Times New Roman"/>
                      <w:color w:val="000000"/>
                      <w:sz w:val="22"/>
                      <w:szCs w:val="22"/>
                    </w:rPr>
                    <w:t>-</w:t>
                  </w:r>
                </w:p>
              </w:tc>
            </w:tr>
            <w:tr w:rsidR="007239DD" w:rsidRPr="00A10374" w14:paraId="1BE6CD70" w14:textId="77777777" w:rsidTr="00392B28">
              <w:tc>
                <w:tcPr>
                  <w:tcW w:w="330" w:type="pct"/>
                </w:tcPr>
                <w:p w14:paraId="66FB1212"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48F1273D" w14:textId="7DDA3B2C"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w:t>
                  </w:r>
                  <w:proofErr w:type="spellStart"/>
                  <w:r w:rsidRPr="00A10374">
                    <w:rPr>
                      <w:rFonts w:ascii="Times New Roman" w:hAnsi="Times New Roman"/>
                      <w:color w:val="1A1A1D"/>
                      <w:sz w:val="22"/>
                      <w:szCs w:val="22"/>
                      <w:lang w:val="ro-RO"/>
                    </w:rPr>
                    <w:t>Proalfa</w:t>
                  </w:r>
                  <w:proofErr w:type="spellEnd"/>
                  <w:r w:rsidRPr="00A10374">
                    <w:rPr>
                      <w:rFonts w:ascii="Times New Roman" w:hAnsi="Times New Roman"/>
                      <w:color w:val="1A1A1D"/>
                      <w:sz w:val="22"/>
                      <w:szCs w:val="22"/>
                      <w:lang w:val="ro-RO"/>
                    </w:rPr>
                    <w:t>-service”</w:t>
                  </w:r>
                </w:p>
              </w:tc>
              <w:tc>
                <w:tcPr>
                  <w:tcW w:w="2117" w:type="pct"/>
                  <w:vAlign w:val="bottom"/>
                </w:tcPr>
                <w:p w14:paraId="667B1BCF" w14:textId="33882D8C"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rPr>
                    <w:t> </w:t>
                  </w:r>
                  <w:r w:rsidR="00E02055" w:rsidRPr="00A10374">
                    <w:rPr>
                      <w:rFonts w:ascii="Times New Roman" w:hAnsi="Times New Roman"/>
                      <w:color w:val="000000"/>
                      <w:sz w:val="22"/>
                      <w:szCs w:val="22"/>
                    </w:rPr>
                    <w:t>-</w:t>
                  </w:r>
                </w:p>
              </w:tc>
            </w:tr>
            <w:tr w:rsidR="007239DD" w:rsidRPr="00A10374" w14:paraId="38A91C33" w14:textId="77777777" w:rsidTr="00392B28">
              <w:tc>
                <w:tcPr>
                  <w:tcW w:w="330" w:type="pct"/>
                </w:tcPr>
                <w:p w14:paraId="17F8D048"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3F5B17D3" w14:textId="4D6745A6"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„BV Group Company” SRL</w:t>
                  </w:r>
                </w:p>
              </w:tc>
              <w:tc>
                <w:tcPr>
                  <w:tcW w:w="2117" w:type="pct"/>
                  <w:vAlign w:val="bottom"/>
                </w:tcPr>
                <w:p w14:paraId="24ADBFF0" w14:textId="0A4811FB"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rPr>
                    <w:t> </w:t>
                  </w:r>
                  <w:r w:rsidR="00E02055" w:rsidRPr="00A10374">
                    <w:rPr>
                      <w:rFonts w:ascii="Times New Roman" w:hAnsi="Times New Roman"/>
                      <w:color w:val="000000"/>
                      <w:sz w:val="22"/>
                      <w:szCs w:val="22"/>
                    </w:rPr>
                    <w:t>-</w:t>
                  </w:r>
                </w:p>
              </w:tc>
            </w:tr>
            <w:tr w:rsidR="007239DD" w:rsidRPr="00A10374" w14:paraId="195B35BC" w14:textId="77777777" w:rsidTr="00392B28">
              <w:tc>
                <w:tcPr>
                  <w:tcW w:w="330" w:type="pct"/>
                </w:tcPr>
                <w:p w14:paraId="546FF875"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669B7505" w14:textId="10DEF6D0"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FPC „Lăcătuș”</w:t>
                  </w:r>
                </w:p>
              </w:tc>
              <w:tc>
                <w:tcPr>
                  <w:tcW w:w="2117" w:type="pct"/>
                  <w:vAlign w:val="bottom"/>
                </w:tcPr>
                <w:p w14:paraId="74E53CD2" w14:textId="09E66D8E"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rPr>
                    <w:t> </w:t>
                  </w:r>
                  <w:r w:rsidR="00E02055" w:rsidRPr="00A10374">
                    <w:rPr>
                      <w:rFonts w:ascii="Times New Roman" w:hAnsi="Times New Roman"/>
                      <w:color w:val="000000"/>
                      <w:sz w:val="22"/>
                      <w:szCs w:val="22"/>
                    </w:rPr>
                    <w:t>-</w:t>
                  </w:r>
                </w:p>
              </w:tc>
            </w:tr>
            <w:tr w:rsidR="007239DD" w:rsidRPr="00A10374" w14:paraId="4A819D36" w14:textId="77777777" w:rsidTr="00392B28">
              <w:tc>
                <w:tcPr>
                  <w:tcW w:w="330" w:type="pct"/>
                </w:tcPr>
                <w:p w14:paraId="569BD71B" w14:textId="77777777" w:rsidR="007239DD" w:rsidRPr="00A10374" w:rsidRDefault="007239DD" w:rsidP="001A76A5">
                  <w:pPr>
                    <w:pStyle w:val="ListParagraph"/>
                    <w:numPr>
                      <w:ilvl w:val="0"/>
                      <w:numId w:val="15"/>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339800A6" w14:textId="6520F3A2"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S.R.L. „Compania Doboș”</w:t>
                  </w:r>
                </w:p>
              </w:tc>
              <w:tc>
                <w:tcPr>
                  <w:tcW w:w="2117" w:type="pct"/>
                  <w:vAlign w:val="bottom"/>
                </w:tcPr>
                <w:p w14:paraId="695DB1F9" w14:textId="680589DF"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pt-BR"/>
                    </w:rPr>
                    <w:t> </w:t>
                  </w:r>
                  <w:r w:rsidR="00E02055" w:rsidRPr="00A10374">
                    <w:rPr>
                      <w:rFonts w:ascii="Times New Roman" w:hAnsi="Times New Roman"/>
                      <w:color w:val="000000"/>
                      <w:sz w:val="22"/>
                      <w:szCs w:val="22"/>
                    </w:rPr>
                    <w:t>-</w:t>
                  </w:r>
                </w:p>
              </w:tc>
            </w:tr>
            <w:tr w:rsidR="007239DD" w:rsidRPr="00A10374" w14:paraId="1692E4B6" w14:textId="77777777" w:rsidTr="001A76A5">
              <w:tc>
                <w:tcPr>
                  <w:tcW w:w="5000" w:type="pct"/>
                  <w:gridSpan w:val="3"/>
                  <w:shd w:val="clear" w:color="auto" w:fill="C6D9F1" w:themeFill="text2" w:themeFillTint="33"/>
                </w:tcPr>
                <w:p w14:paraId="6EBAFD43" w14:textId="6EAEEE7B" w:rsidR="007239DD" w:rsidRPr="00A10374" w:rsidRDefault="007239DD" w:rsidP="001A76A5">
                  <w:pPr>
                    <w:jc w:val="center"/>
                    <w:rPr>
                      <w:rFonts w:ascii="Times New Roman" w:hAnsi="Times New Roman"/>
                      <w:b/>
                      <w:bCs/>
                      <w:color w:val="000000"/>
                      <w:sz w:val="22"/>
                      <w:szCs w:val="22"/>
                      <w:lang w:val="ro-RO"/>
                    </w:rPr>
                  </w:pPr>
                  <w:r w:rsidRPr="00A10374">
                    <w:rPr>
                      <w:rFonts w:ascii="Times New Roman" w:hAnsi="Times New Roman"/>
                      <w:b/>
                      <w:bCs/>
                      <w:color w:val="000000"/>
                      <w:sz w:val="22"/>
                      <w:szCs w:val="22"/>
                      <w:lang w:val="ro-RO"/>
                    </w:rPr>
                    <w:t>Importatorii de produse petroliere</w:t>
                  </w:r>
                </w:p>
              </w:tc>
            </w:tr>
            <w:tr w:rsidR="007239DD" w:rsidRPr="00A10374" w14:paraId="620E8C69" w14:textId="77777777" w:rsidTr="00392B28">
              <w:tc>
                <w:tcPr>
                  <w:tcW w:w="330" w:type="pct"/>
                </w:tcPr>
                <w:p w14:paraId="6929094B"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66567A0E" w14:textId="583FA547" w:rsidR="007239DD" w:rsidRPr="00A10374" w:rsidRDefault="007239DD" w:rsidP="001A76A5">
                  <w:pPr>
                    <w:tabs>
                      <w:tab w:val="left" w:pos="884"/>
                      <w:tab w:val="left" w:pos="1196"/>
                    </w:tabs>
                    <w:rPr>
                      <w:rFonts w:ascii="Times New Roman" w:hAnsi="Times New Roman"/>
                      <w:color w:val="1A1A1D"/>
                      <w:sz w:val="22"/>
                      <w:szCs w:val="22"/>
                      <w:lang w:val="ro-RO"/>
                    </w:rPr>
                  </w:pPr>
                  <w:r w:rsidRPr="00A10374">
                    <w:rPr>
                      <w:rFonts w:ascii="Times New Roman" w:hAnsi="Times New Roman"/>
                      <w:color w:val="1A1A1D"/>
                      <w:sz w:val="22"/>
                      <w:szCs w:val="22"/>
                      <w:lang w:val="ro-RO"/>
                    </w:rPr>
                    <w:t>Rompetrol Moldova SA</w:t>
                  </w:r>
                </w:p>
              </w:tc>
              <w:tc>
                <w:tcPr>
                  <w:tcW w:w="2117" w:type="pct"/>
                  <w:vAlign w:val="bottom"/>
                </w:tcPr>
                <w:p w14:paraId="1E9555F0" w14:textId="1CB47348" w:rsidR="007239DD" w:rsidRPr="00A10374" w:rsidRDefault="007239DD" w:rsidP="007239DD">
                  <w:pPr>
                    <w:tabs>
                      <w:tab w:val="left" w:pos="884"/>
                      <w:tab w:val="left" w:pos="1196"/>
                    </w:tabs>
                    <w:jc w:val="center"/>
                    <w:rPr>
                      <w:rFonts w:ascii="Times New Roman" w:hAnsi="Times New Roman"/>
                      <w:color w:val="000000"/>
                      <w:sz w:val="22"/>
                      <w:szCs w:val="22"/>
                      <w:lang w:val="ro-RO"/>
                    </w:rPr>
                  </w:pPr>
                  <w:r w:rsidRPr="00A10374">
                    <w:rPr>
                      <w:rFonts w:ascii="Times New Roman" w:hAnsi="Times New Roman"/>
                      <w:color w:val="000000"/>
                      <w:sz w:val="22"/>
                      <w:szCs w:val="22"/>
                      <w:lang w:val="ro-RO"/>
                    </w:rPr>
                    <w:t xml:space="preserve">     9,315,000.00 </w:t>
                  </w:r>
                </w:p>
              </w:tc>
            </w:tr>
            <w:tr w:rsidR="007239DD" w:rsidRPr="00A10374" w14:paraId="60CE8BE6" w14:textId="77777777" w:rsidTr="00392B28">
              <w:tc>
                <w:tcPr>
                  <w:tcW w:w="330" w:type="pct"/>
                </w:tcPr>
                <w:p w14:paraId="0B8013EE"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4B893833" w14:textId="51B74681" w:rsidR="007239DD" w:rsidRPr="00A10374" w:rsidRDefault="007239DD" w:rsidP="001A76A5">
                  <w:pPr>
                    <w:tabs>
                      <w:tab w:val="left" w:pos="884"/>
                      <w:tab w:val="left" w:pos="1196"/>
                    </w:tabs>
                    <w:rPr>
                      <w:rFonts w:ascii="Times New Roman" w:hAnsi="Times New Roman"/>
                      <w:color w:val="1A1A1D"/>
                      <w:sz w:val="22"/>
                      <w:szCs w:val="22"/>
                      <w:lang w:val="ro-RO"/>
                    </w:rPr>
                  </w:pPr>
                  <w:r w:rsidRPr="00A10374">
                    <w:rPr>
                      <w:rFonts w:ascii="Times New Roman" w:hAnsi="Times New Roman"/>
                      <w:color w:val="1A1A1D"/>
                      <w:sz w:val="22"/>
                      <w:szCs w:val="22"/>
                      <w:lang w:val="ro-RO"/>
                    </w:rPr>
                    <w:t>Petrom Moldova SRL</w:t>
                  </w:r>
                </w:p>
              </w:tc>
              <w:tc>
                <w:tcPr>
                  <w:tcW w:w="2117" w:type="pct"/>
                  <w:vAlign w:val="bottom"/>
                </w:tcPr>
                <w:p w14:paraId="6A3DD2D8" w14:textId="7F18A949" w:rsidR="007239DD" w:rsidRPr="00A10374" w:rsidRDefault="007239DD" w:rsidP="007239DD">
                  <w:pPr>
                    <w:tabs>
                      <w:tab w:val="left" w:pos="884"/>
                      <w:tab w:val="left" w:pos="1196"/>
                    </w:tabs>
                    <w:jc w:val="center"/>
                    <w:rPr>
                      <w:rFonts w:ascii="Times New Roman" w:hAnsi="Times New Roman"/>
                      <w:color w:val="000000"/>
                      <w:sz w:val="22"/>
                      <w:szCs w:val="22"/>
                      <w:lang w:val="ro-RO"/>
                    </w:rPr>
                  </w:pPr>
                  <w:r w:rsidRPr="00A10374">
                    <w:rPr>
                      <w:rFonts w:ascii="Times New Roman" w:hAnsi="Times New Roman"/>
                      <w:color w:val="000000"/>
                      <w:sz w:val="22"/>
                      <w:szCs w:val="22"/>
                      <w:lang w:val="ro-RO"/>
                    </w:rPr>
                    <w:t xml:space="preserve">     1,471,480.56 </w:t>
                  </w:r>
                </w:p>
              </w:tc>
            </w:tr>
            <w:tr w:rsidR="007239DD" w:rsidRPr="00A10374" w14:paraId="029B0E31" w14:textId="77777777" w:rsidTr="00392B28">
              <w:tc>
                <w:tcPr>
                  <w:tcW w:w="330" w:type="pct"/>
                </w:tcPr>
                <w:p w14:paraId="500FCD52"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09449896" w14:textId="70236155" w:rsidR="007239DD" w:rsidRPr="00A10374" w:rsidRDefault="007239DD" w:rsidP="001A76A5">
                  <w:pPr>
                    <w:tabs>
                      <w:tab w:val="left" w:pos="884"/>
                      <w:tab w:val="left" w:pos="1196"/>
                    </w:tabs>
                    <w:rPr>
                      <w:rFonts w:ascii="Times New Roman" w:hAnsi="Times New Roman"/>
                      <w:color w:val="1A1A1D"/>
                      <w:sz w:val="22"/>
                      <w:szCs w:val="22"/>
                      <w:lang w:val="ro-RO"/>
                    </w:rPr>
                  </w:pPr>
                  <w:r w:rsidRPr="00A10374">
                    <w:rPr>
                      <w:rFonts w:ascii="Times New Roman" w:hAnsi="Times New Roman"/>
                      <w:color w:val="1A1A1D"/>
                      <w:sz w:val="22"/>
                      <w:szCs w:val="22"/>
                      <w:lang w:val="ro-RO"/>
                    </w:rPr>
                    <w:t>Lukoil Moldova SRL</w:t>
                  </w:r>
                </w:p>
              </w:tc>
              <w:tc>
                <w:tcPr>
                  <w:tcW w:w="2117" w:type="pct"/>
                  <w:vAlign w:val="bottom"/>
                </w:tcPr>
                <w:p w14:paraId="279E6525" w14:textId="1859F7FC" w:rsidR="007239DD" w:rsidRPr="00A10374" w:rsidRDefault="007239DD" w:rsidP="007239DD">
                  <w:pPr>
                    <w:tabs>
                      <w:tab w:val="left" w:pos="884"/>
                      <w:tab w:val="left" w:pos="1196"/>
                    </w:tabs>
                    <w:jc w:val="center"/>
                    <w:rPr>
                      <w:rFonts w:ascii="Times New Roman" w:hAnsi="Times New Roman"/>
                      <w:color w:val="000000"/>
                      <w:sz w:val="22"/>
                      <w:szCs w:val="22"/>
                      <w:lang w:val="ro-RO"/>
                    </w:rPr>
                  </w:pPr>
                  <w:r w:rsidRPr="00A10374">
                    <w:rPr>
                      <w:rFonts w:ascii="Times New Roman" w:hAnsi="Times New Roman"/>
                      <w:color w:val="000000"/>
                      <w:sz w:val="22"/>
                      <w:szCs w:val="22"/>
                      <w:lang w:val="ro-RO"/>
                    </w:rPr>
                    <w:t xml:space="preserve">   12,653,719.50 </w:t>
                  </w:r>
                </w:p>
              </w:tc>
            </w:tr>
            <w:tr w:rsidR="007239DD" w:rsidRPr="00A10374" w14:paraId="51D4398F" w14:textId="77777777" w:rsidTr="00392B28">
              <w:tc>
                <w:tcPr>
                  <w:tcW w:w="330" w:type="pct"/>
                </w:tcPr>
                <w:p w14:paraId="52DFDC66"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711727B1" w14:textId="4E8B4CFF"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1A1A1D"/>
                      <w:sz w:val="22"/>
                      <w:szCs w:val="22"/>
                      <w:lang w:val="ro-RO"/>
                    </w:rPr>
                    <w:t>Tirex</w:t>
                  </w:r>
                  <w:proofErr w:type="spellEnd"/>
                  <w:r w:rsidRPr="00A10374">
                    <w:rPr>
                      <w:rFonts w:ascii="Times New Roman" w:hAnsi="Times New Roman"/>
                      <w:color w:val="1A1A1D"/>
                      <w:sz w:val="22"/>
                      <w:szCs w:val="22"/>
                      <w:lang w:val="ro-RO"/>
                    </w:rPr>
                    <w:t xml:space="preserve"> Petrol </w:t>
                  </w:r>
                </w:p>
              </w:tc>
              <w:tc>
                <w:tcPr>
                  <w:tcW w:w="2117" w:type="pct"/>
                  <w:vAlign w:val="bottom"/>
                </w:tcPr>
                <w:p w14:paraId="205AAE0F" w14:textId="37870D13" w:rsidR="007239DD" w:rsidRPr="00A10374" w:rsidRDefault="00E02055"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w:t>
                  </w:r>
                  <w:r w:rsidR="007239DD" w:rsidRPr="00A10374">
                    <w:rPr>
                      <w:rFonts w:ascii="Times New Roman" w:hAnsi="Times New Roman"/>
                      <w:color w:val="000000"/>
                      <w:sz w:val="22"/>
                      <w:szCs w:val="22"/>
                      <w:lang w:val="ro-RO"/>
                    </w:rPr>
                    <w:t> </w:t>
                  </w:r>
                </w:p>
              </w:tc>
            </w:tr>
            <w:tr w:rsidR="007239DD" w:rsidRPr="00A10374" w14:paraId="6097BF1B" w14:textId="77777777" w:rsidTr="00392B28">
              <w:tc>
                <w:tcPr>
                  <w:tcW w:w="330" w:type="pct"/>
                </w:tcPr>
                <w:p w14:paraId="43A28794"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4D381B25" w14:textId="488C2A39"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1A1A1D"/>
                      <w:sz w:val="22"/>
                      <w:szCs w:val="22"/>
                      <w:lang w:val="ro-RO"/>
                    </w:rPr>
                    <w:t>Avante</w:t>
                  </w:r>
                  <w:proofErr w:type="spellEnd"/>
                  <w:r w:rsidRPr="00A10374">
                    <w:rPr>
                      <w:rFonts w:ascii="Times New Roman" w:hAnsi="Times New Roman"/>
                      <w:color w:val="1A1A1D"/>
                      <w:sz w:val="22"/>
                      <w:szCs w:val="22"/>
                      <w:lang w:val="ro-RO"/>
                    </w:rPr>
                    <w:t xml:space="preserve"> SRL</w:t>
                  </w:r>
                </w:p>
              </w:tc>
              <w:tc>
                <w:tcPr>
                  <w:tcW w:w="2117" w:type="pct"/>
                  <w:vAlign w:val="bottom"/>
                </w:tcPr>
                <w:p w14:paraId="7C76473C" w14:textId="443CAEB7"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286,824.38 </w:t>
                  </w:r>
                </w:p>
              </w:tc>
            </w:tr>
            <w:tr w:rsidR="007239DD" w:rsidRPr="00A10374" w14:paraId="47B283FB" w14:textId="77777777" w:rsidTr="00392B28">
              <w:tc>
                <w:tcPr>
                  <w:tcW w:w="330" w:type="pct"/>
                </w:tcPr>
                <w:p w14:paraId="6EFA02C8"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0849B543" w14:textId="67076C6F"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1A1A1D"/>
                      <w:sz w:val="22"/>
                      <w:szCs w:val="22"/>
                      <w:lang w:val="ro-RO"/>
                    </w:rPr>
                    <w:t>Adna</w:t>
                  </w:r>
                  <w:proofErr w:type="spellEnd"/>
                  <w:r w:rsidRPr="00A10374">
                    <w:rPr>
                      <w:rFonts w:ascii="Times New Roman" w:hAnsi="Times New Roman"/>
                      <w:color w:val="1A1A1D"/>
                      <w:sz w:val="22"/>
                      <w:szCs w:val="22"/>
                      <w:lang w:val="ro-RO"/>
                    </w:rPr>
                    <w:t xml:space="preserve"> Plus SRL</w:t>
                  </w:r>
                </w:p>
              </w:tc>
              <w:tc>
                <w:tcPr>
                  <w:tcW w:w="2117" w:type="pct"/>
                  <w:vAlign w:val="bottom"/>
                </w:tcPr>
                <w:p w14:paraId="0EBB6F89" w14:textId="530D5C4E"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w:t>
                  </w:r>
                  <w:r w:rsidR="00E02055" w:rsidRPr="00A10374">
                    <w:rPr>
                      <w:rFonts w:ascii="Times New Roman" w:hAnsi="Times New Roman"/>
                      <w:color w:val="000000"/>
                      <w:sz w:val="22"/>
                      <w:szCs w:val="22"/>
                      <w:lang w:val="ro-RO"/>
                    </w:rPr>
                    <w:t>-</w:t>
                  </w:r>
                </w:p>
              </w:tc>
            </w:tr>
            <w:tr w:rsidR="007239DD" w:rsidRPr="00A10374" w14:paraId="26E25620" w14:textId="77777777" w:rsidTr="00392B28">
              <w:tc>
                <w:tcPr>
                  <w:tcW w:w="330" w:type="pct"/>
                </w:tcPr>
                <w:p w14:paraId="6EDADE98"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5D9A524C" w14:textId="4A5C0270"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1A1A1D"/>
                      <w:sz w:val="22"/>
                      <w:szCs w:val="22"/>
                      <w:lang w:val="ro-RO"/>
                    </w:rPr>
                    <w:t>Basapetrol</w:t>
                  </w:r>
                  <w:proofErr w:type="spellEnd"/>
                </w:p>
              </w:tc>
              <w:tc>
                <w:tcPr>
                  <w:tcW w:w="2117" w:type="pct"/>
                  <w:vAlign w:val="bottom"/>
                </w:tcPr>
                <w:p w14:paraId="045408CD" w14:textId="429B0456"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w:t>
                  </w:r>
                  <w:r w:rsidR="00E02055" w:rsidRPr="00A10374">
                    <w:rPr>
                      <w:rFonts w:ascii="Times New Roman" w:hAnsi="Times New Roman"/>
                      <w:color w:val="000000"/>
                      <w:sz w:val="22"/>
                      <w:szCs w:val="22"/>
                      <w:lang w:val="ro-RO"/>
                    </w:rPr>
                    <w:t>-</w:t>
                  </w:r>
                </w:p>
              </w:tc>
            </w:tr>
            <w:tr w:rsidR="007239DD" w:rsidRPr="00A10374" w14:paraId="2C21AB75" w14:textId="77777777" w:rsidTr="001A76A5">
              <w:tc>
                <w:tcPr>
                  <w:tcW w:w="330" w:type="pct"/>
                </w:tcPr>
                <w:p w14:paraId="432D7D40"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432AE6C1" w14:textId="2683716B"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000000"/>
                      <w:sz w:val="22"/>
                      <w:szCs w:val="22"/>
                      <w:lang w:val="ro-RO"/>
                    </w:rPr>
                    <w:t>ICS Bemol Retail SRL</w:t>
                  </w:r>
                </w:p>
              </w:tc>
              <w:tc>
                <w:tcPr>
                  <w:tcW w:w="2117" w:type="pct"/>
                  <w:vAlign w:val="bottom"/>
                </w:tcPr>
                <w:p w14:paraId="5FE3402B" w14:textId="1BA2DCC1"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42,143.42 </w:t>
                  </w:r>
                </w:p>
              </w:tc>
            </w:tr>
            <w:tr w:rsidR="007239DD" w:rsidRPr="00A10374" w14:paraId="2CD9535D" w14:textId="77777777" w:rsidTr="00392B28">
              <w:tc>
                <w:tcPr>
                  <w:tcW w:w="330" w:type="pct"/>
                </w:tcPr>
                <w:p w14:paraId="3E8FDFDC"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308BC40E" w14:textId="51FBAB82"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1A1A1D"/>
                      <w:sz w:val="22"/>
                      <w:szCs w:val="22"/>
                      <w:lang w:val="ro-RO"/>
                    </w:rPr>
                    <w:t>Energopetrol</w:t>
                  </w:r>
                  <w:proofErr w:type="spellEnd"/>
                </w:p>
              </w:tc>
              <w:tc>
                <w:tcPr>
                  <w:tcW w:w="2117" w:type="pct"/>
                  <w:vAlign w:val="bottom"/>
                </w:tcPr>
                <w:p w14:paraId="7CED0B59" w14:textId="50023594"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w:t>
                  </w:r>
                  <w:r w:rsidR="00E02055" w:rsidRPr="00A10374">
                    <w:rPr>
                      <w:rFonts w:ascii="Times New Roman" w:hAnsi="Times New Roman"/>
                      <w:color w:val="000000"/>
                      <w:sz w:val="22"/>
                      <w:szCs w:val="22"/>
                      <w:lang w:val="ro-RO"/>
                    </w:rPr>
                    <w:t>-</w:t>
                  </w:r>
                </w:p>
              </w:tc>
            </w:tr>
            <w:tr w:rsidR="007239DD" w:rsidRPr="00A10374" w14:paraId="63BC82D2" w14:textId="77777777" w:rsidTr="001A76A5">
              <w:tc>
                <w:tcPr>
                  <w:tcW w:w="330" w:type="pct"/>
                </w:tcPr>
                <w:p w14:paraId="069764BF"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79009999" w14:textId="0438D6DC"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000000"/>
                      <w:sz w:val="22"/>
                      <w:szCs w:val="22"/>
                      <w:lang w:val="ro-RO"/>
                    </w:rPr>
                    <w:t>Estcon</w:t>
                  </w:r>
                  <w:proofErr w:type="spellEnd"/>
                  <w:r w:rsidRPr="00A10374">
                    <w:rPr>
                      <w:rFonts w:ascii="Times New Roman" w:hAnsi="Times New Roman"/>
                      <w:color w:val="000000"/>
                      <w:sz w:val="22"/>
                      <w:szCs w:val="22"/>
                      <w:lang w:val="ro-RO"/>
                    </w:rPr>
                    <w:t xml:space="preserve"> Construct</w:t>
                  </w:r>
                </w:p>
              </w:tc>
              <w:tc>
                <w:tcPr>
                  <w:tcW w:w="2117" w:type="pct"/>
                  <w:vAlign w:val="bottom"/>
                </w:tcPr>
                <w:p w14:paraId="271174D9" w14:textId="7FCE3C8A"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w:t>
                  </w:r>
                  <w:r w:rsidR="00E02055" w:rsidRPr="00A10374">
                    <w:rPr>
                      <w:rFonts w:ascii="Times New Roman" w:hAnsi="Times New Roman"/>
                      <w:color w:val="000000"/>
                      <w:sz w:val="22"/>
                      <w:szCs w:val="22"/>
                      <w:lang w:val="ro-RO"/>
                    </w:rPr>
                    <w:t>-</w:t>
                  </w:r>
                </w:p>
              </w:tc>
            </w:tr>
            <w:tr w:rsidR="007239DD" w:rsidRPr="00A10374" w14:paraId="4F408491" w14:textId="77777777" w:rsidTr="001A76A5">
              <w:tc>
                <w:tcPr>
                  <w:tcW w:w="330" w:type="pct"/>
                </w:tcPr>
                <w:p w14:paraId="02C60E60"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03222E9B" w14:textId="31E1692B"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000000"/>
                      <w:sz w:val="22"/>
                      <w:szCs w:val="22"/>
                      <w:lang w:val="ro-RO"/>
                    </w:rPr>
                    <w:t>Euro LPG</w:t>
                  </w:r>
                </w:p>
              </w:tc>
              <w:tc>
                <w:tcPr>
                  <w:tcW w:w="2117" w:type="pct"/>
                  <w:vAlign w:val="bottom"/>
                </w:tcPr>
                <w:p w14:paraId="51629D7C" w14:textId="25F568CE"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w:t>
                  </w:r>
                  <w:r w:rsidR="00E02055" w:rsidRPr="00A10374">
                    <w:rPr>
                      <w:rFonts w:ascii="Times New Roman" w:hAnsi="Times New Roman"/>
                      <w:color w:val="000000"/>
                      <w:sz w:val="22"/>
                      <w:szCs w:val="22"/>
                      <w:lang w:val="ro-RO"/>
                    </w:rPr>
                    <w:t>-</w:t>
                  </w:r>
                </w:p>
              </w:tc>
            </w:tr>
            <w:tr w:rsidR="007239DD" w:rsidRPr="00A10374" w14:paraId="605C0083" w14:textId="77777777" w:rsidTr="00392B28">
              <w:tc>
                <w:tcPr>
                  <w:tcW w:w="330" w:type="pct"/>
                </w:tcPr>
                <w:p w14:paraId="5824378B"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0073B7A7" w14:textId="38C91BCB"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1A1A1D"/>
                      <w:sz w:val="22"/>
                      <w:szCs w:val="22"/>
                      <w:lang w:val="ro-RO"/>
                    </w:rPr>
                    <w:t>Europrim</w:t>
                  </w:r>
                  <w:proofErr w:type="spellEnd"/>
                </w:p>
              </w:tc>
              <w:tc>
                <w:tcPr>
                  <w:tcW w:w="2117" w:type="pct"/>
                  <w:vAlign w:val="bottom"/>
                </w:tcPr>
                <w:p w14:paraId="72592136" w14:textId="52C26540"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w:t>
                  </w:r>
                  <w:r w:rsidR="00E02055" w:rsidRPr="00A10374">
                    <w:rPr>
                      <w:rFonts w:ascii="Times New Roman" w:hAnsi="Times New Roman"/>
                      <w:color w:val="000000"/>
                      <w:sz w:val="22"/>
                      <w:szCs w:val="22"/>
                      <w:lang w:val="ro-RO"/>
                    </w:rPr>
                    <w:t>-</w:t>
                  </w:r>
                </w:p>
              </w:tc>
            </w:tr>
            <w:tr w:rsidR="007239DD" w:rsidRPr="00A10374" w14:paraId="48A2DBC9" w14:textId="77777777" w:rsidTr="001A76A5">
              <w:tc>
                <w:tcPr>
                  <w:tcW w:w="330" w:type="pct"/>
                </w:tcPr>
                <w:p w14:paraId="379F157D"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6D083F63" w14:textId="161A5C44"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000000"/>
                      <w:sz w:val="22"/>
                      <w:szCs w:val="22"/>
                      <w:lang w:val="ro-RO"/>
                    </w:rPr>
                    <w:t>Get Premium</w:t>
                  </w:r>
                </w:p>
              </w:tc>
              <w:tc>
                <w:tcPr>
                  <w:tcW w:w="2117" w:type="pct"/>
                  <w:vAlign w:val="bottom"/>
                </w:tcPr>
                <w:p w14:paraId="7074B724" w14:textId="06B32DDB"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w:t>
                  </w:r>
                  <w:r w:rsidR="00E02055" w:rsidRPr="00A10374">
                    <w:rPr>
                      <w:rFonts w:ascii="Times New Roman" w:hAnsi="Times New Roman"/>
                      <w:color w:val="000000"/>
                      <w:sz w:val="22"/>
                      <w:szCs w:val="22"/>
                      <w:lang w:val="ro-RO"/>
                    </w:rPr>
                    <w:t>-</w:t>
                  </w:r>
                </w:p>
              </w:tc>
            </w:tr>
            <w:tr w:rsidR="007239DD" w:rsidRPr="00A10374" w14:paraId="6E2EF22F" w14:textId="77777777" w:rsidTr="00392B28">
              <w:tc>
                <w:tcPr>
                  <w:tcW w:w="330" w:type="pct"/>
                </w:tcPr>
                <w:p w14:paraId="632767A3"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center"/>
                </w:tcPr>
                <w:p w14:paraId="79BFCA8D" w14:textId="5069FD63"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1A1A1D"/>
                      <w:sz w:val="22"/>
                      <w:szCs w:val="22"/>
                      <w:lang w:val="ro-RO"/>
                    </w:rPr>
                    <w:t xml:space="preserve">Gloria </w:t>
                  </w:r>
                  <w:proofErr w:type="spellStart"/>
                  <w:r w:rsidRPr="00A10374">
                    <w:rPr>
                      <w:rFonts w:ascii="Times New Roman" w:hAnsi="Times New Roman"/>
                      <w:color w:val="1A1A1D"/>
                      <w:sz w:val="22"/>
                      <w:szCs w:val="22"/>
                      <w:lang w:val="ro-RO"/>
                    </w:rPr>
                    <w:t>Qvarc</w:t>
                  </w:r>
                  <w:proofErr w:type="spellEnd"/>
                </w:p>
              </w:tc>
              <w:tc>
                <w:tcPr>
                  <w:tcW w:w="2117" w:type="pct"/>
                  <w:vAlign w:val="bottom"/>
                </w:tcPr>
                <w:p w14:paraId="4DCA8A78" w14:textId="0D2A9656"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w:t>
                  </w:r>
                </w:p>
              </w:tc>
            </w:tr>
            <w:tr w:rsidR="007239DD" w:rsidRPr="00A10374" w14:paraId="511F0721" w14:textId="77777777" w:rsidTr="001A76A5">
              <w:tc>
                <w:tcPr>
                  <w:tcW w:w="330" w:type="pct"/>
                </w:tcPr>
                <w:p w14:paraId="797B1C88"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03027B2E" w14:textId="35D60CC7"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000000"/>
                      <w:sz w:val="22"/>
                      <w:szCs w:val="22"/>
                      <w:lang w:val="ro-RO"/>
                    </w:rPr>
                    <w:t>Naftatrans</w:t>
                  </w:r>
                  <w:proofErr w:type="spellEnd"/>
                  <w:r w:rsidRPr="00A10374">
                    <w:rPr>
                      <w:rFonts w:ascii="Times New Roman" w:hAnsi="Times New Roman"/>
                      <w:color w:val="000000"/>
                      <w:sz w:val="22"/>
                      <w:szCs w:val="22"/>
                      <w:lang w:val="ro-RO"/>
                    </w:rPr>
                    <w:t xml:space="preserve"> SRL</w:t>
                  </w:r>
                </w:p>
              </w:tc>
              <w:tc>
                <w:tcPr>
                  <w:tcW w:w="2117" w:type="pct"/>
                  <w:vAlign w:val="bottom"/>
                </w:tcPr>
                <w:p w14:paraId="113C4B3C" w14:textId="6FB4F639"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119,917.37 </w:t>
                  </w:r>
                </w:p>
              </w:tc>
            </w:tr>
            <w:tr w:rsidR="007239DD" w:rsidRPr="00A10374" w14:paraId="5202943E" w14:textId="77777777" w:rsidTr="001A76A5">
              <w:tc>
                <w:tcPr>
                  <w:tcW w:w="330" w:type="pct"/>
                </w:tcPr>
                <w:p w14:paraId="6ADD8DD4"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5096FD2B" w14:textId="0C56D0F0"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000000"/>
                      <w:sz w:val="22"/>
                      <w:szCs w:val="22"/>
                      <w:lang w:val="ro-RO"/>
                    </w:rPr>
                    <w:t>Parcul de autobuse și taximetre nr. 9” Briceni SRL</w:t>
                  </w:r>
                </w:p>
              </w:tc>
              <w:tc>
                <w:tcPr>
                  <w:tcW w:w="2117" w:type="pct"/>
                  <w:vAlign w:val="bottom"/>
                </w:tcPr>
                <w:p w14:paraId="4B7B3DE7" w14:textId="799A2DC6"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95,118.00 </w:t>
                  </w:r>
                </w:p>
              </w:tc>
            </w:tr>
            <w:tr w:rsidR="007239DD" w:rsidRPr="00A10374" w14:paraId="59B45833" w14:textId="77777777" w:rsidTr="001A76A5">
              <w:tc>
                <w:tcPr>
                  <w:tcW w:w="330" w:type="pct"/>
                </w:tcPr>
                <w:p w14:paraId="40640225"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57B31B4F" w14:textId="2ADAF3AD"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000000"/>
                      <w:sz w:val="22"/>
                      <w:szCs w:val="22"/>
                      <w:lang w:val="ro-RO"/>
                    </w:rPr>
                    <w:t>Prinpemps</w:t>
                  </w:r>
                  <w:proofErr w:type="spellEnd"/>
                  <w:r w:rsidRPr="00A10374">
                    <w:rPr>
                      <w:rFonts w:ascii="Times New Roman" w:hAnsi="Times New Roman"/>
                      <w:color w:val="000000"/>
                      <w:sz w:val="22"/>
                      <w:szCs w:val="22"/>
                      <w:lang w:val="ro-RO"/>
                    </w:rPr>
                    <w:t xml:space="preserve"> SRL</w:t>
                  </w:r>
                </w:p>
              </w:tc>
              <w:tc>
                <w:tcPr>
                  <w:tcW w:w="2117" w:type="pct"/>
                  <w:vAlign w:val="bottom"/>
                </w:tcPr>
                <w:p w14:paraId="0D2B85B0" w14:textId="2CC2F94F"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70,183.69 </w:t>
                  </w:r>
                </w:p>
              </w:tc>
            </w:tr>
            <w:tr w:rsidR="007239DD" w:rsidRPr="00A10374" w14:paraId="196145C1" w14:textId="77777777" w:rsidTr="001A76A5">
              <w:tc>
                <w:tcPr>
                  <w:tcW w:w="330" w:type="pct"/>
                </w:tcPr>
                <w:p w14:paraId="21F4FCD6"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4E9456C3" w14:textId="4EE30DC9"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000000"/>
                      <w:sz w:val="22"/>
                      <w:szCs w:val="22"/>
                      <w:lang w:val="ro-RO"/>
                    </w:rPr>
                    <w:t>Tezed</w:t>
                  </w:r>
                  <w:proofErr w:type="spellEnd"/>
                  <w:r w:rsidRPr="00A10374">
                    <w:rPr>
                      <w:rFonts w:ascii="Times New Roman" w:hAnsi="Times New Roman"/>
                      <w:color w:val="000000"/>
                      <w:sz w:val="22"/>
                      <w:szCs w:val="22"/>
                      <w:lang w:val="ro-RO"/>
                    </w:rPr>
                    <w:t>-S SRL</w:t>
                  </w:r>
                </w:p>
              </w:tc>
              <w:tc>
                <w:tcPr>
                  <w:tcW w:w="2117" w:type="pct"/>
                  <w:vAlign w:val="bottom"/>
                </w:tcPr>
                <w:p w14:paraId="2BD15972" w14:textId="7794B9CC"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52,312.37 </w:t>
                  </w:r>
                </w:p>
              </w:tc>
            </w:tr>
            <w:tr w:rsidR="007239DD" w:rsidRPr="00A10374" w14:paraId="19434415" w14:textId="77777777" w:rsidTr="001A76A5">
              <w:tc>
                <w:tcPr>
                  <w:tcW w:w="330" w:type="pct"/>
                </w:tcPr>
                <w:p w14:paraId="446718AE"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422AA041" w14:textId="1FA8C8E3"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000000"/>
                      <w:sz w:val="22"/>
                      <w:szCs w:val="22"/>
                      <w:lang w:val="ro-RO"/>
                    </w:rPr>
                    <w:t>Transimex</w:t>
                  </w:r>
                  <w:proofErr w:type="spellEnd"/>
                </w:p>
              </w:tc>
              <w:tc>
                <w:tcPr>
                  <w:tcW w:w="2117" w:type="pct"/>
                  <w:vAlign w:val="bottom"/>
                </w:tcPr>
                <w:p w14:paraId="7852BDAB" w14:textId="22F2E9BA"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w:t>
                  </w:r>
                  <w:r w:rsidR="00E02055" w:rsidRPr="00A10374">
                    <w:rPr>
                      <w:rFonts w:ascii="Times New Roman" w:hAnsi="Times New Roman"/>
                      <w:color w:val="000000"/>
                      <w:sz w:val="22"/>
                      <w:szCs w:val="22"/>
                      <w:lang w:val="ro-RO"/>
                    </w:rPr>
                    <w:t>-</w:t>
                  </w:r>
                </w:p>
              </w:tc>
            </w:tr>
            <w:tr w:rsidR="007239DD" w:rsidRPr="00A10374" w14:paraId="6FA8A85E" w14:textId="77777777" w:rsidTr="001A76A5">
              <w:tc>
                <w:tcPr>
                  <w:tcW w:w="330" w:type="pct"/>
                </w:tcPr>
                <w:p w14:paraId="61973E93"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024868BE" w14:textId="1CF5CA65"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000000"/>
                      <w:sz w:val="22"/>
                      <w:szCs w:val="22"/>
                      <w:lang w:val="ro-RO"/>
                    </w:rPr>
                    <w:t>Vero</w:t>
                  </w:r>
                  <w:proofErr w:type="spellEnd"/>
                  <w:r w:rsidRPr="00A10374">
                    <w:rPr>
                      <w:rFonts w:ascii="Times New Roman" w:hAnsi="Times New Roman"/>
                      <w:color w:val="000000"/>
                      <w:sz w:val="22"/>
                      <w:szCs w:val="22"/>
                      <w:lang w:val="ro-RO"/>
                    </w:rPr>
                    <w:t xml:space="preserve"> </w:t>
                  </w:r>
                  <w:proofErr w:type="spellStart"/>
                  <w:r w:rsidRPr="00A10374">
                    <w:rPr>
                      <w:rFonts w:ascii="Times New Roman" w:hAnsi="Times New Roman"/>
                      <w:color w:val="000000"/>
                      <w:sz w:val="22"/>
                      <w:szCs w:val="22"/>
                      <w:lang w:val="ro-RO"/>
                    </w:rPr>
                    <w:t>Nadina</w:t>
                  </w:r>
                  <w:proofErr w:type="spellEnd"/>
                  <w:r w:rsidRPr="00A10374">
                    <w:rPr>
                      <w:rFonts w:ascii="Times New Roman" w:hAnsi="Times New Roman"/>
                      <w:color w:val="000000"/>
                      <w:sz w:val="22"/>
                      <w:szCs w:val="22"/>
                      <w:lang w:val="ro-RO"/>
                    </w:rPr>
                    <w:t xml:space="preserve"> SRL</w:t>
                  </w:r>
                </w:p>
              </w:tc>
              <w:tc>
                <w:tcPr>
                  <w:tcW w:w="2117" w:type="pct"/>
                  <w:vAlign w:val="bottom"/>
                </w:tcPr>
                <w:p w14:paraId="2EE7049C" w14:textId="1C62346C"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945,883.31 </w:t>
                  </w:r>
                </w:p>
              </w:tc>
            </w:tr>
            <w:tr w:rsidR="007239DD" w:rsidRPr="00A10374" w14:paraId="3E3D9DE2" w14:textId="77777777" w:rsidTr="001A76A5">
              <w:tc>
                <w:tcPr>
                  <w:tcW w:w="330" w:type="pct"/>
                </w:tcPr>
                <w:p w14:paraId="12DFCF79"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2F27025D" w14:textId="7E81E1C1"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000000"/>
                      <w:sz w:val="22"/>
                      <w:szCs w:val="22"/>
                      <w:lang w:val="ro-RO"/>
                    </w:rPr>
                    <w:t>Achira</w:t>
                  </w:r>
                  <w:proofErr w:type="spellEnd"/>
                  <w:r w:rsidRPr="00A10374">
                    <w:rPr>
                      <w:rFonts w:ascii="Times New Roman" w:hAnsi="Times New Roman"/>
                      <w:color w:val="000000"/>
                      <w:sz w:val="22"/>
                      <w:szCs w:val="22"/>
                      <w:lang w:val="ro-RO"/>
                    </w:rPr>
                    <w:t xml:space="preserve"> Grup SRL</w:t>
                  </w:r>
                </w:p>
              </w:tc>
              <w:tc>
                <w:tcPr>
                  <w:tcW w:w="2117" w:type="pct"/>
                  <w:vAlign w:val="bottom"/>
                </w:tcPr>
                <w:p w14:paraId="0692867A" w14:textId="57BEB71A"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91,642.82 </w:t>
                  </w:r>
                </w:p>
              </w:tc>
            </w:tr>
            <w:tr w:rsidR="007239DD" w:rsidRPr="00A10374" w14:paraId="7019656D" w14:textId="77777777" w:rsidTr="001A76A5">
              <w:tc>
                <w:tcPr>
                  <w:tcW w:w="330" w:type="pct"/>
                </w:tcPr>
                <w:p w14:paraId="039E6C27"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6FA7D773" w14:textId="4A834260"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000000"/>
                      <w:sz w:val="22"/>
                      <w:szCs w:val="22"/>
                      <w:lang w:val="ro-RO"/>
                    </w:rPr>
                    <w:t>Vitla</w:t>
                  </w:r>
                  <w:proofErr w:type="spellEnd"/>
                  <w:r w:rsidRPr="00A10374">
                    <w:rPr>
                      <w:rFonts w:ascii="Times New Roman" w:hAnsi="Times New Roman"/>
                      <w:color w:val="000000"/>
                      <w:sz w:val="22"/>
                      <w:szCs w:val="22"/>
                      <w:lang w:val="ro-RO"/>
                    </w:rPr>
                    <w:t>-Petrol SRL</w:t>
                  </w:r>
                </w:p>
              </w:tc>
              <w:tc>
                <w:tcPr>
                  <w:tcW w:w="2117" w:type="pct"/>
                  <w:vAlign w:val="bottom"/>
                </w:tcPr>
                <w:p w14:paraId="15015B54" w14:textId="2896463A"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33,739.44 </w:t>
                  </w:r>
                </w:p>
              </w:tc>
            </w:tr>
            <w:tr w:rsidR="007239DD" w:rsidRPr="00A10374" w14:paraId="779C641A" w14:textId="77777777" w:rsidTr="001A76A5">
              <w:tc>
                <w:tcPr>
                  <w:tcW w:w="330" w:type="pct"/>
                </w:tcPr>
                <w:p w14:paraId="64012F1C"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1C793F4F" w14:textId="2810E162"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000000"/>
                      <w:sz w:val="22"/>
                      <w:szCs w:val="22"/>
                      <w:lang w:val="ro-RO"/>
                    </w:rPr>
                    <w:t>Vitoil</w:t>
                  </w:r>
                  <w:proofErr w:type="spellEnd"/>
                  <w:r w:rsidRPr="00A10374">
                    <w:rPr>
                      <w:rFonts w:ascii="Times New Roman" w:hAnsi="Times New Roman"/>
                      <w:color w:val="000000"/>
                      <w:sz w:val="22"/>
                      <w:szCs w:val="22"/>
                      <w:lang w:val="ro-RO"/>
                    </w:rPr>
                    <w:t xml:space="preserve"> -Trading SRL</w:t>
                  </w:r>
                </w:p>
              </w:tc>
              <w:tc>
                <w:tcPr>
                  <w:tcW w:w="2117" w:type="pct"/>
                  <w:vAlign w:val="bottom"/>
                </w:tcPr>
                <w:p w14:paraId="727E7005" w14:textId="2AA33CED"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70,670.35 </w:t>
                  </w:r>
                </w:p>
              </w:tc>
            </w:tr>
            <w:tr w:rsidR="007239DD" w:rsidRPr="00A10374" w14:paraId="468B2AC8" w14:textId="77777777" w:rsidTr="001A76A5">
              <w:tc>
                <w:tcPr>
                  <w:tcW w:w="330" w:type="pct"/>
                </w:tcPr>
                <w:p w14:paraId="1ECB4304"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76D6B9E1" w14:textId="53651F25"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000000"/>
                      <w:sz w:val="22"/>
                      <w:szCs w:val="22"/>
                      <w:lang w:val="ro-RO"/>
                    </w:rPr>
                    <w:t>EURO OIL GRUP  SRL</w:t>
                  </w:r>
                </w:p>
              </w:tc>
              <w:tc>
                <w:tcPr>
                  <w:tcW w:w="2117" w:type="pct"/>
                  <w:vAlign w:val="bottom"/>
                </w:tcPr>
                <w:p w14:paraId="26A5ED3E" w14:textId="5BFD3CC4"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w:t>
                  </w:r>
                  <w:r w:rsidR="00E02055" w:rsidRPr="00A10374">
                    <w:rPr>
                      <w:rFonts w:ascii="Times New Roman" w:hAnsi="Times New Roman"/>
                      <w:color w:val="000000"/>
                      <w:sz w:val="22"/>
                      <w:szCs w:val="22"/>
                      <w:lang w:val="ro-RO"/>
                    </w:rPr>
                    <w:t>-</w:t>
                  </w:r>
                </w:p>
              </w:tc>
            </w:tr>
            <w:tr w:rsidR="007239DD" w:rsidRPr="00A10374" w14:paraId="1CF42C1D" w14:textId="77777777" w:rsidTr="001A76A5">
              <w:tc>
                <w:tcPr>
                  <w:tcW w:w="330" w:type="pct"/>
                </w:tcPr>
                <w:p w14:paraId="0C4557CD"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5B461509" w14:textId="72AD1A0E" w:rsidR="007239DD" w:rsidRPr="00A10374" w:rsidRDefault="007239DD" w:rsidP="001A76A5">
                  <w:pPr>
                    <w:tabs>
                      <w:tab w:val="left" w:pos="884"/>
                      <w:tab w:val="left" w:pos="1196"/>
                    </w:tabs>
                    <w:rPr>
                      <w:rFonts w:ascii="Times New Roman" w:hAnsi="Times New Roman"/>
                      <w:sz w:val="22"/>
                      <w:szCs w:val="22"/>
                      <w:lang w:val="ro-RO"/>
                    </w:rPr>
                  </w:pPr>
                  <w:r w:rsidRPr="00A10374">
                    <w:rPr>
                      <w:rFonts w:ascii="Times New Roman" w:hAnsi="Times New Roman"/>
                      <w:color w:val="000000"/>
                      <w:sz w:val="22"/>
                      <w:szCs w:val="22"/>
                      <w:lang w:val="ro-RO"/>
                    </w:rPr>
                    <w:t xml:space="preserve">Ulpia Impex Gas </w:t>
                  </w:r>
                </w:p>
              </w:tc>
              <w:tc>
                <w:tcPr>
                  <w:tcW w:w="2117" w:type="pct"/>
                  <w:vAlign w:val="bottom"/>
                </w:tcPr>
                <w:p w14:paraId="2AA1D1A3" w14:textId="1D110DE3"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w:t>
                  </w:r>
                  <w:r w:rsidR="00E02055" w:rsidRPr="00A10374">
                    <w:rPr>
                      <w:rFonts w:ascii="Times New Roman" w:hAnsi="Times New Roman"/>
                      <w:color w:val="000000"/>
                      <w:sz w:val="22"/>
                      <w:szCs w:val="22"/>
                      <w:lang w:val="ro-RO"/>
                    </w:rPr>
                    <w:t>-</w:t>
                  </w:r>
                </w:p>
              </w:tc>
            </w:tr>
            <w:tr w:rsidR="007239DD" w:rsidRPr="00A10374" w14:paraId="4C0B0FC6" w14:textId="77777777" w:rsidTr="001A76A5">
              <w:tc>
                <w:tcPr>
                  <w:tcW w:w="330" w:type="pct"/>
                </w:tcPr>
                <w:p w14:paraId="473C4D7D" w14:textId="77777777" w:rsidR="007239DD" w:rsidRPr="00A10374" w:rsidRDefault="007239DD" w:rsidP="001A76A5">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6F758435" w14:textId="6551F67F"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color w:val="000000"/>
                      <w:sz w:val="22"/>
                      <w:szCs w:val="22"/>
                      <w:lang w:val="ro-RO"/>
                    </w:rPr>
                    <w:t>Cancum</w:t>
                  </w:r>
                  <w:proofErr w:type="spellEnd"/>
                  <w:r w:rsidRPr="00A10374">
                    <w:rPr>
                      <w:rFonts w:ascii="Times New Roman" w:hAnsi="Times New Roman"/>
                      <w:color w:val="000000"/>
                      <w:sz w:val="22"/>
                      <w:szCs w:val="22"/>
                      <w:lang w:val="ro-RO"/>
                    </w:rPr>
                    <w:t xml:space="preserve"> Prim SRL</w:t>
                  </w:r>
                </w:p>
              </w:tc>
              <w:tc>
                <w:tcPr>
                  <w:tcW w:w="2117" w:type="pct"/>
                  <w:vAlign w:val="bottom"/>
                </w:tcPr>
                <w:p w14:paraId="0A5DD041" w14:textId="146A65BE"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color w:val="000000"/>
                      <w:sz w:val="22"/>
                      <w:szCs w:val="22"/>
                      <w:lang w:val="ro-RO"/>
                    </w:rPr>
                    <w:t xml:space="preserve">          50,541.51 </w:t>
                  </w:r>
                </w:p>
              </w:tc>
            </w:tr>
            <w:tr w:rsidR="007239DD" w:rsidRPr="00A10374" w14:paraId="2968DB9F" w14:textId="77777777" w:rsidTr="001A76A5">
              <w:tc>
                <w:tcPr>
                  <w:tcW w:w="330" w:type="pct"/>
                </w:tcPr>
                <w:p w14:paraId="1F8957D9" w14:textId="77777777" w:rsidR="007239DD" w:rsidRPr="00A10374" w:rsidRDefault="007239DD" w:rsidP="007239DD">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72FBE1FE" w14:textId="31A40FFC" w:rsidR="007239DD" w:rsidRPr="00A10374" w:rsidRDefault="007239DD" w:rsidP="001A76A5">
                  <w:pPr>
                    <w:tabs>
                      <w:tab w:val="left" w:pos="884"/>
                      <w:tab w:val="left" w:pos="1196"/>
                    </w:tabs>
                    <w:rPr>
                      <w:rFonts w:ascii="Times New Roman" w:hAnsi="Times New Roman"/>
                      <w:sz w:val="22"/>
                      <w:szCs w:val="22"/>
                      <w:lang w:val="ro-RO"/>
                    </w:rPr>
                  </w:pPr>
                  <w:proofErr w:type="spellStart"/>
                  <w:r w:rsidRPr="00A10374">
                    <w:rPr>
                      <w:rFonts w:ascii="Times New Roman" w:hAnsi="Times New Roman"/>
                      <w:sz w:val="22"/>
                      <w:szCs w:val="22"/>
                      <w:lang w:val="ro-RO"/>
                    </w:rPr>
                    <w:t>Interacces</w:t>
                  </w:r>
                  <w:proofErr w:type="spellEnd"/>
                  <w:r w:rsidRPr="00A10374">
                    <w:rPr>
                      <w:rFonts w:ascii="Times New Roman" w:hAnsi="Times New Roman"/>
                      <w:sz w:val="22"/>
                      <w:szCs w:val="22"/>
                      <w:lang w:val="ro-RO"/>
                    </w:rPr>
                    <w:t xml:space="preserve"> </w:t>
                  </w:r>
                  <w:proofErr w:type="spellStart"/>
                  <w:r w:rsidRPr="00A10374">
                    <w:rPr>
                      <w:rFonts w:ascii="Times New Roman" w:hAnsi="Times New Roman"/>
                      <w:sz w:val="22"/>
                      <w:szCs w:val="22"/>
                      <w:lang w:val="ro-RO"/>
                    </w:rPr>
                    <w:t>Solutions</w:t>
                  </w:r>
                  <w:proofErr w:type="spellEnd"/>
                  <w:r w:rsidRPr="00A10374">
                    <w:rPr>
                      <w:rFonts w:ascii="Times New Roman" w:hAnsi="Times New Roman"/>
                      <w:sz w:val="22"/>
                      <w:szCs w:val="22"/>
                      <w:lang w:val="ro-RO"/>
                    </w:rPr>
                    <w:t xml:space="preserve"> SRL</w:t>
                  </w:r>
                  <w:r w:rsidRPr="00A10374">
                    <w:rPr>
                      <w:rStyle w:val="FootnoteReference"/>
                      <w:rFonts w:ascii="Times New Roman" w:hAnsi="Times New Roman"/>
                      <w:sz w:val="22"/>
                      <w:szCs w:val="22"/>
                      <w:lang w:val="ro-RO"/>
                    </w:rPr>
                    <w:footnoteReference w:id="2"/>
                  </w:r>
                </w:p>
              </w:tc>
              <w:tc>
                <w:tcPr>
                  <w:tcW w:w="2117" w:type="pct"/>
                  <w:vAlign w:val="bottom"/>
                </w:tcPr>
                <w:p w14:paraId="4419B606" w14:textId="138DDC43"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sz w:val="22"/>
                      <w:szCs w:val="22"/>
                      <w:lang w:val="ro-RO"/>
                    </w:rPr>
                    <w:t xml:space="preserve">            4,882.89 </w:t>
                  </w:r>
                </w:p>
              </w:tc>
            </w:tr>
            <w:tr w:rsidR="007239DD" w:rsidRPr="00A10374" w14:paraId="09985148" w14:textId="77777777" w:rsidTr="001A76A5">
              <w:tc>
                <w:tcPr>
                  <w:tcW w:w="330" w:type="pct"/>
                </w:tcPr>
                <w:p w14:paraId="074AA7FA" w14:textId="77777777" w:rsidR="007239DD" w:rsidRPr="00A10374" w:rsidRDefault="007239DD" w:rsidP="007239DD">
                  <w:pPr>
                    <w:pStyle w:val="ListParagraph"/>
                    <w:numPr>
                      <w:ilvl w:val="0"/>
                      <w:numId w:val="17"/>
                    </w:numPr>
                    <w:tabs>
                      <w:tab w:val="left" w:pos="884"/>
                      <w:tab w:val="left" w:pos="1196"/>
                    </w:tabs>
                    <w:ind w:left="357" w:hanging="357"/>
                    <w:jc w:val="center"/>
                    <w:rPr>
                      <w:rFonts w:ascii="Times New Roman" w:hAnsi="Times New Roman"/>
                      <w:sz w:val="22"/>
                      <w:szCs w:val="22"/>
                      <w:lang w:val="ro-RO"/>
                    </w:rPr>
                  </w:pPr>
                </w:p>
              </w:tc>
              <w:tc>
                <w:tcPr>
                  <w:tcW w:w="2553" w:type="pct"/>
                  <w:vAlign w:val="bottom"/>
                </w:tcPr>
                <w:p w14:paraId="561ACEA0" w14:textId="4EACEB7A" w:rsidR="007239DD" w:rsidRPr="00A10374" w:rsidRDefault="007239DD" w:rsidP="001A76A5">
                  <w:pPr>
                    <w:tabs>
                      <w:tab w:val="left" w:pos="884"/>
                      <w:tab w:val="left" w:pos="1196"/>
                    </w:tabs>
                    <w:rPr>
                      <w:rFonts w:ascii="Times New Roman" w:hAnsi="Times New Roman"/>
                      <w:sz w:val="22"/>
                      <w:szCs w:val="22"/>
                      <w:vertAlign w:val="superscript"/>
                      <w:lang w:val="ro-RO"/>
                    </w:rPr>
                  </w:pPr>
                  <w:proofErr w:type="spellStart"/>
                  <w:r w:rsidRPr="00A10374">
                    <w:rPr>
                      <w:rFonts w:ascii="Times New Roman" w:hAnsi="Times New Roman"/>
                      <w:sz w:val="22"/>
                      <w:szCs w:val="22"/>
                      <w:lang w:val="ro-RO"/>
                    </w:rPr>
                    <w:t>Siento</w:t>
                  </w:r>
                  <w:proofErr w:type="spellEnd"/>
                  <w:r w:rsidRPr="00A10374">
                    <w:rPr>
                      <w:rFonts w:ascii="Times New Roman" w:hAnsi="Times New Roman"/>
                      <w:sz w:val="22"/>
                      <w:szCs w:val="22"/>
                      <w:lang w:val="ro-RO"/>
                    </w:rPr>
                    <w:t xml:space="preserve"> SRL</w:t>
                  </w:r>
                  <w:r w:rsidRPr="00A10374">
                    <w:rPr>
                      <w:rFonts w:ascii="Times New Roman" w:hAnsi="Times New Roman"/>
                      <w:sz w:val="22"/>
                      <w:szCs w:val="22"/>
                      <w:vertAlign w:val="superscript"/>
                      <w:lang w:val="ro-RO"/>
                    </w:rPr>
                    <w:t>1</w:t>
                  </w:r>
                </w:p>
              </w:tc>
              <w:tc>
                <w:tcPr>
                  <w:tcW w:w="2117" w:type="pct"/>
                  <w:vAlign w:val="bottom"/>
                </w:tcPr>
                <w:p w14:paraId="5D75C1CA" w14:textId="0CF420F9" w:rsidR="007239DD" w:rsidRPr="00A10374" w:rsidRDefault="007239DD" w:rsidP="007239DD">
                  <w:pPr>
                    <w:tabs>
                      <w:tab w:val="left" w:pos="884"/>
                      <w:tab w:val="left" w:pos="1196"/>
                    </w:tabs>
                    <w:jc w:val="center"/>
                    <w:rPr>
                      <w:rFonts w:ascii="Times New Roman" w:hAnsi="Times New Roman"/>
                      <w:sz w:val="22"/>
                      <w:szCs w:val="22"/>
                      <w:lang w:val="ro-RO"/>
                    </w:rPr>
                  </w:pPr>
                  <w:r w:rsidRPr="00A10374">
                    <w:rPr>
                      <w:rFonts w:ascii="Times New Roman" w:hAnsi="Times New Roman"/>
                      <w:sz w:val="22"/>
                      <w:szCs w:val="22"/>
                      <w:lang w:val="ro-RO"/>
                    </w:rPr>
                    <w:t xml:space="preserve">        555,000.00 </w:t>
                  </w:r>
                </w:p>
              </w:tc>
            </w:tr>
          </w:tbl>
          <w:p w14:paraId="7A3FA628" w14:textId="038DE464" w:rsidR="004A594F" w:rsidRPr="00A10374" w:rsidRDefault="004A594F" w:rsidP="001A76A5">
            <w:pPr>
              <w:tabs>
                <w:tab w:val="left" w:pos="884"/>
                <w:tab w:val="left" w:pos="1196"/>
              </w:tabs>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Mai mult ca at</w:t>
            </w:r>
            <w:proofErr w:type="spellStart"/>
            <w:r w:rsidRPr="00A10374">
              <w:rPr>
                <w:rFonts w:ascii="Times New Roman" w:hAnsi="Times New Roman"/>
                <w:shd w:val="clear" w:color="auto" w:fill="FFFFFF"/>
                <w:lang w:val="ro-MD"/>
              </w:rPr>
              <w:t>ît</w:t>
            </w:r>
            <w:proofErr w:type="spellEnd"/>
            <w:r w:rsidRPr="00A10374">
              <w:rPr>
                <w:rFonts w:ascii="Times New Roman" w:hAnsi="Times New Roman"/>
                <w:shd w:val="clear" w:color="auto" w:fill="FFFFFF"/>
                <w:lang w:val="ro-MD"/>
              </w:rPr>
              <w:t xml:space="preserve">, </w:t>
            </w:r>
            <w:r w:rsidRPr="00A10374">
              <w:rPr>
                <w:rFonts w:ascii="Times New Roman" w:hAnsi="Times New Roman"/>
                <w:shd w:val="clear" w:color="auto" w:fill="FFFFFF"/>
                <w:lang w:val="ro-RO"/>
              </w:rPr>
              <w:t xml:space="preserve">excluderea prevederii conform căreia este necesară includerea obligatorie în cadrul Programului privind implementarea schemei de obligații în domeniul eficienței energetice, aprobat prin Hotărârea de Guvern nr. 1064/2023,  a listei părților obligate, urmând ca aceasta să fie elaborată de Agenția Națională pentru Reglementare în Energetică, va avea de asemenea un impact pozitiv asupra părților obligate datorită </w:t>
            </w:r>
            <w:r w:rsidR="00E02055" w:rsidRPr="00A10374">
              <w:rPr>
                <w:rFonts w:ascii="Times New Roman" w:hAnsi="Times New Roman"/>
                <w:shd w:val="clear" w:color="auto" w:fill="FFFFFF"/>
                <w:lang w:val="ro-RO"/>
              </w:rPr>
              <w:t>flexibilității ce urmează a fi oferită</w:t>
            </w:r>
            <w:r w:rsidRPr="00A10374">
              <w:rPr>
                <w:rFonts w:ascii="Times New Roman" w:hAnsi="Times New Roman"/>
                <w:shd w:val="clear" w:color="auto" w:fill="FFFFFF"/>
                <w:lang w:val="ro-RO"/>
              </w:rPr>
              <w:t xml:space="preserve"> </w:t>
            </w:r>
            <w:r w:rsidRPr="00A10374">
              <w:rPr>
                <w:rFonts w:ascii="Times New Roman" w:hAnsi="Times New Roman"/>
                <w:shd w:val="clear" w:color="auto" w:fill="FFFFFF"/>
                <w:lang w:val="ro-RO"/>
              </w:rPr>
              <w:lastRenderedPageBreak/>
              <w:t xml:space="preserve">agenți economici </w:t>
            </w:r>
            <w:r w:rsidR="00E02055" w:rsidRPr="00A10374">
              <w:rPr>
                <w:rFonts w:ascii="Times New Roman" w:hAnsi="Times New Roman"/>
                <w:shd w:val="clear" w:color="auto" w:fill="FFFFFF"/>
                <w:lang w:val="ro-RO"/>
              </w:rPr>
              <w:t xml:space="preserve">care și-au stopat activitatea sau au apărut pe piață, </w:t>
            </w:r>
            <w:r w:rsidRPr="00A10374">
              <w:rPr>
                <w:rFonts w:ascii="Times New Roman" w:hAnsi="Times New Roman"/>
                <w:shd w:val="clear" w:color="auto" w:fill="FFFFFF"/>
                <w:lang w:val="ro-RO"/>
              </w:rPr>
              <w:t xml:space="preserve">în baza unor circumstanțe care au </w:t>
            </w:r>
            <w:r w:rsidR="00E02055" w:rsidRPr="00A10374">
              <w:rPr>
                <w:rFonts w:ascii="Times New Roman" w:hAnsi="Times New Roman"/>
                <w:shd w:val="clear" w:color="auto" w:fill="FFFFFF"/>
                <w:lang w:val="ro-RO"/>
              </w:rPr>
              <w:t>condus la</w:t>
            </w:r>
            <w:r w:rsidRPr="00A10374">
              <w:rPr>
                <w:rFonts w:ascii="Times New Roman" w:hAnsi="Times New Roman"/>
                <w:shd w:val="clear" w:color="auto" w:fill="FFFFFF"/>
                <w:lang w:val="ro-RO"/>
              </w:rPr>
              <w:t xml:space="preserve"> acest fapt. </w:t>
            </w:r>
          </w:p>
          <w:p w14:paraId="2AEE49AD" w14:textId="4095C469" w:rsidR="004A594F" w:rsidRPr="00A10374" w:rsidRDefault="0002084F" w:rsidP="001A76A5">
            <w:pPr>
              <w:tabs>
                <w:tab w:val="left" w:pos="884"/>
                <w:tab w:val="left" w:pos="1196"/>
              </w:tabs>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 xml:space="preserve">Din tabelul nr. 1 </w:t>
            </w:r>
            <w:r w:rsidR="004A594F" w:rsidRPr="00A10374">
              <w:rPr>
                <w:rFonts w:ascii="Times New Roman" w:hAnsi="Times New Roman"/>
                <w:shd w:val="clear" w:color="auto" w:fill="FFFFFF"/>
                <w:lang w:val="ro-RO"/>
              </w:rPr>
              <w:t>de ma</w:t>
            </w:r>
            <w:r w:rsidRPr="00A10374">
              <w:rPr>
                <w:rFonts w:ascii="Times New Roman" w:hAnsi="Times New Roman"/>
                <w:shd w:val="clear" w:color="auto" w:fill="FFFFFF"/>
                <w:lang w:val="ro-RO"/>
              </w:rPr>
              <w:t>i sus poate fi observat, că nu toate părțile obligate incluse în Programul privind implementarea schemei de obligații în domeniul eficienței energetice, au efectuat transferurile trimestriale, iar în cazul importatorilor de produse petroliere au fost efectuate plăți inclusiv de alți operatori care nu sunt inc</w:t>
            </w:r>
            <w:r w:rsidR="00E02055" w:rsidRPr="00A10374">
              <w:rPr>
                <w:rFonts w:ascii="Times New Roman" w:hAnsi="Times New Roman"/>
                <w:shd w:val="clear" w:color="auto" w:fill="FFFFFF"/>
                <w:lang w:val="ro-RO"/>
              </w:rPr>
              <w:t xml:space="preserve">luși în Programul sus menționat, pe motiv că la acea etapă nu dețineau licența respectivă, însă între timp au obținut licența de la ANRE. </w:t>
            </w:r>
            <w:r w:rsidRPr="00A10374">
              <w:rPr>
                <w:rFonts w:ascii="Times New Roman" w:hAnsi="Times New Roman"/>
                <w:shd w:val="clear" w:color="auto" w:fill="FFFFFF"/>
                <w:lang w:val="ro-RO"/>
              </w:rPr>
              <w:t xml:space="preserve"> </w:t>
            </w:r>
          </w:p>
          <w:p w14:paraId="1C94145C" w14:textId="2B843FB1" w:rsidR="00BD7C00" w:rsidRPr="00A10374" w:rsidRDefault="00202100" w:rsidP="001A76A5">
            <w:pPr>
              <w:tabs>
                <w:tab w:val="left" w:pos="884"/>
                <w:tab w:val="left" w:pos="1196"/>
              </w:tabs>
              <w:spacing w:before="120" w:after="120"/>
              <w:jc w:val="both"/>
              <w:rPr>
                <w:rFonts w:ascii="Times New Roman" w:hAnsi="Times New Roman"/>
                <w:lang w:val="ro-RO"/>
              </w:rPr>
            </w:pPr>
            <w:r w:rsidRPr="00A10374">
              <w:rPr>
                <w:rFonts w:ascii="Times New Roman" w:hAnsi="Times New Roman"/>
                <w:lang w:val="ro-RO"/>
              </w:rPr>
              <w:t>Totodată, este de menționat că modificările propuse</w:t>
            </w:r>
            <w:r w:rsidR="008350E8" w:rsidRPr="00A10374">
              <w:rPr>
                <w:rFonts w:ascii="Times New Roman" w:hAnsi="Times New Roman"/>
                <w:lang w:val="ro-RO"/>
              </w:rPr>
              <w:t xml:space="preserve"> asupra legii</w:t>
            </w:r>
            <w:r w:rsidRPr="00A10374">
              <w:rPr>
                <w:rFonts w:ascii="Times New Roman" w:hAnsi="Times New Roman"/>
                <w:lang w:val="ro-RO"/>
              </w:rPr>
              <w:t xml:space="preserve"> vor avea impact și asupra companiilor de construcții specializate în implementarea proiectelor de eficiență energetică și valorificare a surselor de energie regenerabilă existente la nivel național (</w:t>
            </w:r>
            <w:r w:rsidR="003B012C" w:rsidRPr="00A10374">
              <w:rPr>
                <w:rFonts w:ascii="Times New Roman" w:hAnsi="Times New Roman"/>
                <w:lang w:val="ro-RO"/>
              </w:rPr>
              <w:t xml:space="preserve">o </w:t>
            </w:r>
            <w:r w:rsidRPr="00A10374">
              <w:rPr>
                <w:rFonts w:ascii="Times New Roman" w:hAnsi="Times New Roman"/>
                <w:lang w:val="ro-RO"/>
              </w:rPr>
              <w:t xml:space="preserve">analiza </w:t>
            </w:r>
            <w:r w:rsidR="001B301A" w:rsidRPr="00A10374">
              <w:rPr>
                <w:rFonts w:ascii="Times New Roman" w:hAnsi="Times New Roman"/>
                <w:lang w:val="ro-RO"/>
              </w:rPr>
              <w:t xml:space="preserve">a </w:t>
            </w:r>
            <w:r w:rsidRPr="00A10374">
              <w:rPr>
                <w:rFonts w:ascii="Times New Roman" w:hAnsi="Times New Roman"/>
                <w:lang w:val="ro-RO"/>
              </w:rPr>
              <w:t xml:space="preserve">pieței </w:t>
            </w:r>
            <w:r w:rsidR="003B012C" w:rsidRPr="00A10374">
              <w:rPr>
                <w:rFonts w:ascii="Times New Roman" w:hAnsi="Times New Roman"/>
                <w:lang w:val="ro-RO"/>
              </w:rPr>
              <w:t xml:space="preserve">fiind în proces de desfășurare cu suportul </w:t>
            </w:r>
            <w:r w:rsidR="003B012C" w:rsidRPr="00A10374">
              <w:rPr>
                <w:rFonts w:ascii="Times New Roman" w:hAnsi="Times New Roman"/>
                <w:lang w:val="ro-MD"/>
              </w:rPr>
              <w:t>Agenția de Cooperare Internațională a Germaniei (GIZ Moldova) prin intermediul proiectului: ”</w:t>
            </w:r>
            <w:r w:rsidR="003B012C" w:rsidRPr="00A10374">
              <w:rPr>
                <w:rFonts w:ascii="Times New Roman" w:hAnsi="Times New Roman"/>
                <w:i/>
                <w:lang w:val="ro-MD"/>
              </w:rPr>
              <w:t>Eficiența Energetică și energia regenerabilă în Republica Moldova E4M</w:t>
            </w:r>
            <w:r w:rsidR="003B012C" w:rsidRPr="00A10374">
              <w:rPr>
                <w:rFonts w:ascii="Times New Roman" w:hAnsi="Times New Roman"/>
                <w:lang w:val="ro-MD"/>
              </w:rPr>
              <w:t>”</w:t>
            </w:r>
            <w:r w:rsidRPr="00A10374">
              <w:rPr>
                <w:rFonts w:ascii="Times New Roman" w:hAnsi="Times New Roman"/>
                <w:lang w:val="ro-RO"/>
              </w:rPr>
              <w:t xml:space="preserve">) începând cu cele specializate în elaborarea Rapoartelor de audit energetic, documentației de proiect și </w:t>
            </w:r>
            <w:r w:rsidR="00575350" w:rsidRPr="00A10374">
              <w:rPr>
                <w:rFonts w:ascii="Times New Roman" w:hAnsi="Times New Roman"/>
                <w:lang w:val="ro-RO"/>
              </w:rPr>
              <w:t>până</w:t>
            </w:r>
            <w:r w:rsidRPr="00A10374">
              <w:rPr>
                <w:rFonts w:ascii="Times New Roman" w:hAnsi="Times New Roman"/>
                <w:lang w:val="ro-RO"/>
              </w:rPr>
              <w:t xml:space="preserve"> la cele specializate în executarea de lucrări aferente </w:t>
            </w:r>
            <w:r w:rsidR="00D0230C" w:rsidRPr="00A10374">
              <w:rPr>
                <w:rFonts w:ascii="Times New Roman" w:hAnsi="Times New Roman"/>
                <w:lang w:val="ro-RO"/>
              </w:rPr>
              <w:t>acestor domenii, care vor avea posibilitatea de a se dezvolta prin participarea la implementarea unor astfel de proiecte, contribuind astfel la dezvoltarea economică a țării.</w:t>
            </w:r>
            <w:r w:rsidR="00575350" w:rsidRPr="00A10374">
              <w:rPr>
                <w:rFonts w:ascii="Times New Roman" w:hAnsi="Times New Roman"/>
                <w:lang w:val="ro-RO"/>
              </w:rPr>
              <w:t xml:space="preserve"> </w:t>
            </w:r>
          </w:p>
          <w:p w14:paraId="62A0A320" w14:textId="4465136F" w:rsidR="00BF69CE" w:rsidRPr="00A10374" w:rsidRDefault="00883187"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Cu referire la întreprinderile care efectuează auditurile energetice v</w:t>
            </w:r>
            <w:r w:rsidR="001B301A" w:rsidRPr="00A10374">
              <w:rPr>
                <w:rFonts w:ascii="Times New Roman" w:hAnsi="Times New Roman"/>
                <w:shd w:val="clear" w:color="auto" w:fill="FFFFFF"/>
                <w:lang w:val="ro-RO"/>
              </w:rPr>
              <w:t>a</w:t>
            </w:r>
            <w:r w:rsidRPr="00A10374">
              <w:rPr>
                <w:rFonts w:ascii="Times New Roman" w:hAnsi="Times New Roman"/>
                <w:shd w:val="clear" w:color="auto" w:fill="FFFFFF"/>
                <w:lang w:val="ro-RO"/>
              </w:rPr>
              <w:t xml:space="preserve"> fi oferit dreptul ca aceste servicii să fie prestate de către toate</w:t>
            </w:r>
            <w:r w:rsidR="001B301A" w:rsidRPr="00A10374">
              <w:rPr>
                <w:rFonts w:ascii="Times New Roman" w:hAnsi="Times New Roman"/>
                <w:shd w:val="clear" w:color="auto" w:fill="FFFFFF"/>
                <w:lang w:val="ro-RO"/>
              </w:rPr>
              <w:t xml:space="preserve"> </w:t>
            </w:r>
            <w:r w:rsidRPr="00A10374">
              <w:rPr>
                <w:rFonts w:ascii="Times New Roman" w:hAnsi="Times New Roman"/>
                <w:shd w:val="clear" w:color="auto" w:fill="FFFFFF"/>
                <w:lang w:val="ro-RO"/>
              </w:rPr>
              <w:t xml:space="preserve">întreprinderile indiferent de forma </w:t>
            </w:r>
            <w:proofErr w:type="spellStart"/>
            <w:r w:rsidRPr="00A10374">
              <w:rPr>
                <w:rFonts w:ascii="Times New Roman" w:hAnsi="Times New Roman"/>
                <w:shd w:val="clear" w:color="auto" w:fill="FFFFFF"/>
                <w:lang w:val="ro-RO"/>
              </w:rPr>
              <w:t>organizatorico</w:t>
            </w:r>
            <w:proofErr w:type="spellEnd"/>
            <w:r w:rsidRPr="00A10374">
              <w:rPr>
                <w:rFonts w:ascii="Times New Roman" w:hAnsi="Times New Roman"/>
                <w:shd w:val="clear" w:color="auto" w:fill="FFFFFF"/>
                <w:lang w:val="ro-RO"/>
              </w:rPr>
              <w:t>-juridică, inclusiv organizațiile nonguvernamentale (ONG) și instituțiile științifice cum ar fi Institutul de Energetică</w:t>
            </w:r>
            <w:r w:rsidR="004B7A41" w:rsidRPr="00A10374">
              <w:rPr>
                <w:rFonts w:ascii="Times New Roman" w:hAnsi="Times New Roman"/>
                <w:shd w:val="clear" w:color="auto" w:fill="FFFFFF"/>
                <w:lang w:val="ro-RO"/>
              </w:rPr>
              <w:t xml:space="preserve"> al Universității Tehnice a Moldovei</w:t>
            </w:r>
            <w:r w:rsidRPr="00A10374">
              <w:rPr>
                <w:rFonts w:ascii="Times New Roman" w:hAnsi="Times New Roman"/>
                <w:shd w:val="clear" w:color="auto" w:fill="FFFFFF"/>
                <w:lang w:val="ro-RO"/>
              </w:rPr>
              <w:t xml:space="preserve">, fără a limita ca aceste servicii să fie prestate doar de către </w:t>
            </w:r>
            <w:r w:rsidRPr="00A10374">
              <w:rPr>
                <w:rFonts w:ascii="Times New Roman" w:hAnsi="Times New Roman"/>
                <w:b/>
                <w:shd w:val="clear" w:color="auto" w:fill="FFFFFF"/>
                <w:lang w:val="ro-RO"/>
              </w:rPr>
              <w:t>societățile comerciale</w:t>
            </w:r>
            <w:r w:rsidRPr="00A10374">
              <w:rPr>
                <w:rFonts w:ascii="Times New Roman" w:hAnsi="Times New Roman"/>
                <w:shd w:val="clear" w:color="auto" w:fill="FFFFFF"/>
                <w:lang w:val="ro-RO"/>
              </w:rPr>
              <w:t xml:space="preserve">, după cum este reglementat la moment în redacția actuală a art. 20 din Legea nr. 139/2018 cu privire la eficiența energetică, care îngrădește drepturile ONG și întreprinderilor sub orice formă </w:t>
            </w:r>
            <w:proofErr w:type="spellStart"/>
            <w:r w:rsidRPr="00A10374">
              <w:rPr>
                <w:rFonts w:ascii="Times New Roman" w:hAnsi="Times New Roman"/>
                <w:shd w:val="clear" w:color="auto" w:fill="FFFFFF"/>
                <w:lang w:val="ro-RO"/>
              </w:rPr>
              <w:t>organizatorico</w:t>
            </w:r>
            <w:proofErr w:type="spellEnd"/>
            <w:r w:rsidRPr="00A10374">
              <w:rPr>
                <w:rFonts w:ascii="Times New Roman" w:hAnsi="Times New Roman"/>
                <w:shd w:val="clear" w:color="auto" w:fill="FFFFFF"/>
                <w:lang w:val="ro-RO"/>
              </w:rPr>
              <w:t>-juridică să presteze astfel de servicii.</w:t>
            </w:r>
          </w:p>
          <w:p w14:paraId="3BB2FA2F" w14:textId="68D0FADF" w:rsidR="00883187" w:rsidRPr="00A10374" w:rsidRDefault="00BF69CE" w:rsidP="001A76A5">
            <w:pPr>
              <w:spacing w:before="120" w:after="120"/>
              <w:jc w:val="both"/>
              <w:rPr>
                <w:rFonts w:ascii="Times New Roman" w:hAnsi="Times New Roman"/>
                <w:shd w:val="clear" w:color="auto" w:fill="FFFFFF"/>
                <w:lang w:val="ro-RO"/>
              </w:rPr>
            </w:pPr>
            <w:r w:rsidRPr="00A10374">
              <w:rPr>
                <w:rFonts w:ascii="Times New Roman" w:hAnsi="Times New Roman"/>
                <w:shd w:val="clear" w:color="auto" w:fill="FFFFFF"/>
                <w:lang w:val="ro-RO"/>
              </w:rPr>
              <w:t>Acest fapt va permite crearea unei concurențe pe piață între întreprinderile care prestează astfel de servicii, iar întreprinderile mari care conform prevederilor legii nr. 139/2018 cu privire la eficiența energetică au obligația de efectuare a auditurilor energetice odată la 4 ani, vor avea posibilitatea de a selecta întreprinderea care va presta astfel de servicii prin analiza ofertelor din partea mai multor întreprinderi</w:t>
            </w:r>
            <w:r w:rsidR="004F3A11" w:rsidRPr="00A10374">
              <w:rPr>
                <w:rFonts w:ascii="Times New Roman" w:hAnsi="Times New Roman"/>
                <w:shd w:val="clear" w:color="auto" w:fill="FFFFFF"/>
                <w:lang w:val="ro-RO"/>
              </w:rPr>
              <w:t xml:space="preserve"> existente pe piață</w:t>
            </w:r>
            <w:r w:rsidRPr="00A10374">
              <w:rPr>
                <w:rFonts w:ascii="Times New Roman" w:hAnsi="Times New Roman"/>
                <w:shd w:val="clear" w:color="auto" w:fill="FFFFFF"/>
                <w:lang w:val="ro-RO"/>
              </w:rPr>
              <w:t xml:space="preserve">. </w:t>
            </w:r>
            <w:r w:rsidR="00883187" w:rsidRPr="00A10374">
              <w:rPr>
                <w:rFonts w:ascii="Times New Roman" w:hAnsi="Times New Roman"/>
                <w:shd w:val="clear" w:color="auto" w:fill="FFFFFF"/>
                <w:lang w:val="ro-RO"/>
              </w:rPr>
              <w:t xml:space="preserve"> </w:t>
            </w:r>
          </w:p>
          <w:p w14:paraId="77DDC684" w14:textId="0A0540C3" w:rsidR="0020204D" w:rsidRDefault="00883187" w:rsidP="001A76A5">
            <w:pPr>
              <w:tabs>
                <w:tab w:val="left" w:pos="884"/>
                <w:tab w:val="left" w:pos="1196"/>
              </w:tabs>
              <w:spacing w:before="120" w:after="120"/>
              <w:jc w:val="both"/>
              <w:rPr>
                <w:rFonts w:ascii="Times New Roman" w:hAnsi="Times New Roman"/>
                <w:lang w:val="ro-RO"/>
              </w:rPr>
            </w:pPr>
            <w:r w:rsidRPr="00A10374">
              <w:rPr>
                <w:rFonts w:ascii="Times New Roman" w:hAnsi="Times New Roman"/>
                <w:lang w:val="ro-RO"/>
              </w:rPr>
              <w:t>Conform informațiilor prezentate de IP CNED, pe parcursul ultimilor ani, prestarea serviciilor de auditare energetică este efectuată de următoarele companii:</w:t>
            </w:r>
          </w:p>
          <w:p w14:paraId="069222BB" w14:textId="52EBD2F9" w:rsidR="00883187" w:rsidRPr="00A10374" w:rsidRDefault="00883187" w:rsidP="00236599">
            <w:pPr>
              <w:tabs>
                <w:tab w:val="left" w:pos="884"/>
                <w:tab w:val="left" w:pos="1196"/>
              </w:tabs>
              <w:spacing w:before="120" w:after="120"/>
              <w:rPr>
                <w:rFonts w:ascii="Times New Roman" w:hAnsi="Times New Roman"/>
                <w:lang w:val="ro-RO"/>
              </w:rPr>
            </w:pPr>
            <w:r w:rsidRPr="00A10374">
              <w:rPr>
                <w:rFonts w:ascii="Times New Roman" w:hAnsi="Times New Roman"/>
                <w:b/>
                <w:lang w:val="ro-RO"/>
              </w:rPr>
              <w:t xml:space="preserve">Tabelul </w:t>
            </w:r>
            <w:r w:rsidR="00ED29FB">
              <w:rPr>
                <w:rFonts w:ascii="Times New Roman" w:hAnsi="Times New Roman"/>
                <w:b/>
                <w:lang w:val="ro-RO"/>
              </w:rPr>
              <w:t>4</w:t>
            </w:r>
            <w:r w:rsidRPr="00A10374">
              <w:rPr>
                <w:rFonts w:ascii="Times New Roman" w:hAnsi="Times New Roman"/>
                <w:b/>
                <w:lang w:val="ro-RO"/>
              </w:rPr>
              <w:t>.</w:t>
            </w:r>
            <w:r w:rsidRPr="00A10374">
              <w:rPr>
                <w:rFonts w:ascii="Times New Roman" w:hAnsi="Times New Roman"/>
                <w:lang w:val="ro-RO"/>
              </w:rPr>
              <w:t xml:space="preserve"> Companiile care </w:t>
            </w:r>
            <w:r w:rsidR="00144FD2" w:rsidRPr="00A10374">
              <w:rPr>
                <w:rFonts w:ascii="Times New Roman" w:hAnsi="Times New Roman"/>
                <w:lang w:val="ro-RO"/>
              </w:rPr>
              <w:t xml:space="preserve">au prestat </w:t>
            </w:r>
            <w:r w:rsidRPr="00A10374">
              <w:rPr>
                <w:rFonts w:ascii="Times New Roman" w:hAnsi="Times New Roman"/>
                <w:lang w:val="ro-RO"/>
              </w:rPr>
              <w:t xml:space="preserve">servicii de audit energetic pe parcursul </w:t>
            </w:r>
            <w:r w:rsidR="00C31DFD" w:rsidRPr="00A10374">
              <w:rPr>
                <w:rFonts w:ascii="Times New Roman" w:hAnsi="Times New Roman"/>
                <w:lang w:val="ro-RO"/>
              </w:rPr>
              <w:t xml:space="preserve">anului </w:t>
            </w:r>
            <w:r w:rsidRPr="00A10374">
              <w:rPr>
                <w:rFonts w:ascii="Times New Roman" w:hAnsi="Times New Roman"/>
                <w:lang w:val="ro-RO"/>
              </w:rPr>
              <w:t>2023</w:t>
            </w:r>
          </w:p>
          <w:tbl>
            <w:tblPr>
              <w:tblStyle w:val="TableGrid"/>
              <w:tblW w:w="0" w:type="auto"/>
              <w:tblLook w:val="04A0" w:firstRow="1" w:lastRow="0" w:firstColumn="1" w:lastColumn="0" w:noHBand="0" w:noVBand="1"/>
            </w:tblPr>
            <w:tblGrid>
              <w:gridCol w:w="728"/>
              <w:gridCol w:w="2693"/>
              <w:gridCol w:w="3260"/>
              <w:gridCol w:w="2202"/>
            </w:tblGrid>
            <w:tr w:rsidR="00883187" w:rsidRPr="00997304" w14:paraId="3A998B53" w14:textId="77777777" w:rsidTr="001A76A5">
              <w:trPr>
                <w:trHeight w:val="742"/>
              </w:trPr>
              <w:tc>
                <w:tcPr>
                  <w:tcW w:w="728" w:type="dxa"/>
                  <w:shd w:val="clear" w:color="auto" w:fill="C6D9F1" w:themeFill="text2" w:themeFillTint="33"/>
                  <w:vAlign w:val="center"/>
                </w:tcPr>
                <w:p w14:paraId="2665A739" w14:textId="51922594" w:rsidR="00883187" w:rsidRPr="00A10374" w:rsidRDefault="00883187" w:rsidP="00883187">
                  <w:pPr>
                    <w:tabs>
                      <w:tab w:val="left" w:pos="884"/>
                      <w:tab w:val="left" w:pos="1196"/>
                    </w:tabs>
                    <w:spacing w:before="120" w:after="120"/>
                    <w:jc w:val="center"/>
                    <w:rPr>
                      <w:rFonts w:ascii="Times New Roman" w:hAnsi="Times New Roman"/>
                      <w:lang w:val="ro-RO"/>
                    </w:rPr>
                  </w:pPr>
                  <w:r w:rsidRPr="00A10374">
                    <w:rPr>
                      <w:rFonts w:ascii="Times New Roman" w:hAnsi="Times New Roman"/>
                      <w:lang w:val="ro-RO"/>
                    </w:rPr>
                    <w:t>Nr.</w:t>
                  </w:r>
                </w:p>
              </w:tc>
              <w:tc>
                <w:tcPr>
                  <w:tcW w:w="2693" w:type="dxa"/>
                  <w:shd w:val="clear" w:color="auto" w:fill="C6D9F1" w:themeFill="text2" w:themeFillTint="33"/>
                  <w:vAlign w:val="center"/>
                </w:tcPr>
                <w:p w14:paraId="24CD0475" w14:textId="6EB890E1" w:rsidR="00883187" w:rsidRPr="00A10374" w:rsidRDefault="00883187" w:rsidP="00883187">
                  <w:pPr>
                    <w:tabs>
                      <w:tab w:val="left" w:pos="884"/>
                      <w:tab w:val="left" w:pos="1196"/>
                    </w:tabs>
                    <w:spacing w:before="120" w:after="120"/>
                    <w:jc w:val="center"/>
                    <w:rPr>
                      <w:rFonts w:ascii="Times New Roman" w:hAnsi="Times New Roman"/>
                      <w:lang w:val="ro-RO"/>
                    </w:rPr>
                  </w:pPr>
                  <w:r w:rsidRPr="00A10374">
                    <w:rPr>
                      <w:rFonts w:ascii="Times New Roman" w:hAnsi="Times New Roman"/>
                      <w:lang w:val="ro-RO"/>
                    </w:rPr>
                    <w:t>Denumirea companiei</w:t>
                  </w:r>
                </w:p>
              </w:tc>
              <w:tc>
                <w:tcPr>
                  <w:tcW w:w="3260" w:type="dxa"/>
                  <w:shd w:val="clear" w:color="auto" w:fill="C6D9F1" w:themeFill="text2" w:themeFillTint="33"/>
                  <w:vAlign w:val="center"/>
                </w:tcPr>
                <w:p w14:paraId="6830D2AB" w14:textId="399AFA14" w:rsidR="00883187" w:rsidRPr="00A10374" w:rsidRDefault="00883187" w:rsidP="00883187">
                  <w:pPr>
                    <w:tabs>
                      <w:tab w:val="left" w:pos="884"/>
                      <w:tab w:val="left" w:pos="1196"/>
                    </w:tabs>
                    <w:spacing w:before="120" w:after="120"/>
                    <w:jc w:val="center"/>
                    <w:rPr>
                      <w:rFonts w:ascii="Times New Roman" w:hAnsi="Times New Roman"/>
                      <w:lang w:val="ro-RO"/>
                    </w:rPr>
                  </w:pPr>
                  <w:r w:rsidRPr="00A10374">
                    <w:rPr>
                      <w:rFonts w:ascii="Times New Roman" w:hAnsi="Times New Roman"/>
                      <w:lang w:val="ro-RO"/>
                    </w:rPr>
                    <w:t>Adresa</w:t>
                  </w:r>
                </w:p>
              </w:tc>
              <w:tc>
                <w:tcPr>
                  <w:tcW w:w="2202" w:type="dxa"/>
                  <w:shd w:val="clear" w:color="auto" w:fill="C6D9F1" w:themeFill="text2" w:themeFillTint="33"/>
                  <w:vAlign w:val="center"/>
                </w:tcPr>
                <w:p w14:paraId="340EE5FB" w14:textId="641D3989" w:rsidR="00883187" w:rsidRPr="00A10374" w:rsidRDefault="00883187">
                  <w:pPr>
                    <w:tabs>
                      <w:tab w:val="left" w:pos="884"/>
                      <w:tab w:val="left" w:pos="1196"/>
                    </w:tabs>
                    <w:spacing w:before="120" w:after="120"/>
                    <w:jc w:val="center"/>
                    <w:rPr>
                      <w:rFonts w:ascii="Times New Roman" w:hAnsi="Times New Roman"/>
                      <w:lang w:val="ro-RO"/>
                    </w:rPr>
                  </w:pPr>
                  <w:r w:rsidRPr="00A10374">
                    <w:rPr>
                      <w:rFonts w:ascii="Times New Roman" w:hAnsi="Times New Roman"/>
                      <w:lang w:val="ro-RO"/>
                    </w:rPr>
                    <w:t>Nr</w:t>
                  </w:r>
                  <w:r w:rsidR="00D85681" w:rsidRPr="00A10374">
                    <w:rPr>
                      <w:rFonts w:ascii="Times New Roman" w:hAnsi="Times New Roman"/>
                      <w:lang w:val="ro-RO"/>
                    </w:rPr>
                    <w:t>.</w:t>
                  </w:r>
                  <w:r w:rsidRPr="00A10374">
                    <w:rPr>
                      <w:rFonts w:ascii="Times New Roman" w:hAnsi="Times New Roman"/>
                      <w:lang w:val="ro-RO"/>
                    </w:rPr>
                    <w:t xml:space="preserve"> de rapoarte de audit energetic efectuate</w:t>
                  </w:r>
                </w:p>
              </w:tc>
            </w:tr>
            <w:tr w:rsidR="00702931" w:rsidRPr="00A10374" w14:paraId="3A17AA0C" w14:textId="77777777" w:rsidTr="001A76A5">
              <w:trPr>
                <w:trHeight w:val="375"/>
              </w:trPr>
              <w:tc>
                <w:tcPr>
                  <w:tcW w:w="728" w:type="dxa"/>
                </w:tcPr>
                <w:p w14:paraId="31C8AFE0" w14:textId="77777777" w:rsidR="00702931" w:rsidRPr="00A10374" w:rsidRDefault="00702931" w:rsidP="001A76A5">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7B0FE077" w14:textId="5E4CC3CE"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AO Asociația pentru Autonomie Energetică</w:t>
                  </w:r>
                </w:p>
              </w:tc>
              <w:tc>
                <w:tcPr>
                  <w:tcW w:w="3260" w:type="dxa"/>
                  <w:vAlign w:val="center"/>
                </w:tcPr>
                <w:p w14:paraId="2B2328FF" w14:textId="55EF78D7"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sec. Centru, str. Ismail 84, ap. (of.) 50</w:t>
                  </w:r>
                </w:p>
              </w:tc>
              <w:tc>
                <w:tcPr>
                  <w:tcW w:w="2202" w:type="dxa"/>
                  <w:vAlign w:val="center"/>
                </w:tcPr>
                <w:p w14:paraId="7EE88A89" w14:textId="2B6C47D2"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4</w:t>
                  </w:r>
                </w:p>
              </w:tc>
            </w:tr>
            <w:tr w:rsidR="00702931" w:rsidRPr="00A10374" w14:paraId="0EBB6F6F" w14:textId="77777777" w:rsidTr="001A76A5">
              <w:trPr>
                <w:trHeight w:val="375"/>
              </w:trPr>
              <w:tc>
                <w:tcPr>
                  <w:tcW w:w="728" w:type="dxa"/>
                </w:tcPr>
                <w:p w14:paraId="38E36700" w14:textId="77777777" w:rsidR="00702931" w:rsidRPr="00A10374" w:rsidRDefault="00702931" w:rsidP="001A76A5">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06F34046" w14:textId="740C1A81"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AO AIIRM</w:t>
                  </w:r>
                </w:p>
              </w:tc>
              <w:tc>
                <w:tcPr>
                  <w:tcW w:w="3260" w:type="dxa"/>
                  <w:vAlign w:val="center"/>
                </w:tcPr>
                <w:p w14:paraId="3CF565AB" w14:textId="0F61B131"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sec. Botanica, Dacia 39</w:t>
                  </w:r>
                </w:p>
              </w:tc>
              <w:tc>
                <w:tcPr>
                  <w:tcW w:w="2202" w:type="dxa"/>
                  <w:vAlign w:val="center"/>
                </w:tcPr>
                <w:p w14:paraId="2D4A195A" w14:textId="31D74EB0"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4</w:t>
                  </w:r>
                </w:p>
              </w:tc>
            </w:tr>
            <w:tr w:rsidR="00702931" w:rsidRPr="00A10374" w14:paraId="38BAB5F9" w14:textId="77777777" w:rsidTr="001A76A5">
              <w:trPr>
                <w:trHeight w:val="375"/>
              </w:trPr>
              <w:tc>
                <w:tcPr>
                  <w:tcW w:w="728" w:type="dxa"/>
                </w:tcPr>
                <w:p w14:paraId="47AEB1B7" w14:textId="77777777" w:rsidR="00702931" w:rsidRPr="00A10374" w:rsidRDefault="00702931" w:rsidP="001A76A5">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13E4A2C2" w14:textId="711BCF3E"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SRL </w:t>
                  </w:r>
                  <w:proofErr w:type="spellStart"/>
                  <w:r w:rsidRPr="00A10374">
                    <w:rPr>
                      <w:rFonts w:ascii="Times New Roman" w:hAnsi="Times New Roman"/>
                      <w:color w:val="000000"/>
                      <w:lang w:val="ro-RO"/>
                    </w:rPr>
                    <w:t>DelibEnergy</w:t>
                  </w:r>
                  <w:proofErr w:type="spellEnd"/>
                </w:p>
              </w:tc>
              <w:tc>
                <w:tcPr>
                  <w:tcW w:w="3260" w:type="dxa"/>
                  <w:vAlign w:val="center"/>
                </w:tcPr>
                <w:p w14:paraId="4544A7D2" w14:textId="10D9559E"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xml:space="preserve">, sec. </w:t>
                  </w:r>
                  <w:proofErr w:type="spellStart"/>
                  <w:r w:rsidRPr="00A10374">
                    <w:rPr>
                      <w:rFonts w:ascii="Times New Roman" w:hAnsi="Times New Roman"/>
                      <w:color w:val="000000"/>
                      <w:lang w:val="ro-RO"/>
                    </w:rPr>
                    <w:t>Ciocana</w:t>
                  </w:r>
                  <w:proofErr w:type="spellEnd"/>
                  <w:r w:rsidRPr="00A10374">
                    <w:rPr>
                      <w:rFonts w:ascii="Times New Roman" w:hAnsi="Times New Roman"/>
                      <w:color w:val="000000"/>
                      <w:lang w:val="ro-RO"/>
                    </w:rPr>
                    <w:t>, str. Voluntarilor, 10, ap.(of.) 138</w:t>
                  </w:r>
                </w:p>
              </w:tc>
              <w:tc>
                <w:tcPr>
                  <w:tcW w:w="2202" w:type="dxa"/>
                  <w:vAlign w:val="center"/>
                </w:tcPr>
                <w:p w14:paraId="75E6F7BB" w14:textId="7CB65308"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5</w:t>
                  </w:r>
                </w:p>
              </w:tc>
            </w:tr>
            <w:tr w:rsidR="00702931" w:rsidRPr="00A10374" w14:paraId="772A07DD" w14:textId="77777777" w:rsidTr="001A76A5">
              <w:trPr>
                <w:trHeight w:val="375"/>
              </w:trPr>
              <w:tc>
                <w:tcPr>
                  <w:tcW w:w="728" w:type="dxa"/>
                </w:tcPr>
                <w:p w14:paraId="6DE3E0CE" w14:textId="77777777" w:rsidR="00702931" w:rsidRPr="00A10374" w:rsidRDefault="00702931" w:rsidP="001A76A5">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5A342663" w14:textId="714CC1A3"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ÎI CHPAR VICTOR</w:t>
                  </w:r>
                </w:p>
              </w:tc>
              <w:tc>
                <w:tcPr>
                  <w:tcW w:w="3260" w:type="dxa"/>
                  <w:vAlign w:val="center"/>
                </w:tcPr>
                <w:p w14:paraId="1DB17F01" w14:textId="7AAD5EC8"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UTA Găgăuzia, </w:t>
                  </w:r>
                  <w:proofErr w:type="spellStart"/>
                  <w:r w:rsidRPr="00A10374">
                    <w:rPr>
                      <w:rFonts w:ascii="Times New Roman" w:hAnsi="Times New Roman"/>
                      <w:color w:val="000000"/>
                      <w:lang w:val="ro-RO"/>
                    </w:rPr>
                    <w:t>Ceadîr</w:t>
                  </w:r>
                  <w:proofErr w:type="spellEnd"/>
                  <w:r w:rsidRPr="00A10374">
                    <w:rPr>
                      <w:rFonts w:ascii="Times New Roman" w:hAnsi="Times New Roman"/>
                      <w:color w:val="000000"/>
                      <w:lang w:val="ro-RO"/>
                    </w:rPr>
                    <w:t>-Lunga, str. Gogol, 81</w:t>
                  </w:r>
                </w:p>
              </w:tc>
              <w:tc>
                <w:tcPr>
                  <w:tcW w:w="2202" w:type="dxa"/>
                  <w:vAlign w:val="center"/>
                </w:tcPr>
                <w:p w14:paraId="3D621770" w14:textId="681A235A"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5</w:t>
                  </w:r>
                </w:p>
              </w:tc>
            </w:tr>
            <w:tr w:rsidR="00702931" w:rsidRPr="00A10374" w14:paraId="254CE013" w14:textId="77777777" w:rsidTr="001A76A5">
              <w:trPr>
                <w:trHeight w:val="375"/>
              </w:trPr>
              <w:tc>
                <w:tcPr>
                  <w:tcW w:w="728" w:type="dxa"/>
                </w:tcPr>
                <w:p w14:paraId="227CA3DF" w14:textId="77777777" w:rsidR="00702931" w:rsidRPr="00A10374" w:rsidRDefault="00702931" w:rsidP="001A76A5">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22A75BC9" w14:textId="4DCB27E9"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SRL ”CND”</w:t>
                  </w:r>
                </w:p>
              </w:tc>
              <w:tc>
                <w:tcPr>
                  <w:tcW w:w="3260" w:type="dxa"/>
                  <w:vAlign w:val="center"/>
                </w:tcPr>
                <w:p w14:paraId="0978E339" w14:textId="05C6E4EC"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xml:space="preserve">, sec. </w:t>
                  </w:r>
                  <w:proofErr w:type="spellStart"/>
                  <w:r w:rsidRPr="00A10374">
                    <w:rPr>
                      <w:rFonts w:ascii="Times New Roman" w:hAnsi="Times New Roman"/>
                      <w:color w:val="000000"/>
                      <w:lang w:val="ro-RO"/>
                    </w:rPr>
                    <w:t>Rîşcani</w:t>
                  </w:r>
                  <w:proofErr w:type="spellEnd"/>
                  <w:r w:rsidRPr="00A10374">
                    <w:rPr>
                      <w:rFonts w:ascii="Times New Roman" w:hAnsi="Times New Roman"/>
                      <w:color w:val="000000"/>
                      <w:lang w:val="ro-RO"/>
                    </w:rPr>
                    <w:t>, str. Moscova bd., 18, ap.(of.) 4</w:t>
                  </w:r>
                </w:p>
              </w:tc>
              <w:tc>
                <w:tcPr>
                  <w:tcW w:w="2202" w:type="dxa"/>
                  <w:vAlign w:val="center"/>
                </w:tcPr>
                <w:p w14:paraId="7DB1B3D5" w14:textId="3A48EBF4"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8</w:t>
                  </w:r>
                </w:p>
              </w:tc>
            </w:tr>
            <w:tr w:rsidR="00702931" w:rsidRPr="00A10374" w14:paraId="435C4700" w14:textId="77777777" w:rsidTr="001A76A5">
              <w:trPr>
                <w:trHeight w:val="375"/>
              </w:trPr>
              <w:tc>
                <w:tcPr>
                  <w:tcW w:w="728" w:type="dxa"/>
                </w:tcPr>
                <w:p w14:paraId="113D0FBF" w14:textId="77777777" w:rsidR="00702931" w:rsidRPr="00A10374" w:rsidRDefault="00702931" w:rsidP="001A76A5">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6E91D9DE" w14:textId="0556E364"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SRL Centrul de Eficiență Energetică</w:t>
                  </w:r>
                </w:p>
              </w:tc>
              <w:tc>
                <w:tcPr>
                  <w:tcW w:w="3260" w:type="dxa"/>
                  <w:vAlign w:val="center"/>
                </w:tcPr>
                <w:p w14:paraId="6C5FFE6D" w14:textId="40549C6F"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xml:space="preserve">, sec. </w:t>
                  </w:r>
                  <w:proofErr w:type="spellStart"/>
                  <w:r w:rsidRPr="00A10374">
                    <w:rPr>
                      <w:rFonts w:ascii="Times New Roman" w:hAnsi="Times New Roman"/>
                      <w:color w:val="000000"/>
                      <w:lang w:val="ro-RO"/>
                    </w:rPr>
                    <w:t>Rîşcani</w:t>
                  </w:r>
                  <w:proofErr w:type="spellEnd"/>
                  <w:r w:rsidRPr="00A10374">
                    <w:rPr>
                      <w:rFonts w:ascii="Times New Roman" w:hAnsi="Times New Roman"/>
                      <w:color w:val="000000"/>
                      <w:lang w:val="ro-RO"/>
                    </w:rPr>
                    <w:t xml:space="preserve">, str. </w:t>
                  </w:r>
                  <w:proofErr w:type="spellStart"/>
                  <w:r w:rsidRPr="00A10374">
                    <w:rPr>
                      <w:rFonts w:ascii="Times New Roman" w:hAnsi="Times New Roman"/>
                      <w:color w:val="000000"/>
                      <w:lang w:val="ro-RO"/>
                    </w:rPr>
                    <w:t>Puşkin</w:t>
                  </w:r>
                  <w:proofErr w:type="spellEnd"/>
                  <w:r w:rsidRPr="00A10374">
                    <w:rPr>
                      <w:rFonts w:ascii="Times New Roman" w:hAnsi="Times New Roman"/>
                      <w:color w:val="000000"/>
                      <w:lang w:val="ro-RO"/>
                    </w:rPr>
                    <w:t xml:space="preserve"> A., 33, ap.(of.) 43</w:t>
                  </w:r>
                </w:p>
              </w:tc>
              <w:tc>
                <w:tcPr>
                  <w:tcW w:w="2202" w:type="dxa"/>
                  <w:vAlign w:val="center"/>
                </w:tcPr>
                <w:p w14:paraId="39B08147" w14:textId="090217E8"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16</w:t>
                  </w:r>
                </w:p>
              </w:tc>
            </w:tr>
            <w:tr w:rsidR="00702931" w:rsidRPr="00A10374" w14:paraId="14CDDA5E" w14:textId="77777777" w:rsidTr="001A76A5">
              <w:trPr>
                <w:trHeight w:val="375"/>
              </w:trPr>
              <w:tc>
                <w:tcPr>
                  <w:tcW w:w="728" w:type="dxa"/>
                </w:tcPr>
                <w:p w14:paraId="279D10DC" w14:textId="77777777" w:rsidR="00702931" w:rsidRPr="00A10374" w:rsidRDefault="00702931" w:rsidP="001A76A5">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4F9C9B17" w14:textId="715E3650"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SRL </w:t>
                  </w:r>
                  <w:proofErr w:type="spellStart"/>
                  <w:r w:rsidRPr="00A10374">
                    <w:rPr>
                      <w:rFonts w:ascii="Times New Roman" w:hAnsi="Times New Roman"/>
                      <w:color w:val="000000"/>
                      <w:lang w:val="ro-RO"/>
                    </w:rPr>
                    <w:t>Ecotest</w:t>
                  </w:r>
                  <w:proofErr w:type="spellEnd"/>
                  <w:r w:rsidRPr="00A10374">
                    <w:rPr>
                      <w:rFonts w:ascii="Times New Roman" w:hAnsi="Times New Roman"/>
                      <w:color w:val="000000"/>
                      <w:lang w:val="ro-RO"/>
                    </w:rPr>
                    <w:t xml:space="preserve"> Energy</w:t>
                  </w:r>
                </w:p>
              </w:tc>
              <w:tc>
                <w:tcPr>
                  <w:tcW w:w="3260" w:type="dxa"/>
                  <w:vAlign w:val="center"/>
                </w:tcPr>
                <w:p w14:paraId="45F6B306" w14:textId="4FD35593"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xml:space="preserve">, sec. </w:t>
                  </w:r>
                  <w:proofErr w:type="spellStart"/>
                  <w:r w:rsidRPr="00A10374">
                    <w:rPr>
                      <w:rFonts w:ascii="Times New Roman" w:hAnsi="Times New Roman"/>
                      <w:color w:val="000000"/>
                      <w:lang w:val="ro-RO"/>
                    </w:rPr>
                    <w:t>Ciocana</w:t>
                  </w:r>
                  <w:proofErr w:type="spellEnd"/>
                  <w:r w:rsidRPr="00A10374">
                    <w:rPr>
                      <w:rFonts w:ascii="Times New Roman" w:hAnsi="Times New Roman"/>
                      <w:color w:val="000000"/>
                      <w:lang w:val="ro-RO"/>
                    </w:rPr>
                    <w:t>, str. Mircea cel Bătrân bd., 4/4, ap.(of.) 201</w:t>
                  </w:r>
                </w:p>
              </w:tc>
              <w:tc>
                <w:tcPr>
                  <w:tcW w:w="2202" w:type="dxa"/>
                  <w:vMerge w:val="restart"/>
                  <w:vAlign w:val="center"/>
                </w:tcPr>
                <w:p w14:paraId="243EB5B6" w14:textId="7986D86B"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4</w:t>
                  </w:r>
                </w:p>
              </w:tc>
            </w:tr>
            <w:tr w:rsidR="00702931" w:rsidRPr="00A10374" w14:paraId="0988240F" w14:textId="77777777" w:rsidTr="001A76A5">
              <w:trPr>
                <w:trHeight w:val="375"/>
              </w:trPr>
              <w:tc>
                <w:tcPr>
                  <w:tcW w:w="728" w:type="dxa"/>
                </w:tcPr>
                <w:p w14:paraId="383EF40F" w14:textId="77777777" w:rsidR="00702931" w:rsidRPr="00A10374" w:rsidRDefault="00702931" w:rsidP="001A76A5">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6225A7DB" w14:textId="465683BD"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SRL MWMT-Company</w:t>
                  </w:r>
                </w:p>
              </w:tc>
              <w:tc>
                <w:tcPr>
                  <w:tcW w:w="3260" w:type="dxa"/>
                  <w:vAlign w:val="center"/>
                </w:tcPr>
                <w:p w14:paraId="59A5768A" w14:textId="61B74557"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xml:space="preserve">, sec. </w:t>
                  </w:r>
                  <w:proofErr w:type="spellStart"/>
                  <w:r w:rsidRPr="00A10374">
                    <w:rPr>
                      <w:rFonts w:ascii="Times New Roman" w:hAnsi="Times New Roman"/>
                      <w:color w:val="000000"/>
                      <w:lang w:val="ro-RO"/>
                    </w:rPr>
                    <w:t>Ciocana</w:t>
                  </w:r>
                  <w:proofErr w:type="spellEnd"/>
                  <w:r w:rsidRPr="00A10374">
                    <w:rPr>
                      <w:rFonts w:ascii="Times New Roman" w:hAnsi="Times New Roman"/>
                      <w:color w:val="000000"/>
                      <w:lang w:val="ro-RO"/>
                    </w:rPr>
                    <w:t>, str. Mircea cel Bătrân bd., 4/4, ap.(of.) 201</w:t>
                  </w:r>
                </w:p>
              </w:tc>
              <w:tc>
                <w:tcPr>
                  <w:tcW w:w="2202" w:type="dxa"/>
                  <w:vMerge/>
                  <w:vAlign w:val="center"/>
                </w:tcPr>
                <w:p w14:paraId="3BC1813F" w14:textId="77777777" w:rsidR="00702931" w:rsidRPr="00A10374" w:rsidRDefault="00702931" w:rsidP="001A76A5">
                  <w:pPr>
                    <w:tabs>
                      <w:tab w:val="left" w:pos="884"/>
                      <w:tab w:val="left" w:pos="1196"/>
                    </w:tabs>
                    <w:jc w:val="center"/>
                    <w:rPr>
                      <w:rFonts w:ascii="Times New Roman" w:hAnsi="Times New Roman"/>
                      <w:lang w:val="ro-RO"/>
                    </w:rPr>
                  </w:pPr>
                </w:p>
              </w:tc>
            </w:tr>
            <w:tr w:rsidR="00702931" w:rsidRPr="00A10374" w14:paraId="0C6E9140" w14:textId="77777777" w:rsidTr="001A76A5">
              <w:trPr>
                <w:trHeight w:val="375"/>
              </w:trPr>
              <w:tc>
                <w:tcPr>
                  <w:tcW w:w="728" w:type="dxa"/>
                </w:tcPr>
                <w:p w14:paraId="46DC0294" w14:textId="77777777" w:rsidR="00702931" w:rsidRPr="00A10374" w:rsidRDefault="00702931" w:rsidP="001A76A5">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015BCB46" w14:textId="0008BA10"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SRL ACGV ENERGOEXPERT SERVICE</w:t>
                  </w:r>
                </w:p>
              </w:tc>
              <w:tc>
                <w:tcPr>
                  <w:tcW w:w="3260" w:type="dxa"/>
                  <w:vAlign w:val="center"/>
                </w:tcPr>
                <w:p w14:paraId="3991F84C" w14:textId="4CC5AE52"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sec. Buiucani, str. Alba-Iulia, 105, ap.(of.) 9</w:t>
                  </w:r>
                </w:p>
              </w:tc>
              <w:tc>
                <w:tcPr>
                  <w:tcW w:w="2202" w:type="dxa"/>
                  <w:vAlign w:val="center"/>
                </w:tcPr>
                <w:p w14:paraId="2FEF5A79" w14:textId="56BD4D1D"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18</w:t>
                  </w:r>
                </w:p>
              </w:tc>
            </w:tr>
            <w:tr w:rsidR="00702931" w:rsidRPr="00A10374" w14:paraId="53EB17A9" w14:textId="77777777" w:rsidTr="001A76A5">
              <w:trPr>
                <w:trHeight w:val="375"/>
              </w:trPr>
              <w:tc>
                <w:tcPr>
                  <w:tcW w:w="728" w:type="dxa"/>
                </w:tcPr>
                <w:p w14:paraId="08C70E0F" w14:textId="77777777" w:rsidR="00702931" w:rsidRPr="00A10374" w:rsidRDefault="00702931" w:rsidP="001A76A5">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577305B4" w14:textId="69D6A777"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SRL SC OLIEX-N</w:t>
                  </w:r>
                </w:p>
              </w:tc>
              <w:tc>
                <w:tcPr>
                  <w:tcW w:w="3260" w:type="dxa"/>
                  <w:vAlign w:val="center"/>
                </w:tcPr>
                <w:p w14:paraId="72AEA354" w14:textId="4FDBB58B"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xml:space="preserve">, sec. Centru, str. </w:t>
                  </w:r>
                  <w:proofErr w:type="spellStart"/>
                  <w:r w:rsidRPr="00A10374">
                    <w:rPr>
                      <w:rFonts w:ascii="Times New Roman" w:hAnsi="Times New Roman"/>
                      <w:color w:val="000000"/>
                      <w:lang w:val="ro-RO"/>
                    </w:rPr>
                    <w:t>Testemiţeanu</w:t>
                  </w:r>
                  <w:proofErr w:type="spellEnd"/>
                  <w:r w:rsidRPr="00A10374">
                    <w:rPr>
                      <w:rFonts w:ascii="Times New Roman" w:hAnsi="Times New Roman"/>
                      <w:color w:val="000000"/>
                      <w:lang w:val="ro-RO"/>
                    </w:rPr>
                    <w:t xml:space="preserve"> Nicolae, 17/6, ap.(of.) 38</w:t>
                  </w:r>
                </w:p>
              </w:tc>
              <w:tc>
                <w:tcPr>
                  <w:tcW w:w="2202" w:type="dxa"/>
                  <w:vAlign w:val="center"/>
                </w:tcPr>
                <w:p w14:paraId="30BCBEA9" w14:textId="3AD071E2"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1</w:t>
                  </w:r>
                </w:p>
              </w:tc>
            </w:tr>
            <w:tr w:rsidR="00702931" w:rsidRPr="00A10374" w14:paraId="55DDF3E3" w14:textId="77777777" w:rsidTr="001A76A5">
              <w:trPr>
                <w:trHeight w:val="375"/>
              </w:trPr>
              <w:tc>
                <w:tcPr>
                  <w:tcW w:w="728" w:type="dxa"/>
                </w:tcPr>
                <w:p w14:paraId="0C0A4843" w14:textId="77777777" w:rsidR="00702931" w:rsidRPr="00A10374" w:rsidRDefault="00702931" w:rsidP="001A76A5">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0182E8AB" w14:textId="6AE36E26"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SRL INOVRECONS</w:t>
                  </w:r>
                </w:p>
              </w:tc>
              <w:tc>
                <w:tcPr>
                  <w:tcW w:w="3260" w:type="dxa"/>
                  <w:vAlign w:val="center"/>
                </w:tcPr>
                <w:p w14:paraId="16248FB0" w14:textId="4A3285AE"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xml:space="preserve">, sec. </w:t>
                  </w:r>
                  <w:proofErr w:type="spellStart"/>
                  <w:r w:rsidRPr="00A10374">
                    <w:rPr>
                      <w:rFonts w:ascii="Times New Roman" w:hAnsi="Times New Roman"/>
                      <w:color w:val="000000"/>
                      <w:lang w:val="ro-RO"/>
                    </w:rPr>
                    <w:t>Rîşcani</w:t>
                  </w:r>
                  <w:proofErr w:type="spellEnd"/>
                  <w:r w:rsidRPr="00A10374">
                    <w:rPr>
                      <w:rFonts w:ascii="Times New Roman" w:hAnsi="Times New Roman"/>
                      <w:color w:val="000000"/>
                      <w:lang w:val="ro-RO"/>
                    </w:rPr>
                    <w:t xml:space="preserve">, str. Moara </w:t>
                  </w:r>
                  <w:proofErr w:type="spellStart"/>
                  <w:r w:rsidRPr="00A10374">
                    <w:rPr>
                      <w:rFonts w:ascii="Times New Roman" w:hAnsi="Times New Roman"/>
                      <w:color w:val="000000"/>
                      <w:lang w:val="ro-RO"/>
                    </w:rPr>
                    <w:t>Roşie</w:t>
                  </w:r>
                  <w:proofErr w:type="spellEnd"/>
                  <w:r w:rsidRPr="00A10374">
                    <w:rPr>
                      <w:rFonts w:ascii="Times New Roman" w:hAnsi="Times New Roman"/>
                      <w:color w:val="000000"/>
                      <w:lang w:val="ro-RO"/>
                    </w:rPr>
                    <w:t>, 5/C, ap.(of.) 31</w:t>
                  </w:r>
                </w:p>
              </w:tc>
              <w:tc>
                <w:tcPr>
                  <w:tcW w:w="2202" w:type="dxa"/>
                  <w:vAlign w:val="center"/>
                </w:tcPr>
                <w:p w14:paraId="13A902D2" w14:textId="0F3F3F2D"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1</w:t>
                  </w:r>
                </w:p>
              </w:tc>
            </w:tr>
            <w:tr w:rsidR="00702931" w:rsidRPr="00A10374" w14:paraId="50B0076C" w14:textId="77777777" w:rsidTr="001A76A5">
              <w:trPr>
                <w:trHeight w:val="375"/>
              </w:trPr>
              <w:tc>
                <w:tcPr>
                  <w:tcW w:w="728" w:type="dxa"/>
                </w:tcPr>
                <w:p w14:paraId="3EE2397F" w14:textId="77777777" w:rsidR="00702931" w:rsidRPr="00A10374" w:rsidRDefault="00702931" w:rsidP="001A76A5">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07C4A032" w14:textId="3205A131"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SRL </w:t>
                  </w:r>
                  <w:proofErr w:type="spellStart"/>
                  <w:r w:rsidRPr="00A10374">
                    <w:rPr>
                      <w:rFonts w:ascii="Times New Roman" w:hAnsi="Times New Roman"/>
                      <w:color w:val="000000"/>
                      <w:lang w:val="ro-RO"/>
                    </w:rPr>
                    <w:t>Lismar-Vent</w:t>
                  </w:r>
                  <w:proofErr w:type="spellEnd"/>
                </w:p>
              </w:tc>
              <w:tc>
                <w:tcPr>
                  <w:tcW w:w="3260" w:type="dxa"/>
                  <w:vAlign w:val="center"/>
                </w:tcPr>
                <w:p w14:paraId="1D425696" w14:textId="021F1272"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sec. Centru, str. Lermontov M., 31</w:t>
                  </w:r>
                </w:p>
              </w:tc>
              <w:tc>
                <w:tcPr>
                  <w:tcW w:w="2202" w:type="dxa"/>
                  <w:vAlign w:val="center"/>
                </w:tcPr>
                <w:p w14:paraId="150089B8" w14:textId="7D134CE4"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9</w:t>
                  </w:r>
                </w:p>
              </w:tc>
            </w:tr>
            <w:tr w:rsidR="00702931" w:rsidRPr="00A10374" w14:paraId="5E16D164" w14:textId="77777777" w:rsidTr="001A76A5">
              <w:trPr>
                <w:trHeight w:val="375"/>
              </w:trPr>
              <w:tc>
                <w:tcPr>
                  <w:tcW w:w="728" w:type="dxa"/>
                </w:tcPr>
                <w:p w14:paraId="2F82D162" w14:textId="77777777" w:rsidR="00702931" w:rsidRPr="00A10374" w:rsidRDefault="00702931" w:rsidP="001A76A5">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48A77B76" w14:textId="1D05922B"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SRL </w:t>
                  </w:r>
                  <w:proofErr w:type="spellStart"/>
                  <w:r w:rsidRPr="00A10374">
                    <w:rPr>
                      <w:rFonts w:ascii="Times New Roman" w:hAnsi="Times New Roman"/>
                      <w:color w:val="000000"/>
                      <w:lang w:val="ro-RO"/>
                    </w:rPr>
                    <w:t>NovaService</w:t>
                  </w:r>
                  <w:proofErr w:type="spellEnd"/>
                </w:p>
              </w:tc>
              <w:tc>
                <w:tcPr>
                  <w:tcW w:w="3260" w:type="dxa"/>
                  <w:vAlign w:val="center"/>
                </w:tcPr>
                <w:p w14:paraId="5C38360E" w14:textId="244DF5B7"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sec. Botanica, str. Grădina Botanică, 14/3, ap.(of.) 307</w:t>
                  </w:r>
                </w:p>
              </w:tc>
              <w:tc>
                <w:tcPr>
                  <w:tcW w:w="2202" w:type="dxa"/>
                  <w:vAlign w:val="center"/>
                </w:tcPr>
                <w:p w14:paraId="737EAF45" w14:textId="5DD84200"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50</w:t>
                  </w:r>
                </w:p>
              </w:tc>
            </w:tr>
            <w:tr w:rsidR="00702931" w:rsidRPr="00A10374" w14:paraId="206245B6" w14:textId="77777777" w:rsidTr="001A76A5">
              <w:tc>
                <w:tcPr>
                  <w:tcW w:w="728" w:type="dxa"/>
                </w:tcPr>
                <w:p w14:paraId="2D73E197" w14:textId="77777777" w:rsidR="00702931" w:rsidRPr="00A10374" w:rsidRDefault="00702931" w:rsidP="001A76A5">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51A23320" w14:textId="79C54C64"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SRL ACDC Energy</w:t>
                  </w:r>
                </w:p>
              </w:tc>
              <w:tc>
                <w:tcPr>
                  <w:tcW w:w="3260" w:type="dxa"/>
                  <w:vAlign w:val="center"/>
                </w:tcPr>
                <w:p w14:paraId="56902139" w14:textId="6BF2B804"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xml:space="preserve">, sec. </w:t>
                  </w:r>
                  <w:proofErr w:type="spellStart"/>
                  <w:r w:rsidRPr="00A10374">
                    <w:rPr>
                      <w:rFonts w:ascii="Times New Roman" w:hAnsi="Times New Roman"/>
                      <w:color w:val="000000"/>
                      <w:lang w:val="ro-RO"/>
                    </w:rPr>
                    <w:t>Rîşcani</w:t>
                  </w:r>
                  <w:proofErr w:type="spellEnd"/>
                  <w:r w:rsidRPr="00A10374">
                    <w:rPr>
                      <w:rFonts w:ascii="Times New Roman" w:hAnsi="Times New Roman"/>
                      <w:color w:val="000000"/>
                      <w:lang w:val="ro-RO"/>
                    </w:rPr>
                    <w:t>, str. Tănase Constantin, 6</w:t>
                  </w:r>
                </w:p>
              </w:tc>
              <w:tc>
                <w:tcPr>
                  <w:tcW w:w="2202" w:type="dxa"/>
                  <w:vAlign w:val="center"/>
                </w:tcPr>
                <w:p w14:paraId="7257764C" w14:textId="598A71CE"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4</w:t>
                  </w:r>
                </w:p>
              </w:tc>
            </w:tr>
            <w:tr w:rsidR="00702931" w:rsidRPr="00A10374" w14:paraId="20F9E719" w14:textId="77777777" w:rsidTr="001A76A5">
              <w:tc>
                <w:tcPr>
                  <w:tcW w:w="728" w:type="dxa"/>
                </w:tcPr>
                <w:p w14:paraId="77D9C4F9" w14:textId="77777777" w:rsidR="00702931" w:rsidRPr="00A10374" w:rsidRDefault="00702931" w:rsidP="00702931">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7866858E" w14:textId="21109131"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SRL </w:t>
                  </w:r>
                  <w:proofErr w:type="spellStart"/>
                  <w:r w:rsidRPr="00A10374">
                    <w:rPr>
                      <w:rFonts w:ascii="Times New Roman" w:hAnsi="Times New Roman"/>
                      <w:color w:val="000000"/>
                      <w:lang w:val="ro-RO"/>
                    </w:rPr>
                    <w:t>Efin</w:t>
                  </w:r>
                  <w:proofErr w:type="spellEnd"/>
                  <w:r w:rsidRPr="00A10374">
                    <w:rPr>
                      <w:rFonts w:ascii="Times New Roman" w:hAnsi="Times New Roman"/>
                      <w:color w:val="000000"/>
                      <w:lang w:val="ro-RO"/>
                    </w:rPr>
                    <w:t xml:space="preserve"> Servicii</w:t>
                  </w:r>
                </w:p>
              </w:tc>
              <w:tc>
                <w:tcPr>
                  <w:tcW w:w="3260" w:type="dxa"/>
                  <w:vAlign w:val="center"/>
                </w:tcPr>
                <w:p w14:paraId="101E9798" w14:textId="4A58856F"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xml:space="preserve">, sec. </w:t>
                  </w:r>
                  <w:proofErr w:type="spellStart"/>
                  <w:r w:rsidRPr="00A10374">
                    <w:rPr>
                      <w:rFonts w:ascii="Times New Roman" w:hAnsi="Times New Roman"/>
                      <w:color w:val="000000"/>
                      <w:lang w:val="ro-RO"/>
                    </w:rPr>
                    <w:t>Rîşcani</w:t>
                  </w:r>
                  <w:proofErr w:type="spellEnd"/>
                  <w:r w:rsidRPr="00A10374">
                    <w:rPr>
                      <w:rFonts w:ascii="Times New Roman" w:hAnsi="Times New Roman"/>
                      <w:color w:val="000000"/>
                      <w:lang w:val="ro-RO"/>
                    </w:rPr>
                    <w:t>, str. Socoleni, 11, ap.(of.) 26</w:t>
                  </w:r>
                </w:p>
              </w:tc>
              <w:tc>
                <w:tcPr>
                  <w:tcW w:w="2202" w:type="dxa"/>
                  <w:vAlign w:val="center"/>
                </w:tcPr>
                <w:p w14:paraId="00AA5134" w14:textId="4103BE2E"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1</w:t>
                  </w:r>
                </w:p>
              </w:tc>
            </w:tr>
            <w:tr w:rsidR="00702931" w:rsidRPr="00A10374" w14:paraId="37ABA311" w14:textId="77777777" w:rsidTr="001A76A5">
              <w:tc>
                <w:tcPr>
                  <w:tcW w:w="728" w:type="dxa"/>
                </w:tcPr>
                <w:p w14:paraId="1F652734" w14:textId="77777777" w:rsidR="00702931" w:rsidRPr="00A10374" w:rsidRDefault="00702931" w:rsidP="00702931">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069DB85B" w14:textId="139EB7D4"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SRL Energy R&amp;D</w:t>
                  </w:r>
                </w:p>
              </w:tc>
              <w:tc>
                <w:tcPr>
                  <w:tcW w:w="3260" w:type="dxa"/>
                  <w:vAlign w:val="center"/>
                </w:tcPr>
                <w:p w14:paraId="6BB632F4" w14:textId="6D9BEAB7"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xml:space="preserve">, sec. </w:t>
                  </w:r>
                  <w:proofErr w:type="spellStart"/>
                  <w:r w:rsidRPr="00A10374">
                    <w:rPr>
                      <w:rFonts w:ascii="Times New Roman" w:hAnsi="Times New Roman"/>
                      <w:color w:val="000000"/>
                      <w:lang w:val="ro-RO"/>
                    </w:rPr>
                    <w:t>Rîşcani</w:t>
                  </w:r>
                  <w:proofErr w:type="spellEnd"/>
                  <w:r w:rsidRPr="00A10374">
                    <w:rPr>
                      <w:rFonts w:ascii="Times New Roman" w:hAnsi="Times New Roman"/>
                      <w:color w:val="000000"/>
                      <w:lang w:val="ro-RO"/>
                    </w:rPr>
                    <w:t xml:space="preserve">, str. Moara </w:t>
                  </w:r>
                  <w:proofErr w:type="spellStart"/>
                  <w:r w:rsidRPr="00A10374">
                    <w:rPr>
                      <w:rFonts w:ascii="Times New Roman" w:hAnsi="Times New Roman"/>
                      <w:color w:val="000000"/>
                      <w:lang w:val="ro-RO"/>
                    </w:rPr>
                    <w:t>Roşie</w:t>
                  </w:r>
                  <w:proofErr w:type="spellEnd"/>
                  <w:r w:rsidRPr="00A10374">
                    <w:rPr>
                      <w:rFonts w:ascii="Times New Roman" w:hAnsi="Times New Roman"/>
                      <w:color w:val="000000"/>
                      <w:lang w:val="ro-RO"/>
                    </w:rPr>
                    <w:t>, 5/E, ap.(of.) 12</w:t>
                  </w:r>
                </w:p>
              </w:tc>
              <w:tc>
                <w:tcPr>
                  <w:tcW w:w="2202" w:type="dxa"/>
                  <w:vAlign w:val="center"/>
                </w:tcPr>
                <w:p w14:paraId="47CDA7D0" w14:textId="118864DF"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3</w:t>
                  </w:r>
                </w:p>
              </w:tc>
            </w:tr>
            <w:tr w:rsidR="00702931" w:rsidRPr="00A10374" w14:paraId="4E097FE9" w14:textId="77777777" w:rsidTr="001A76A5">
              <w:tc>
                <w:tcPr>
                  <w:tcW w:w="728" w:type="dxa"/>
                </w:tcPr>
                <w:p w14:paraId="72496AC0" w14:textId="77777777" w:rsidR="00702931" w:rsidRPr="00A10374" w:rsidRDefault="00702931" w:rsidP="00702931">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05914ED9" w14:textId="4AFF0E3E"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SRL ABP Project</w:t>
                  </w:r>
                </w:p>
              </w:tc>
              <w:tc>
                <w:tcPr>
                  <w:tcW w:w="3260" w:type="dxa"/>
                  <w:vAlign w:val="center"/>
                </w:tcPr>
                <w:p w14:paraId="328AA17E" w14:textId="65337799"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sec. Buiucani, str. Creangă Ion, 45, ap.(of.) 319</w:t>
                  </w:r>
                </w:p>
              </w:tc>
              <w:tc>
                <w:tcPr>
                  <w:tcW w:w="2202" w:type="dxa"/>
                  <w:vAlign w:val="center"/>
                </w:tcPr>
                <w:p w14:paraId="0B621D44" w14:textId="02801276"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1</w:t>
                  </w:r>
                </w:p>
              </w:tc>
            </w:tr>
            <w:tr w:rsidR="00702931" w:rsidRPr="00A10374" w14:paraId="078BD53F" w14:textId="77777777" w:rsidTr="001A76A5">
              <w:tc>
                <w:tcPr>
                  <w:tcW w:w="728" w:type="dxa"/>
                </w:tcPr>
                <w:p w14:paraId="6D7A7601" w14:textId="77777777" w:rsidR="00702931" w:rsidRPr="00A10374" w:rsidRDefault="00702931" w:rsidP="00702931">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0E0DE759" w14:textId="35D22C47"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SRL WPC ENERGY</w:t>
                  </w:r>
                </w:p>
              </w:tc>
              <w:tc>
                <w:tcPr>
                  <w:tcW w:w="3260" w:type="dxa"/>
                  <w:vAlign w:val="center"/>
                </w:tcPr>
                <w:p w14:paraId="4670F2DC" w14:textId="6790B446"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sec. Buiucani, str. Lupu Vasile, 83, ap.(of.) 11</w:t>
                  </w:r>
                </w:p>
              </w:tc>
              <w:tc>
                <w:tcPr>
                  <w:tcW w:w="2202" w:type="dxa"/>
                  <w:vAlign w:val="center"/>
                </w:tcPr>
                <w:p w14:paraId="7621BE3B" w14:textId="3560CA19"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9</w:t>
                  </w:r>
                </w:p>
              </w:tc>
            </w:tr>
            <w:tr w:rsidR="00702931" w:rsidRPr="00A10374" w14:paraId="00154E7E" w14:textId="77777777" w:rsidTr="001A76A5">
              <w:tc>
                <w:tcPr>
                  <w:tcW w:w="728" w:type="dxa"/>
                </w:tcPr>
                <w:p w14:paraId="60F51472" w14:textId="77777777" w:rsidR="00702931" w:rsidRPr="00A10374" w:rsidRDefault="00702931" w:rsidP="00702931">
                  <w:pPr>
                    <w:pStyle w:val="ListParagraph"/>
                    <w:numPr>
                      <w:ilvl w:val="0"/>
                      <w:numId w:val="14"/>
                    </w:numPr>
                    <w:tabs>
                      <w:tab w:val="left" w:pos="884"/>
                      <w:tab w:val="left" w:pos="1196"/>
                    </w:tabs>
                    <w:ind w:left="357" w:hanging="357"/>
                    <w:contextualSpacing w:val="0"/>
                    <w:rPr>
                      <w:rFonts w:ascii="Times New Roman" w:hAnsi="Times New Roman"/>
                      <w:lang w:val="ro-RO"/>
                    </w:rPr>
                  </w:pPr>
                </w:p>
              </w:tc>
              <w:tc>
                <w:tcPr>
                  <w:tcW w:w="2693" w:type="dxa"/>
                  <w:vAlign w:val="center"/>
                </w:tcPr>
                <w:p w14:paraId="351E4ED4" w14:textId="5D35E21E"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SRL SINERGETIKA Consulting Ltd.</w:t>
                  </w:r>
                </w:p>
              </w:tc>
              <w:tc>
                <w:tcPr>
                  <w:tcW w:w="3260" w:type="dxa"/>
                  <w:vAlign w:val="center"/>
                </w:tcPr>
                <w:p w14:paraId="66C2E6B1" w14:textId="77308C36" w:rsidR="00702931" w:rsidRPr="00A10374" w:rsidRDefault="00702931" w:rsidP="001A76A5">
                  <w:pPr>
                    <w:tabs>
                      <w:tab w:val="left" w:pos="884"/>
                      <w:tab w:val="left" w:pos="1196"/>
                    </w:tabs>
                    <w:rPr>
                      <w:rFonts w:ascii="Times New Roman" w:hAnsi="Times New Roman"/>
                      <w:lang w:val="ro-RO"/>
                    </w:rPr>
                  </w:pPr>
                  <w:r w:rsidRPr="00A10374">
                    <w:rPr>
                      <w:rFonts w:ascii="Times New Roman" w:hAnsi="Times New Roman"/>
                      <w:color w:val="000000"/>
                      <w:lang w:val="ro-RO"/>
                    </w:rPr>
                    <w:t xml:space="preserve">mun. </w:t>
                  </w:r>
                  <w:proofErr w:type="spellStart"/>
                  <w:r w:rsidRPr="00A10374">
                    <w:rPr>
                      <w:rFonts w:ascii="Times New Roman" w:hAnsi="Times New Roman"/>
                      <w:color w:val="000000"/>
                      <w:lang w:val="ro-RO"/>
                    </w:rPr>
                    <w:t>Chişinău</w:t>
                  </w:r>
                  <w:proofErr w:type="spellEnd"/>
                  <w:r w:rsidRPr="00A10374">
                    <w:rPr>
                      <w:rFonts w:ascii="Times New Roman" w:hAnsi="Times New Roman"/>
                      <w:color w:val="000000"/>
                      <w:lang w:val="ro-RO"/>
                    </w:rPr>
                    <w:t xml:space="preserve">, sec. </w:t>
                  </w:r>
                  <w:proofErr w:type="spellStart"/>
                  <w:r w:rsidRPr="00A10374">
                    <w:rPr>
                      <w:rFonts w:ascii="Times New Roman" w:hAnsi="Times New Roman"/>
                      <w:color w:val="000000"/>
                      <w:lang w:val="ro-RO"/>
                    </w:rPr>
                    <w:t>Ciocana</w:t>
                  </w:r>
                  <w:proofErr w:type="spellEnd"/>
                  <w:r w:rsidRPr="00A10374">
                    <w:rPr>
                      <w:rFonts w:ascii="Times New Roman" w:hAnsi="Times New Roman"/>
                      <w:color w:val="000000"/>
                      <w:lang w:val="ro-RO"/>
                    </w:rPr>
                    <w:t>, str. Russo Alecu, 63/4, ap.(of.) 24</w:t>
                  </w:r>
                </w:p>
              </w:tc>
              <w:tc>
                <w:tcPr>
                  <w:tcW w:w="2202" w:type="dxa"/>
                  <w:vAlign w:val="center"/>
                </w:tcPr>
                <w:p w14:paraId="5E18FFAC" w14:textId="1C7FE25D" w:rsidR="00702931" w:rsidRPr="00A10374" w:rsidRDefault="00702931" w:rsidP="001A76A5">
                  <w:pPr>
                    <w:tabs>
                      <w:tab w:val="left" w:pos="884"/>
                      <w:tab w:val="left" w:pos="1196"/>
                    </w:tabs>
                    <w:jc w:val="center"/>
                    <w:rPr>
                      <w:rFonts w:ascii="Times New Roman" w:hAnsi="Times New Roman"/>
                      <w:lang w:val="ro-RO"/>
                    </w:rPr>
                  </w:pPr>
                  <w:r w:rsidRPr="00A10374">
                    <w:rPr>
                      <w:rFonts w:ascii="Times New Roman" w:hAnsi="Times New Roman"/>
                      <w:color w:val="000000"/>
                      <w:lang w:val="ro-RO"/>
                    </w:rPr>
                    <w:t>1</w:t>
                  </w:r>
                </w:p>
              </w:tc>
            </w:tr>
          </w:tbl>
          <w:p w14:paraId="35A4D844" w14:textId="77777777" w:rsidR="0020204D" w:rsidRPr="00A10374" w:rsidRDefault="00702931" w:rsidP="005F1688">
            <w:pPr>
              <w:tabs>
                <w:tab w:val="left" w:pos="884"/>
                <w:tab w:val="left" w:pos="1196"/>
              </w:tabs>
              <w:spacing w:before="120" w:after="120"/>
              <w:jc w:val="both"/>
              <w:rPr>
                <w:rFonts w:ascii="Times New Roman" w:hAnsi="Times New Roman"/>
                <w:lang w:val="ro-RO"/>
              </w:rPr>
            </w:pPr>
            <w:r w:rsidRPr="00A10374">
              <w:rPr>
                <w:rFonts w:ascii="Times New Roman" w:hAnsi="Times New Roman"/>
                <w:lang w:val="ro-RO"/>
              </w:rPr>
              <w:t xml:space="preserve">Chiar dacă majoritatea întreprinderilor care au efectuat audituri energetice sunt societăți comerciale, totuși există și Asociații Obștești precum și întreprinderi individuale care au prestat astfel de servicii. </w:t>
            </w:r>
          </w:p>
          <w:p w14:paraId="7A525B7B" w14:textId="3D4268F7" w:rsidR="00364A24" w:rsidRPr="00A10374" w:rsidRDefault="00413CCA" w:rsidP="005F1688">
            <w:pPr>
              <w:tabs>
                <w:tab w:val="left" w:pos="884"/>
                <w:tab w:val="left" w:pos="1196"/>
              </w:tabs>
              <w:spacing w:before="120" w:after="120"/>
              <w:jc w:val="both"/>
              <w:rPr>
                <w:rFonts w:ascii="Times New Roman" w:hAnsi="Times New Roman"/>
                <w:lang w:val="ro-RO"/>
              </w:rPr>
            </w:pPr>
            <w:r w:rsidRPr="00A10374">
              <w:rPr>
                <w:rFonts w:ascii="Times New Roman" w:hAnsi="Times New Roman"/>
                <w:lang w:val="ro-RO"/>
              </w:rPr>
              <w:t xml:space="preserve">Cu referire la garanțiile </w:t>
            </w:r>
            <w:r w:rsidR="008E0278" w:rsidRPr="00A10374">
              <w:rPr>
                <w:rFonts w:ascii="Times New Roman" w:hAnsi="Times New Roman"/>
                <w:lang w:val="ro-RO"/>
              </w:rPr>
              <w:t xml:space="preserve">și compensațiile </w:t>
            </w:r>
            <w:r w:rsidRPr="00A10374">
              <w:rPr>
                <w:rFonts w:ascii="Times New Roman" w:hAnsi="Times New Roman"/>
                <w:lang w:val="ro-RO"/>
              </w:rPr>
              <w:t xml:space="preserve">financiare ce urmează a fi oferite prin intermediul IP CNED, este de menționat că </w:t>
            </w:r>
            <w:r w:rsidR="006A03F4" w:rsidRPr="00A10374">
              <w:rPr>
                <w:rFonts w:ascii="Times New Roman" w:hAnsi="Times New Roman"/>
                <w:lang w:val="ro-RO"/>
              </w:rPr>
              <w:t xml:space="preserve">în </w:t>
            </w:r>
            <w:r w:rsidRPr="00A10374">
              <w:rPr>
                <w:rFonts w:ascii="Times New Roman" w:hAnsi="Times New Roman"/>
                <w:lang w:val="ro-RO"/>
              </w:rPr>
              <w:t>conform</w:t>
            </w:r>
            <w:r w:rsidR="006A03F4" w:rsidRPr="00A10374">
              <w:rPr>
                <w:rFonts w:ascii="Times New Roman" w:hAnsi="Times New Roman"/>
                <w:lang w:val="ro-RO"/>
              </w:rPr>
              <w:t>itate cu</w:t>
            </w:r>
            <w:r w:rsidRPr="00A10374">
              <w:rPr>
                <w:rFonts w:ascii="Times New Roman" w:hAnsi="Times New Roman"/>
                <w:lang w:val="ro-RO"/>
              </w:rPr>
              <w:t xml:space="preserve"> </w:t>
            </w:r>
            <w:r w:rsidR="006A03F4" w:rsidRPr="00A10374">
              <w:rPr>
                <w:rFonts w:ascii="Times New Roman" w:hAnsi="Times New Roman"/>
                <w:lang w:val="ro-RO"/>
              </w:rPr>
              <w:t>estimările</w:t>
            </w:r>
            <w:r w:rsidRPr="00A10374">
              <w:rPr>
                <w:rFonts w:ascii="Times New Roman" w:hAnsi="Times New Roman"/>
                <w:lang w:val="ro-RO"/>
              </w:rPr>
              <w:t xml:space="preserve"> efectuate</w:t>
            </w:r>
            <w:r w:rsidR="006A03F4" w:rsidRPr="00A10374">
              <w:rPr>
                <w:rFonts w:ascii="Times New Roman" w:hAnsi="Times New Roman"/>
                <w:lang w:val="ro-RO"/>
              </w:rPr>
              <w:t>,</w:t>
            </w:r>
            <w:r w:rsidRPr="00A10374">
              <w:rPr>
                <w:rFonts w:ascii="Times New Roman" w:hAnsi="Times New Roman"/>
                <w:lang w:val="ro-RO"/>
              </w:rPr>
              <w:t xml:space="preserve"> instituirea acestui mecanism va facilita accesul la finanțare pentru </w:t>
            </w:r>
            <w:r w:rsidR="004131A7">
              <w:rPr>
                <w:rFonts w:ascii="Times New Roman" w:hAnsi="Times New Roman"/>
                <w:lang w:val="ro-RO"/>
              </w:rPr>
              <w:t>88</w:t>
            </w:r>
            <w:r w:rsidR="004131A7" w:rsidRPr="00A10374">
              <w:rPr>
                <w:rFonts w:ascii="Times New Roman" w:hAnsi="Times New Roman"/>
                <w:lang w:val="ro-RO"/>
              </w:rPr>
              <w:t xml:space="preserve"> </w:t>
            </w:r>
            <w:r w:rsidRPr="00A10374">
              <w:rPr>
                <w:rFonts w:ascii="Times New Roman" w:hAnsi="Times New Roman"/>
                <w:lang w:val="ro-RO"/>
              </w:rPr>
              <w:t xml:space="preserve">Asociații de proprietari în condominiu, </w:t>
            </w:r>
            <w:r w:rsidR="000241FD" w:rsidRPr="00A10374">
              <w:rPr>
                <w:rFonts w:ascii="Times New Roman" w:hAnsi="Times New Roman"/>
                <w:lang w:val="ro-RO"/>
              </w:rPr>
              <w:t>, estimările fiind efectuate în baza Programului de finanțare FEERM.</w:t>
            </w:r>
          </w:p>
          <w:p w14:paraId="5A0357D8" w14:textId="75934051" w:rsidR="00364A24" w:rsidRPr="00A10374" w:rsidRDefault="00364A24" w:rsidP="005F1688">
            <w:pPr>
              <w:tabs>
                <w:tab w:val="left" w:pos="884"/>
                <w:tab w:val="left" w:pos="1196"/>
              </w:tabs>
              <w:spacing w:before="120" w:after="120"/>
              <w:jc w:val="both"/>
              <w:rPr>
                <w:rFonts w:ascii="Times New Roman" w:hAnsi="Times New Roman"/>
                <w:lang w:val="ro-RO"/>
              </w:rPr>
            </w:pPr>
            <w:r w:rsidRPr="00A10374">
              <w:rPr>
                <w:rFonts w:ascii="Times New Roman" w:hAnsi="Times New Roman"/>
                <w:lang w:val="ro-RO"/>
              </w:rPr>
              <w:t xml:space="preserve">Totodată, </w:t>
            </w:r>
            <w:r w:rsidRPr="00A10374">
              <w:rPr>
                <w:rFonts w:ascii="Times New Roman" w:hAnsi="Times New Roman"/>
                <w:shd w:val="clear" w:color="auto" w:fill="FFFFFF"/>
                <w:lang w:val="ro-RO"/>
              </w:rPr>
              <w:t>oferirea posibilității asociațiilor de proprietari în condominiu și proprietarilor de case individuale de a selecta în mod individual agentul economic care va executa lucrările aferente implementării proiectelor de EE și/sau valorificare a SER</w:t>
            </w:r>
            <w:r w:rsidRPr="00A10374">
              <w:rPr>
                <w:rFonts w:ascii="Times New Roman" w:hAnsi="Times New Roman"/>
                <w:lang w:val="ro-RO"/>
              </w:rPr>
              <w:t xml:space="preserve"> va fi efectuată în condițiile unui produs de finanțare elaborat în acest sens de </w:t>
            </w:r>
            <w:r w:rsidR="00C55F8A" w:rsidRPr="00A10374">
              <w:rPr>
                <w:rFonts w:ascii="Times New Roman" w:hAnsi="Times New Roman"/>
                <w:lang w:val="ro-RO"/>
              </w:rPr>
              <w:t>IP CNED</w:t>
            </w:r>
            <w:r w:rsidRPr="00A10374">
              <w:rPr>
                <w:rFonts w:ascii="Times New Roman" w:hAnsi="Times New Roman"/>
                <w:lang w:val="ro-RO"/>
              </w:rPr>
              <w:t xml:space="preserve">. </w:t>
            </w:r>
          </w:p>
          <w:p w14:paraId="318F150B" w14:textId="77777777" w:rsidR="00C55F8A" w:rsidRPr="00A10374" w:rsidRDefault="00BA50BC" w:rsidP="005F1688">
            <w:pPr>
              <w:tabs>
                <w:tab w:val="left" w:pos="884"/>
                <w:tab w:val="left" w:pos="1196"/>
              </w:tabs>
              <w:spacing w:before="120" w:after="120"/>
              <w:jc w:val="both"/>
              <w:rPr>
                <w:rFonts w:ascii="Times New Roman" w:hAnsi="Times New Roman"/>
                <w:lang w:val="ro-RO"/>
              </w:rPr>
            </w:pPr>
            <w:r w:rsidRPr="00A10374">
              <w:rPr>
                <w:rFonts w:ascii="Times New Roman" w:hAnsi="Times New Roman"/>
                <w:lang w:val="ro-RO"/>
              </w:rPr>
              <w:lastRenderedPageBreak/>
              <w:t>În tab</w:t>
            </w:r>
            <w:r w:rsidR="00C55F8A" w:rsidRPr="00A10374">
              <w:rPr>
                <w:rFonts w:ascii="Times New Roman" w:hAnsi="Times New Roman"/>
                <w:lang w:val="ro-RO"/>
              </w:rPr>
              <w:t>elul de mai jos sunt prezentate calculele pentru produsele de finanțare lansate de IP CNED precum și cele care urmează a fi aprobate, precum și sursă de acoperire a acestora:</w:t>
            </w:r>
          </w:p>
          <w:p w14:paraId="15333DFB" w14:textId="3C098D06" w:rsidR="00C55F8A" w:rsidRPr="00A10374" w:rsidRDefault="00C55F8A" w:rsidP="005F1688">
            <w:pPr>
              <w:tabs>
                <w:tab w:val="left" w:pos="884"/>
                <w:tab w:val="left" w:pos="1196"/>
              </w:tabs>
              <w:spacing w:before="120" w:after="120"/>
              <w:jc w:val="both"/>
              <w:rPr>
                <w:rFonts w:ascii="Times New Roman" w:hAnsi="Times New Roman"/>
                <w:lang w:val="ro-RO"/>
              </w:rPr>
            </w:pPr>
            <w:r w:rsidRPr="00A10374">
              <w:rPr>
                <w:rFonts w:ascii="Times New Roman" w:hAnsi="Times New Roman"/>
                <w:b/>
                <w:lang w:val="ro-RO"/>
              </w:rPr>
              <w:t xml:space="preserve">Tabelul </w:t>
            </w:r>
            <w:r w:rsidR="00ED29FB">
              <w:rPr>
                <w:rFonts w:ascii="Times New Roman" w:hAnsi="Times New Roman"/>
                <w:b/>
                <w:lang w:val="ro-RO"/>
              </w:rPr>
              <w:t>5</w:t>
            </w:r>
            <w:r w:rsidRPr="00A10374">
              <w:rPr>
                <w:rFonts w:ascii="Times New Roman" w:hAnsi="Times New Roman"/>
                <w:b/>
                <w:lang w:val="ro-RO"/>
              </w:rPr>
              <w:t>.</w:t>
            </w:r>
            <w:r w:rsidRPr="00A10374">
              <w:rPr>
                <w:rFonts w:ascii="Times New Roman" w:hAnsi="Times New Roman"/>
                <w:lang w:val="ro-RO"/>
              </w:rPr>
              <w:t xml:space="preserve"> Informații cu privire la produsele de finanțare și sursele de acoperire a acestora</w:t>
            </w:r>
            <w:r w:rsidR="00364A24" w:rsidRPr="00A10374">
              <w:rPr>
                <w:rFonts w:ascii="Times New Roman" w:hAnsi="Times New Roman"/>
                <w:lang w:val="ro-RO"/>
              </w:rPr>
              <w:t xml:space="preserve"> </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1778"/>
              <w:gridCol w:w="1618"/>
              <w:gridCol w:w="1658"/>
              <w:gridCol w:w="1318"/>
            </w:tblGrid>
            <w:tr w:rsidR="00C55F8A" w:rsidRPr="00A10374" w14:paraId="6ED2231B" w14:textId="77777777" w:rsidTr="005F1688">
              <w:trPr>
                <w:trHeight w:val="1450"/>
              </w:trPr>
              <w:tc>
                <w:tcPr>
                  <w:tcW w:w="2740" w:type="dxa"/>
                  <w:tcBorders>
                    <w:tl2br w:val="single" w:sz="4" w:space="0" w:color="auto"/>
                  </w:tcBorders>
                  <w:shd w:val="clear" w:color="000000" w:fill="C5D9F1"/>
                  <w:noWrap/>
                  <w:hideMark/>
                </w:tcPr>
                <w:p w14:paraId="1B4EBCB7" w14:textId="77777777" w:rsidR="00C55F8A" w:rsidRPr="00A10374" w:rsidRDefault="00C55F8A">
                  <w:pPr>
                    <w:rPr>
                      <w:b/>
                      <w:bCs/>
                      <w:color w:val="000000"/>
                      <w:sz w:val="22"/>
                      <w:szCs w:val="22"/>
                      <w:lang w:val="ro-RO"/>
                    </w:rPr>
                  </w:pPr>
                  <w:r w:rsidRPr="00A10374">
                    <w:rPr>
                      <w:b/>
                      <w:bCs/>
                      <w:color w:val="000000"/>
                      <w:sz w:val="22"/>
                      <w:szCs w:val="22"/>
                      <w:lang w:val="ro-RO"/>
                    </w:rPr>
                    <w:t>         Sursa de finanțare</w:t>
                  </w:r>
                </w:p>
                <w:p w14:paraId="36AA7386" w14:textId="77777777" w:rsidR="00C55F8A" w:rsidRPr="00A10374" w:rsidRDefault="00C55F8A">
                  <w:pPr>
                    <w:rPr>
                      <w:b/>
                      <w:bCs/>
                      <w:color w:val="000000"/>
                      <w:sz w:val="22"/>
                      <w:szCs w:val="22"/>
                      <w:lang w:val="ro-RO"/>
                    </w:rPr>
                  </w:pPr>
                </w:p>
                <w:p w14:paraId="7EC71CA5" w14:textId="6FD5A8B4" w:rsidR="00C55F8A" w:rsidRPr="00A10374" w:rsidRDefault="00C55F8A">
                  <w:pPr>
                    <w:rPr>
                      <w:b/>
                      <w:bCs/>
                      <w:color w:val="000000"/>
                      <w:sz w:val="22"/>
                      <w:szCs w:val="22"/>
                      <w:lang w:val="ro-RO"/>
                    </w:rPr>
                  </w:pPr>
                  <w:r w:rsidRPr="00A10374">
                    <w:rPr>
                      <w:b/>
                      <w:bCs/>
                      <w:color w:val="000000"/>
                      <w:sz w:val="22"/>
                      <w:szCs w:val="22"/>
                      <w:lang w:val="ro-RO"/>
                    </w:rPr>
                    <w:t xml:space="preserve">Produsul </w:t>
                  </w:r>
                  <w:r w:rsidRPr="00A10374">
                    <w:rPr>
                      <w:b/>
                      <w:bCs/>
                      <w:color w:val="000000"/>
                      <w:sz w:val="22"/>
                      <w:szCs w:val="22"/>
                      <w:lang w:val="ro-RO"/>
                    </w:rPr>
                    <w:br/>
                    <w:t>de finanțare</w:t>
                  </w:r>
                </w:p>
              </w:tc>
              <w:tc>
                <w:tcPr>
                  <w:tcW w:w="1780" w:type="dxa"/>
                  <w:shd w:val="clear" w:color="000000" w:fill="C5D9F1"/>
                  <w:noWrap/>
                  <w:vAlign w:val="center"/>
                  <w:hideMark/>
                </w:tcPr>
                <w:p w14:paraId="37A2ED7D" w14:textId="025928C4" w:rsidR="00C55F8A" w:rsidRPr="00A10374" w:rsidRDefault="00C55F8A" w:rsidP="00C55F8A">
                  <w:pPr>
                    <w:jc w:val="center"/>
                    <w:rPr>
                      <w:b/>
                      <w:bCs/>
                      <w:color w:val="000000"/>
                      <w:sz w:val="22"/>
                      <w:szCs w:val="22"/>
                      <w:lang w:val="ro-RO"/>
                    </w:rPr>
                  </w:pPr>
                  <w:r w:rsidRPr="00A10374">
                    <w:rPr>
                      <w:b/>
                      <w:bCs/>
                      <w:color w:val="000000"/>
                      <w:sz w:val="22"/>
                      <w:szCs w:val="22"/>
                      <w:lang w:val="ro-RO"/>
                    </w:rPr>
                    <w:t>SOEE, mil</w:t>
                  </w:r>
                  <w:r w:rsidR="004428C5" w:rsidRPr="00A10374">
                    <w:rPr>
                      <w:b/>
                      <w:bCs/>
                      <w:color w:val="000000"/>
                      <w:sz w:val="22"/>
                      <w:szCs w:val="22"/>
                      <w:lang w:val="ro-RO"/>
                    </w:rPr>
                    <w:t>.</w:t>
                  </w:r>
                  <w:r w:rsidRPr="00A10374">
                    <w:rPr>
                      <w:b/>
                      <w:bCs/>
                      <w:color w:val="000000"/>
                      <w:sz w:val="22"/>
                      <w:szCs w:val="22"/>
                      <w:lang w:val="ro-RO"/>
                    </w:rPr>
                    <w:t xml:space="preserve"> lei</w:t>
                  </w:r>
                </w:p>
              </w:tc>
              <w:tc>
                <w:tcPr>
                  <w:tcW w:w="1620" w:type="dxa"/>
                  <w:shd w:val="clear" w:color="000000" w:fill="C5D9F1"/>
                  <w:vAlign w:val="center"/>
                  <w:hideMark/>
                </w:tcPr>
                <w:p w14:paraId="007DAA0F" w14:textId="77777777" w:rsidR="00C55F8A" w:rsidRPr="00A10374" w:rsidRDefault="00C55F8A" w:rsidP="00C55F8A">
                  <w:pPr>
                    <w:jc w:val="center"/>
                    <w:rPr>
                      <w:b/>
                      <w:bCs/>
                      <w:color w:val="000000"/>
                      <w:sz w:val="22"/>
                      <w:szCs w:val="22"/>
                      <w:lang w:val="ro-RO"/>
                    </w:rPr>
                  </w:pPr>
                  <w:proofErr w:type="spellStart"/>
                  <w:r w:rsidRPr="00A10374">
                    <w:rPr>
                      <w:b/>
                      <w:bCs/>
                      <w:color w:val="000000"/>
                      <w:sz w:val="22"/>
                      <w:szCs w:val="22"/>
                      <w:lang w:val="ro-RO"/>
                    </w:rPr>
                    <w:t>Contributii</w:t>
                  </w:r>
                  <w:proofErr w:type="spellEnd"/>
                  <w:r w:rsidRPr="00A10374">
                    <w:rPr>
                      <w:b/>
                      <w:bCs/>
                      <w:color w:val="000000"/>
                      <w:sz w:val="22"/>
                      <w:szCs w:val="22"/>
                      <w:lang w:val="ro-RO"/>
                    </w:rPr>
                    <w:t xml:space="preserve"> estimate parteneri de dezvoltare, mil. Lei</w:t>
                  </w:r>
                </w:p>
              </w:tc>
              <w:tc>
                <w:tcPr>
                  <w:tcW w:w="1660" w:type="dxa"/>
                  <w:shd w:val="clear" w:color="000000" w:fill="C5D9F1"/>
                  <w:noWrap/>
                  <w:vAlign w:val="center"/>
                  <w:hideMark/>
                </w:tcPr>
                <w:p w14:paraId="6FF1A629" w14:textId="77777777" w:rsidR="00C55F8A" w:rsidRPr="00A10374" w:rsidRDefault="00C55F8A" w:rsidP="00C55F8A">
                  <w:pPr>
                    <w:jc w:val="center"/>
                    <w:rPr>
                      <w:b/>
                      <w:bCs/>
                      <w:color w:val="000000"/>
                      <w:sz w:val="22"/>
                      <w:szCs w:val="22"/>
                      <w:lang w:val="ro-RO"/>
                    </w:rPr>
                  </w:pPr>
                  <w:r w:rsidRPr="00A10374">
                    <w:rPr>
                      <w:b/>
                      <w:bCs/>
                      <w:color w:val="000000"/>
                      <w:sz w:val="22"/>
                      <w:szCs w:val="22"/>
                      <w:lang w:val="ro-RO"/>
                    </w:rPr>
                    <w:t>FRVE, mil. Lei</w:t>
                  </w:r>
                </w:p>
              </w:tc>
              <w:tc>
                <w:tcPr>
                  <w:tcW w:w="1320" w:type="dxa"/>
                  <w:shd w:val="clear" w:color="000000" w:fill="C5D9F1"/>
                  <w:vAlign w:val="center"/>
                  <w:hideMark/>
                </w:tcPr>
                <w:p w14:paraId="24807340" w14:textId="77777777" w:rsidR="00C55F8A" w:rsidRPr="00A10374" w:rsidRDefault="00C55F8A" w:rsidP="00C55F8A">
                  <w:pPr>
                    <w:jc w:val="center"/>
                    <w:rPr>
                      <w:b/>
                      <w:bCs/>
                      <w:color w:val="000000"/>
                      <w:sz w:val="22"/>
                      <w:szCs w:val="22"/>
                      <w:lang w:val="ro-RO"/>
                    </w:rPr>
                  </w:pPr>
                  <w:proofErr w:type="spellStart"/>
                  <w:r w:rsidRPr="00A10374">
                    <w:rPr>
                      <w:b/>
                      <w:bCs/>
                      <w:color w:val="000000"/>
                      <w:sz w:val="22"/>
                      <w:szCs w:val="22"/>
                      <w:lang w:val="ro-RO"/>
                    </w:rPr>
                    <w:t>Contributii</w:t>
                  </w:r>
                  <w:proofErr w:type="spellEnd"/>
                  <w:r w:rsidRPr="00A10374">
                    <w:rPr>
                      <w:b/>
                      <w:bCs/>
                      <w:color w:val="000000"/>
                      <w:sz w:val="22"/>
                      <w:szCs w:val="22"/>
                      <w:lang w:val="ro-RO"/>
                    </w:rPr>
                    <w:t xml:space="preserve"> proprii, mil. Lei</w:t>
                  </w:r>
                </w:p>
              </w:tc>
            </w:tr>
            <w:tr w:rsidR="00C55F8A" w:rsidRPr="00A10374" w14:paraId="327295DB" w14:textId="77777777" w:rsidTr="00B313EF">
              <w:trPr>
                <w:trHeight w:val="290"/>
              </w:trPr>
              <w:tc>
                <w:tcPr>
                  <w:tcW w:w="2740" w:type="dxa"/>
                  <w:shd w:val="clear" w:color="auto" w:fill="auto"/>
                  <w:noWrap/>
                  <w:vAlign w:val="bottom"/>
                  <w:hideMark/>
                </w:tcPr>
                <w:p w14:paraId="0E99C03E" w14:textId="7A72F0AD" w:rsidR="00C55F8A" w:rsidRPr="00A10374" w:rsidRDefault="00C55F8A" w:rsidP="00C55F8A">
                  <w:pPr>
                    <w:rPr>
                      <w:color w:val="000000"/>
                      <w:sz w:val="22"/>
                      <w:szCs w:val="22"/>
                      <w:lang w:val="ro-RO"/>
                    </w:rPr>
                  </w:pPr>
                  <w:r w:rsidRPr="00A10374">
                    <w:rPr>
                      <w:color w:val="000000"/>
                      <w:sz w:val="22"/>
                      <w:szCs w:val="22"/>
                      <w:lang w:val="ro-RO"/>
                    </w:rPr>
                    <w:t>Produs de finanțare APC</w:t>
                  </w:r>
                </w:p>
              </w:tc>
              <w:tc>
                <w:tcPr>
                  <w:tcW w:w="1780" w:type="dxa"/>
                  <w:shd w:val="clear" w:color="auto" w:fill="auto"/>
                  <w:noWrap/>
                  <w:vAlign w:val="center"/>
                  <w:hideMark/>
                </w:tcPr>
                <w:p w14:paraId="3B70C0B2" w14:textId="77777777" w:rsidR="00C55F8A" w:rsidRPr="00A10374" w:rsidRDefault="00C55F8A" w:rsidP="00B313EF">
                  <w:pPr>
                    <w:jc w:val="center"/>
                    <w:rPr>
                      <w:color w:val="000000"/>
                      <w:sz w:val="22"/>
                      <w:szCs w:val="22"/>
                      <w:lang w:val="ro-RO"/>
                    </w:rPr>
                  </w:pPr>
                  <w:r w:rsidRPr="00A10374">
                    <w:rPr>
                      <w:color w:val="000000"/>
                      <w:sz w:val="22"/>
                      <w:szCs w:val="22"/>
                      <w:lang w:val="ro-RO"/>
                    </w:rPr>
                    <w:t>358.092</w:t>
                  </w:r>
                </w:p>
              </w:tc>
              <w:tc>
                <w:tcPr>
                  <w:tcW w:w="1620" w:type="dxa"/>
                  <w:shd w:val="clear" w:color="auto" w:fill="auto"/>
                  <w:noWrap/>
                  <w:vAlign w:val="center"/>
                  <w:hideMark/>
                </w:tcPr>
                <w:p w14:paraId="6F9D5303" w14:textId="77777777" w:rsidR="00C55F8A" w:rsidRPr="00A10374" w:rsidRDefault="00C55F8A" w:rsidP="00B313EF">
                  <w:pPr>
                    <w:jc w:val="center"/>
                    <w:rPr>
                      <w:color w:val="000000"/>
                      <w:sz w:val="22"/>
                      <w:szCs w:val="22"/>
                      <w:lang w:val="ro-RO"/>
                    </w:rPr>
                  </w:pPr>
                  <w:r w:rsidRPr="00A10374">
                    <w:rPr>
                      <w:color w:val="000000"/>
                      <w:sz w:val="22"/>
                      <w:szCs w:val="22"/>
                      <w:lang w:val="ro-RO"/>
                    </w:rPr>
                    <w:t>358.092</w:t>
                  </w:r>
                </w:p>
              </w:tc>
              <w:tc>
                <w:tcPr>
                  <w:tcW w:w="1660" w:type="dxa"/>
                  <w:shd w:val="clear" w:color="auto" w:fill="auto"/>
                  <w:noWrap/>
                  <w:vAlign w:val="center"/>
                  <w:hideMark/>
                </w:tcPr>
                <w:p w14:paraId="01869EF1" w14:textId="77777777" w:rsidR="00C55F8A" w:rsidRPr="00A10374" w:rsidRDefault="00C55F8A" w:rsidP="00B313EF">
                  <w:pPr>
                    <w:jc w:val="center"/>
                    <w:rPr>
                      <w:color w:val="000000"/>
                      <w:sz w:val="22"/>
                      <w:szCs w:val="22"/>
                      <w:lang w:val="ro-RO"/>
                    </w:rPr>
                  </w:pPr>
                  <w:r w:rsidRPr="00A10374">
                    <w:rPr>
                      <w:color w:val="000000"/>
                      <w:sz w:val="22"/>
                      <w:szCs w:val="22"/>
                      <w:lang w:val="ro-RO"/>
                    </w:rPr>
                    <w:t>168.508</w:t>
                  </w:r>
                </w:p>
              </w:tc>
              <w:tc>
                <w:tcPr>
                  <w:tcW w:w="1320" w:type="dxa"/>
                  <w:shd w:val="clear" w:color="auto" w:fill="auto"/>
                  <w:noWrap/>
                  <w:vAlign w:val="center"/>
                  <w:hideMark/>
                </w:tcPr>
                <w:p w14:paraId="248C38FA" w14:textId="77777777" w:rsidR="00C55F8A" w:rsidRPr="00A10374" w:rsidRDefault="00C55F8A" w:rsidP="00B313EF">
                  <w:pPr>
                    <w:jc w:val="center"/>
                    <w:rPr>
                      <w:color w:val="000000"/>
                      <w:sz w:val="22"/>
                      <w:szCs w:val="22"/>
                      <w:lang w:val="ro-RO"/>
                    </w:rPr>
                  </w:pPr>
                  <w:r w:rsidRPr="00A10374">
                    <w:rPr>
                      <w:color w:val="000000"/>
                      <w:sz w:val="22"/>
                      <w:szCs w:val="22"/>
                      <w:lang w:val="ro-RO"/>
                    </w:rPr>
                    <w:t>123.081</w:t>
                  </w:r>
                </w:p>
              </w:tc>
            </w:tr>
            <w:tr w:rsidR="00C55F8A" w:rsidRPr="00A10374" w14:paraId="0B7AB04D" w14:textId="77777777" w:rsidTr="00B313EF">
              <w:trPr>
                <w:trHeight w:val="870"/>
              </w:trPr>
              <w:tc>
                <w:tcPr>
                  <w:tcW w:w="2740" w:type="dxa"/>
                  <w:shd w:val="clear" w:color="auto" w:fill="auto"/>
                  <w:vAlign w:val="bottom"/>
                  <w:hideMark/>
                </w:tcPr>
                <w:p w14:paraId="70EBB907" w14:textId="6C926609" w:rsidR="00C55F8A" w:rsidRPr="00A10374" w:rsidRDefault="00C55F8A" w:rsidP="00C55F8A">
                  <w:pPr>
                    <w:rPr>
                      <w:color w:val="000000"/>
                      <w:sz w:val="22"/>
                      <w:szCs w:val="22"/>
                      <w:lang w:val="ro-RO"/>
                    </w:rPr>
                  </w:pPr>
                  <w:r w:rsidRPr="00A10374">
                    <w:rPr>
                      <w:color w:val="000000"/>
                      <w:sz w:val="22"/>
                      <w:szCs w:val="22"/>
                      <w:lang w:val="ro-RO"/>
                    </w:rPr>
                    <w:t>Produs de finanțare Case individuale, extrem vulnerabile</w:t>
                  </w:r>
                </w:p>
              </w:tc>
              <w:tc>
                <w:tcPr>
                  <w:tcW w:w="1780" w:type="dxa"/>
                  <w:shd w:val="clear" w:color="auto" w:fill="auto"/>
                  <w:noWrap/>
                  <w:vAlign w:val="center"/>
                  <w:hideMark/>
                </w:tcPr>
                <w:p w14:paraId="1E262829" w14:textId="77777777" w:rsidR="00C55F8A" w:rsidRPr="00A10374" w:rsidRDefault="00C55F8A" w:rsidP="00B313EF">
                  <w:pPr>
                    <w:jc w:val="center"/>
                    <w:rPr>
                      <w:color w:val="000000"/>
                      <w:sz w:val="22"/>
                      <w:szCs w:val="22"/>
                      <w:lang w:val="ro-RO"/>
                    </w:rPr>
                  </w:pPr>
                  <w:r w:rsidRPr="00A10374">
                    <w:rPr>
                      <w:color w:val="000000"/>
                      <w:sz w:val="22"/>
                      <w:szCs w:val="22"/>
                      <w:lang w:val="ro-RO"/>
                    </w:rPr>
                    <w:t>27.7</w:t>
                  </w:r>
                </w:p>
              </w:tc>
              <w:tc>
                <w:tcPr>
                  <w:tcW w:w="1620" w:type="dxa"/>
                  <w:shd w:val="clear" w:color="auto" w:fill="auto"/>
                  <w:noWrap/>
                  <w:vAlign w:val="center"/>
                  <w:hideMark/>
                </w:tcPr>
                <w:p w14:paraId="38DF6A43" w14:textId="77777777" w:rsidR="00C55F8A" w:rsidRPr="00A10374" w:rsidRDefault="00C55F8A" w:rsidP="00B313EF">
                  <w:pPr>
                    <w:jc w:val="center"/>
                    <w:rPr>
                      <w:color w:val="000000"/>
                      <w:sz w:val="22"/>
                      <w:szCs w:val="22"/>
                      <w:lang w:val="ro-RO"/>
                    </w:rPr>
                  </w:pPr>
                  <w:r w:rsidRPr="00A10374">
                    <w:rPr>
                      <w:color w:val="000000"/>
                      <w:sz w:val="22"/>
                      <w:szCs w:val="22"/>
                      <w:lang w:val="ro-RO"/>
                    </w:rPr>
                    <w:t>19</w:t>
                  </w:r>
                </w:p>
              </w:tc>
              <w:tc>
                <w:tcPr>
                  <w:tcW w:w="1660" w:type="dxa"/>
                  <w:shd w:val="clear" w:color="auto" w:fill="auto"/>
                  <w:noWrap/>
                  <w:vAlign w:val="center"/>
                  <w:hideMark/>
                </w:tcPr>
                <w:p w14:paraId="6DFC5D1C" w14:textId="77777777" w:rsidR="00C55F8A" w:rsidRPr="00A10374" w:rsidRDefault="00C55F8A" w:rsidP="00B313EF">
                  <w:pPr>
                    <w:jc w:val="center"/>
                    <w:rPr>
                      <w:color w:val="000000"/>
                      <w:sz w:val="22"/>
                      <w:szCs w:val="22"/>
                      <w:lang w:val="ro-RO"/>
                    </w:rPr>
                  </w:pPr>
                  <w:r w:rsidRPr="00A10374">
                    <w:rPr>
                      <w:color w:val="000000"/>
                      <w:sz w:val="22"/>
                      <w:szCs w:val="22"/>
                      <w:lang w:val="ro-RO"/>
                    </w:rPr>
                    <w:t>42</w:t>
                  </w:r>
                </w:p>
              </w:tc>
              <w:tc>
                <w:tcPr>
                  <w:tcW w:w="1320" w:type="dxa"/>
                  <w:shd w:val="clear" w:color="auto" w:fill="auto"/>
                  <w:noWrap/>
                  <w:vAlign w:val="center"/>
                  <w:hideMark/>
                </w:tcPr>
                <w:p w14:paraId="058CF409" w14:textId="77777777" w:rsidR="00C55F8A" w:rsidRPr="00A10374" w:rsidRDefault="00C55F8A" w:rsidP="00B313EF">
                  <w:pPr>
                    <w:jc w:val="center"/>
                    <w:rPr>
                      <w:color w:val="000000"/>
                      <w:sz w:val="22"/>
                      <w:szCs w:val="22"/>
                      <w:lang w:val="ro-RO"/>
                    </w:rPr>
                  </w:pPr>
                  <w:r w:rsidRPr="00A10374">
                    <w:rPr>
                      <w:color w:val="000000"/>
                      <w:sz w:val="22"/>
                      <w:szCs w:val="22"/>
                      <w:lang w:val="ro-RO"/>
                    </w:rPr>
                    <w:t>4.7</w:t>
                  </w:r>
                </w:p>
              </w:tc>
            </w:tr>
            <w:tr w:rsidR="00C55F8A" w:rsidRPr="00A10374" w14:paraId="10BD93F0" w14:textId="77777777" w:rsidTr="00B313EF">
              <w:trPr>
                <w:trHeight w:val="290"/>
              </w:trPr>
              <w:tc>
                <w:tcPr>
                  <w:tcW w:w="2740" w:type="dxa"/>
                  <w:shd w:val="clear" w:color="auto" w:fill="auto"/>
                  <w:noWrap/>
                  <w:vAlign w:val="bottom"/>
                  <w:hideMark/>
                </w:tcPr>
                <w:p w14:paraId="7CCA21D5" w14:textId="77777777" w:rsidR="00C55F8A" w:rsidRPr="00A10374" w:rsidRDefault="00C55F8A" w:rsidP="00C55F8A">
                  <w:pPr>
                    <w:rPr>
                      <w:b/>
                      <w:bCs/>
                      <w:color w:val="000000"/>
                      <w:sz w:val="22"/>
                      <w:szCs w:val="22"/>
                      <w:lang w:val="ro-RO"/>
                    </w:rPr>
                  </w:pPr>
                  <w:r w:rsidRPr="00A10374">
                    <w:rPr>
                      <w:b/>
                      <w:bCs/>
                      <w:color w:val="000000"/>
                      <w:sz w:val="22"/>
                      <w:szCs w:val="22"/>
                      <w:lang w:val="ro-RO"/>
                    </w:rPr>
                    <w:t>Total, mil. Lei</w:t>
                  </w:r>
                </w:p>
              </w:tc>
              <w:tc>
                <w:tcPr>
                  <w:tcW w:w="1780" w:type="dxa"/>
                  <w:shd w:val="clear" w:color="auto" w:fill="auto"/>
                  <w:noWrap/>
                  <w:vAlign w:val="center"/>
                  <w:hideMark/>
                </w:tcPr>
                <w:p w14:paraId="7180DA7E" w14:textId="77777777" w:rsidR="00C55F8A" w:rsidRPr="00A10374" w:rsidRDefault="00C55F8A" w:rsidP="00B313EF">
                  <w:pPr>
                    <w:jc w:val="center"/>
                    <w:rPr>
                      <w:b/>
                      <w:bCs/>
                      <w:color w:val="000000"/>
                      <w:sz w:val="22"/>
                      <w:szCs w:val="22"/>
                      <w:lang w:val="ro-RO"/>
                    </w:rPr>
                  </w:pPr>
                  <w:r w:rsidRPr="00A10374">
                    <w:rPr>
                      <w:b/>
                      <w:bCs/>
                      <w:color w:val="000000"/>
                      <w:sz w:val="22"/>
                      <w:szCs w:val="22"/>
                      <w:lang w:val="ro-RO"/>
                    </w:rPr>
                    <w:t>385.792</w:t>
                  </w:r>
                </w:p>
              </w:tc>
              <w:tc>
                <w:tcPr>
                  <w:tcW w:w="1620" w:type="dxa"/>
                  <w:shd w:val="clear" w:color="auto" w:fill="auto"/>
                  <w:noWrap/>
                  <w:vAlign w:val="center"/>
                  <w:hideMark/>
                </w:tcPr>
                <w:p w14:paraId="774B0630" w14:textId="77777777" w:rsidR="00C55F8A" w:rsidRPr="00A10374" w:rsidRDefault="00C55F8A" w:rsidP="00B313EF">
                  <w:pPr>
                    <w:jc w:val="center"/>
                    <w:rPr>
                      <w:b/>
                      <w:bCs/>
                      <w:color w:val="000000"/>
                      <w:sz w:val="22"/>
                      <w:szCs w:val="22"/>
                      <w:lang w:val="ro-RO"/>
                    </w:rPr>
                  </w:pPr>
                  <w:r w:rsidRPr="00A10374">
                    <w:rPr>
                      <w:b/>
                      <w:bCs/>
                      <w:color w:val="000000"/>
                      <w:sz w:val="22"/>
                      <w:szCs w:val="22"/>
                      <w:lang w:val="ro-RO"/>
                    </w:rPr>
                    <w:t>377.092</w:t>
                  </w:r>
                </w:p>
              </w:tc>
              <w:tc>
                <w:tcPr>
                  <w:tcW w:w="1660" w:type="dxa"/>
                  <w:shd w:val="clear" w:color="auto" w:fill="auto"/>
                  <w:noWrap/>
                  <w:vAlign w:val="center"/>
                  <w:hideMark/>
                </w:tcPr>
                <w:p w14:paraId="1439475E" w14:textId="77777777" w:rsidR="00C55F8A" w:rsidRPr="00A10374" w:rsidRDefault="00C55F8A" w:rsidP="00B313EF">
                  <w:pPr>
                    <w:jc w:val="center"/>
                    <w:rPr>
                      <w:b/>
                      <w:bCs/>
                      <w:color w:val="000000"/>
                      <w:sz w:val="22"/>
                      <w:szCs w:val="22"/>
                      <w:lang w:val="ro-RO"/>
                    </w:rPr>
                  </w:pPr>
                  <w:r w:rsidRPr="00A10374">
                    <w:rPr>
                      <w:b/>
                      <w:bCs/>
                      <w:color w:val="000000"/>
                      <w:sz w:val="22"/>
                      <w:szCs w:val="22"/>
                      <w:lang w:val="ro-RO"/>
                    </w:rPr>
                    <w:t>210.508</w:t>
                  </w:r>
                </w:p>
              </w:tc>
              <w:tc>
                <w:tcPr>
                  <w:tcW w:w="1320" w:type="dxa"/>
                  <w:shd w:val="clear" w:color="auto" w:fill="auto"/>
                  <w:noWrap/>
                  <w:vAlign w:val="center"/>
                  <w:hideMark/>
                </w:tcPr>
                <w:p w14:paraId="74739239" w14:textId="77777777" w:rsidR="00C55F8A" w:rsidRPr="00A10374" w:rsidRDefault="00C55F8A" w:rsidP="00B313EF">
                  <w:pPr>
                    <w:jc w:val="center"/>
                    <w:rPr>
                      <w:b/>
                      <w:bCs/>
                      <w:color w:val="000000"/>
                      <w:sz w:val="22"/>
                      <w:szCs w:val="22"/>
                      <w:lang w:val="ro-RO"/>
                    </w:rPr>
                  </w:pPr>
                  <w:r w:rsidRPr="00A10374">
                    <w:rPr>
                      <w:b/>
                      <w:bCs/>
                      <w:color w:val="000000"/>
                      <w:sz w:val="22"/>
                      <w:szCs w:val="22"/>
                      <w:lang w:val="ro-RO"/>
                    </w:rPr>
                    <w:t>127.781</w:t>
                  </w:r>
                </w:p>
              </w:tc>
            </w:tr>
            <w:tr w:rsidR="00C55F8A" w:rsidRPr="00A10374" w14:paraId="1F6610B3" w14:textId="77777777" w:rsidTr="00B313EF">
              <w:trPr>
                <w:trHeight w:val="290"/>
              </w:trPr>
              <w:tc>
                <w:tcPr>
                  <w:tcW w:w="2740" w:type="dxa"/>
                  <w:shd w:val="clear" w:color="auto" w:fill="auto"/>
                  <w:noWrap/>
                  <w:vAlign w:val="bottom"/>
                  <w:hideMark/>
                </w:tcPr>
                <w:p w14:paraId="53E12226" w14:textId="28AD3641" w:rsidR="00C55F8A" w:rsidRPr="00A10374" w:rsidRDefault="00C55F8A" w:rsidP="00C55F8A">
                  <w:pPr>
                    <w:rPr>
                      <w:color w:val="000000"/>
                      <w:sz w:val="22"/>
                      <w:szCs w:val="22"/>
                      <w:lang w:val="ro-RO"/>
                    </w:rPr>
                  </w:pPr>
                  <w:r w:rsidRPr="00A10374">
                    <w:rPr>
                      <w:color w:val="000000"/>
                      <w:sz w:val="22"/>
                      <w:szCs w:val="22"/>
                      <w:lang w:val="ro-RO"/>
                    </w:rPr>
                    <w:t>Garanții financiare</w:t>
                  </w:r>
                  <w:r w:rsidR="00785A31" w:rsidRPr="00A10374">
                    <w:rPr>
                      <w:color w:val="000000"/>
                      <w:sz w:val="22"/>
                      <w:szCs w:val="22"/>
                      <w:lang w:val="ro-RO"/>
                    </w:rPr>
                    <w:t xml:space="preserve"> anuale</w:t>
                  </w:r>
                  <w:r w:rsidRPr="00A10374">
                    <w:rPr>
                      <w:color w:val="000000"/>
                      <w:sz w:val="22"/>
                      <w:szCs w:val="22"/>
                      <w:lang w:val="ro-RO"/>
                    </w:rPr>
                    <w:t xml:space="preserve"> estimate</w:t>
                  </w:r>
                  <w:r w:rsidR="006740AE">
                    <w:rPr>
                      <w:color w:val="000000"/>
                      <w:sz w:val="22"/>
                      <w:szCs w:val="22"/>
                      <w:lang w:val="ro-RO"/>
                    </w:rPr>
                    <w:t xml:space="preserve"> (maxime)</w:t>
                  </w:r>
                </w:p>
              </w:tc>
              <w:tc>
                <w:tcPr>
                  <w:tcW w:w="1780" w:type="dxa"/>
                  <w:shd w:val="clear" w:color="auto" w:fill="auto"/>
                  <w:noWrap/>
                  <w:vAlign w:val="center"/>
                  <w:hideMark/>
                </w:tcPr>
                <w:p w14:paraId="7EE7DBF9" w14:textId="5573EE9A" w:rsidR="00C55F8A" w:rsidRPr="00A10374" w:rsidRDefault="003A15A5" w:rsidP="00B313EF">
                  <w:pPr>
                    <w:jc w:val="center"/>
                    <w:rPr>
                      <w:color w:val="000000"/>
                      <w:sz w:val="22"/>
                      <w:szCs w:val="22"/>
                      <w:lang w:val="ro-RO"/>
                    </w:rPr>
                  </w:pPr>
                  <w:r>
                    <w:rPr>
                      <w:color w:val="000000"/>
                      <w:sz w:val="22"/>
                      <w:szCs w:val="22"/>
                      <w:lang w:val="ro-RO"/>
                    </w:rPr>
                    <w:t>144.144</w:t>
                  </w:r>
                </w:p>
              </w:tc>
              <w:tc>
                <w:tcPr>
                  <w:tcW w:w="1620" w:type="dxa"/>
                  <w:shd w:val="clear" w:color="auto" w:fill="auto"/>
                  <w:noWrap/>
                  <w:vAlign w:val="center"/>
                  <w:hideMark/>
                </w:tcPr>
                <w:p w14:paraId="1FEEED4C" w14:textId="03E69C48" w:rsidR="00C55F8A" w:rsidRPr="00A10374" w:rsidRDefault="006740AE" w:rsidP="00B313EF">
                  <w:pPr>
                    <w:jc w:val="center"/>
                    <w:rPr>
                      <w:b/>
                      <w:bCs/>
                      <w:color w:val="000000"/>
                      <w:sz w:val="22"/>
                      <w:szCs w:val="22"/>
                      <w:lang w:val="ro-RO"/>
                    </w:rPr>
                  </w:pPr>
                  <w:r>
                    <w:rPr>
                      <w:b/>
                      <w:bCs/>
                      <w:color w:val="000000"/>
                      <w:sz w:val="22"/>
                      <w:szCs w:val="22"/>
                      <w:lang w:val="ro-RO"/>
                    </w:rPr>
                    <w:t>-</w:t>
                  </w:r>
                </w:p>
              </w:tc>
              <w:tc>
                <w:tcPr>
                  <w:tcW w:w="1660" w:type="dxa"/>
                  <w:shd w:val="clear" w:color="auto" w:fill="auto"/>
                  <w:noWrap/>
                  <w:vAlign w:val="center"/>
                  <w:hideMark/>
                </w:tcPr>
                <w:p w14:paraId="2C12509B" w14:textId="4106303A" w:rsidR="00C55F8A" w:rsidRPr="00A10374" w:rsidRDefault="006740AE" w:rsidP="00B313EF">
                  <w:pPr>
                    <w:jc w:val="center"/>
                    <w:rPr>
                      <w:b/>
                      <w:bCs/>
                      <w:color w:val="000000"/>
                      <w:sz w:val="22"/>
                      <w:szCs w:val="22"/>
                      <w:lang w:val="ro-RO"/>
                    </w:rPr>
                  </w:pPr>
                  <w:r>
                    <w:rPr>
                      <w:b/>
                      <w:bCs/>
                      <w:color w:val="000000"/>
                      <w:sz w:val="22"/>
                      <w:szCs w:val="22"/>
                      <w:lang w:val="ro-RO"/>
                    </w:rPr>
                    <w:t>-</w:t>
                  </w:r>
                </w:p>
              </w:tc>
              <w:tc>
                <w:tcPr>
                  <w:tcW w:w="1320" w:type="dxa"/>
                  <w:shd w:val="clear" w:color="auto" w:fill="auto"/>
                  <w:noWrap/>
                  <w:vAlign w:val="center"/>
                  <w:hideMark/>
                </w:tcPr>
                <w:p w14:paraId="55AB1589" w14:textId="2574F225" w:rsidR="00C55F8A" w:rsidRPr="00A10374" w:rsidRDefault="006740AE" w:rsidP="00B313EF">
                  <w:pPr>
                    <w:jc w:val="center"/>
                    <w:rPr>
                      <w:b/>
                      <w:bCs/>
                      <w:color w:val="000000"/>
                      <w:sz w:val="22"/>
                      <w:szCs w:val="22"/>
                      <w:lang w:val="ro-RO"/>
                    </w:rPr>
                  </w:pPr>
                  <w:r>
                    <w:rPr>
                      <w:b/>
                      <w:bCs/>
                      <w:color w:val="000000"/>
                      <w:sz w:val="22"/>
                      <w:szCs w:val="22"/>
                      <w:lang w:val="ro-RO"/>
                    </w:rPr>
                    <w:t>-</w:t>
                  </w:r>
                </w:p>
              </w:tc>
            </w:tr>
            <w:tr w:rsidR="001F6B85" w:rsidRPr="00A10374" w14:paraId="34ECD60E" w14:textId="77777777" w:rsidTr="00B313EF">
              <w:trPr>
                <w:trHeight w:val="290"/>
              </w:trPr>
              <w:tc>
                <w:tcPr>
                  <w:tcW w:w="2740" w:type="dxa"/>
                  <w:shd w:val="clear" w:color="auto" w:fill="auto"/>
                  <w:noWrap/>
                  <w:vAlign w:val="bottom"/>
                </w:tcPr>
                <w:p w14:paraId="4AB3569D" w14:textId="73FAAE39" w:rsidR="008E0278" w:rsidRPr="00A10374" w:rsidRDefault="008E0278" w:rsidP="00C55F8A">
                  <w:pPr>
                    <w:rPr>
                      <w:color w:val="000000"/>
                      <w:sz w:val="22"/>
                      <w:szCs w:val="22"/>
                      <w:lang w:val="ro-RO"/>
                    </w:rPr>
                  </w:pPr>
                  <w:r w:rsidRPr="00A10374">
                    <w:rPr>
                      <w:color w:val="000000"/>
                      <w:sz w:val="22"/>
                      <w:szCs w:val="22"/>
                      <w:lang w:val="ro-RO"/>
                    </w:rPr>
                    <w:t>Compensații financiare anuale estimate</w:t>
                  </w:r>
                  <w:r w:rsidR="006740AE">
                    <w:rPr>
                      <w:color w:val="000000"/>
                      <w:sz w:val="22"/>
                      <w:szCs w:val="22"/>
                      <w:lang w:val="ro-RO"/>
                    </w:rPr>
                    <w:t xml:space="preserve"> (maxime)</w:t>
                  </w:r>
                </w:p>
              </w:tc>
              <w:tc>
                <w:tcPr>
                  <w:tcW w:w="1780" w:type="dxa"/>
                  <w:shd w:val="clear" w:color="auto" w:fill="auto"/>
                  <w:noWrap/>
                  <w:vAlign w:val="center"/>
                </w:tcPr>
                <w:p w14:paraId="5D0E98E1" w14:textId="103B4400" w:rsidR="008E0278" w:rsidRPr="00A10374" w:rsidRDefault="003A15A5" w:rsidP="00B313EF">
                  <w:pPr>
                    <w:jc w:val="center"/>
                    <w:rPr>
                      <w:rStyle w:val="CommentReference"/>
                      <w:lang w:val="ro-RO" w:eastAsia="ru-RU"/>
                    </w:rPr>
                  </w:pPr>
                  <w:r>
                    <w:rPr>
                      <w:color w:val="000000"/>
                      <w:sz w:val="22"/>
                      <w:szCs w:val="22"/>
                    </w:rPr>
                    <w:t>17.69</w:t>
                  </w:r>
                </w:p>
              </w:tc>
              <w:tc>
                <w:tcPr>
                  <w:tcW w:w="1620" w:type="dxa"/>
                  <w:shd w:val="clear" w:color="auto" w:fill="auto"/>
                  <w:noWrap/>
                  <w:vAlign w:val="center"/>
                </w:tcPr>
                <w:p w14:paraId="140BD365" w14:textId="74EF6D9E" w:rsidR="008E0278" w:rsidRPr="00A10374" w:rsidRDefault="006740AE" w:rsidP="00B313EF">
                  <w:pPr>
                    <w:jc w:val="center"/>
                    <w:rPr>
                      <w:b/>
                      <w:bCs/>
                      <w:color w:val="000000"/>
                      <w:sz w:val="22"/>
                      <w:szCs w:val="22"/>
                      <w:lang w:val="ro-RO"/>
                    </w:rPr>
                  </w:pPr>
                  <w:r>
                    <w:rPr>
                      <w:b/>
                      <w:bCs/>
                      <w:color w:val="000000"/>
                      <w:sz w:val="22"/>
                      <w:szCs w:val="22"/>
                      <w:lang w:val="ro-RO"/>
                    </w:rPr>
                    <w:t>-</w:t>
                  </w:r>
                </w:p>
              </w:tc>
              <w:tc>
                <w:tcPr>
                  <w:tcW w:w="1660" w:type="dxa"/>
                  <w:shd w:val="clear" w:color="auto" w:fill="auto"/>
                  <w:noWrap/>
                  <w:vAlign w:val="center"/>
                </w:tcPr>
                <w:p w14:paraId="24B9937F" w14:textId="368C1ABB" w:rsidR="008E0278" w:rsidRPr="00A10374" w:rsidRDefault="006740AE" w:rsidP="00B313EF">
                  <w:pPr>
                    <w:jc w:val="center"/>
                    <w:rPr>
                      <w:b/>
                      <w:bCs/>
                      <w:color w:val="000000"/>
                      <w:sz w:val="22"/>
                      <w:szCs w:val="22"/>
                      <w:lang w:val="ro-RO"/>
                    </w:rPr>
                  </w:pPr>
                  <w:r>
                    <w:rPr>
                      <w:b/>
                      <w:bCs/>
                      <w:color w:val="000000"/>
                      <w:sz w:val="22"/>
                      <w:szCs w:val="22"/>
                      <w:lang w:val="ro-RO"/>
                    </w:rPr>
                    <w:t>-</w:t>
                  </w:r>
                </w:p>
              </w:tc>
              <w:tc>
                <w:tcPr>
                  <w:tcW w:w="1320" w:type="dxa"/>
                  <w:shd w:val="clear" w:color="auto" w:fill="auto"/>
                  <w:noWrap/>
                  <w:vAlign w:val="center"/>
                </w:tcPr>
                <w:p w14:paraId="7E5C45C0" w14:textId="22038EEC" w:rsidR="008E0278" w:rsidRPr="00A10374" w:rsidRDefault="006740AE" w:rsidP="00B313EF">
                  <w:pPr>
                    <w:jc w:val="center"/>
                    <w:rPr>
                      <w:b/>
                      <w:bCs/>
                      <w:color w:val="000000"/>
                      <w:sz w:val="22"/>
                      <w:szCs w:val="22"/>
                      <w:lang w:val="ro-RO"/>
                    </w:rPr>
                  </w:pPr>
                  <w:r>
                    <w:rPr>
                      <w:b/>
                      <w:bCs/>
                      <w:color w:val="000000"/>
                      <w:sz w:val="22"/>
                      <w:szCs w:val="22"/>
                      <w:lang w:val="ro-RO"/>
                    </w:rPr>
                    <w:t>-</w:t>
                  </w:r>
                </w:p>
              </w:tc>
            </w:tr>
            <w:tr w:rsidR="00C55F8A" w:rsidRPr="00A10374" w14:paraId="2D3126AB" w14:textId="77777777" w:rsidTr="00B313EF">
              <w:trPr>
                <w:trHeight w:val="290"/>
              </w:trPr>
              <w:tc>
                <w:tcPr>
                  <w:tcW w:w="2740" w:type="dxa"/>
                  <w:shd w:val="clear" w:color="auto" w:fill="auto"/>
                  <w:noWrap/>
                  <w:vAlign w:val="bottom"/>
                  <w:hideMark/>
                </w:tcPr>
                <w:p w14:paraId="299B5408" w14:textId="77777777" w:rsidR="00C55F8A" w:rsidRPr="00A10374" w:rsidRDefault="00C55F8A" w:rsidP="00C55F8A">
                  <w:pPr>
                    <w:rPr>
                      <w:color w:val="000000"/>
                      <w:sz w:val="22"/>
                      <w:szCs w:val="22"/>
                      <w:lang w:val="ro-RO"/>
                    </w:rPr>
                  </w:pPr>
                  <w:r w:rsidRPr="00A10374">
                    <w:rPr>
                      <w:color w:val="000000"/>
                      <w:sz w:val="22"/>
                      <w:szCs w:val="22"/>
                      <w:lang w:val="ro-RO"/>
                    </w:rPr>
                    <w:t>Produs de finanțare noi</w:t>
                  </w:r>
                </w:p>
              </w:tc>
              <w:tc>
                <w:tcPr>
                  <w:tcW w:w="1780" w:type="dxa"/>
                  <w:shd w:val="clear" w:color="auto" w:fill="auto"/>
                  <w:noWrap/>
                  <w:vAlign w:val="center"/>
                  <w:hideMark/>
                </w:tcPr>
                <w:p w14:paraId="46F388CE" w14:textId="4CAC7483" w:rsidR="00C55F8A" w:rsidRPr="00A10374" w:rsidRDefault="003A15A5" w:rsidP="00B313EF">
                  <w:pPr>
                    <w:jc w:val="center"/>
                    <w:rPr>
                      <w:color w:val="000000"/>
                      <w:sz w:val="22"/>
                      <w:szCs w:val="22"/>
                      <w:lang w:val="ro-RO"/>
                    </w:rPr>
                  </w:pPr>
                  <w:r>
                    <w:rPr>
                      <w:color w:val="000000"/>
                      <w:sz w:val="22"/>
                      <w:szCs w:val="22"/>
                      <w:lang w:val="ro-RO"/>
                    </w:rPr>
                    <w:t>519.64</w:t>
                  </w:r>
                </w:p>
              </w:tc>
              <w:tc>
                <w:tcPr>
                  <w:tcW w:w="1620" w:type="dxa"/>
                  <w:shd w:val="clear" w:color="auto" w:fill="auto"/>
                  <w:noWrap/>
                  <w:vAlign w:val="center"/>
                  <w:hideMark/>
                </w:tcPr>
                <w:p w14:paraId="07D40EC5" w14:textId="127A3D73" w:rsidR="00C55F8A" w:rsidRPr="00A10374" w:rsidRDefault="006740AE" w:rsidP="00B313EF">
                  <w:pPr>
                    <w:jc w:val="center"/>
                    <w:rPr>
                      <w:b/>
                      <w:bCs/>
                      <w:color w:val="000000"/>
                      <w:sz w:val="22"/>
                      <w:szCs w:val="22"/>
                      <w:lang w:val="ro-RO"/>
                    </w:rPr>
                  </w:pPr>
                  <w:r>
                    <w:rPr>
                      <w:b/>
                      <w:bCs/>
                      <w:color w:val="000000"/>
                      <w:sz w:val="22"/>
                      <w:szCs w:val="22"/>
                      <w:lang w:val="ro-RO"/>
                    </w:rPr>
                    <w:t>-</w:t>
                  </w:r>
                </w:p>
              </w:tc>
              <w:tc>
                <w:tcPr>
                  <w:tcW w:w="1660" w:type="dxa"/>
                  <w:shd w:val="clear" w:color="auto" w:fill="auto"/>
                  <w:noWrap/>
                  <w:vAlign w:val="center"/>
                  <w:hideMark/>
                </w:tcPr>
                <w:p w14:paraId="6D475D6D" w14:textId="76942D9B" w:rsidR="00C55F8A" w:rsidRPr="00A10374" w:rsidRDefault="006740AE" w:rsidP="00B313EF">
                  <w:pPr>
                    <w:jc w:val="center"/>
                    <w:rPr>
                      <w:b/>
                      <w:bCs/>
                      <w:color w:val="000000"/>
                      <w:sz w:val="22"/>
                      <w:szCs w:val="22"/>
                      <w:lang w:val="ro-RO"/>
                    </w:rPr>
                  </w:pPr>
                  <w:r>
                    <w:rPr>
                      <w:b/>
                      <w:bCs/>
                      <w:color w:val="000000"/>
                      <w:sz w:val="22"/>
                      <w:szCs w:val="22"/>
                      <w:lang w:val="ro-RO"/>
                    </w:rPr>
                    <w:t>-</w:t>
                  </w:r>
                </w:p>
              </w:tc>
              <w:tc>
                <w:tcPr>
                  <w:tcW w:w="1320" w:type="dxa"/>
                  <w:shd w:val="clear" w:color="auto" w:fill="auto"/>
                  <w:noWrap/>
                  <w:vAlign w:val="center"/>
                  <w:hideMark/>
                </w:tcPr>
                <w:p w14:paraId="65D811D6" w14:textId="2DA6826E" w:rsidR="00C55F8A" w:rsidRPr="00A10374" w:rsidRDefault="006740AE" w:rsidP="00B313EF">
                  <w:pPr>
                    <w:jc w:val="center"/>
                    <w:rPr>
                      <w:b/>
                      <w:bCs/>
                      <w:color w:val="000000"/>
                      <w:sz w:val="22"/>
                      <w:szCs w:val="22"/>
                      <w:lang w:val="ro-RO"/>
                    </w:rPr>
                  </w:pPr>
                  <w:r>
                    <w:rPr>
                      <w:b/>
                      <w:bCs/>
                      <w:color w:val="000000"/>
                      <w:sz w:val="22"/>
                      <w:szCs w:val="22"/>
                      <w:lang w:val="ro-RO"/>
                    </w:rPr>
                    <w:t>-</w:t>
                  </w:r>
                </w:p>
              </w:tc>
            </w:tr>
            <w:tr w:rsidR="00C55F8A" w:rsidRPr="00A10374" w14:paraId="5E3D9BFC" w14:textId="77777777" w:rsidTr="00B313EF">
              <w:trPr>
                <w:trHeight w:val="290"/>
              </w:trPr>
              <w:tc>
                <w:tcPr>
                  <w:tcW w:w="2740" w:type="dxa"/>
                  <w:shd w:val="clear" w:color="auto" w:fill="auto"/>
                  <w:noWrap/>
                  <w:vAlign w:val="bottom"/>
                  <w:hideMark/>
                </w:tcPr>
                <w:p w14:paraId="51A5457D" w14:textId="77777777" w:rsidR="00C55F8A" w:rsidRPr="00A10374" w:rsidRDefault="00C55F8A" w:rsidP="00C55F8A">
                  <w:pPr>
                    <w:rPr>
                      <w:b/>
                      <w:bCs/>
                      <w:color w:val="000000"/>
                      <w:sz w:val="22"/>
                      <w:szCs w:val="22"/>
                      <w:lang w:val="ro-RO"/>
                    </w:rPr>
                  </w:pPr>
                  <w:r w:rsidRPr="00A10374">
                    <w:rPr>
                      <w:b/>
                      <w:bCs/>
                      <w:color w:val="000000"/>
                      <w:sz w:val="22"/>
                      <w:szCs w:val="22"/>
                      <w:lang w:val="ro-RO"/>
                    </w:rPr>
                    <w:t xml:space="preserve">Total </w:t>
                  </w:r>
                </w:p>
              </w:tc>
              <w:tc>
                <w:tcPr>
                  <w:tcW w:w="1780" w:type="dxa"/>
                  <w:shd w:val="clear" w:color="auto" w:fill="auto"/>
                  <w:noWrap/>
                  <w:vAlign w:val="center"/>
                  <w:hideMark/>
                </w:tcPr>
                <w:p w14:paraId="4C679E4E" w14:textId="45CF1444" w:rsidR="00C55F8A" w:rsidRPr="00A10374" w:rsidRDefault="003A15A5" w:rsidP="00B313EF">
                  <w:pPr>
                    <w:jc w:val="center"/>
                    <w:rPr>
                      <w:b/>
                      <w:bCs/>
                      <w:color w:val="000000"/>
                      <w:sz w:val="22"/>
                      <w:szCs w:val="22"/>
                      <w:lang w:val="ro-RO"/>
                    </w:rPr>
                  </w:pPr>
                  <w:r>
                    <w:rPr>
                      <w:b/>
                      <w:bCs/>
                      <w:color w:val="000000"/>
                      <w:sz w:val="22"/>
                      <w:szCs w:val="22"/>
                      <w:lang w:val="ro-RO"/>
                    </w:rPr>
                    <w:t>1067.27</w:t>
                  </w:r>
                </w:p>
              </w:tc>
              <w:tc>
                <w:tcPr>
                  <w:tcW w:w="1620" w:type="dxa"/>
                  <w:shd w:val="clear" w:color="auto" w:fill="auto"/>
                  <w:noWrap/>
                  <w:vAlign w:val="center"/>
                  <w:hideMark/>
                </w:tcPr>
                <w:p w14:paraId="3E3104A1" w14:textId="77777777" w:rsidR="00C55F8A" w:rsidRPr="00A10374" w:rsidRDefault="00C55F8A" w:rsidP="00B313EF">
                  <w:pPr>
                    <w:jc w:val="center"/>
                    <w:rPr>
                      <w:b/>
                      <w:bCs/>
                      <w:color w:val="000000"/>
                      <w:sz w:val="22"/>
                      <w:szCs w:val="22"/>
                      <w:lang w:val="ro-RO"/>
                    </w:rPr>
                  </w:pPr>
                  <w:r w:rsidRPr="00A10374">
                    <w:rPr>
                      <w:b/>
                      <w:bCs/>
                      <w:color w:val="000000"/>
                      <w:sz w:val="22"/>
                      <w:szCs w:val="22"/>
                      <w:lang w:val="ro-RO"/>
                    </w:rPr>
                    <w:t>377.092</w:t>
                  </w:r>
                </w:p>
              </w:tc>
              <w:tc>
                <w:tcPr>
                  <w:tcW w:w="1660" w:type="dxa"/>
                  <w:shd w:val="clear" w:color="auto" w:fill="auto"/>
                  <w:noWrap/>
                  <w:vAlign w:val="center"/>
                  <w:hideMark/>
                </w:tcPr>
                <w:p w14:paraId="798B7CB6" w14:textId="77777777" w:rsidR="00C55F8A" w:rsidRPr="00A10374" w:rsidRDefault="00C55F8A" w:rsidP="00B313EF">
                  <w:pPr>
                    <w:jc w:val="center"/>
                    <w:rPr>
                      <w:b/>
                      <w:bCs/>
                      <w:color w:val="000000"/>
                      <w:sz w:val="22"/>
                      <w:szCs w:val="22"/>
                      <w:lang w:val="ro-RO"/>
                    </w:rPr>
                  </w:pPr>
                  <w:r w:rsidRPr="00A10374">
                    <w:rPr>
                      <w:b/>
                      <w:bCs/>
                      <w:color w:val="000000"/>
                      <w:sz w:val="22"/>
                      <w:szCs w:val="22"/>
                      <w:lang w:val="ro-RO"/>
                    </w:rPr>
                    <w:t>210.508</w:t>
                  </w:r>
                </w:p>
              </w:tc>
              <w:tc>
                <w:tcPr>
                  <w:tcW w:w="1320" w:type="dxa"/>
                  <w:shd w:val="clear" w:color="auto" w:fill="auto"/>
                  <w:noWrap/>
                  <w:vAlign w:val="center"/>
                  <w:hideMark/>
                </w:tcPr>
                <w:p w14:paraId="773C455B" w14:textId="77777777" w:rsidR="00C55F8A" w:rsidRPr="00A10374" w:rsidRDefault="00C55F8A" w:rsidP="00B313EF">
                  <w:pPr>
                    <w:jc w:val="center"/>
                    <w:rPr>
                      <w:b/>
                      <w:bCs/>
                      <w:color w:val="000000"/>
                      <w:sz w:val="22"/>
                      <w:szCs w:val="22"/>
                      <w:lang w:val="ro-RO"/>
                    </w:rPr>
                  </w:pPr>
                  <w:r w:rsidRPr="00A10374">
                    <w:rPr>
                      <w:b/>
                      <w:bCs/>
                      <w:color w:val="000000"/>
                      <w:sz w:val="22"/>
                      <w:szCs w:val="22"/>
                      <w:lang w:val="ro-RO"/>
                    </w:rPr>
                    <w:t>127.781</w:t>
                  </w:r>
                </w:p>
              </w:tc>
            </w:tr>
            <w:tr w:rsidR="00C55F8A" w:rsidRPr="00A10374" w14:paraId="3728087F" w14:textId="77777777" w:rsidTr="005F1688">
              <w:trPr>
                <w:trHeight w:val="1160"/>
              </w:trPr>
              <w:tc>
                <w:tcPr>
                  <w:tcW w:w="2740" w:type="dxa"/>
                  <w:shd w:val="clear" w:color="auto" w:fill="auto"/>
                  <w:vAlign w:val="bottom"/>
                  <w:hideMark/>
                </w:tcPr>
                <w:p w14:paraId="7C95E9FC" w14:textId="77777777" w:rsidR="00C55F8A" w:rsidRPr="00A10374" w:rsidRDefault="00C55F8A" w:rsidP="00C55F8A">
                  <w:pPr>
                    <w:rPr>
                      <w:color w:val="000000"/>
                      <w:sz w:val="22"/>
                      <w:szCs w:val="22"/>
                      <w:lang w:val="ro-RO"/>
                    </w:rPr>
                  </w:pPr>
                  <w:r w:rsidRPr="00A10374">
                    <w:rPr>
                      <w:color w:val="000000"/>
                      <w:sz w:val="22"/>
                      <w:szCs w:val="22"/>
                      <w:lang w:val="ro-RO"/>
                    </w:rPr>
                    <w:t>Total contribuții părți obligate conform prevederilor HG 251/2024, mil. Lei</w:t>
                  </w:r>
                </w:p>
              </w:tc>
              <w:tc>
                <w:tcPr>
                  <w:tcW w:w="3400" w:type="dxa"/>
                  <w:gridSpan w:val="2"/>
                  <w:shd w:val="clear" w:color="auto" w:fill="auto"/>
                  <w:noWrap/>
                  <w:vAlign w:val="center"/>
                  <w:hideMark/>
                </w:tcPr>
                <w:p w14:paraId="1E3E67C7" w14:textId="77777777" w:rsidR="00C55F8A" w:rsidRPr="00A10374" w:rsidRDefault="00C55F8A" w:rsidP="00C55F8A">
                  <w:pPr>
                    <w:jc w:val="center"/>
                    <w:rPr>
                      <w:b/>
                      <w:bCs/>
                      <w:color w:val="000000"/>
                      <w:sz w:val="22"/>
                      <w:szCs w:val="22"/>
                      <w:lang w:val="ro-RO"/>
                    </w:rPr>
                  </w:pPr>
                  <w:r w:rsidRPr="00A10374">
                    <w:rPr>
                      <w:b/>
                      <w:bCs/>
                      <w:color w:val="000000"/>
                      <w:sz w:val="22"/>
                      <w:szCs w:val="22"/>
                      <w:lang w:val="ro-RO"/>
                    </w:rPr>
                    <w:t>1444.36</w:t>
                  </w:r>
                </w:p>
              </w:tc>
              <w:tc>
                <w:tcPr>
                  <w:tcW w:w="1660" w:type="dxa"/>
                  <w:shd w:val="clear" w:color="auto" w:fill="auto"/>
                  <w:noWrap/>
                  <w:vAlign w:val="center"/>
                  <w:hideMark/>
                </w:tcPr>
                <w:p w14:paraId="5B200140" w14:textId="77777777" w:rsidR="00C55F8A" w:rsidRPr="00A10374" w:rsidRDefault="00C55F8A" w:rsidP="00C55F8A">
                  <w:pPr>
                    <w:jc w:val="center"/>
                    <w:rPr>
                      <w:color w:val="000000"/>
                      <w:sz w:val="22"/>
                      <w:szCs w:val="22"/>
                      <w:lang w:val="ro-RO"/>
                    </w:rPr>
                  </w:pPr>
                  <w:r w:rsidRPr="00A10374">
                    <w:rPr>
                      <w:color w:val="000000"/>
                      <w:sz w:val="22"/>
                      <w:szCs w:val="22"/>
                      <w:lang w:val="ro-RO"/>
                    </w:rPr>
                    <w:t>-</w:t>
                  </w:r>
                </w:p>
              </w:tc>
              <w:tc>
                <w:tcPr>
                  <w:tcW w:w="1320" w:type="dxa"/>
                  <w:shd w:val="clear" w:color="auto" w:fill="auto"/>
                  <w:noWrap/>
                  <w:vAlign w:val="center"/>
                  <w:hideMark/>
                </w:tcPr>
                <w:p w14:paraId="75DCEAC9" w14:textId="77777777" w:rsidR="00C55F8A" w:rsidRPr="00A10374" w:rsidRDefault="00C55F8A" w:rsidP="00C55F8A">
                  <w:pPr>
                    <w:jc w:val="center"/>
                    <w:rPr>
                      <w:color w:val="000000"/>
                      <w:sz w:val="22"/>
                      <w:szCs w:val="22"/>
                      <w:lang w:val="ro-RO"/>
                    </w:rPr>
                  </w:pPr>
                  <w:r w:rsidRPr="00A10374">
                    <w:rPr>
                      <w:color w:val="000000"/>
                      <w:sz w:val="22"/>
                      <w:szCs w:val="22"/>
                      <w:lang w:val="ro-RO"/>
                    </w:rPr>
                    <w:t>-</w:t>
                  </w:r>
                </w:p>
              </w:tc>
            </w:tr>
          </w:tbl>
          <w:p w14:paraId="176E709B" w14:textId="69DD83D9" w:rsidR="00413CCA" w:rsidRPr="00A10374" w:rsidRDefault="00413CCA" w:rsidP="005F1688">
            <w:pPr>
              <w:tabs>
                <w:tab w:val="left" w:pos="884"/>
                <w:tab w:val="left" w:pos="1196"/>
              </w:tabs>
              <w:spacing w:before="120" w:after="120"/>
              <w:jc w:val="both"/>
              <w:rPr>
                <w:rFonts w:ascii="Times New Roman" w:hAnsi="Times New Roman"/>
                <w:shd w:val="clear" w:color="auto" w:fill="FFFFFF"/>
                <w:lang w:val="ro-RO"/>
              </w:rPr>
            </w:pPr>
            <w:r w:rsidRPr="00A10374">
              <w:rPr>
                <w:rFonts w:ascii="Times New Roman" w:hAnsi="Times New Roman"/>
                <w:lang w:val="ro-RO"/>
              </w:rPr>
              <w:t xml:space="preserve"> </w:t>
            </w:r>
          </w:p>
        </w:tc>
      </w:tr>
      <w:tr w:rsidR="006D3EB7" w:rsidRPr="00A10374" w14:paraId="7424CF32" w14:textId="77777777" w:rsidTr="002365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21CC02" w14:textId="7511F2B4" w:rsidR="00F4445B" w:rsidRPr="00A10374" w:rsidRDefault="006933C3" w:rsidP="000E1660">
            <w:pPr>
              <w:rPr>
                <w:rFonts w:ascii="Times New Roman" w:hAnsi="Times New Roman"/>
                <w:i/>
                <w:lang w:val="ro-RO"/>
              </w:rPr>
            </w:pPr>
            <w:r w:rsidRPr="00A10374">
              <w:rPr>
                <w:rFonts w:ascii="Times New Roman" w:hAnsi="Times New Roman"/>
                <w:i/>
                <w:lang w:val="ro-RO"/>
              </w:rPr>
              <w:lastRenderedPageBreak/>
              <w:t>4.4</w:t>
            </w:r>
            <w:r w:rsidR="0036135C" w:rsidRPr="00A10374">
              <w:rPr>
                <w:rFonts w:ascii="Times New Roman" w:hAnsi="Times New Roman"/>
                <w:i/>
                <w:lang w:val="ro-RO"/>
              </w:rPr>
              <w:t>.</w:t>
            </w:r>
            <w:r w:rsidR="00032B46" w:rsidRPr="00A10374">
              <w:rPr>
                <w:rFonts w:ascii="Times New Roman" w:hAnsi="Times New Roman"/>
                <w:i/>
                <w:lang w:val="ro-RO"/>
              </w:rPr>
              <w:t xml:space="preserve"> </w:t>
            </w:r>
            <w:r w:rsidR="00CA2822" w:rsidRPr="00A10374">
              <w:rPr>
                <w:rFonts w:ascii="Times New Roman" w:hAnsi="Times New Roman"/>
                <w:i/>
                <w:lang w:val="ro-RO"/>
              </w:rPr>
              <w:t>Impactul</w:t>
            </w:r>
            <w:r w:rsidR="00032B46" w:rsidRPr="00A10374">
              <w:rPr>
                <w:rFonts w:ascii="Times New Roman" w:hAnsi="Times New Roman"/>
                <w:i/>
                <w:lang w:val="ro-RO"/>
              </w:rPr>
              <w:t xml:space="preserve"> </w:t>
            </w:r>
            <w:r w:rsidR="00CA2822" w:rsidRPr="00A10374">
              <w:rPr>
                <w:rFonts w:ascii="Times New Roman" w:hAnsi="Times New Roman"/>
                <w:i/>
                <w:lang w:val="ro-RO"/>
              </w:rPr>
              <w:t>social</w:t>
            </w:r>
          </w:p>
          <w:p w14:paraId="4BE387FD" w14:textId="440ACC14" w:rsidR="00E75D1A" w:rsidRPr="00A10374" w:rsidRDefault="00E75D1A" w:rsidP="001A76A5">
            <w:pPr>
              <w:spacing w:before="120" w:after="120"/>
              <w:jc w:val="both"/>
              <w:rPr>
                <w:rFonts w:ascii="Times New Roman" w:hAnsi="Times New Roman"/>
                <w:bCs/>
                <w:lang w:val="ro-RO"/>
              </w:rPr>
            </w:pPr>
            <w:r w:rsidRPr="00A10374">
              <w:rPr>
                <w:rFonts w:ascii="Times New Roman" w:hAnsi="Times New Roman"/>
                <w:lang w:val="ro-RO"/>
              </w:rPr>
              <w:t xml:space="preserve">Aprobarea modificările propuse în Legea nr. 139/2018 cu privire la eficiența energetică </w:t>
            </w:r>
            <w:r w:rsidRPr="00A10374">
              <w:rPr>
                <w:rFonts w:ascii="Times New Roman" w:hAnsi="Times New Roman"/>
                <w:bCs/>
                <w:lang w:val="ro-RO"/>
              </w:rPr>
              <w:t>va avea un impact pozitiv asupra întregii populații a Republicii Moldova, prin creșterea eficienței energetice, reducerea facturilor la energie, îmbunătățirea condițiilor de trai, reducerea gazelor cu efect de seră și respectiv sporirea securității energetice a țării.</w:t>
            </w:r>
          </w:p>
          <w:p w14:paraId="1C6D4B5F" w14:textId="4D83BC2B" w:rsidR="00E75D1A" w:rsidRPr="00A10374" w:rsidRDefault="00E75D1A" w:rsidP="001A76A5">
            <w:pPr>
              <w:jc w:val="both"/>
              <w:rPr>
                <w:rFonts w:ascii="Times New Roman" w:hAnsi="Times New Roman"/>
                <w:lang w:val="ro-RO"/>
              </w:rPr>
            </w:pPr>
            <w:r w:rsidRPr="00A10374">
              <w:rPr>
                <w:rFonts w:ascii="Times New Roman" w:hAnsi="Times New Roman"/>
                <w:bCs/>
                <w:lang w:val="ro-RO"/>
              </w:rPr>
              <w:t xml:space="preserve">Implementarea proiectelor de eficiență energetică va contribui inclusiv la crearea locurilor de muncă. </w:t>
            </w:r>
            <w:r w:rsidRPr="00A10374">
              <w:rPr>
                <w:rFonts w:ascii="Times New Roman" w:hAnsi="Times New Roman"/>
                <w:lang w:val="ro-RO"/>
              </w:rPr>
              <w:t xml:space="preserve">Conform unui Raport cu privire la ocuparea forței de muncă în domeniul energiei la nivel mondial elaborat de către Agenția Internațională a Energiei în 2023, investirea a </w:t>
            </w:r>
            <w:r w:rsidRPr="00A10374">
              <w:rPr>
                <w:rFonts w:ascii="Times New Roman" w:hAnsi="Times New Roman"/>
                <w:lang w:val="ro-RO"/>
              </w:rPr>
              <w:br/>
              <w:t xml:space="preserve">cca. 1 mil. Euro în eficiența energetică ar presupune crearea a 8-27 locurilor de muncă adiționale, contribuind astfel la o dezvoltare economică a țării. </w:t>
            </w:r>
          </w:p>
          <w:p w14:paraId="4E529115" w14:textId="25C4579A" w:rsidR="008B4BE6" w:rsidRPr="00A10374" w:rsidRDefault="00E75D1A" w:rsidP="00E75D1A">
            <w:pPr>
              <w:spacing w:before="120" w:after="120"/>
              <w:rPr>
                <w:rFonts w:ascii="Times New Roman" w:hAnsi="Times New Roman"/>
                <w:i/>
                <w:lang w:val="ro-RO"/>
              </w:rPr>
            </w:pPr>
            <w:r w:rsidRPr="00A10374">
              <w:rPr>
                <w:rFonts w:ascii="Times New Roman" w:hAnsi="Times New Roman"/>
                <w:bCs/>
                <w:lang w:val="ro-RO"/>
              </w:rPr>
              <w:t xml:space="preserve"> </w:t>
            </w:r>
            <w:r w:rsidR="00CA2822" w:rsidRPr="00A10374">
              <w:rPr>
                <w:rFonts w:ascii="Times New Roman" w:hAnsi="Times New Roman"/>
                <w:i/>
                <w:lang w:val="ro-RO"/>
              </w:rPr>
              <w:t>4.4.1.</w:t>
            </w:r>
            <w:r w:rsidR="00032B46" w:rsidRPr="00A10374">
              <w:rPr>
                <w:rFonts w:ascii="Times New Roman" w:hAnsi="Times New Roman"/>
                <w:i/>
                <w:lang w:val="ro-RO"/>
              </w:rPr>
              <w:t xml:space="preserve"> </w:t>
            </w:r>
            <w:r w:rsidR="006933C3" w:rsidRPr="00A10374">
              <w:rPr>
                <w:rFonts w:ascii="Times New Roman" w:hAnsi="Times New Roman"/>
                <w:i/>
                <w:lang w:val="ro-RO"/>
              </w:rPr>
              <w:t>Impactul</w:t>
            </w:r>
            <w:r w:rsidR="00032B46" w:rsidRPr="00A10374">
              <w:rPr>
                <w:rFonts w:ascii="Times New Roman" w:hAnsi="Times New Roman"/>
                <w:i/>
                <w:lang w:val="ro-RO"/>
              </w:rPr>
              <w:t xml:space="preserve"> </w:t>
            </w:r>
            <w:r w:rsidR="006933C3" w:rsidRPr="00A10374">
              <w:rPr>
                <w:rFonts w:ascii="Times New Roman" w:hAnsi="Times New Roman"/>
                <w:i/>
                <w:lang w:val="ro-RO"/>
              </w:rPr>
              <w:t>asupra</w:t>
            </w:r>
            <w:r w:rsidR="00032B46" w:rsidRPr="00A10374">
              <w:rPr>
                <w:rFonts w:ascii="Times New Roman" w:hAnsi="Times New Roman"/>
                <w:i/>
                <w:lang w:val="ro-RO"/>
              </w:rPr>
              <w:t xml:space="preserve"> </w:t>
            </w:r>
            <w:r w:rsidR="006933C3" w:rsidRPr="00A10374">
              <w:rPr>
                <w:rFonts w:ascii="Times New Roman" w:hAnsi="Times New Roman"/>
                <w:i/>
                <w:lang w:val="ro-RO"/>
              </w:rPr>
              <w:t>datelor</w:t>
            </w:r>
            <w:r w:rsidR="00032B46" w:rsidRPr="00A10374">
              <w:rPr>
                <w:rFonts w:ascii="Times New Roman" w:hAnsi="Times New Roman"/>
                <w:i/>
                <w:lang w:val="ro-RO"/>
              </w:rPr>
              <w:t xml:space="preserve"> </w:t>
            </w:r>
            <w:r w:rsidR="006933C3" w:rsidRPr="00A10374">
              <w:rPr>
                <w:rFonts w:ascii="Times New Roman" w:hAnsi="Times New Roman"/>
                <w:i/>
                <w:lang w:val="ro-RO"/>
              </w:rPr>
              <w:t>cu</w:t>
            </w:r>
            <w:r w:rsidR="00032B46" w:rsidRPr="00A10374">
              <w:rPr>
                <w:rFonts w:ascii="Times New Roman" w:hAnsi="Times New Roman"/>
                <w:i/>
                <w:lang w:val="ro-RO"/>
              </w:rPr>
              <w:t xml:space="preserve"> </w:t>
            </w:r>
            <w:r w:rsidR="006933C3" w:rsidRPr="00A10374">
              <w:rPr>
                <w:rFonts w:ascii="Times New Roman" w:hAnsi="Times New Roman"/>
                <w:i/>
                <w:lang w:val="ro-RO"/>
              </w:rPr>
              <w:t>caracter</w:t>
            </w:r>
            <w:r w:rsidR="00032B46" w:rsidRPr="00A10374">
              <w:rPr>
                <w:rFonts w:ascii="Times New Roman" w:hAnsi="Times New Roman"/>
                <w:i/>
                <w:lang w:val="ro-RO"/>
              </w:rPr>
              <w:t xml:space="preserve"> </w:t>
            </w:r>
            <w:r w:rsidR="006933C3" w:rsidRPr="00A10374">
              <w:rPr>
                <w:rFonts w:ascii="Times New Roman" w:hAnsi="Times New Roman"/>
                <w:i/>
                <w:lang w:val="ro-RO"/>
              </w:rPr>
              <w:t>personal</w:t>
            </w:r>
          </w:p>
          <w:p w14:paraId="7CD7D3DE" w14:textId="3F7E7DCA" w:rsidR="007225FC" w:rsidRPr="00A10374" w:rsidRDefault="00AF64D3" w:rsidP="001A76A5">
            <w:pPr>
              <w:jc w:val="both"/>
              <w:rPr>
                <w:rFonts w:ascii="Times New Roman" w:hAnsi="Times New Roman"/>
                <w:i/>
                <w:lang w:val="ro-RO"/>
              </w:rPr>
            </w:pPr>
            <w:r w:rsidRPr="00A10374">
              <w:rPr>
                <w:rFonts w:ascii="Times New Roman" w:hAnsi="Times New Roman"/>
                <w:lang w:val="ro-RO"/>
              </w:rPr>
              <w:t>Proiectul de lege pentru modificarea Legii nr. 139/2018 cu privire la eficiența energetică</w:t>
            </w:r>
            <w:r w:rsidR="0088682B">
              <w:rPr>
                <w:rFonts w:ascii="Times New Roman" w:hAnsi="Times New Roman"/>
                <w:lang w:val="ro-RO"/>
              </w:rPr>
              <w:t xml:space="preserve"> </w:t>
            </w:r>
            <w:r w:rsidR="0088682B" w:rsidRPr="0088682B">
              <w:rPr>
                <w:rFonts w:ascii="Times New Roman" w:hAnsi="Times New Roman"/>
                <w:lang w:val="ro-RO"/>
              </w:rPr>
              <w:t>(facilitarea implementării proiectelor de eficiență energetică)</w:t>
            </w:r>
            <w:r w:rsidRPr="00A10374">
              <w:rPr>
                <w:rFonts w:ascii="Times New Roman" w:hAnsi="Times New Roman"/>
                <w:lang w:val="ro-RO"/>
              </w:rPr>
              <w:t xml:space="preserve"> </w:t>
            </w:r>
            <w:r w:rsidR="00541CE7" w:rsidRPr="00A10374">
              <w:rPr>
                <w:rFonts w:ascii="Times New Roman" w:hAnsi="Times New Roman"/>
                <w:lang w:val="ro-RO"/>
              </w:rPr>
              <w:t xml:space="preserve">nu stabilește careva cerințe care ar putea avea vreun impact asupra datelor cu caracter personal. </w:t>
            </w:r>
          </w:p>
          <w:p w14:paraId="1EFFE205" w14:textId="77777777" w:rsidR="008B4BE6" w:rsidRPr="00A10374" w:rsidRDefault="00CA2822" w:rsidP="001A76A5">
            <w:pPr>
              <w:jc w:val="both"/>
              <w:rPr>
                <w:rFonts w:ascii="Times New Roman" w:hAnsi="Times New Roman"/>
                <w:i/>
                <w:lang w:val="ro-RO"/>
              </w:rPr>
            </w:pPr>
            <w:r w:rsidRPr="00A10374">
              <w:rPr>
                <w:rFonts w:ascii="Times New Roman" w:hAnsi="Times New Roman"/>
                <w:i/>
                <w:lang w:val="ro-RO"/>
              </w:rPr>
              <w:t>4.4.2.</w:t>
            </w:r>
            <w:r w:rsidR="00032B46" w:rsidRPr="00A10374">
              <w:rPr>
                <w:rFonts w:ascii="Times New Roman" w:hAnsi="Times New Roman"/>
                <w:i/>
                <w:lang w:val="ro-RO"/>
              </w:rPr>
              <w:t xml:space="preserve"> </w:t>
            </w:r>
            <w:r w:rsidRPr="00A10374">
              <w:rPr>
                <w:rFonts w:ascii="Times New Roman" w:hAnsi="Times New Roman"/>
                <w:i/>
                <w:lang w:val="ro-RO"/>
              </w:rPr>
              <w:t>Impactul</w:t>
            </w:r>
            <w:r w:rsidR="00032B46" w:rsidRPr="00A10374">
              <w:rPr>
                <w:rFonts w:ascii="Times New Roman" w:hAnsi="Times New Roman"/>
                <w:i/>
                <w:lang w:val="ro-RO"/>
              </w:rPr>
              <w:t xml:space="preserve"> </w:t>
            </w:r>
            <w:r w:rsidRPr="00A10374">
              <w:rPr>
                <w:rFonts w:ascii="Times New Roman" w:hAnsi="Times New Roman"/>
                <w:i/>
                <w:lang w:val="ro-RO"/>
              </w:rPr>
              <w:t>asupra</w:t>
            </w:r>
            <w:r w:rsidR="00032B46" w:rsidRPr="00A10374">
              <w:rPr>
                <w:rFonts w:ascii="Times New Roman" w:hAnsi="Times New Roman"/>
                <w:i/>
                <w:lang w:val="ro-RO"/>
              </w:rPr>
              <w:t xml:space="preserve"> </w:t>
            </w:r>
            <w:r w:rsidRPr="00A10374">
              <w:rPr>
                <w:rFonts w:ascii="Times New Roman" w:hAnsi="Times New Roman"/>
                <w:i/>
                <w:lang w:val="ro-RO"/>
              </w:rPr>
              <w:t>echită</w:t>
            </w:r>
            <w:r w:rsidR="00863417" w:rsidRPr="00A10374">
              <w:rPr>
                <w:rFonts w:ascii="Times New Roman" w:hAnsi="Times New Roman"/>
                <w:i/>
                <w:lang w:val="ro-RO"/>
              </w:rPr>
              <w:t>ț</w:t>
            </w:r>
            <w:r w:rsidRPr="00A10374">
              <w:rPr>
                <w:rFonts w:ascii="Times New Roman" w:hAnsi="Times New Roman"/>
                <w:i/>
                <w:lang w:val="ro-RO"/>
              </w:rPr>
              <w:t>ii</w:t>
            </w:r>
            <w:r w:rsidR="00032B46" w:rsidRPr="00A10374">
              <w:rPr>
                <w:rFonts w:ascii="Times New Roman" w:hAnsi="Times New Roman"/>
                <w:i/>
                <w:lang w:val="ro-RO"/>
              </w:rPr>
              <w:t xml:space="preserve"> </w:t>
            </w:r>
            <w:r w:rsidR="00863417" w:rsidRPr="00A10374">
              <w:rPr>
                <w:rFonts w:ascii="Times New Roman" w:hAnsi="Times New Roman"/>
                <w:i/>
                <w:lang w:val="ro-RO"/>
              </w:rPr>
              <w:t>ș</w:t>
            </w:r>
            <w:r w:rsidRPr="00A10374">
              <w:rPr>
                <w:rFonts w:ascii="Times New Roman" w:hAnsi="Times New Roman"/>
                <w:i/>
                <w:lang w:val="ro-RO"/>
              </w:rPr>
              <w:t>i</w:t>
            </w:r>
            <w:r w:rsidR="00032B46" w:rsidRPr="00A10374">
              <w:rPr>
                <w:rFonts w:ascii="Times New Roman" w:hAnsi="Times New Roman"/>
                <w:i/>
                <w:lang w:val="ro-RO"/>
              </w:rPr>
              <w:t xml:space="preserve"> </w:t>
            </w:r>
            <w:r w:rsidRPr="00A10374">
              <w:rPr>
                <w:rFonts w:ascii="Times New Roman" w:hAnsi="Times New Roman"/>
                <w:i/>
                <w:lang w:val="ro-RO"/>
              </w:rPr>
              <w:t>egalită</w:t>
            </w:r>
            <w:r w:rsidR="00863417" w:rsidRPr="00A10374">
              <w:rPr>
                <w:rFonts w:ascii="Times New Roman" w:hAnsi="Times New Roman"/>
                <w:i/>
                <w:lang w:val="ro-RO"/>
              </w:rPr>
              <w:t>ț</w:t>
            </w:r>
            <w:r w:rsidRPr="00A10374">
              <w:rPr>
                <w:rFonts w:ascii="Times New Roman" w:hAnsi="Times New Roman"/>
                <w:i/>
                <w:lang w:val="ro-RO"/>
              </w:rPr>
              <w:t>ii</w:t>
            </w:r>
            <w:r w:rsidR="00032B46" w:rsidRPr="00A10374">
              <w:rPr>
                <w:rFonts w:ascii="Times New Roman" w:hAnsi="Times New Roman"/>
                <w:i/>
                <w:lang w:val="ro-RO"/>
              </w:rPr>
              <w:t xml:space="preserve"> </w:t>
            </w:r>
            <w:r w:rsidRPr="00A10374">
              <w:rPr>
                <w:rFonts w:ascii="Times New Roman" w:hAnsi="Times New Roman"/>
                <w:i/>
                <w:lang w:val="ro-RO"/>
              </w:rPr>
              <w:t>de</w:t>
            </w:r>
            <w:r w:rsidR="00032B46" w:rsidRPr="00A10374">
              <w:rPr>
                <w:rFonts w:ascii="Times New Roman" w:hAnsi="Times New Roman"/>
                <w:i/>
                <w:lang w:val="ro-RO"/>
              </w:rPr>
              <w:t xml:space="preserve"> </w:t>
            </w:r>
            <w:r w:rsidRPr="00A10374">
              <w:rPr>
                <w:rFonts w:ascii="Times New Roman" w:hAnsi="Times New Roman"/>
                <w:i/>
                <w:lang w:val="ro-RO"/>
              </w:rPr>
              <w:t>gen</w:t>
            </w:r>
          </w:p>
          <w:p w14:paraId="5094B65C" w14:textId="159E33BF" w:rsidR="00541CE7" w:rsidRPr="00A10374" w:rsidRDefault="00AF64D3" w:rsidP="001A76A5">
            <w:pPr>
              <w:jc w:val="both"/>
              <w:rPr>
                <w:rFonts w:ascii="Times New Roman" w:hAnsi="Times New Roman"/>
                <w:lang w:val="ro-RO"/>
              </w:rPr>
            </w:pPr>
            <w:r w:rsidRPr="00A10374">
              <w:rPr>
                <w:rFonts w:ascii="Times New Roman" w:hAnsi="Times New Roman"/>
                <w:lang w:val="ro-RO"/>
              </w:rPr>
              <w:t>Proiectul de lege pentru modificarea Legii nr. 139/2018 cu privire la eficiența energetică</w:t>
            </w:r>
            <w:r w:rsidR="0088682B">
              <w:rPr>
                <w:rFonts w:ascii="Times New Roman" w:hAnsi="Times New Roman"/>
                <w:lang w:val="ro-RO"/>
              </w:rPr>
              <w:t xml:space="preserve"> </w:t>
            </w:r>
            <w:r w:rsidR="0088682B" w:rsidRPr="0088682B">
              <w:rPr>
                <w:rFonts w:ascii="Times New Roman" w:hAnsi="Times New Roman"/>
                <w:lang w:val="ro-RO"/>
              </w:rPr>
              <w:t>(facilitarea implementării proiectelor de eficiență energetică)</w:t>
            </w:r>
            <w:r w:rsidRPr="00A10374">
              <w:rPr>
                <w:rFonts w:ascii="Times New Roman" w:hAnsi="Times New Roman"/>
                <w:lang w:val="ro-RO"/>
              </w:rPr>
              <w:t xml:space="preserve"> </w:t>
            </w:r>
            <w:r w:rsidR="00541CE7" w:rsidRPr="00A10374">
              <w:rPr>
                <w:rFonts w:ascii="Times New Roman" w:hAnsi="Times New Roman"/>
                <w:lang w:val="ro-RO"/>
              </w:rPr>
              <w:t>nu stabilește careva cerințe care ar putea influența în mod diferit femeile, bărbații și minoritățile de gen. Totodată, acesta nu prevede  promovar</w:t>
            </w:r>
            <w:r w:rsidR="005B3F9C" w:rsidRPr="00A10374">
              <w:rPr>
                <w:rFonts w:ascii="Times New Roman" w:hAnsi="Times New Roman"/>
                <w:lang w:val="ro-RO"/>
              </w:rPr>
              <w:t>ea unor măsuri de discriminare.</w:t>
            </w:r>
          </w:p>
        </w:tc>
      </w:tr>
      <w:tr w:rsidR="006D3EB7" w:rsidRPr="00997304" w14:paraId="5A26B0A1" w14:textId="77777777" w:rsidTr="002365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BFDA08" w14:textId="77777777" w:rsidR="008B4BE6" w:rsidRPr="00A10374" w:rsidRDefault="006933C3" w:rsidP="000E1660">
            <w:pPr>
              <w:rPr>
                <w:rFonts w:ascii="Times New Roman" w:hAnsi="Times New Roman"/>
                <w:i/>
                <w:lang w:val="ro-RO"/>
              </w:rPr>
            </w:pPr>
            <w:r w:rsidRPr="00A10374">
              <w:rPr>
                <w:rFonts w:ascii="Times New Roman" w:hAnsi="Times New Roman"/>
                <w:i/>
                <w:lang w:val="ro-RO"/>
              </w:rPr>
              <w:t>4.</w:t>
            </w:r>
            <w:r w:rsidR="00CA2822" w:rsidRPr="00A10374">
              <w:rPr>
                <w:rFonts w:ascii="Times New Roman" w:hAnsi="Times New Roman"/>
                <w:i/>
                <w:lang w:val="ro-RO"/>
              </w:rPr>
              <w:t>5</w:t>
            </w:r>
            <w:r w:rsidRPr="00A10374">
              <w:rPr>
                <w:rFonts w:ascii="Times New Roman" w:hAnsi="Times New Roman"/>
                <w:i/>
                <w:lang w:val="ro-RO"/>
              </w:rPr>
              <w:t>.</w:t>
            </w:r>
            <w:r w:rsidR="00032B46" w:rsidRPr="00A10374">
              <w:rPr>
                <w:rFonts w:ascii="Times New Roman" w:hAnsi="Times New Roman"/>
                <w:i/>
                <w:lang w:val="ro-RO"/>
              </w:rPr>
              <w:t xml:space="preserve"> </w:t>
            </w:r>
            <w:r w:rsidRPr="00A10374">
              <w:rPr>
                <w:rFonts w:ascii="Times New Roman" w:hAnsi="Times New Roman"/>
                <w:i/>
                <w:lang w:val="ro-RO"/>
              </w:rPr>
              <w:t>Impactul</w:t>
            </w:r>
            <w:r w:rsidR="00032B46" w:rsidRPr="00A10374">
              <w:rPr>
                <w:rFonts w:ascii="Times New Roman" w:hAnsi="Times New Roman"/>
                <w:i/>
                <w:lang w:val="ro-RO"/>
              </w:rPr>
              <w:t xml:space="preserve"> </w:t>
            </w:r>
            <w:r w:rsidRPr="00A10374">
              <w:rPr>
                <w:rFonts w:ascii="Times New Roman" w:hAnsi="Times New Roman"/>
                <w:i/>
                <w:lang w:val="ro-RO"/>
              </w:rPr>
              <w:t>asupra</w:t>
            </w:r>
            <w:r w:rsidR="00032B46" w:rsidRPr="00A10374">
              <w:rPr>
                <w:rFonts w:ascii="Times New Roman" w:hAnsi="Times New Roman"/>
                <w:i/>
                <w:lang w:val="ro-RO"/>
              </w:rPr>
              <w:t xml:space="preserve"> </w:t>
            </w:r>
            <w:r w:rsidRPr="00A10374">
              <w:rPr>
                <w:rFonts w:ascii="Times New Roman" w:hAnsi="Times New Roman"/>
                <w:i/>
                <w:lang w:val="ro-RO"/>
              </w:rPr>
              <w:t>mediului</w:t>
            </w:r>
          </w:p>
          <w:p w14:paraId="6C503D0E" w14:textId="1DA82AD7" w:rsidR="00D85681" w:rsidRPr="00A10374" w:rsidRDefault="00D85681" w:rsidP="001A76A5">
            <w:pPr>
              <w:jc w:val="both"/>
              <w:rPr>
                <w:rFonts w:ascii="Times New Roman" w:hAnsi="Times New Roman"/>
                <w:lang w:val="ro-RO"/>
              </w:rPr>
            </w:pPr>
            <w:r w:rsidRPr="00A10374">
              <w:rPr>
                <w:rFonts w:ascii="Times New Roman" w:hAnsi="Times New Roman"/>
                <w:lang w:val="ro-RO"/>
              </w:rPr>
              <w:t>Implementarea Proiectul de lege pentru modificarea Legii nr. 139/2018 cu privire la eficiența energetică</w:t>
            </w:r>
            <w:r w:rsidR="0088682B">
              <w:rPr>
                <w:rFonts w:ascii="Times New Roman" w:hAnsi="Times New Roman"/>
                <w:lang w:val="ro-RO"/>
              </w:rPr>
              <w:t xml:space="preserve"> </w:t>
            </w:r>
            <w:r w:rsidR="0088682B" w:rsidRPr="0088682B">
              <w:rPr>
                <w:rFonts w:ascii="Times New Roman" w:hAnsi="Times New Roman"/>
                <w:lang w:val="ro-RO"/>
              </w:rPr>
              <w:t>(facilitarea implementării proiectelor de eficiență energetică)</w:t>
            </w:r>
            <w:r w:rsidRPr="00A10374">
              <w:rPr>
                <w:rFonts w:ascii="Times New Roman" w:hAnsi="Times New Roman"/>
                <w:lang w:val="ro-RO"/>
              </w:rPr>
              <w:t xml:space="preserve"> va avea impact pozitiv </w:t>
            </w:r>
            <w:r w:rsidRPr="00A10374">
              <w:rPr>
                <w:rFonts w:ascii="Times New Roman" w:hAnsi="Times New Roman"/>
                <w:lang w:val="ro-RO"/>
              </w:rPr>
              <w:lastRenderedPageBreak/>
              <w:t>asupra mediului prin reducerea emisiilor de CO</w:t>
            </w:r>
            <w:r w:rsidRPr="00A10374">
              <w:rPr>
                <w:rFonts w:ascii="Times New Roman" w:hAnsi="Times New Roman"/>
                <w:vertAlign w:val="subscript"/>
                <w:lang w:val="ro-RO"/>
              </w:rPr>
              <w:t xml:space="preserve">2 </w:t>
            </w:r>
            <w:r w:rsidRPr="00A10374">
              <w:rPr>
                <w:rFonts w:ascii="Times New Roman" w:hAnsi="Times New Roman"/>
                <w:lang w:val="ro-RO"/>
              </w:rPr>
              <w:t xml:space="preserve"> ca urmare a implementării proiectelor de eficiență energetică și valorificare a surselor de energie regenerabilă, contribuind inclusiv la reducerea consumurilor/resurselor energetice utilizate.</w:t>
            </w:r>
          </w:p>
          <w:p w14:paraId="1ED48608" w14:textId="01E0F2BD" w:rsidR="001831B4" w:rsidRPr="00A10374" w:rsidRDefault="001831B4" w:rsidP="001831B4">
            <w:pPr>
              <w:rPr>
                <w:rFonts w:ascii="Times New Roman" w:hAnsi="Times New Roman"/>
                <w:lang w:val="ro-RO"/>
              </w:rPr>
            </w:pPr>
          </w:p>
        </w:tc>
      </w:tr>
      <w:tr w:rsidR="006D3EB7" w:rsidRPr="00997304" w14:paraId="42A0201F" w14:textId="77777777" w:rsidTr="002365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118207C9" w:rsidR="007225FC" w:rsidRPr="00A10374" w:rsidRDefault="006933C3" w:rsidP="000E1660">
            <w:pPr>
              <w:rPr>
                <w:rFonts w:ascii="Times New Roman" w:hAnsi="Times New Roman"/>
                <w:i/>
                <w:lang w:val="ro-RO"/>
              </w:rPr>
            </w:pPr>
            <w:r w:rsidRPr="00A10374">
              <w:rPr>
                <w:rFonts w:ascii="Times New Roman" w:hAnsi="Times New Roman"/>
                <w:i/>
                <w:lang w:val="ro-RO"/>
              </w:rPr>
              <w:lastRenderedPageBreak/>
              <w:t>4.</w:t>
            </w:r>
            <w:r w:rsidR="00CA2822" w:rsidRPr="00A10374">
              <w:rPr>
                <w:rFonts w:ascii="Times New Roman" w:hAnsi="Times New Roman"/>
                <w:i/>
                <w:lang w:val="ro-RO"/>
              </w:rPr>
              <w:t>6</w:t>
            </w:r>
            <w:r w:rsidRPr="00A10374">
              <w:rPr>
                <w:rFonts w:ascii="Times New Roman" w:hAnsi="Times New Roman"/>
                <w:i/>
                <w:lang w:val="ro-RO"/>
              </w:rPr>
              <w:t>.</w:t>
            </w:r>
            <w:r w:rsidR="00032B46" w:rsidRPr="00A10374">
              <w:rPr>
                <w:rFonts w:ascii="Times New Roman" w:hAnsi="Times New Roman"/>
                <w:i/>
                <w:lang w:val="ro-RO"/>
              </w:rPr>
              <w:t xml:space="preserve"> </w:t>
            </w:r>
            <w:r w:rsidRPr="00A10374">
              <w:rPr>
                <w:rFonts w:ascii="Times New Roman" w:hAnsi="Times New Roman"/>
                <w:i/>
                <w:lang w:val="ro-RO"/>
              </w:rPr>
              <w:t>Alte</w:t>
            </w:r>
            <w:r w:rsidR="00032B46" w:rsidRPr="00A10374">
              <w:rPr>
                <w:rFonts w:ascii="Times New Roman" w:hAnsi="Times New Roman"/>
                <w:i/>
                <w:lang w:val="ro-RO"/>
              </w:rPr>
              <w:t xml:space="preserve"> </w:t>
            </w:r>
            <w:r w:rsidRPr="00A10374">
              <w:rPr>
                <w:rFonts w:ascii="Times New Roman" w:hAnsi="Times New Roman"/>
                <w:i/>
                <w:lang w:val="ro-RO"/>
              </w:rPr>
              <w:t>impacturi</w:t>
            </w:r>
            <w:r w:rsidR="00032B46" w:rsidRPr="00A10374">
              <w:rPr>
                <w:rFonts w:ascii="Times New Roman" w:hAnsi="Times New Roman"/>
                <w:i/>
                <w:lang w:val="ro-RO"/>
              </w:rPr>
              <w:t xml:space="preserve"> </w:t>
            </w:r>
            <w:r w:rsidR="00863417" w:rsidRPr="00A10374">
              <w:rPr>
                <w:rFonts w:ascii="Times New Roman" w:hAnsi="Times New Roman"/>
                <w:i/>
                <w:lang w:val="ro-RO"/>
              </w:rPr>
              <w:t>ș</w:t>
            </w:r>
            <w:r w:rsidRPr="00A10374">
              <w:rPr>
                <w:rFonts w:ascii="Times New Roman" w:hAnsi="Times New Roman"/>
                <w:i/>
                <w:lang w:val="ro-RO"/>
              </w:rPr>
              <w:t>i</w:t>
            </w:r>
            <w:r w:rsidR="00032B46" w:rsidRPr="00A10374">
              <w:rPr>
                <w:rFonts w:ascii="Times New Roman" w:hAnsi="Times New Roman"/>
                <w:i/>
                <w:lang w:val="ro-RO"/>
              </w:rPr>
              <w:t xml:space="preserve"> </w:t>
            </w:r>
            <w:r w:rsidRPr="00A10374">
              <w:rPr>
                <w:rFonts w:ascii="Times New Roman" w:hAnsi="Times New Roman"/>
                <w:i/>
                <w:lang w:val="ro-RO"/>
              </w:rPr>
              <w:t>informa</w:t>
            </w:r>
            <w:r w:rsidR="00863417" w:rsidRPr="00A10374">
              <w:rPr>
                <w:rFonts w:ascii="Times New Roman" w:hAnsi="Times New Roman"/>
                <w:i/>
                <w:lang w:val="ro-RO"/>
              </w:rPr>
              <w:t>ț</w:t>
            </w:r>
            <w:r w:rsidRPr="00A10374">
              <w:rPr>
                <w:rFonts w:ascii="Times New Roman" w:hAnsi="Times New Roman"/>
                <w:i/>
                <w:lang w:val="ro-RO"/>
              </w:rPr>
              <w:t>ii</w:t>
            </w:r>
            <w:r w:rsidR="00032B46" w:rsidRPr="00A10374">
              <w:rPr>
                <w:rFonts w:ascii="Times New Roman" w:hAnsi="Times New Roman"/>
                <w:i/>
                <w:lang w:val="ro-RO"/>
              </w:rPr>
              <w:t xml:space="preserve"> </w:t>
            </w:r>
            <w:r w:rsidRPr="00A10374">
              <w:rPr>
                <w:rFonts w:ascii="Times New Roman" w:hAnsi="Times New Roman"/>
                <w:i/>
                <w:lang w:val="ro-RO"/>
              </w:rPr>
              <w:t>relevante</w:t>
            </w:r>
          </w:p>
        </w:tc>
      </w:tr>
      <w:tr w:rsidR="006D3EB7" w:rsidRPr="00997304"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37491C" w14:textId="1AE1B0D7" w:rsidR="00083AA2" w:rsidRPr="00A10374" w:rsidRDefault="000D4674" w:rsidP="001A76A5">
            <w:pPr>
              <w:tabs>
                <w:tab w:val="left" w:pos="884"/>
                <w:tab w:val="left" w:pos="1196"/>
              </w:tabs>
              <w:spacing w:before="120" w:after="120"/>
              <w:jc w:val="both"/>
              <w:rPr>
                <w:rFonts w:ascii="Times New Roman" w:hAnsi="Times New Roman"/>
                <w:lang w:val="ro-RO"/>
              </w:rPr>
            </w:pPr>
            <w:r w:rsidRPr="00A10374">
              <w:rPr>
                <w:rFonts w:ascii="Times New Roman" w:hAnsi="Times New Roman"/>
                <w:lang w:val="ro-RO"/>
              </w:rPr>
              <w:t xml:space="preserve">Implementarea Proiectul de lege pentru modificarea Legii nr. 139/2018 cu privire la eficiența energetică </w:t>
            </w:r>
            <w:r w:rsidR="0088682B" w:rsidRPr="0088682B">
              <w:rPr>
                <w:rFonts w:ascii="Times New Roman" w:hAnsi="Times New Roman"/>
                <w:lang w:val="ro-RO"/>
              </w:rPr>
              <w:t>(facilitarea implementării proiectelor de eficiență energetică)</w:t>
            </w:r>
            <w:r w:rsidR="0088682B">
              <w:rPr>
                <w:rFonts w:ascii="Times New Roman" w:hAnsi="Times New Roman"/>
                <w:lang w:val="ro-RO"/>
              </w:rPr>
              <w:t xml:space="preserve"> </w:t>
            </w:r>
            <w:r w:rsidRPr="00A10374">
              <w:rPr>
                <w:rFonts w:ascii="Times New Roman" w:hAnsi="Times New Roman"/>
                <w:lang w:val="ro-RO"/>
              </w:rPr>
              <w:t xml:space="preserve">va avea impact pozitiv și asupra sistemului de sănătate și educațional prin crearea premiselor care ar facilita implementarea proiectelor de eficiență energetică și valorificare a surselor de energie regenerabilă, contribuind astfel la modernizarea clădirilor, respectarea </w:t>
            </w:r>
            <w:r w:rsidR="00083AA2" w:rsidRPr="00A10374">
              <w:rPr>
                <w:rFonts w:ascii="Times New Roman" w:hAnsi="Times New Roman"/>
                <w:lang w:val="ro-RO"/>
              </w:rPr>
              <w:t xml:space="preserve">normelor </w:t>
            </w:r>
            <w:proofErr w:type="spellStart"/>
            <w:r w:rsidR="00083AA2" w:rsidRPr="00A10374">
              <w:rPr>
                <w:rFonts w:ascii="Times New Roman" w:hAnsi="Times New Roman"/>
                <w:lang w:val="ro-RO"/>
              </w:rPr>
              <w:t>igienico</w:t>
            </w:r>
            <w:proofErr w:type="spellEnd"/>
            <w:r w:rsidR="00083AA2" w:rsidRPr="00A10374">
              <w:rPr>
                <w:rFonts w:ascii="Times New Roman" w:hAnsi="Times New Roman"/>
                <w:lang w:val="ro-RO"/>
              </w:rPr>
              <w:t>-sanitare precum și șa a</w:t>
            </w:r>
            <w:r w:rsidRPr="00A10374">
              <w:rPr>
                <w:rFonts w:ascii="Times New Roman" w:hAnsi="Times New Roman"/>
                <w:lang w:val="ro-RO"/>
              </w:rPr>
              <w:t>cordarea serviciilor educaționale și medicale mai calitative</w:t>
            </w:r>
            <w:r w:rsidR="00083AA2" w:rsidRPr="00A10374">
              <w:rPr>
                <w:rFonts w:ascii="Times New Roman" w:hAnsi="Times New Roman"/>
                <w:lang w:val="ro-RO"/>
              </w:rPr>
              <w:t>.</w:t>
            </w:r>
          </w:p>
          <w:p w14:paraId="13FD1F55" w14:textId="690411CD" w:rsidR="008B4BE6" w:rsidRPr="00A10374" w:rsidRDefault="00083AA2" w:rsidP="001A76A5">
            <w:pPr>
              <w:tabs>
                <w:tab w:val="left" w:pos="884"/>
                <w:tab w:val="left" w:pos="1196"/>
              </w:tabs>
              <w:spacing w:before="120" w:after="120"/>
              <w:jc w:val="both"/>
              <w:rPr>
                <w:rFonts w:ascii="Times New Roman" w:hAnsi="Times New Roman"/>
                <w:lang w:val="ro-RO"/>
              </w:rPr>
            </w:pPr>
            <w:r w:rsidRPr="00A10374">
              <w:rPr>
                <w:rFonts w:ascii="Times New Roman" w:hAnsi="Times New Roman"/>
                <w:lang w:val="ro-RO"/>
              </w:rPr>
              <w:t xml:space="preserve">Crearea premiselor care ar atrage mijloace financiare pentru proiecte de eficiență energetică și valorificare a surselor de energie regenerabilă va avea impact și asupra dezvoltării tehnologice și inovației datorită soluțiilor propuse în cadrul diferitor proiecte ce urmează a fi implementate în acest sens, inclusiv prin colaborarea cu partenerii de dezvoltare și organizațiile internaționale în acest sens. </w:t>
            </w:r>
            <w:r w:rsidR="000D4674" w:rsidRPr="00A10374">
              <w:rPr>
                <w:rFonts w:ascii="Times New Roman" w:hAnsi="Times New Roman"/>
                <w:lang w:val="ro-RO"/>
              </w:rPr>
              <w:t xml:space="preserve">  </w:t>
            </w:r>
          </w:p>
        </w:tc>
      </w:tr>
      <w:tr w:rsidR="006D3EB7" w:rsidRPr="00997304"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A10374" w:rsidRDefault="006933C3" w:rsidP="000E1660">
            <w:pPr>
              <w:rPr>
                <w:rFonts w:ascii="Times New Roman" w:hAnsi="Times New Roman"/>
                <w:b/>
                <w:bCs/>
                <w:lang w:val="ro-RO"/>
              </w:rPr>
            </w:pPr>
            <w:r w:rsidRPr="00A10374">
              <w:rPr>
                <w:rFonts w:ascii="Times New Roman" w:hAnsi="Times New Roman"/>
                <w:b/>
                <w:bCs/>
                <w:lang w:val="ro-RO"/>
              </w:rPr>
              <w:t>5.</w:t>
            </w:r>
            <w:r w:rsidR="00032B46" w:rsidRPr="00A10374">
              <w:rPr>
                <w:rFonts w:ascii="Times New Roman" w:hAnsi="Times New Roman"/>
                <w:b/>
                <w:bCs/>
                <w:lang w:val="ro-RO"/>
              </w:rPr>
              <w:t xml:space="preserve"> </w:t>
            </w:r>
            <w:r w:rsidRPr="00A10374">
              <w:rPr>
                <w:rFonts w:ascii="Times New Roman" w:hAnsi="Times New Roman"/>
                <w:b/>
                <w:bCs/>
                <w:lang w:val="ro-RO"/>
              </w:rPr>
              <w:t>Compatibilitatea</w:t>
            </w:r>
            <w:r w:rsidR="00032B46" w:rsidRPr="00A10374">
              <w:rPr>
                <w:rFonts w:ascii="Times New Roman" w:hAnsi="Times New Roman"/>
                <w:b/>
                <w:bCs/>
                <w:lang w:val="ro-RO"/>
              </w:rPr>
              <w:t xml:space="preserve"> </w:t>
            </w:r>
            <w:r w:rsidRPr="00A10374">
              <w:rPr>
                <w:rFonts w:ascii="Times New Roman" w:hAnsi="Times New Roman"/>
                <w:b/>
                <w:bCs/>
                <w:lang w:val="ro-RO"/>
              </w:rPr>
              <w:t>proiectului</w:t>
            </w:r>
            <w:r w:rsidR="00032B46" w:rsidRPr="00A10374">
              <w:rPr>
                <w:rFonts w:ascii="Times New Roman" w:hAnsi="Times New Roman"/>
                <w:b/>
                <w:bCs/>
                <w:lang w:val="ro-RO"/>
              </w:rPr>
              <w:t xml:space="preserve"> </w:t>
            </w:r>
            <w:r w:rsidRPr="00A10374">
              <w:rPr>
                <w:rFonts w:ascii="Times New Roman" w:hAnsi="Times New Roman"/>
                <w:b/>
                <w:bCs/>
                <w:lang w:val="ro-RO"/>
              </w:rPr>
              <w:t>actului</w:t>
            </w:r>
            <w:r w:rsidR="00032B46" w:rsidRPr="00A10374">
              <w:rPr>
                <w:rFonts w:ascii="Times New Roman" w:hAnsi="Times New Roman"/>
                <w:b/>
                <w:bCs/>
                <w:lang w:val="ro-RO"/>
              </w:rPr>
              <w:t xml:space="preserve"> </w:t>
            </w:r>
            <w:r w:rsidRPr="00A10374">
              <w:rPr>
                <w:rFonts w:ascii="Times New Roman" w:hAnsi="Times New Roman"/>
                <w:b/>
                <w:bCs/>
                <w:lang w:val="ro-RO"/>
              </w:rPr>
              <w:t>normativ</w:t>
            </w:r>
            <w:r w:rsidR="00032B46" w:rsidRPr="00A10374">
              <w:rPr>
                <w:rFonts w:ascii="Times New Roman" w:hAnsi="Times New Roman"/>
                <w:b/>
                <w:bCs/>
                <w:lang w:val="ro-RO"/>
              </w:rPr>
              <w:t xml:space="preserve"> </w:t>
            </w:r>
            <w:r w:rsidRPr="00A10374">
              <w:rPr>
                <w:rFonts w:ascii="Times New Roman" w:hAnsi="Times New Roman"/>
                <w:b/>
                <w:bCs/>
                <w:lang w:val="ro-RO"/>
              </w:rPr>
              <w:t>cu</w:t>
            </w:r>
            <w:r w:rsidR="00032B46" w:rsidRPr="00A10374">
              <w:rPr>
                <w:rFonts w:ascii="Times New Roman" w:hAnsi="Times New Roman"/>
                <w:b/>
                <w:bCs/>
                <w:lang w:val="ro-RO"/>
              </w:rPr>
              <w:t xml:space="preserve"> </w:t>
            </w:r>
            <w:r w:rsidRPr="00A10374">
              <w:rPr>
                <w:rFonts w:ascii="Times New Roman" w:hAnsi="Times New Roman"/>
                <w:b/>
                <w:bCs/>
                <w:lang w:val="ro-RO"/>
              </w:rPr>
              <w:t>legisla</w:t>
            </w:r>
            <w:r w:rsidR="00863417" w:rsidRPr="00A10374">
              <w:rPr>
                <w:rFonts w:ascii="Times New Roman" w:hAnsi="Times New Roman"/>
                <w:b/>
                <w:bCs/>
                <w:lang w:val="ro-RO"/>
              </w:rPr>
              <w:t>ț</w:t>
            </w:r>
            <w:r w:rsidRPr="00A10374">
              <w:rPr>
                <w:rFonts w:ascii="Times New Roman" w:hAnsi="Times New Roman"/>
                <w:b/>
                <w:bCs/>
                <w:lang w:val="ro-RO"/>
              </w:rPr>
              <w:t>ia</w:t>
            </w:r>
            <w:r w:rsidR="00032B46" w:rsidRPr="00A10374">
              <w:rPr>
                <w:rFonts w:ascii="Times New Roman" w:hAnsi="Times New Roman"/>
                <w:b/>
                <w:bCs/>
                <w:lang w:val="ro-RO"/>
              </w:rPr>
              <w:t xml:space="preserve"> </w:t>
            </w:r>
            <w:r w:rsidRPr="00A10374">
              <w:rPr>
                <w:rFonts w:ascii="Times New Roman" w:hAnsi="Times New Roman"/>
                <w:b/>
                <w:bCs/>
                <w:lang w:val="ro-RO"/>
              </w:rPr>
              <w:t>UE</w:t>
            </w:r>
            <w:r w:rsidR="00032B46" w:rsidRPr="00A10374">
              <w:rPr>
                <w:rFonts w:ascii="Times New Roman" w:hAnsi="Times New Roman"/>
                <w:b/>
                <w:bCs/>
                <w:lang w:val="ro-RO"/>
              </w:rPr>
              <w:t xml:space="preserve"> </w:t>
            </w:r>
          </w:p>
        </w:tc>
      </w:tr>
      <w:tr w:rsidR="006D3EB7" w:rsidRPr="00997304" w14:paraId="564B5E4C" w14:textId="77777777" w:rsidTr="004169F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14997E" w14:textId="77777777" w:rsidR="008B4BE6" w:rsidRPr="00A10374" w:rsidRDefault="006933C3" w:rsidP="000E1660">
            <w:pPr>
              <w:rPr>
                <w:rFonts w:ascii="Times New Roman" w:hAnsi="Times New Roman"/>
                <w:i/>
                <w:lang w:val="ro-RO"/>
              </w:rPr>
            </w:pPr>
            <w:r w:rsidRPr="00A10374">
              <w:rPr>
                <w:rFonts w:ascii="Times New Roman" w:hAnsi="Times New Roman"/>
                <w:i/>
                <w:lang w:val="ro-RO"/>
              </w:rPr>
              <w:t>5.1.</w:t>
            </w:r>
            <w:r w:rsidR="00032B46" w:rsidRPr="00A10374">
              <w:rPr>
                <w:rFonts w:ascii="Times New Roman" w:hAnsi="Times New Roman"/>
                <w:i/>
                <w:lang w:val="ro-RO"/>
              </w:rPr>
              <w:t xml:space="preserve"> </w:t>
            </w:r>
            <w:r w:rsidRPr="00A10374">
              <w:rPr>
                <w:rFonts w:ascii="Times New Roman" w:hAnsi="Times New Roman"/>
                <w:i/>
                <w:lang w:val="ro-RO"/>
              </w:rPr>
              <w:t>Măsuri</w:t>
            </w:r>
            <w:r w:rsidR="00032B46" w:rsidRPr="00A10374">
              <w:rPr>
                <w:rFonts w:ascii="Times New Roman" w:hAnsi="Times New Roman"/>
                <w:i/>
                <w:lang w:val="ro-RO"/>
              </w:rPr>
              <w:t xml:space="preserve"> </w:t>
            </w:r>
            <w:r w:rsidRPr="00A10374">
              <w:rPr>
                <w:rFonts w:ascii="Times New Roman" w:hAnsi="Times New Roman"/>
                <w:i/>
                <w:lang w:val="ro-RO"/>
              </w:rPr>
              <w:t>normative</w:t>
            </w:r>
            <w:r w:rsidR="00032B46" w:rsidRPr="00A10374">
              <w:rPr>
                <w:rFonts w:ascii="Times New Roman" w:hAnsi="Times New Roman"/>
                <w:i/>
                <w:lang w:val="ro-RO"/>
              </w:rPr>
              <w:t xml:space="preserve"> </w:t>
            </w:r>
            <w:r w:rsidRPr="00A10374">
              <w:rPr>
                <w:rFonts w:ascii="Times New Roman" w:hAnsi="Times New Roman"/>
                <w:i/>
                <w:lang w:val="ro-RO"/>
              </w:rPr>
              <w:t>necesare</w:t>
            </w:r>
            <w:r w:rsidR="00032B46" w:rsidRPr="00A10374">
              <w:rPr>
                <w:rFonts w:ascii="Times New Roman" w:hAnsi="Times New Roman"/>
                <w:i/>
                <w:lang w:val="ro-RO"/>
              </w:rPr>
              <w:t xml:space="preserve"> </w:t>
            </w:r>
            <w:r w:rsidR="006E0A2E" w:rsidRPr="00A10374">
              <w:rPr>
                <w:rFonts w:ascii="Times New Roman" w:hAnsi="Times New Roman"/>
                <w:i/>
                <w:lang w:val="ro-RO"/>
              </w:rPr>
              <w:t xml:space="preserve">pentru </w:t>
            </w:r>
            <w:r w:rsidRPr="00A10374">
              <w:rPr>
                <w:rFonts w:ascii="Times New Roman" w:hAnsi="Times New Roman"/>
                <w:i/>
                <w:lang w:val="ro-RO"/>
              </w:rPr>
              <w:t>transpuner</w:t>
            </w:r>
            <w:r w:rsidR="006E0A2E" w:rsidRPr="00A10374">
              <w:rPr>
                <w:rFonts w:ascii="Times New Roman" w:hAnsi="Times New Roman"/>
                <w:i/>
                <w:lang w:val="ro-RO"/>
              </w:rPr>
              <w:t>ea</w:t>
            </w:r>
            <w:r w:rsidR="00032B46" w:rsidRPr="00A10374">
              <w:rPr>
                <w:rFonts w:ascii="Times New Roman" w:hAnsi="Times New Roman"/>
                <w:i/>
                <w:lang w:val="ro-RO"/>
              </w:rPr>
              <w:t xml:space="preserve"> </w:t>
            </w:r>
            <w:r w:rsidRPr="00A10374">
              <w:rPr>
                <w:rFonts w:ascii="Times New Roman" w:hAnsi="Times New Roman"/>
                <w:i/>
                <w:lang w:val="ro-RO"/>
              </w:rPr>
              <w:t>actelor</w:t>
            </w:r>
            <w:r w:rsidR="00032B46" w:rsidRPr="00A10374">
              <w:rPr>
                <w:rFonts w:ascii="Times New Roman" w:hAnsi="Times New Roman"/>
                <w:i/>
                <w:lang w:val="ro-RO"/>
              </w:rPr>
              <w:t xml:space="preserve"> </w:t>
            </w:r>
            <w:r w:rsidRPr="00A10374">
              <w:rPr>
                <w:rFonts w:ascii="Times New Roman" w:hAnsi="Times New Roman"/>
                <w:i/>
                <w:lang w:val="ro-RO"/>
              </w:rPr>
              <w:t>juridice</w:t>
            </w:r>
            <w:r w:rsidR="00032B46" w:rsidRPr="00A10374">
              <w:rPr>
                <w:rFonts w:ascii="Times New Roman" w:hAnsi="Times New Roman"/>
                <w:i/>
                <w:lang w:val="ro-RO"/>
              </w:rPr>
              <w:t xml:space="preserve"> </w:t>
            </w:r>
            <w:r w:rsidRPr="00A10374">
              <w:rPr>
                <w:rFonts w:ascii="Times New Roman" w:hAnsi="Times New Roman"/>
                <w:i/>
                <w:lang w:val="ro-RO"/>
              </w:rPr>
              <w:t>ale</w:t>
            </w:r>
            <w:r w:rsidR="00032B46" w:rsidRPr="00A10374">
              <w:rPr>
                <w:rFonts w:ascii="Times New Roman" w:hAnsi="Times New Roman"/>
                <w:i/>
                <w:lang w:val="ro-RO"/>
              </w:rPr>
              <w:t xml:space="preserve"> </w:t>
            </w:r>
            <w:r w:rsidR="007C53A1" w:rsidRPr="00A10374">
              <w:rPr>
                <w:rFonts w:ascii="Times New Roman" w:hAnsi="Times New Roman"/>
                <w:i/>
                <w:lang w:val="ro-RO"/>
              </w:rPr>
              <w:t>UE</w:t>
            </w:r>
            <w:r w:rsidR="00825DC9" w:rsidRPr="00A10374">
              <w:rPr>
                <w:rFonts w:ascii="Times New Roman" w:hAnsi="Times New Roman"/>
                <w:i/>
                <w:lang w:val="ro-RO"/>
              </w:rPr>
              <w:t xml:space="preserve"> în legislația națională</w:t>
            </w:r>
          </w:p>
          <w:p w14:paraId="5EC5689E" w14:textId="6082D6CA" w:rsidR="004169F8" w:rsidRPr="00A10374" w:rsidRDefault="000231A3" w:rsidP="00A10374">
            <w:pPr>
              <w:pStyle w:val="BodyText"/>
              <w:tabs>
                <w:tab w:val="left" w:pos="993"/>
              </w:tabs>
              <w:spacing w:before="120" w:after="120"/>
              <w:jc w:val="both"/>
              <w:rPr>
                <w:rFonts w:ascii="Times New Roman" w:hAnsi="Times New Roman"/>
                <w:color w:val="333333"/>
                <w:sz w:val="24"/>
                <w:szCs w:val="24"/>
                <w:shd w:val="clear" w:color="auto" w:fill="FFFFFF"/>
              </w:rPr>
            </w:pPr>
            <w:r w:rsidRPr="00A10374">
              <w:rPr>
                <w:rFonts w:ascii="Times New Roman" w:hAnsi="Times New Roman"/>
                <w:color w:val="333333"/>
                <w:sz w:val="24"/>
                <w:szCs w:val="24"/>
                <w:shd w:val="clear" w:color="auto" w:fill="FFFFFF"/>
              </w:rPr>
              <w:t>Având</w:t>
            </w:r>
            <w:r w:rsidR="00AF64D3" w:rsidRPr="00A10374">
              <w:rPr>
                <w:rFonts w:ascii="Times New Roman" w:hAnsi="Times New Roman"/>
                <w:color w:val="333333"/>
                <w:sz w:val="24"/>
                <w:szCs w:val="24"/>
                <w:shd w:val="clear" w:color="auto" w:fill="FFFFFF"/>
              </w:rPr>
              <w:t xml:space="preserve"> în vedere caracterul modificărilor propuse, </w:t>
            </w:r>
            <w:r w:rsidRPr="00A10374">
              <w:rPr>
                <w:rFonts w:ascii="Times New Roman" w:hAnsi="Times New Roman"/>
                <w:color w:val="333333"/>
                <w:sz w:val="24"/>
                <w:szCs w:val="24"/>
                <w:shd w:val="clear" w:color="auto" w:fill="FFFFFF"/>
              </w:rPr>
              <w:t xml:space="preserve">careva </w:t>
            </w:r>
            <w:r w:rsidR="00AF64D3" w:rsidRPr="00A10374">
              <w:rPr>
                <w:rFonts w:ascii="Times New Roman" w:hAnsi="Times New Roman"/>
                <w:color w:val="333333"/>
                <w:sz w:val="24"/>
                <w:szCs w:val="24"/>
                <w:shd w:val="clear" w:color="auto" w:fill="FFFFFF"/>
              </w:rPr>
              <w:t>m</w:t>
            </w:r>
            <w:r w:rsidR="005B3F9C" w:rsidRPr="00A10374">
              <w:rPr>
                <w:rFonts w:ascii="Times New Roman" w:hAnsi="Times New Roman"/>
                <w:color w:val="333333"/>
                <w:sz w:val="24"/>
                <w:szCs w:val="24"/>
                <w:shd w:val="clear" w:color="auto" w:fill="FFFFFF"/>
              </w:rPr>
              <w:t xml:space="preserve">ăsuri normative necesare pentru transpunerea actelor juridice ale UE în legislația națională nu </w:t>
            </w:r>
            <w:r w:rsidRPr="00A10374">
              <w:rPr>
                <w:rFonts w:ascii="Times New Roman" w:hAnsi="Times New Roman"/>
                <w:color w:val="333333"/>
                <w:sz w:val="24"/>
                <w:szCs w:val="24"/>
                <w:shd w:val="clear" w:color="auto" w:fill="FFFFFF"/>
              </w:rPr>
              <w:t>au fost identificate</w:t>
            </w:r>
            <w:r w:rsidR="005B3F9C" w:rsidRPr="00A10374">
              <w:rPr>
                <w:rFonts w:ascii="Times New Roman" w:hAnsi="Times New Roman"/>
                <w:color w:val="333333"/>
                <w:sz w:val="24"/>
                <w:szCs w:val="24"/>
                <w:shd w:val="clear" w:color="auto" w:fill="FFFFFF"/>
              </w:rPr>
              <w:t>.</w:t>
            </w:r>
          </w:p>
        </w:tc>
      </w:tr>
      <w:tr w:rsidR="006D3EB7" w:rsidRPr="00A10374" w14:paraId="1541F0CB" w14:textId="77777777" w:rsidTr="004169F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6D6ED7" w14:textId="1F3E435A" w:rsidR="002310C2" w:rsidRPr="00A10374" w:rsidRDefault="006933C3" w:rsidP="000E1660">
            <w:pPr>
              <w:rPr>
                <w:rFonts w:ascii="Times New Roman" w:hAnsi="Times New Roman"/>
                <w:i/>
                <w:lang w:val="ro-RO"/>
              </w:rPr>
            </w:pPr>
            <w:r w:rsidRPr="00A10374">
              <w:rPr>
                <w:rFonts w:ascii="Times New Roman" w:hAnsi="Times New Roman"/>
                <w:i/>
                <w:lang w:val="ro-RO"/>
              </w:rPr>
              <w:t>5.2.</w:t>
            </w:r>
            <w:r w:rsidR="00032B46" w:rsidRPr="00A10374">
              <w:rPr>
                <w:rFonts w:ascii="Times New Roman" w:hAnsi="Times New Roman"/>
                <w:i/>
                <w:lang w:val="ro-RO"/>
              </w:rPr>
              <w:t xml:space="preserve"> </w:t>
            </w:r>
            <w:r w:rsidRPr="00A10374">
              <w:rPr>
                <w:rFonts w:ascii="Times New Roman" w:hAnsi="Times New Roman"/>
                <w:i/>
                <w:lang w:val="ro-RO"/>
              </w:rPr>
              <w:t>Măsuri</w:t>
            </w:r>
            <w:r w:rsidR="00032B46" w:rsidRPr="00A10374">
              <w:rPr>
                <w:rFonts w:ascii="Times New Roman" w:hAnsi="Times New Roman"/>
                <w:i/>
                <w:lang w:val="ro-RO"/>
              </w:rPr>
              <w:t xml:space="preserve"> </w:t>
            </w:r>
            <w:r w:rsidRPr="00A10374">
              <w:rPr>
                <w:rFonts w:ascii="Times New Roman" w:hAnsi="Times New Roman"/>
                <w:i/>
                <w:lang w:val="ro-RO"/>
              </w:rPr>
              <w:t>normative</w:t>
            </w:r>
            <w:r w:rsidR="00032B46" w:rsidRPr="00A10374">
              <w:rPr>
                <w:rFonts w:ascii="Times New Roman" w:hAnsi="Times New Roman"/>
                <w:i/>
                <w:lang w:val="ro-RO"/>
              </w:rPr>
              <w:t xml:space="preserve"> </w:t>
            </w:r>
            <w:r w:rsidRPr="00A10374">
              <w:rPr>
                <w:rFonts w:ascii="Times New Roman" w:hAnsi="Times New Roman"/>
                <w:i/>
                <w:lang w:val="ro-RO"/>
              </w:rPr>
              <w:t>care</w:t>
            </w:r>
            <w:r w:rsidR="00032B46" w:rsidRPr="00A10374">
              <w:rPr>
                <w:rFonts w:ascii="Times New Roman" w:hAnsi="Times New Roman"/>
                <w:i/>
                <w:lang w:val="ro-RO"/>
              </w:rPr>
              <w:t xml:space="preserve"> </w:t>
            </w:r>
            <w:r w:rsidRPr="00A10374">
              <w:rPr>
                <w:rFonts w:ascii="Times New Roman" w:hAnsi="Times New Roman"/>
                <w:i/>
                <w:lang w:val="ro-RO"/>
              </w:rPr>
              <w:t>urmăresc</w:t>
            </w:r>
            <w:r w:rsidR="00032B46" w:rsidRPr="00A10374">
              <w:rPr>
                <w:rFonts w:ascii="Times New Roman" w:hAnsi="Times New Roman"/>
                <w:i/>
                <w:lang w:val="ro-RO"/>
              </w:rPr>
              <w:t xml:space="preserve"> </w:t>
            </w:r>
            <w:r w:rsidRPr="00A10374">
              <w:rPr>
                <w:rFonts w:ascii="Times New Roman" w:hAnsi="Times New Roman"/>
                <w:i/>
                <w:lang w:val="ro-RO"/>
              </w:rPr>
              <w:t>crearea</w:t>
            </w:r>
            <w:r w:rsidR="00032B46" w:rsidRPr="00A10374">
              <w:rPr>
                <w:rFonts w:ascii="Times New Roman" w:hAnsi="Times New Roman"/>
                <w:i/>
                <w:lang w:val="ro-RO"/>
              </w:rPr>
              <w:t xml:space="preserve"> </w:t>
            </w:r>
            <w:r w:rsidRPr="00A10374">
              <w:rPr>
                <w:rFonts w:ascii="Times New Roman" w:hAnsi="Times New Roman"/>
                <w:i/>
                <w:lang w:val="ro-RO"/>
              </w:rPr>
              <w:t>cadrului</w:t>
            </w:r>
            <w:r w:rsidR="00032B46" w:rsidRPr="00A10374">
              <w:rPr>
                <w:rFonts w:ascii="Times New Roman" w:hAnsi="Times New Roman"/>
                <w:i/>
                <w:lang w:val="ro-RO"/>
              </w:rPr>
              <w:t xml:space="preserve"> </w:t>
            </w:r>
            <w:r w:rsidRPr="00A10374">
              <w:rPr>
                <w:rFonts w:ascii="Times New Roman" w:hAnsi="Times New Roman"/>
                <w:i/>
                <w:lang w:val="ro-RO"/>
              </w:rPr>
              <w:t>juridic</w:t>
            </w:r>
            <w:r w:rsidR="00032B46" w:rsidRPr="00A10374">
              <w:rPr>
                <w:rFonts w:ascii="Times New Roman" w:hAnsi="Times New Roman"/>
                <w:i/>
                <w:lang w:val="ro-RO"/>
              </w:rPr>
              <w:t xml:space="preserve"> </w:t>
            </w:r>
            <w:r w:rsidRPr="00A10374">
              <w:rPr>
                <w:rFonts w:ascii="Times New Roman" w:hAnsi="Times New Roman"/>
                <w:i/>
                <w:lang w:val="ro-RO"/>
              </w:rPr>
              <w:t>intern</w:t>
            </w:r>
            <w:r w:rsidR="00032B46" w:rsidRPr="00A10374">
              <w:rPr>
                <w:rFonts w:ascii="Times New Roman" w:hAnsi="Times New Roman"/>
                <w:i/>
                <w:lang w:val="ro-RO"/>
              </w:rPr>
              <w:t xml:space="preserve"> </w:t>
            </w:r>
            <w:r w:rsidRPr="00A10374">
              <w:rPr>
                <w:rFonts w:ascii="Times New Roman" w:hAnsi="Times New Roman"/>
                <w:i/>
                <w:lang w:val="ro-RO"/>
              </w:rPr>
              <w:t>necesar</w:t>
            </w:r>
            <w:r w:rsidR="00032B46" w:rsidRPr="00A10374">
              <w:rPr>
                <w:rFonts w:ascii="Times New Roman" w:hAnsi="Times New Roman"/>
                <w:i/>
                <w:lang w:val="ro-RO"/>
              </w:rPr>
              <w:t xml:space="preserve"> </w:t>
            </w:r>
            <w:r w:rsidR="006E0A2E" w:rsidRPr="00A10374">
              <w:rPr>
                <w:rFonts w:ascii="Times New Roman" w:hAnsi="Times New Roman"/>
                <w:i/>
                <w:lang w:val="ro-RO"/>
              </w:rPr>
              <w:t xml:space="preserve">pentru </w:t>
            </w:r>
            <w:r w:rsidRPr="00A10374">
              <w:rPr>
                <w:rFonts w:ascii="Times New Roman" w:hAnsi="Times New Roman"/>
                <w:i/>
                <w:lang w:val="ro-RO"/>
              </w:rPr>
              <w:t>implement</w:t>
            </w:r>
            <w:r w:rsidR="006E0A2E" w:rsidRPr="00A10374">
              <w:rPr>
                <w:rFonts w:ascii="Times New Roman" w:hAnsi="Times New Roman"/>
                <w:i/>
                <w:lang w:val="ro-RO"/>
              </w:rPr>
              <w:t>area</w:t>
            </w:r>
            <w:r w:rsidR="00032B46" w:rsidRPr="00A10374">
              <w:rPr>
                <w:rFonts w:ascii="Times New Roman" w:hAnsi="Times New Roman"/>
                <w:i/>
                <w:lang w:val="ro-RO"/>
              </w:rPr>
              <w:t xml:space="preserve"> </w:t>
            </w:r>
            <w:r w:rsidRPr="00A10374">
              <w:rPr>
                <w:rFonts w:ascii="Times New Roman" w:hAnsi="Times New Roman"/>
                <w:i/>
                <w:lang w:val="ro-RO"/>
              </w:rPr>
              <w:t>legisla</w:t>
            </w:r>
            <w:r w:rsidR="00863417" w:rsidRPr="00A10374">
              <w:rPr>
                <w:rFonts w:ascii="Times New Roman" w:hAnsi="Times New Roman"/>
                <w:i/>
                <w:lang w:val="ro-RO"/>
              </w:rPr>
              <w:t>ț</w:t>
            </w:r>
            <w:r w:rsidRPr="00A10374">
              <w:rPr>
                <w:rFonts w:ascii="Times New Roman" w:hAnsi="Times New Roman"/>
                <w:i/>
                <w:lang w:val="ro-RO"/>
              </w:rPr>
              <w:t>iei</w:t>
            </w:r>
            <w:r w:rsidR="00032B46" w:rsidRPr="00A10374">
              <w:rPr>
                <w:rFonts w:ascii="Times New Roman" w:hAnsi="Times New Roman"/>
                <w:i/>
                <w:lang w:val="ro-RO"/>
              </w:rPr>
              <w:t xml:space="preserve"> </w:t>
            </w:r>
            <w:r w:rsidR="007C53A1" w:rsidRPr="00A10374">
              <w:rPr>
                <w:rFonts w:ascii="Times New Roman" w:hAnsi="Times New Roman"/>
                <w:i/>
                <w:lang w:val="ro-RO"/>
              </w:rPr>
              <w:t>UE</w:t>
            </w:r>
          </w:p>
        </w:tc>
      </w:tr>
      <w:tr w:rsidR="006D3EB7" w:rsidRPr="00A10374"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4CACBF37" w:rsidR="008B4BE6" w:rsidRPr="00A10374" w:rsidRDefault="005B3F9C" w:rsidP="006D1F09">
            <w:pPr>
              <w:pBdr>
                <w:top w:val="none" w:sz="4" w:space="0" w:color="000000"/>
                <w:left w:val="none" w:sz="4" w:space="0" w:color="000000"/>
                <w:bottom w:val="none" w:sz="4" w:space="0" w:color="000000"/>
                <w:right w:val="none" w:sz="4" w:space="0" w:color="000000"/>
              </w:pBdr>
              <w:rPr>
                <w:rFonts w:ascii="Times New Roman" w:hAnsi="Times New Roman"/>
                <w:lang w:val="ro-RO"/>
              </w:rPr>
            </w:pPr>
            <w:r w:rsidRPr="00A10374">
              <w:rPr>
                <w:rFonts w:ascii="Times New Roman" w:hAnsi="Times New Roman"/>
                <w:lang w:val="ro-RO"/>
              </w:rPr>
              <w:t>Măsuri normative care urmăresc crearea cadrului juridic intern necesar pentru implementarea legislației UE nu sunt.</w:t>
            </w:r>
          </w:p>
        </w:tc>
      </w:tr>
      <w:tr w:rsidR="006D3EB7" w:rsidRPr="00997304"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A10374" w:rsidRDefault="006933C3" w:rsidP="000E1660">
            <w:pPr>
              <w:rPr>
                <w:rFonts w:ascii="Times New Roman" w:hAnsi="Times New Roman"/>
                <w:b/>
                <w:bCs/>
                <w:lang w:val="ro-RO"/>
              </w:rPr>
            </w:pPr>
            <w:r w:rsidRPr="00A10374">
              <w:rPr>
                <w:rFonts w:ascii="Times New Roman" w:hAnsi="Times New Roman"/>
                <w:b/>
                <w:bCs/>
                <w:lang w:val="ro-RO"/>
              </w:rPr>
              <w:t>6.</w:t>
            </w:r>
            <w:r w:rsidR="00032B46" w:rsidRPr="00A10374">
              <w:rPr>
                <w:rFonts w:ascii="Times New Roman" w:hAnsi="Times New Roman"/>
                <w:b/>
                <w:bCs/>
                <w:lang w:val="ro-RO"/>
              </w:rPr>
              <w:t xml:space="preserve"> </w:t>
            </w:r>
            <w:r w:rsidRPr="00A10374">
              <w:rPr>
                <w:rFonts w:ascii="Times New Roman" w:hAnsi="Times New Roman"/>
                <w:b/>
                <w:bCs/>
                <w:lang w:val="ro-RO"/>
              </w:rPr>
              <w:t>Avizarea</w:t>
            </w:r>
            <w:r w:rsidR="00032B46" w:rsidRPr="00A10374">
              <w:rPr>
                <w:rFonts w:ascii="Times New Roman" w:hAnsi="Times New Roman"/>
                <w:b/>
                <w:bCs/>
                <w:lang w:val="ro-RO"/>
              </w:rPr>
              <w:t xml:space="preserve"> </w:t>
            </w:r>
            <w:r w:rsidR="00863417" w:rsidRPr="00A10374">
              <w:rPr>
                <w:rFonts w:ascii="Times New Roman" w:hAnsi="Times New Roman"/>
                <w:b/>
                <w:bCs/>
                <w:lang w:val="ro-RO"/>
              </w:rPr>
              <w:t>ș</w:t>
            </w:r>
            <w:r w:rsidRPr="00A10374">
              <w:rPr>
                <w:rFonts w:ascii="Times New Roman" w:hAnsi="Times New Roman"/>
                <w:b/>
                <w:bCs/>
                <w:lang w:val="ro-RO"/>
              </w:rPr>
              <w:t>i</w:t>
            </w:r>
            <w:r w:rsidR="00032B46" w:rsidRPr="00A10374">
              <w:rPr>
                <w:rFonts w:ascii="Times New Roman" w:hAnsi="Times New Roman"/>
                <w:b/>
                <w:bCs/>
                <w:lang w:val="ro-RO"/>
              </w:rPr>
              <w:t xml:space="preserve"> </w:t>
            </w:r>
            <w:r w:rsidRPr="00A10374">
              <w:rPr>
                <w:rFonts w:ascii="Times New Roman" w:hAnsi="Times New Roman"/>
                <w:b/>
                <w:bCs/>
                <w:lang w:val="ro-RO"/>
              </w:rPr>
              <w:t>consultarea</w:t>
            </w:r>
            <w:r w:rsidR="00032B46" w:rsidRPr="00A10374">
              <w:rPr>
                <w:rFonts w:ascii="Times New Roman" w:hAnsi="Times New Roman"/>
                <w:b/>
                <w:bCs/>
                <w:lang w:val="ro-RO"/>
              </w:rPr>
              <w:t xml:space="preserve"> </w:t>
            </w:r>
            <w:r w:rsidRPr="00A10374">
              <w:rPr>
                <w:rFonts w:ascii="Times New Roman" w:hAnsi="Times New Roman"/>
                <w:b/>
                <w:bCs/>
                <w:lang w:val="ro-RO"/>
              </w:rPr>
              <w:t>publică</w:t>
            </w:r>
            <w:r w:rsidR="00032B46" w:rsidRPr="00A10374">
              <w:rPr>
                <w:rFonts w:ascii="Times New Roman" w:hAnsi="Times New Roman"/>
                <w:b/>
                <w:bCs/>
                <w:lang w:val="ro-RO"/>
              </w:rPr>
              <w:t xml:space="preserve"> </w:t>
            </w:r>
            <w:r w:rsidRPr="00A10374">
              <w:rPr>
                <w:rFonts w:ascii="Times New Roman" w:hAnsi="Times New Roman"/>
                <w:b/>
                <w:bCs/>
                <w:lang w:val="ro-RO"/>
              </w:rPr>
              <w:t>a</w:t>
            </w:r>
            <w:r w:rsidR="00032B46" w:rsidRPr="00A10374">
              <w:rPr>
                <w:rFonts w:ascii="Times New Roman" w:hAnsi="Times New Roman"/>
                <w:b/>
                <w:bCs/>
                <w:lang w:val="ro-RO"/>
              </w:rPr>
              <w:t xml:space="preserve"> </w:t>
            </w:r>
            <w:r w:rsidRPr="00A10374">
              <w:rPr>
                <w:rFonts w:ascii="Times New Roman" w:hAnsi="Times New Roman"/>
                <w:b/>
                <w:bCs/>
                <w:lang w:val="ro-RO"/>
              </w:rPr>
              <w:t>proiectului</w:t>
            </w:r>
            <w:r w:rsidR="00032B46" w:rsidRPr="00A10374">
              <w:rPr>
                <w:rFonts w:ascii="Times New Roman" w:hAnsi="Times New Roman"/>
                <w:b/>
                <w:bCs/>
                <w:lang w:val="ro-RO"/>
              </w:rPr>
              <w:t xml:space="preserve"> </w:t>
            </w:r>
            <w:r w:rsidRPr="00A10374">
              <w:rPr>
                <w:rFonts w:ascii="Times New Roman" w:hAnsi="Times New Roman"/>
                <w:b/>
                <w:bCs/>
                <w:lang w:val="ro-RO"/>
              </w:rPr>
              <w:t>actului</w:t>
            </w:r>
            <w:r w:rsidR="00032B46" w:rsidRPr="00A10374">
              <w:rPr>
                <w:rFonts w:ascii="Times New Roman" w:hAnsi="Times New Roman"/>
                <w:b/>
                <w:bCs/>
                <w:lang w:val="ro-RO"/>
              </w:rPr>
              <w:t xml:space="preserve"> </w:t>
            </w:r>
            <w:r w:rsidRPr="00A10374">
              <w:rPr>
                <w:rFonts w:ascii="Times New Roman" w:hAnsi="Times New Roman"/>
                <w:b/>
                <w:bCs/>
                <w:lang w:val="ro-RO"/>
              </w:rPr>
              <w:t>normativ</w:t>
            </w:r>
          </w:p>
        </w:tc>
      </w:tr>
      <w:tr w:rsidR="006D3EB7" w:rsidRPr="00997304"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EDD4B1" w14:textId="70BB29F2" w:rsidR="009B1D70" w:rsidRPr="00A10374" w:rsidRDefault="009B1D70" w:rsidP="009B1D70">
            <w:pPr>
              <w:pStyle w:val="NoSpacing"/>
              <w:ind w:firstLine="0"/>
              <w:rPr>
                <w:rFonts w:ascii="Times New Roman" w:hAnsi="Times New Roman"/>
                <w:sz w:val="24"/>
                <w:szCs w:val="24"/>
                <w:lang w:val="ro-RO"/>
              </w:rPr>
            </w:pPr>
            <w:r w:rsidRPr="00A10374">
              <w:rPr>
                <w:rFonts w:ascii="Times New Roman" w:hAnsi="Times New Roman"/>
                <w:sz w:val="24"/>
                <w:szCs w:val="24"/>
                <w:lang w:val="ro-RO"/>
              </w:rPr>
              <w:t xml:space="preserve">În scopul respectării prevederilor Legii nr. 239/2008 privind transparența în procesul decizional, anunțul privind inițierea procesului de elaborare a Proiectului </w:t>
            </w:r>
            <w:r w:rsidR="005B3F9C" w:rsidRPr="00A10374">
              <w:rPr>
                <w:rFonts w:ascii="Times New Roman" w:hAnsi="Times New Roman"/>
                <w:sz w:val="24"/>
                <w:szCs w:val="24"/>
                <w:lang w:val="ro-RO"/>
              </w:rPr>
              <w:t>de lege</w:t>
            </w:r>
            <w:r w:rsidRPr="00A10374">
              <w:rPr>
                <w:rFonts w:ascii="Times New Roman" w:hAnsi="Times New Roman"/>
                <w:sz w:val="24"/>
                <w:szCs w:val="24"/>
                <w:lang w:val="ro-RO"/>
              </w:rPr>
              <w:t xml:space="preserve"> a fost plasat pe pagina web oficială a Ministerului Energiei, compartimentul „Transparență decizională, consultări publice” și pe portalul guvernamental.</w:t>
            </w:r>
          </w:p>
          <w:p w14:paraId="615FF492" w14:textId="46FD35CE" w:rsidR="004E7416" w:rsidRPr="00A10374" w:rsidRDefault="004E7416" w:rsidP="009B1D70">
            <w:pPr>
              <w:pStyle w:val="NoSpacing"/>
              <w:ind w:firstLine="0"/>
              <w:rPr>
                <w:rFonts w:ascii="Times New Roman" w:hAnsi="Times New Roman"/>
                <w:sz w:val="32"/>
                <w:szCs w:val="32"/>
                <w:lang w:val="ro-RO"/>
              </w:rPr>
            </w:pPr>
            <w:r w:rsidRPr="00A10374">
              <w:rPr>
                <w:rStyle w:val="Hyperlink"/>
                <w:rFonts w:ascii="Times New Roman" w:hAnsi="Times New Roman"/>
                <w:sz w:val="24"/>
                <w:szCs w:val="24"/>
                <w:lang w:val="ro-RO"/>
              </w:rPr>
              <w:t>https://particip.gov.md/ro/document/stages/anunt-despre-initierea-procesului-de-elaborare-a-proiectului-de-lege-privind-modificarea-legii-nr1392018-cu-privire-la-eficienta-energetica/13109</w:t>
            </w:r>
          </w:p>
          <w:p w14:paraId="496708FD" w14:textId="7962D2AB" w:rsidR="00665B97" w:rsidRDefault="009B1D70" w:rsidP="009B1D70">
            <w:pPr>
              <w:pStyle w:val="NoSpacing"/>
              <w:ind w:firstLine="0"/>
              <w:rPr>
                <w:rFonts w:ascii="Times New Roman" w:hAnsi="Times New Roman"/>
                <w:sz w:val="24"/>
                <w:szCs w:val="24"/>
                <w:lang w:val="ro-MD"/>
              </w:rPr>
            </w:pPr>
            <w:r w:rsidRPr="00A10374">
              <w:rPr>
                <w:rFonts w:ascii="Times New Roman" w:hAnsi="Times New Roman"/>
                <w:sz w:val="24"/>
                <w:szCs w:val="24"/>
                <w:lang w:val="ro-RO"/>
              </w:rPr>
              <w:t xml:space="preserve">Respectând prevederile Legii nr. 239/2008 privind transparența decizională </w:t>
            </w:r>
            <w:r w:rsidR="00665B97">
              <w:rPr>
                <w:rFonts w:ascii="Times New Roman" w:hAnsi="Times New Roman"/>
                <w:sz w:val="24"/>
                <w:szCs w:val="24"/>
                <w:lang w:val="ro-RO"/>
              </w:rPr>
              <w:t>au fost</w:t>
            </w:r>
            <w:r w:rsidRPr="00A10374">
              <w:rPr>
                <w:rFonts w:ascii="Times New Roman" w:hAnsi="Times New Roman"/>
                <w:sz w:val="24"/>
                <w:szCs w:val="24"/>
                <w:lang w:val="ro-RO"/>
              </w:rPr>
              <w:t xml:space="preserve"> organizate consultări publice </w:t>
            </w:r>
            <w:r w:rsidR="00665B97">
              <w:rPr>
                <w:rFonts w:ascii="Times New Roman" w:hAnsi="Times New Roman"/>
                <w:sz w:val="24"/>
                <w:szCs w:val="24"/>
                <w:lang w:val="ro-RO"/>
              </w:rPr>
              <w:t xml:space="preserve">prin organizarea </w:t>
            </w:r>
            <w:r w:rsidR="00665B97">
              <w:rPr>
                <w:rFonts w:ascii="Times New Roman" w:hAnsi="Times New Roman"/>
                <w:sz w:val="24"/>
                <w:szCs w:val="24"/>
                <w:lang w:val="ro-MD"/>
              </w:rPr>
              <w:t xml:space="preserve">ședințelor de lucru cu ANRE, Furnizorii de energie termică (Termoelectrica SA, CET Nord SA) reprezentanții Asociației băncilor din Republica Moldova. </w:t>
            </w:r>
          </w:p>
          <w:p w14:paraId="60407452" w14:textId="77777777" w:rsidR="00E679FA" w:rsidRDefault="00665B97" w:rsidP="00E679FA">
            <w:pPr>
              <w:pStyle w:val="NoSpacing"/>
              <w:ind w:firstLine="0"/>
              <w:rPr>
                <w:rFonts w:ascii="Times New Roman" w:hAnsi="Times New Roman"/>
                <w:sz w:val="24"/>
                <w:szCs w:val="24"/>
                <w:lang w:val="ro-MD"/>
              </w:rPr>
            </w:pPr>
            <w:r>
              <w:rPr>
                <w:rFonts w:ascii="Times New Roman" w:hAnsi="Times New Roman"/>
                <w:sz w:val="24"/>
                <w:szCs w:val="24"/>
                <w:lang w:val="ro-MD"/>
              </w:rPr>
              <w:t>Totodată, proiectul de lege a fost expediat spre avizare către toate părțile interesate,</w:t>
            </w:r>
            <w:r w:rsidR="00E679FA">
              <w:rPr>
                <w:rFonts w:ascii="Times New Roman" w:hAnsi="Times New Roman"/>
                <w:sz w:val="24"/>
                <w:szCs w:val="24"/>
                <w:lang w:val="ro-MD"/>
              </w:rPr>
              <w:t xml:space="preserve"> fiind publicat inclusiv pe portalul guvernamental </w:t>
            </w:r>
            <w:hyperlink r:id="rId13" w:history="1">
              <w:r w:rsidR="00E679FA" w:rsidRPr="001147D6">
                <w:rPr>
                  <w:rStyle w:val="Hyperlink"/>
                  <w:sz w:val="24"/>
                  <w:szCs w:val="24"/>
                  <w:lang w:val="ro-MD"/>
                </w:rPr>
                <w:t>www.particip.gov.md</w:t>
              </w:r>
            </w:hyperlink>
            <w:r w:rsidR="00E679FA">
              <w:rPr>
                <w:rFonts w:ascii="Times New Roman" w:hAnsi="Times New Roman"/>
                <w:sz w:val="24"/>
                <w:szCs w:val="24"/>
                <w:lang w:val="ro-MD"/>
              </w:rPr>
              <w:t xml:space="preserve">  - </w:t>
            </w:r>
            <w:hyperlink r:id="rId14" w:history="1">
              <w:r w:rsidR="00E679FA" w:rsidRPr="00E679FA">
                <w:rPr>
                  <w:rStyle w:val="Hyperlink"/>
                  <w:rFonts w:ascii="Times New Roman" w:hAnsi="Times New Roman"/>
                  <w:sz w:val="24"/>
                  <w:szCs w:val="24"/>
                  <w:lang w:val="ro-MD"/>
                </w:rPr>
                <w:t>https://particip.gov.md/ro/document/stages/ministerul-energiei-in-conformitate-cu-prevederile-art-32-alin-3-din-legea-nr-1002017-cu-privire-la-actele-normative-plaseaza-pentru-consultarea-publica-proiectul-de-lege-cu-privire-la-aprobarea-proiectului-de-lege-pentru-modificarea-legii-nr-1392018-cu-privire-la-eficienta-energetica-numar-unic-1028men2024/13567</w:t>
              </w:r>
            </w:hyperlink>
            <w:r w:rsidR="00E679FA">
              <w:rPr>
                <w:rFonts w:ascii="Times New Roman" w:hAnsi="Times New Roman"/>
                <w:sz w:val="24"/>
                <w:szCs w:val="24"/>
                <w:lang w:val="ro-MD"/>
              </w:rPr>
              <w:t xml:space="preserve"> </w:t>
            </w:r>
          </w:p>
          <w:p w14:paraId="7CE033F7" w14:textId="7E454523" w:rsidR="00EC77F5" w:rsidRDefault="00E679FA" w:rsidP="009B1D70">
            <w:pPr>
              <w:pStyle w:val="NoSpacing"/>
              <w:ind w:firstLine="0"/>
              <w:rPr>
                <w:rFonts w:ascii="Times New Roman" w:hAnsi="Times New Roman"/>
                <w:sz w:val="24"/>
                <w:szCs w:val="24"/>
                <w:lang w:val="ro-MD"/>
              </w:rPr>
            </w:pPr>
            <w:r>
              <w:rPr>
                <w:rFonts w:ascii="Times New Roman" w:hAnsi="Times New Roman"/>
                <w:sz w:val="24"/>
                <w:szCs w:val="24"/>
                <w:lang w:val="ro-MD"/>
              </w:rPr>
              <w:t>C</w:t>
            </w:r>
            <w:r w:rsidR="00665B97">
              <w:rPr>
                <w:rFonts w:ascii="Times New Roman" w:hAnsi="Times New Roman"/>
                <w:sz w:val="24"/>
                <w:szCs w:val="24"/>
                <w:lang w:val="ro-MD"/>
              </w:rPr>
              <w:t xml:space="preserve">omentariile și obiecțiile </w:t>
            </w:r>
            <w:r w:rsidR="00B35CA6">
              <w:rPr>
                <w:rFonts w:ascii="Times New Roman" w:hAnsi="Times New Roman"/>
                <w:sz w:val="24"/>
                <w:szCs w:val="24"/>
                <w:lang w:val="ro-MD"/>
              </w:rPr>
              <w:t>părților care au participat la avizare</w:t>
            </w:r>
            <w:r w:rsidR="00665B97">
              <w:rPr>
                <w:rFonts w:ascii="Times New Roman" w:hAnsi="Times New Roman"/>
                <w:sz w:val="24"/>
                <w:szCs w:val="24"/>
                <w:lang w:val="ro-MD"/>
              </w:rPr>
              <w:t xml:space="preserve"> au fost analizate și expuse în sinteza la proiect. </w:t>
            </w:r>
          </w:p>
          <w:p w14:paraId="5CEFD8DE" w14:textId="5A23C7D0" w:rsidR="008B4BE6" w:rsidRDefault="00EC77F5" w:rsidP="009B1D70">
            <w:pPr>
              <w:pStyle w:val="NoSpacing"/>
              <w:ind w:firstLine="0"/>
              <w:rPr>
                <w:rFonts w:ascii="Times New Roman" w:hAnsi="Times New Roman"/>
                <w:sz w:val="24"/>
                <w:szCs w:val="24"/>
                <w:lang w:val="ro-MD"/>
              </w:rPr>
            </w:pPr>
            <w:r>
              <w:rPr>
                <w:rFonts w:ascii="Times New Roman" w:hAnsi="Times New Roman"/>
                <w:sz w:val="24"/>
                <w:szCs w:val="24"/>
                <w:lang w:val="ro-MD"/>
              </w:rPr>
              <w:t xml:space="preserve">Cu referire la divergențele existente cu Ministerul Finanțelor este de menționat că în acest sens în baza prevederilor pct. 234 din Regulamentul Guvernului aprobat prin HG 610/2018 a fost </w:t>
            </w:r>
            <w:r>
              <w:rPr>
                <w:rFonts w:ascii="Times New Roman" w:hAnsi="Times New Roman"/>
                <w:sz w:val="24"/>
                <w:szCs w:val="24"/>
                <w:lang w:val="ro-MD"/>
              </w:rPr>
              <w:lastRenderedPageBreak/>
              <w:t>organizată în data de 05.03.2025 o ședință de lucru cu reprezentanții Ministerului Finanțelor, în cadrul căreia</w:t>
            </w:r>
            <w:r w:rsidR="00E56F7D">
              <w:rPr>
                <w:rFonts w:ascii="Times New Roman" w:hAnsi="Times New Roman"/>
                <w:sz w:val="24"/>
                <w:szCs w:val="24"/>
                <w:lang w:val="ro-MD"/>
              </w:rPr>
              <w:t>, inclusiv în baza discuțiilor ulterioare și circulației electronice a proiectului de lege cu toate documentele aferente,</w:t>
            </w:r>
            <w:r>
              <w:rPr>
                <w:rFonts w:ascii="Times New Roman" w:hAnsi="Times New Roman"/>
                <w:sz w:val="24"/>
                <w:szCs w:val="24"/>
                <w:lang w:val="ro-MD"/>
              </w:rPr>
              <w:t xml:space="preserve"> au fost identificate soluții de compromis pentru toate divergențele existente, în baza cărora au fost definitivate Nota de Fundamentare și proiectul de lege.   </w:t>
            </w:r>
          </w:p>
          <w:p w14:paraId="7E6045F3" w14:textId="0A211A53" w:rsidR="004309BF" w:rsidRPr="0083320D" w:rsidRDefault="004309BF" w:rsidP="00D51B73">
            <w:r w:rsidRPr="002713E9">
              <w:rPr>
                <w:rFonts w:ascii="Times New Roman" w:hAnsi="Times New Roman"/>
                <w:lang w:val="ro-MD"/>
              </w:rPr>
              <w:t xml:space="preserve">În conformitate cu pct. 239 din Regulamentul Guvernului, aprobat prin Hotărârea Guvernului nr. 610/2018 proiectul definitivat împreună cu nota informativă și sinteza a fost plasat pe pagina web oficială a Ministerului Energiei, compartimentul „Transparență decizională, consultări publice” și pe portalul guvernamental </w:t>
            </w:r>
            <w:hyperlink r:id="rId15" w:history="1">
              <w:r w:rsidRPr="002713E9">
                <w:rPr>
                  <w:rFonts w:ascii="Times New Roman" w:hAnsi="Times New Roman"/>
                  <w:lang w:val="ro-MD"/>
                </w:rPr>
                <w:t>www.particip.gov.md</w:t>
              </w:r>
            </w:hyperlink>
            <w:r w:rsidR="0083320D">
              <w:t>.</w:t>
            </w:r>
          </w:p>
        </w:tc>
      </w:tr>
      <w:tr w:rsidR="006D3EB7" w:rsidRPr="00A10374"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A10374" w:rsidRDefault="006933C3" w:rsidP="000E1660">
            <w:pPr>
              <w:rPr>
                <w:rFonts w:ascii="Times New Roman" w:hAnsi="Times New Roman"/>
                <w:b/>
                <w:bCs/>
                <w:lang w:val="ro-RO"/>
              </w:rPr>
            </w:pPr>
            <w:r w:rsidRPr="00A10374">
              <w:rPr>
                <w:rFonts w:ascii="Times New Roman" w:hAnsi="Times New Roman"/>
                <w:b/>
                <w:bCs/>
                <w:lang w:val="ro-RO"/>
              </w:rPr>
              <w:lastRenderedPageBreak/>
              <w:t>7.</w:t>
            </w:r>
            <w:r w:rsidR="00032B46" w:rsidRPr="00A10374">
              <w:rPr>
                <w:rFonts w:ascii="Times New Roman" w:hAnsi="Times New Roman"/>
                <w:b/>
                <w:bCs/>
                <w:lang w:val="ro-RO"/>
              </w:rPr>
              <w:t xml:space="preserve"> </w:t>
            </w:r>
            <w:r w:rsidR="00A95A2D" w:rsidRPr="00A10374">
              <w:rPr>
                <w:rFonts w:ascii="Times New Roman" w:hAnsi="Times New Roman"/>
                <w:b/>
                <w:bCs/>
                <w:lang w:val="ro-RO"/>
              </w:rPr>
              <w:t>C</w:t>
            </w:r>
            <w:r w:rsidRPr="00A10374">
              <w:rPr>
                <w:rFonts w:ascii="Times New Roman" w:hAnsi="Times New Roman"/>
                <w:b/>
                <w:bCs/>
                <w:lang w:val="ro-RO"/>
              </w:rPr>
              <w:t>oncluziile</w:t>
            </w:r>
            <w:r w:rsidR="00032B46" w:rsidRPr="00A10374">
              <w:rPr>
                <w:rFonts w:ascii="Times New Roman" w:hAnsi="Times New Roman"/>
                <w:b/>
                <w:bCs/>
                <w:lang w:val="ro-RO"/>
              </w:rPr>
              <w:t xml:space="preserve"> </w:t>
            </w:r>
            <w:r w:rsidRPr="00A10374">
              <w:rPr>
                <w:rFonts w:ascii="Times New Roman" w:hAnsi="Times New Roman"/>
                <w:b/>
                <w:bCs/>
                <w:lang w:val="ro-RO"/>
              </w:rPr>
              <w:t>expertizelor</w:t>
            </w:r>
          </w:p>
        </w:tc>
      </w:tr>
      <w:tr w:rsidR="006D3EB7" w:rsidRPr="00997304"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879CE2E" w14:textId="77777777" w:rsidR="008B4BE6" w:rsidRDefault="009B1D70" w:rsidP="001A76A5">
            <w:pPr>
              <w:jc w:val="both"/>
              <w:rPr>
                <w:rFonts w:ascii="Times New Roman" w:hAnsi="Times New Roman"/>
                <w:lang w:val="ro-RO"/>
              </w:rPr>
            </w:pPr>
            <w:r w:rsidRPr="00A10374">
              <w:rPr>
                <w:rFonts w:ascii="Times New Roman" w:hAnsi="Times New Roman"/>
                <w:lang w:val="ro-RO"/>
              </w:rPr>
              <w:t xml:space="preserve">În scopul respectării art. 34 și 37 din Legea nr. 100/2017 cu privire la actele normative, proiectul de </w:t>
            </w:r>
            <w:r w:rsidR="005B3F9C" w:rsidRPr="00A10374">
              <w:rPr>
                <w:rFonts w:ascii="Times New Roman" w:hAnsi="Times New Roman"/>
                <w:lang w:val="ro-RO"/>
              </w:rPr>
              <w:t>lege</w:t>
            </w:r>
            <w:r w:rsidRPr="00A10374">
              <w:rPr>
                <w:rFonts w:ascii="Times New Roman" w:hAnsi="Times New Roman"/>
                <w:lang w:val="ro-RO"/>
              </w:rPr>
              <w:t xml:space="preserve"> </w:t>
            </w:r>
            <w:r w:rsidR="004309BF">
              <w:rPr>
                <w:rFonts w:ascii="Times New Roman" w:hAnsi="Times New Roman"/>
                <w:lang w:val="ro-RO"/>
              </w:rPr>
              <w:t>a fost</w:t>
            </w:r>
            <w:r w:rsidRPr="00A10374">
              <w:rPr>
                <w:rFonts w:ascii="Times New Roman" w:hAnsi="Times New Roman"/>
                <w:lang w:val="ro-RO"/>
              </w:rPr>
              <w:t xml:space="preserve"> supus expertizei anticorupție de către Centrul Național Anticorupție, expertizei de compatibilitate de către </w:t>
            </w:r>
            <w:r w:rsidRPr="00A10374">
              <w:rPr>
                <w:rFonts w:ascii="Times New Roman" w:hAnsi="Times New Roman"/>
                <w:lang w:val="ro-RO" w:eastAsia="zh-CN"/>
              </w:rPr>
              <w:t>Centrul de Armonizare a Legislației și respectiv expertizei</w:t>
            </w:r>
            <w:r w:rsidR="000E0137" w:rsidRPr="00A10374">
              <w:rPr>
                <w:rFonts w:ascii="Times New Roman" w:hAnsi="Times New Roman"/>
                <w:lang w:val="ro-RO"/>
              </w:rPr>
              <w:t xml:space="preserve"> juridice de către Ministerul J</w:t>
            </w:r>
            <w:r w:rsidRPr="00A10374">
              <w:rPr>
                <w:rFonts w:ascii="Times New Roman" w:hAnsi="Times New Roman"/>
                <w:lang w:val="ro-RO"/>
              </w:rPr>
              <w:t>ustiției.</w:t>
            </w:r>
          </w:p>
          <w:p w14:paraId="7E24E662" w14:textId="3614F637" w:rsidR="004309BF" w:rsidRPr="00124619" w:rsidRDefault="004309BF" w:rsidP="00124619">
            <w:pPr>
              <w:jc w:val="both"/>
              <w:rPr>
                <w:rFonts w:ascii="Times New Roman" w:hAnsi="Times New Roman"/>
                <w:lang w:val="ro-MD"/>
              </w:rPr>
            </w:pPr>
            <w:r w:rsidRPr="00124619">
              <w:rPr>
                <w:rFonts w:ascii="Times New Roman" w:hAnsi="Times New Roman"/>
                <w:lang w:val="ro-MD"/>
              </w:rPr>
              <w:t xml:space="preserve">Astfel, conform Raportului anticorupție nr. Nr. ELO25/10321 din 05.02.2025 au fost constatată necesitatea revizuirii unor prevederi sub aspectul reglementării competenței Guvernului în ceea ce privește acordarea garanțiilor și a compensațiilor financiare </w:t>
            </w:r>
            <w:r w:rsidR="00124619" w:rsidRPr="00124619">
              <w:rPr>
                <w:rFonts w:ascii="Times New Roman" w:hAnsi="Times New Roman"/>
                <w:lang w:val="ro-MD"/>
              </w:rPr>
              <w:t xml:space="preserve">și evitarea unor atribuții extensive de reglementare de către IP CNED. Totodată Raportul a evidențiat necesitate unor redactări sub aspectul respectării tehnicii legislative </w:t>
            </w:r>
            <w:r w:rsidR="00124619" w:rsidRPr="00124619">
              <w:rPr>
                <w:rFonts w:ascii="Times New Roman" w:hAnsi="Times New Roman"/>
                <w:iCs/>
                <w:szCs w:val="28"/>
                <w:lang w:val="ro-RO"/>
              </w:rPr>
              <w:t xml:space="preserve">vizate de prevederile art.54 alin.(1) </w:t>
            </w:r>
            <w:proofErr w:type="spellStart"/>
            <w:r w:rsidR="00124619" w:rsidRPr="00124619">
              <w:rPr>
                <w:rFonts w:ascii="Times New Roman" w:hAnsi="Times New Roman"/>
                <w:iCs/>
                <w:szCs w:val="28"/>
                <w:lang w:val="ro-RO"/>
              </w:rPr>
              <w:t>lit.g</w:t>
            </w:r>
            <w:proofErr w:type="spellEnd"/>
            <w:r w:rsidR="00124619" w:rsidRPr="00124619">
              <w:rPr>
                <w:rFonts w:ascii="Times New Roman" w:hAnsi="Times New Roman"/>
                <w:iCs/>
                <w:szCs w:val="28"/>
                <w:lang w:val="ro-RO"/>
              </w:rPr>
              <w:t>) al Legii nr.100/2017.</w:t>
            </w:r>
          </w:p>
          <w:p w14:paraId="1AFDF414" w14:textId="5D61E747" w:rsidR="004309BF" w:rsidRPr="00124619" w:rsidRDefault="004309BF" w:rsidP="00124619">
            <w:pPr>
              <w:jc w:val="both"/>
              <w:rPr>
                <w:rFonts w:ascii="Times New Roman" w:hAnsi="Times New Roman"/>
                <w:lang w:val="ro-MD"/>
              </w:rPr>
            </w:pPr>
            <w:r w:rsidRPr="00124619">
              <w:rPr>
                <w:rFonts w:ascii="Times New Roman" w:hAnsi="Times New Roman"/>
                <w:lang w:val="ro-MD"/>
              </w:rPr>
              <w:t xml:space="preserve">Drept urmare a analizei recomandărilor prezentate, proiectul </w:t>
            </w:r>
            <w:r w:rsidR="00124619">
              <w:rPr>
                <w:rFonts w:ascii="Times New Roman" w:hAnsi="Times New Roman"/>
                <w:lang w:val="ro-MD"/>
              </w:rPr>
              <w:t>legii</w:t>
            </w:r>
            <w:r w:rsidRPr="00124619">
              <w:rPr>
                <w:rFonts w:ascii="Times New Roman" w:hAnsi="Times New Roman"/>
                <w:lang w:val="ro-MD"/>
              </w:rPr>
              <w:t xml:space="preserve"> a fost îmbunătățit, conform comentariilor prezentate în sinteza la proiectul de Hotărâre.</w:t>
            </w:r>
          </w:p>
          <w:p w14:paraId="1B8968A7" w14:textId="77777777" w:rsidR="004309BF" w:rsidRPr="00124619" w:rsidRDefault="004309BF" w:rsidP="00124619">
            <w:pPr>
              <w:jc w:val="both"/>
              <w:rPr>
                <w:rFonts w:ascii="Times New Roman" w:hAnsi="Times New Roman"/>
                <w:lang w:val="ro-MD"/>
              </w:rPr>
            </w:pPr>
            <w:r w:rsidRPr="00124619">
              <w:rPr>
                <w:rFonts w:ascii="Times New Roman" w:hAnsi="Times New Roman"/>
                <w:lang w:val="ro-MD"/>
              </w:rPr>
              <w:t xml:space="preserve">În final, Raportul de expertiză menționează că  implementarea prevederilor propuse, poate contribui la realizarea interesului public vizat de proiect, în sensul prevăzut de prevederile Legii integrității nr.82 din 25 mai 2017. </w:t>
            </w:r>
          </w:p>
          <w:p w14:paraId="018089CA" w14:textId="5F49F9A0" w:rsidR="004309BF" w:rsidRPr="002A46C5" w:rsidRDefault="004309BF" w:rsidP="002A46C5">
            <w:pPr>
              <w:jc w:val="both"/>
              <w:rPr>
                <w:rFonts w:ascii="Times New Roman" w:hAnsi="Times New Roman"/>
                <w:lang w:val="ro-MD"/>
              </w:rPr>
            </w:pPr>
            <w:r w:rsidRPr="002A46C5">
              <w:rPr>
                <w:rFonts w:ascii="Times New Roman" w:hAnsi="Times New Roman"/>
                <w:lang w:val="ro-MD"/>
              </w:rPr>
              <w:t xml:space="preserve">Cu referire la expertiza juridică este de menționat că aceasta a evidențiat careva obiecții și propuneri aferente proiectului </w:t>
            </w:r>
            <w:r w:rsidR="00124619" w:rsidRPr="002A46C5">
              <w:rPr>
                <w:rFonts w:ascii="Times New Roman" w:hAnsi="Times New Roman"/>
                <w:lang w:val="ro-MD"/>
              </w:rPr>
              <w:t>de lege</w:t>
            </w:r>
            <w:r w:rsidRPr="002A46C5">
              <w:rPr>
                <w:rFonts w:ascii="Times New Roman" w:hAnsi="Times New Roman"/>
                <w:lang w:val="ro-MD"/>
              </w:rPr>
              <w:t xml:space="preserve">, care au fost acceptate </w:t>
            </w:r>
            <w:r w:rsidR="002A46C5" w:rsidRPr="002A46C5">
              <w:rPr>
                <w:rFonts w:ascii="Times New Roman" w:hAnsi="Times New Roman"/>
                <w:lang w:val="ro-MD"/>
              </w:rPr>
              <w:t>integral</w:t>
            </w:r>
            <w:r w:rsidR="0088682B">
              <w:rPr>
                <w:rFonts w:ascii="Times New Roman" w:hAnsi="Times New Roman"/>
                <w:lang w:val="ro-MD"/>
              </w:rPr>
              <w:t xml:space="preserve"> </w:t>
            </w:r>
            <w:r w:rsidRPr="002A46C5">
              <w:rPr>
                <w:rFonts w:ascii="Times New Roman" w:hAnsi="Times New Roman"/>
                <w:lang w:val="ro-MD"/>
              </w:rPr>
              <w:t xml:space="preserve">conform sintezei la proiectul de </w:t>
            </w:r>
            <w:r w:rsidR="00124619" w:rsidRPr="002A46C5">
              <w:rPr>
                <w:rFonts w:ascii="Times New Roman" w:hAnsi="Times New Roman"/>
                <w:lang w:val="ro-MD"/>
              </w:rPr>
              <w:t>lege</w:t>
            </w:r>
            <w:r w:rsidRPr="002A46C5">
              <w:rPr>
                <w:rFonts w:ascii="Times New Roman" w:hAnsi="Times New Roman"/>
                <w:lang w:val="ro-MD"/>
              </w:rPr>
              <w:t>.</w:t>
            </w:r>
          </w:p>
          <w:p w14:paraId="2AAC16F1" w14:textId="013C122E" w:rsidR="004309BF" w:rsidRPr="00A10374" w:rsidRDefault="004309BF" w:rsidP="004309BF">
            <w:pPr>
              <w:jc w:val="both"/>
              <w:rPr>
                <w:rFonts w:ascii="Times New Roman" w:hAnsi="Times New Roman"/>
                <w:lang w:val="ro-RO"/>
              </w:rPr>
            </w:pPr>
            <w:r w:rsidRPr="00124619">
              <w:rPr>
                <w:rFonts w:ascii="Times New Roman" w:hAnsi="Times New Roman"/>
                <w:lang w:val="ro-MD"/>
              </w:rPr>
              <w:t xml:space="preserve">Conform avizului Grupului de Lucru al Comisiei de stat pentru reglementarea activității de întreprinzător a fost constatat că proiectul </w:t>
            </w:r>
            <w:r w:rsidR="00124619" w:rsidRPr="00124619">
              <w:rPr>
                <w:rFonts w:ascii="Times New Roman" w:hAnsi="Times New Roman"/>
                <w:iCs/>
                <w:szCs w:val="28"/>
                <w:lang w:val="ro-RO"/>
              </w:rPr>
              <w:t>corespunde cu principiile de reglementare a activității de întreprinzător, iar Nota de fundamentare aferentă proiectului de lege conține suficiente informații pentru a stabili necesitatea intervenției propuse, și analizează impactul intervenției, astfel încât aceasta corespunde în mare parte cu cerințele metodologice prevăzute de Legea nr.100/2017 cu privire la actele normative.</w:t>
            </w:r>
            <w:r w:rsidRPr="00124619">
              <w:rPr>
                <w:rFonts w:ascii="Times New Roman" w:hAnsi="Times New Roman"/>
                <w:lang w:val="ro-MD"/>
              </w:rPr>
              <w:t xml:space="preserve">     </w:t>
            </w:r>
          </w:p>
        </w:tc>
      </w:tr>
      <w:tr w:rsidR="006D3EB7" w:rsidRPr="00997304"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A10374" w:rsidRDefault="006933C3" w:rsidP="000E1660">
            <w:pPr>
              <w:rPr>
                <w:rFonts w:ascii="Times New Roman" w:hAnsi="Times New Roman"/>
                <w:b/>
                <w:bCs/>
                <w:lang w:val="ro-RO"/>
              </w:rPr>
            </w:pPr>
            <w:r w:rsidRPr="00A10374">
              <w:rPr>
                <w:rFonts w:ascii="Times New Roman" w:hAnsi="Times New Roman"/>
                <w:b/>
                <w:bCs/>
                <w:lang w:val="ro-RO"/>
              </w:rPr>
              <w:t>8.</w:t>
            </w:r>
            <w:r w:rsidR="00032B46" w:rsidRPr="00A10374">
              <w:rPr>
                <w:rFonts w:ascii="Times New Roman" w:hAnsi="Times New Roman"/>
                <w:b/>
                <w:bCs/>
                <w:lang w:val="ro-RO"/>
              </w:rPr>
              <w:t xml:space="preserve"> </w:t>
            </w:r>
            <w:r w:rsidRPr="00A10374">
              <w:rPr>
                <w:rFonts w:ascii="Times New Roman" w:hAnsi="Times New Roman"/>
                <w:b/>
                <w:bCs/>
                <w:lang w:val="ro-RO"/>
              </w:rPr>
              <w:t>Modul</w:t>
            </w:r>
            <w:r w:rsidR="00032B46" w:rsidRPr="00A10374">
              <w:rPr>
                <w:rFonts w:ascii="Times New Roman" w:hAnsi="Times New Roman"/>
                <w:b/>
                <w:bCs/>
                <w:lang w:val="ro-RO"/>
              </w:rPr>
              <w:t xml:space="preserve"> </w:t>
            </w:r>
            <w:r w:rsidRPr="00A10374">
              <w:rPr>
                <w:rFonts w:ascii="Times New Roman" w:hAnsi="Times New Roman"/>
                <w:b/>
                <w:bCs/>
                <w:lang w:val="ro-RO"/>
              </w:rPr>
              <w:t>de</w:t>
            </w:r>
            <w:r w:rsidR="00032B46" w:rsidRPr="00A10374">
              <w:rPr>
                <w:rFonts w:ascii="Times New Roman" w:hAnsi="Times New Roman"/>
                <w:b/>
                <w:bCs/>
                <w:lang w:val="ro-RO"/>
              </w:rPr>
              <w:t xml:space="preserve"> </w:t>
            </w:r>
            <w:r w:rsidRPr="00A10374">
              <w:rPr>
                <w:rFonts w:ascii="Times New Roman" w:hAnsi="Times New Roman"/>
                <w:b/>
                <w:bCs/>
                <w:lang w:val="ro-RO"/>
              </w:rPr>
              <w:t>încorporare</w:t>
            </w:r>
            <w:r w:rsidR="00032B46" w:rsidRPr="00A10374">
              <w:rPr>
                <w:rFonts w:ascii="Times New Roman" w:hAnsi="Times New Roman"/>
                <w:b/>
                <w:bCs/>
                <w:lang w:val="ro-RO"/>
              </w:rPr>
              <w:t xml:space="preserve"> </w:t>
            </w:r>
            <w:r w:rsidRPr="00A10374">
              <w:rPr>
                <w:rFonts w:ascii="Times New Roman" w:hAnsi="Times New Roman"/>
                <w:b/>
                <w:bCs/>
                <w:lang w:val="ro-RO"/>
              </w:rPr>
              <w:t>a</w:t>
            </w:r>
            <w:r w:rsidR="00032B46" w:rsidRPr="00A10374">
              <w:rPr>
                <w:rFonts w:ascii="Times New Roman" w:hAnsi="Times New Roman"/>
                <w:b/>
                <w:bCs/>
                <w:lang w:val="ro-RO"/>
              </w:rPr>
              <w:t xml:space="preserve"> </w:t>
            </w:r>
            <w:r w:rsidRPr="00A10374">
              <w:rPr>
                <w:rFonts w:ascii="Times New Roman" w:hAnsi="Times New Roman"/>
                <w:b/>
                <w:bCs/>
                <w:lang w:val="ro-RO"/>
              </w:rPr>
              <w:t>actului</w:t>
            </w:r>
            <w:r w:rsidR="00032B46" w:rsidRPr="00A10374">
              <w:rPr>
                <w:rFonts w:ascii="Times New Roman" w:hAnsi="Times New Roman"/>
                <w:b/>
                <w:bCs/>
                <w:lang w:val="ro-RO"/>
              </w:rPr>
              <w:t xml:space="preserve"> </w:t>
            </w:r>
            <w:r w:rsidRPr="00A10374">
              <w:rPr>
                <w:rFonts w:ascii="Times New Roman" w:hAnsi="Times New Roman"/>
                <w:b/>
                <w:bCs/>
                <w:lang w:val="ro-RO"/>
              </w:rPr>
              <w:t>în</w:t>
            </w:r>
            <w:r w:rsidR="00032B46" w:rsidRPr="00A10374">
              <w:rPr>
                <w:rFonts w:ascii="Times New Roman" w:hAnsi="Times New Roman"/>
                <w:b/>
                <w:bCs/>
                <w:lang w:val="ro-RO"/>
              </w:rPr>
              <w:t xml:space="preserve"> </w:t>
            </w:r>
            <w:r w:rsidRPr="00A10374">
              <w:rPr>
                <w:rFonts w:ascii="Times New Roman" w:hAnsi="Times New Roman"/>
                <w:b/>
                <w:bCs/>
                <w:lang w:val="ro-RO"/>
              </w:rPr>
              <w:t>cadrul</w:t>
            </w:r>
            <w:r w:rsidR="00032B46" w:rsidRPr="00A10374">
              <w:rPr>
                <w:rFonts w:ascii="Times New Roman" w:hAnsi="Times New Roman"/>
                <w:b/>
                <w:bCs/>
                <w:lang w:val="ro-RO"/>
              </w:rPr>
              <w:t xml:space="preserve"> </w:t>
            </w:r>
            <w:r w:rsidRPr="00A10374">
              <w:rPr>
                <w:rFonts w:ascii="Times New Roman" w:hAnsi="Times New Roman"/>
                <w:b/>
                <w:bCs/>
                <w:lang w:val="ro-RO"/>
              </w:rPr>
              <w:t>normativ</w:t>
            </w:r>
            <w:r w:rsidR="00032B46" w:rsidRPr="00A10374">
              <w:rPr>
                <w:rFonts w:ascii="Times New Roman" w:hAnsi="Times New Roman"/>
                <w:b/>
                <w:bCs/>
                <w:lang w:val="ro-RO"/>
              </w:rPr>
              <w:t xml:space="preserve"> </w:t>
            </w:r>
            <w:r w:rsidR="007C53A1" w:rsidRPr="00A10374">
              <w:rPr>
                <w:rFonts w:ascii="Times New Roman" w:hAnsi="Times New Roman"/>
                <w:b/>
                <w:bCs/>
                <w:lang w:val="ro-RO"/>
              </w:rPr>
              <w:t>existent</w:t>
            </w:r>
          </w:p>
        </w:tc>
      </w:tr>
      <w:tr w:rsidR="006D3EB7" w:rsidRPr="00997304"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547E6A" w14:textId="0AA005D8" w:rsidR="005B3F9C" w:rsidRPr="00A10374" w:rsidRDefault="00103705" w:rsidP="001A76A5">
            <w:pPr>
              <w:pBdr>
                <w:top w:val="none" w:sz="4" w:space="0" w:color="000000"/>
                <w:left w:val="none" w:sz="4" w:space="0" w:color="000000"/>
                <w:bottom w:val="none" w:sz="4" w:space="0" w:color="000000"/>
                <w:right w:val="none" w:sz="4" w:space="0" w:color="000000"/>
              </w:pBdr>
              <w:tabs>
                <w:tab w:val="left" w:pos="884"/>
                <w:tab w:val="left" w:pos="1196"/>
              </w:tabs>
              <w:jc w:val="both"/>
              <w:rPr>
                <w:rFonts w:ascii="Times New Roman" w:hAnsi="Times New Roman"/>
                <w:color w:val="333333"/>
                <w:shd w:val="clear" w:color="auto" w:fill="FFFFFF"/>
                <w:lang w:val="ro-RO"/>
              </w:rPr>
            </w:pPr>
            <w:r w:rsidRPr="00A10374">
              <w:rPr>
                <w:rFonts w:ascii="Times New Roman" w:hAnsi="Times New Roman"/>
                <w:color w:val="333333"/>
                <w:shd w:val="clear" w:color="auto" w:fill="FFFFFF"/>
                <w:lang w:val="ro-RO"/>
              </w:rPr>
              <w:t xml:space="preserve">Ca rezultat al aprobării </w:t>
            </w:r>
            <w:r w:rsidR="000231A3" w:rsidRPr="00A10374">
              <w:rPr>
                <w:rFonts w:ascii="Times New Roman" w:hAnsi="Times New Roman"/>
                <w:lang w:val="ro-RO"/>
              </w:rPr>
              <w:t>proiectului de lege pentru modificarea Legii nr. 139/2018 cu privire la eficiența energetică</w:t>
            </w:r>
            <w:r w:rsidR="0088682B">
              <w:rPr>
                <w:rFonts w:ascii="Times New Roman" w:hAnsi="Times New Roman"/>
                <w:lang w:val="ro-RO"/>
              </w:rPr>
              <w:t xml:space="preserve"> </w:t>
            </w:r>
            <w:r w:rsidR="0088682B" w:rsidRPr="0088682B">
              <w:rPr>
                <w:rFonts w:ascii="Times New Roman" w:hAnsi="Times New Roman"/>
                <w:lang w:val="ro-RO"/>
              </w:rPr>
              <w:t>(facilitarea implementării proiectelor de eficiență energetică)</w:t>
            </w:r>
            <w:r w:rsidR="000231A3" w:rsidRPr="00A10374">
              <w:rPr>
                <w:rFonts w:ascii="Times New Roman" w:hAnsi="Times New Roman"/>
                <w:lang w:val="ro-RO"/>
              </w:rPr>
              <w:t xml:space="preserve">, </w:t>
            </w:r>
            <w:r w:rsidR="00D10E67" w:rsidRPr="00A10374">
              <w:rPr>
                <w:rFonts w:ascii="Times New Roman" w:hAnsi="Times New Roman"/>
                <w:color w:val="333333"/>
                <w:shd w:val="clear" w:color="auto" w:fill="FFFFFF"/>
                <w:lang w:val="ro-RO"/>
              </w:rPr>
              <w:t xml:space="preserve">urmează a fi </w:t>
            </w:r>
            <w:r w:rsidR="005B3F9C" w:rsidRPr="00A10374">
              <w:rPr>
                <w:rFonts w:ascii="Times New Roman" w:hAnsi="Times New Roman"/>
                <w:color w:val="333333"/>
                <w:shd w:val="clear" w:color="auto" w:fill="FFFFFF"/>
                <w:lang w:val="ro-RO"/>
              </w:rPr>
              <w:t xml:space="preserve">efectuate modificări la Programul privind implementarea schemei de obligații în domeniul eficienței energetice pentru perioada 2024-2026, aprobat prin </w:t>
            </w:r>
            <w:r w:rsidR="000E0137" w:rsidRPr="00A10374">
              <w:rPr>
                <w:rFonts w:ascii="Times New Roman" w:hAnsi="Times New Roman"/>
                <w:color w:val="333333"/>
                <w:shd w:val="clear" w:color="auto" w:fill="FFFFFF"/>
                <w:lang w:val="ro-RO"/>
              </w:rPr>
              <w:t xml:space="preserve">Hotărârea </w:t>
            </w:r>
            <w:r w:rsidR="005B3F9C" w:rsidRPr="00A10374">
              <w:rPr>
                <w:rFonts w:ascii="Times New Roman" w:hAnsi="Times New Roman"/>
                <w:color w:val="333333"/>
                <w:shd w:val="clear" w:color="auto" w:fill="FFFFFF"/>
                <w:lang w:val="ro-RO"/>
              </w:rPr>
              <w:t>G</w:t>
            </w:r>
            <w:r w:rsidR="000E0137" w:rsidRPr="00A10374">
              <w:rPr>
                <w:rFonts w:ascii="Times New Roman" w:hAnsi="Times New Roman"/>
                <w:color w:val="333333"/>
                <w:shd w:val="clear" w:color="auto" w:fill="FFFFFF"/>
                <w:lang w:val="ro-RO"/>
              </w:rPr>
              <w:t>uvernului</w:t>
            </w:r>
            <w:r w:rsidR="005B3F9C" w:rsidRPr="00A10374">
              <w:rPr>
                <w:rFonts w:ascii="Times New Roman" w:hAnsi="Times New Roman"/>
                <w:color w:val="333333"/>
                <w:shd w:val="clear" w:color="auto" w:fill="FFFFFF"/>
                <w:lang w:val="ro-RO"/>
              </w:rPr>
              <w:t xml:space="preserve"> nr. 1064/2023.</w:t>
            </w:r>
          </w:p>
          <w:p w14:paraId="551D5CBA" w14:textId="7B79CF46" w:rsidR="008B4BE6" w:rsidRPr="00A10374" w:rsidRDefault="00103705" w:rsidP="001A76A5">
            <w:pPr>
              <w:pBdr>
                <w:top w:val="none" w:sz="4" w:space="0" w:color="000000"/>
                <w:left w:val="none" w:sz="4" w:space="0" w:color="000000"/>
                <w:bottom w:val="none" w:sz="4" w:space="0" w:color="000000"/>
                <w:right w:val="none" w:sz="4" w:space="0" w:color="000000"/>
              </w:pBdr>
              <w:tabs>
                <w:tab w:val="left" w:pos="884"/>
                <w:tab w:val="left" w:pos="1196"/>
              </w:tabs>
              <w:jc w:val="both"/>
              <w:rPr>
                <w:rFonts w:ascii="Times New Roman" w:hAnsi="Times New Roman"/>
                <w:color w:val="FF0000"/>
                <w:lang w:val="ro-RO"/>
              </w:rPr>
            </w:pPr>
            <w:r w:rsidRPr="00A10374">
              <w:rPr>
                <w:rFonts w:ascii="Times New Roman" w:hAnsi="Times New Roman"/>
                <w:color w:val="333333"/>
                <w:shd w:val="clear" w:color="auto" w:fill="FFFFFF"/>
                <w:lang w:val="ro-RO"/>
              </w:rPr>
              <w:t>Alte acte normative noi necesare a fi adoptate pentru implementarea prevederilor în cauză nu au fost identificate.</w:t>
            </w:r>
          </w:p>
        </w:tc>
      </w:tr>
      <w:tr w:rsidR="006D3EB7" w:rsidRPr="00997304"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A10374" w:rsidRDefault="006933C3" w:rsidP="000E1660">
            <w:pPr>
              <w:rPr>
                <w:rFonts w:ascii="Times New Roman" w:hAnsi="Times New Roman"/>
                <w:b/>
                <w:bCs/>
                <w:lang w:val="ro-RO"/>
              </w:rPr>
            </w:pPr>
            <w:r w:rsidRPr="00A10374">
              <w:rPr>
                <w:rFonts w:ascii="Times New Roman" w:hAnsi="Times New Roman"/>
                <w:b/>
                <w:bCs/>
                <w:lang w:val="ro-RO"/>
              </w:rPr>
              <w:t>9.</w:t>
            </w:r>
            <w:r w:rsidR="00032B46" w:rsidRPr="00A10374">
              <w:rPr>
                <w:rFonts w:ascii="Times New Roman" w:hAnsi="Times New Roman"/>
                <w:b/>
                <w:bCs/>
                <w:lang w:val="ro-RO"/>
              </w:rPr>
              <w:t xml:space="preserve"> </w:t>
            </w:r>
            <w:r w:rsidRPr="00A10374">
              <w:rPr>
                <w:rFonts w:ascii="Times New Roman" w:hAnsi="Times New Roman"/>
                <w:b/>
                <w:bCs/>
                <w:lang w:val="ro-RO"/>
              </w:rPr>
              <w:t>Măsuri</w:t>
            </w:r>
            <w:r w:rsidR="0036135C" w:rsidRPr="00A10374">
              <w:rPr>
                <w:rFonts w:ascii="Times New Roman" w:hAnsi="Times New Roman"/>
                <w:b/>
                <w:bCs/>
                <w:lang w:val="ro-RO"/>
              </w:rPr>
              <w:t>le</w:t>
            </w:r>
            <w:r w:rsidR="00032B46" w:rsidRPr="00A10374">
              <w:rPr>
                <w:rFonts w:ascii="Times New Roman" w:hAnsi="Times New Roman"/>
                <w:b/>
                <w:bCs/>
                <w:lang w:val="ro-RO"/>
              </w:rPr>
              <w:t xml:space="preserve"> </w:t>
            </w:r>
            <w:r w:rsidRPr="00A10374">
              <w:rPr>
                <w:rFonts w:ascii="Times New Roman" w:hAnsi="Times New Roman"/>
                <w:b/>
                <w:bCs/>
                <w:lang w:val="ro-RO"/>
              </w:rPr>
              <w:t>necesare</w:t>
            </w:r>
            <w:r w:rsidR="00032B46" w:rsidRPr="00A10374">
              <w:rPr>
                <w:rFonts w:ascii="Times New Roman" w:hAnsi="Times New Roman"/>
                <w:b/>
                <w:bCs/>
                <w:lang w:val="ro-RO"/>
              </w:rPr>
              <w:t xml:space="preserve"> </w:t>
            </w:r>
            <w:r w:rsidRPr="00A10374">
              <w:rPr>
                <w:rFonts w:ascii="Times New Roman" w:hAnsi="Times New Roman"/>
                <w:b/>
                <w:bCs/>
                <w:lang w:val="ro-RO"/>
              </w:rPr>
              <w:t>pentru</w:t>
            </w:r>
            <w:r w:rsidR="00032B46" w:rsidRPr="00A10374">
              <w:rPr>
                <w:rFonts w:ascii="Times New Roman" w:hAnsi="Times New Roman"/>
                <w:b/>
                <w:bCs/>
                <w:lang w:val="ro-RO"/>
              </w:rPr>
              <w:t xml:space="preserve"> </w:t>
            </w:r>
            <w:r w:rsidRPr="00A10374">
              <w:rPr>
                <w:rFonts w:ascii="Times New Roman" w:hAnsi="Times New Roman"/>
                <w:b/>
                <w:bCs/>
                <w:lang w:val="ro-RO"/>
              </w:rPr>
              <w:t>implementarea</w:t>
            </w:r>
            <w:r w:rsidR="00032B46" w:rsidRPr="00A10374">
              <w:rPr>
                <w:rFonts w:ascii="Times New Roman" w:hAnsi="Times New Roman"/>
                <w:b/>
                <w:bCs/>
                <w:lang w:val="ro-RO"/>
              </w:rPr>
              <w:t xml:space="preserve"> </w:t>
            </w:r>
            <w:r w:rsidRPr="00A10374">
              <w:rPr>
                <w:rFonts w:ascii="Times New Roman" w:hAnsi="Times New Roman"/>
                <w:b/>
                <w:bCs/>
                <w:lang w:val="ro-RO"/>
              </w:rPr>
              <w:t>prevederilor</w:t>
            </w:r>
            <w:r w:rsidR="00032B46" w:rsidRPr="00A10374">
              <w:rPr>
                <w:rFonts w:ascii="Times New Roman" w:hAnsi="Times New Roman"/>
                <w:b/>
                <w:bCs/>
                <w:lang w:val="ro-RO"/>
              </w:rPr>
              <w:t xml:space="preserve"> </w:t>
            </w:r>
            <w:r w:rsidRPr="00A10374">
              <w:rPr>
                <w:rFonts w:ascii="Times New Roman" w:hAnsi="Times New Roman"/>
                <w:b/>
                <w:bCs/>
                <w:lang w:val="ro-RO"/>
              </w:rPr>
              <w:t>proiectului</w:t>
            </w:r>
            <w:r w:rsidR="00032B46" w:rsidRPr="00A10374">
              <w:rPr>
                <w:rFonts w:ascii="Times New Roman" w:hAnsi="Times New Roman"/>
                <w:b/>
                <w:bCs/>
                <w:lang w:val="ro-RO"/>
              </w:rPr>
              <w:t xml:space="preserve"> </w:t>
            </w:r>
            <w:r w:rsidRPr="00A10374">
              <w:rPr>
                <w:rFonts w:ascii="Times New Roman" w:hAnsi="Times New Roman"/>
                <w:b/>
                <w:bCs/>
                <w:lang w:val="ro-RO"/>
              </w:rPr>
              <w:t>actului</w:t>
            </w:r>
            <w:r w:rsidR="00032B46" w:rsidRPr="00A10374">
              <w:rPr>
                <w:rFonts w:ascii="Times New Roman" w:hAnsi="Times New Roman"/>
                <w:b/>
                <w:bCs/>
                <w:lang w:val="ro-RO"/>
              </w:rPr>
              <w:t xml:space="preserve"> </w:t>
            </w:r>
            <w:r w:rsidRPr="00A10374">
              <w:rPr>
                <w:rFonts w:ascii="Times New Roman" w:hAnsi="Times New Roman"/>
                <w:b/>
                <w:bCs/>
                <w:lang w:val="ro-RO"/>
              </w:rPr>
              <w:t>normativ</w:t>
            </w:r>
          </w:p>
        </w:tc>
      </w:tr>
      <w:tr w:rsidR="006D3EB7" w:rsidRPr="00997304"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D6AC6DB" w14:textId="539BB2C1" w:rsidR="00AF64D3" w:rsidRPr="00A10374" w:rsidRDefault="00AF64D3" w:rsidP="001A76A5">
            <w:pPr>
              <w:spacing w:before="120" w:after="120"/>
              <w:jc w:val="both"/>
              <w:rPr>
                <w:rFonts w:ascii="Times New Roman" w:hAnsi="Times New Roman"/>
                <w:lang w:val="ro-RO"/>
              </w:rPr>
            </w:pPr>
            <w:r w:rsidRPr="00A10374">
              <w:rPr>
                <w:rFonts w:ascii="Times New Roman" w:hAnsi="Times New Roman"/>
                <w:lang w:val="ro-RO"/>
              </w:rPr>
              <w:t>Vor fi necesare măsuri de organizare și implementare a opțiunilor incluse pentru</w:t>
            </w:r>
            <w:r w:rsidR="000E0137" w:rsidRPr="00A10374">
              <w:rPr>
                <w:rFonts w:ascii="Times New Roman" w:hAnsi="Times New Roman"/>
                <w:lang w:val="ro-RO"/>
              </w:rPr>
              <w:t xml:space="preserve"> a atinge obiectivele stabilite în domeniul eficienței energetice. </w:t>
            </w:r>
            <w:r w:rsidRPr="00A10374">
              <w:rPr>
                <w:rFonts w:ascii="Times New Roman" w:hAnsi="Times New Roman"/>
                <w:lang w:val="ro-RO"/>
              </w:rPr>
              <w:t xml:space="preserve"> </w:t>
            </w:r>
          </w:p>
          <w:p w14:paraId="35423DE1" w14:textId="7E9810D6" w:rsidR="008B4BE6" w:rsidRPr="00A10374" w:rsidRDefault="00AF64D3" w:rsidP="001A76A5">
            <w:pPr>
              <w:spacing w:before="120" w:after="120"/>
              <w:jc w:val="both"/>
              <w:rPr>
                <w:rFonts w:ascii="Times New Roman" w:hAnsi="Times New Roman"/>
                <w:lang w:val="ro-RO"/>
              </w:rPr>
            </w:pPr>
            <w:r w:rsidRPr="00A10374">
              <w:rPr>
                <w:rFonts w:ascii="Times New Roman" w:hAnsi="Times New Roman"/>
                <w:lang w:val="ro-RO"/>
              </w:rPr>
              <w:t>Principale autorități implicate</w:t>
            </w:r>
            <w:r w:rsidR="000E0137" w:rsidRPr="00A10374">
              <w:rPr>
                <w:rFonts w:ascii="Times New Roman" w:hAnsi="Times New Roman"/>
                <w:lang w:val="ro-RO"/>
              </w:rPr>
              <w:t xml:space="preserve"> în procesul de implementare</w:t>
            </w:r>
            <w:r w:rsidRPr="00A10374">
              <w:rPr>
                <w:rFonts w:ascii="Times New Roman" w:hAnsi="Times New Roman"/>
                <w:lang w:val="ro-RO"/>
              </w:rPr>
              <w:t xml:space="preserve"> vor fi </w:t>
            </w:r>
            <w:r w:rsidR="000E0137" w:rsidRPr="00A10374">
              <w:rPr>
                <w:rFonts w:ascii="Times New Roman" w:hAnsi="Times New Roman"/>
                <w:lang w:val="ro-RO"/>
              </w:rPr>
              <w:t xml:space="preserve">Ministerul </w:t>
            </w:r>
            <w:r w:rsidRPr="00A10374">
              <w:rPr>
                <w:rFonts w:ascii="Times New Roman" w:hAnsi="Times New Roman"/>
                <w:lang w:val="ro-RO"/>
              </w:rPr>
              <w:t>Energiei, I.P Centrul Național pentru Energie Durabilă, Agenția Națională pent</w:t>
            </w:r>
            <w:r w:rsidR="001A5FB7" w:rsidRPr="00A10374">
              <w:rPr>
                <w:rFonts w:ascii="Times New Roman" w:hAnsi="Times New Roman"/>
                <w:lang w:val="ro-RO"/>
              </w:rPr>
              <w:t>ru Reglementarea în Energetică</w:t>
            </w:r>
            <w:r w:rsidRPr="00A10374">
              <w:rPr>
                <w:rFonts w:ascii="Times New Roman" w:hAnsi="Times New Roman"/>
                <w:lang w:val="ro-RO"/>
              </w:rPr>
              <w:t xml:space="preserve">. </w:t>
            </w:r>
            <w:r w:rsidR="0047682B" w:rsidRPr="00A10374">
              <w:rPr>
                <w:rFonts w:ascii="Times New Roman" w:hAnsi="Times New Roman"/>
                <w:lang w:val="ro-RO"/>
              </w:rPr>
              <w:t xml:space="preserve"> </w:t>
            </w:r>
          </w:p>
        </w:tc>
      </w:tr>
    </w:tbl>
    <w:p w14:paraId="3C1840E6" w14:textId="77777777" w:rsidR="0047682B" w:rsidRDefault="0047682B" w:rsidP="00F37ED4">
      <w:pPr>
        <w:pBdr>
          <w:top w:val="none" w:sz="4" w:space="0" w:color="000000"/>
          <w:left w:val="none" w:sz="4" w:space="0" w:color="000000"/>
          <w:bottom w:val="none" w:sz="4" w:space="0" w:color="000000"/>
          <w:right w:val="none" w:sz="4" w:space="0" w:color="000000"/>
        </w:pBdr>
        <w:tabs>
          <w:tab w:val="left" w:pos="884"/>
          <w:tab w:val="left" w:pos="1196"/>
        </w:tabs>
        <w:rPr>
          <w:b/>
          <w:lang w:val="ro-RO"/>
        </w:rPr>
      </w:pPr>
    </w:p>
    <w:p w14:paraId="34BDC80D" w14:textId="77777777" w:rsidR="00A44792" w:rsidRDefault="00A44792" w:rsidP="00A44792">
      <w:pPr>
        <w:pBdr>
          <w:top w:val="none" w:sz="4" w:space="0" w:color="000000"/>
          <w:left w:val="none" w:sz="4" w:space="0" w:color="000000"/>
          <w:bottom w:val="none" w:sz="4" w:space="0" w:color="000000"/>
          <w:right w:val="none" w:sz="4" w:space="0" w:color="000000"/>
        </w:pBdr>
        <w:tabs>
          <w:tab w:val="left" w:pos="884"/>
          <w:tab w:val="left" w:pos="1196"/>
        </w:tabs>
        <w:rPr>
          <w:b/>
          <w:lang w:val="ro-MD"/>
        </w:rPr>
      </w:pPr>
    </w:p>
    <w:p w14:paraId="5D412355" w14:textId="77777777" w:rsidR="00A44792" w:rsidRDefault="00A44792" w:rsidP="00A44792">
      <w:pPr>
        <w:pBdr>
          <w:top w:val="none" w:sz="4" w:space="0" w:color="000000"/>
          <w:left w:val="none" w:sz="4" w:space="0" w:color="000000"/>
          <w:bottom w:val="none" w:sz="4" w:space="0" w:color="000000"/>
          <w:right w:val="none" w:sz="4" w:space="0" w:color="000000"/>
        </w:pBdr>
        <w:tabs>
          <w:tab w:val="left" w:pos="884"/>
          <w:tab w:val="left" w:pos="1196"/>
        </w:tabs>
        <w:rPr>
          <w:b/>
          <w:lang w:val="ro-MD"/>
        </w:rPr>
      </w:pPr>
    </w:p>
    <w:p w14:paraId="7A7D6731" w14:textId="58617BC6" w:rsidR="00A44792" w:rsidRPr="00A44792" w:rsidRDefault="00D51B73" w:rsidP="00A44792">
      <w:pPr>
        <w:pBdr>
          <w:top w:val="none" w:sz="4" w:space="0" w:color="000000"/>
          <w:left w:val="none" w:sz="4" w:space="0" w:color="000000"/>
          <w:bottom w:val="none" w:sz="4" w:space="0" w:color="000000"/>
          <w:right w:val="none" w:sz="4" w:space="0" w:color="000000"/>
        </w:pBdr>
        <w:tabs>
          <w:tab w:val="left" w:pos="884"/>
          <w:tab w:val="left" w:pos="1196"/>
        </w:tabs>
        <w:jc w:val="center"/>
        <w:rPr>
          <w:b/>
          <w:lang w:val="ro-MD"/>
        </w:rPr>
      </w:pPr>
      <w:r>
        <w:rPr>
          <w:b/>
          <w:lang w:val="ro-MD"/>
        </w:rPr>
        <w:t>Ministrul Energiei</w:t>
      </w:r>
      <w:r w:rsidR="00A44792" w:rsidRPr="00A44792">
        <w:rPr>
          <w:b/>
          <w:lang w:val="ro-MD"/>
        </w:rPr>
        <w:tab/>
      </w:r>
      <w:r w:rsidR="00A44792" w:rsidRPr="00A44792">
        <w:rPr>
          <w:b/>
          <w:lang w:val="ro-MD"/>
        </w:rPr>
        <w:tab/>
      </w:r>
      <w:r w:rsidR="00A44792" w:rsidRPr="00A44792">
        <w:rPr>
          <w:lang w:val="ro-MD"/>
        </w:rPr>
        <w:t xml:space="preserve">      /semnat electronic/</w:t>
      </w:r>
      <w:r w:rsidR="00A44792" w:rsidRPr="00A44792">
        <w:rPr>
          <w:b/>
          <w:lang w:val="ro-MD"/>
        </w:rPr>
        <w:t xml:space="preserve">                          </w:t>
      </w:r>
      <w:r>
        <w:rPr>
          <w:b/>
          <w:lang w:val="ro-MD"/>
        </w:rPr>
        <w:t>Dorin</w:t>
      </w:r>
      <w:r w:rsidR="00172941" w:rsidRPr="00A44792">
        <w:rPr>
          <w:b/>
          <w:lang w:val="ro-MD"/>
        </w:rPr>
        <w:t xml:space="preserve"> </w:t>
      </w:r>
      <w:r>
        <w:rPr>
          <w:b/>
          <w:lang w:val="ro-MD"/>
        </w:rPr>
        <w:t>JUNGHIETU</w:t>
      </w:r>
    </w:p>
    <w:p w14:paraId="4371194D" w14:textId="77777777" w:rsidR="00A44792" w:rsidRPr="00A10374" w:rsidRDefault="00A44792" w:rsidP="00F37ED4">
      <w:pPr>
        <w:pBdr>
          <w:top w:val="none" w:sz="4" w:space="0" w:color="000000"/>
          <w:left w:val="none" w:sz="4" w:space="0" w:color="000000"/>
          <w:bottom w:val="none" w:sz="4" w:space="0" w:color="000000"/>
          <w:right w:val="none" w:sz="4" w:space="0" w:color="000000"/>
        </w:pBdr>
        <w:tabs>
          <w:tab w:val="left" w:pos="884"/>
          <w:tab w:val="left" w:pos="1196"/>
        </w:tabs>
        <w:rPr>
          <w:b/>
          <w:lang w:val="ro-RO"/>
        </w:rPr>
      </w:pPr>
    </w:p>
    <w:sectPr w:rsidR="00A44792" w:rsidRPr="00A10374" w:rsidSect="00C83148">
      <w:headerReference w:type="default" r:id="rId16"/>
      <w:headerReference w:type="first" r:id="rId17"/>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FF88" w14:textId="77777777" w:rsidR="00B55F6B" w:rsidRDefault="00B55F6B">
      <w:r>
        <w:separator/>
      </w:r>
    </w:p>
  </w:endnote>
  <w:endnote w:type="continuationSeparator" w:id="0">
    <w:p w14:paraId="5089F0E4" w14:textId="77777777" w:rsidR="00B55F6B" w:rsidRDefault="00B5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A020" w14:textId="77777777" w:rsidR="00B55F6B" w:rsidRDefault="00B55F6B">
      <w:r>
        <w:separator/>
      </w:r>
    </w:p>
  </w:footnote>
  <w:footnote w:type="continuationSeparator" w:id="0">
    <w:p w14:paraId="53DBD783" w14:textId="77777777" w:rsidR="00B55F6B" w:rsidRDefault="00B55F6B">
      <w:r>
        <w:continuationSeparator/>
      </w:r>
    </w:p>
  </w:footnote>
  <w:footnote w:id="1">
    <w:p w14:paraId="110741BB" w14:textId="77777777" w:rsidR="009B6342" w:rsidRPr="002E5D5A" w:rsidRDefault="009B6342" w:rsidP="009B6342">
      <w:pPr>
        <w:pStyle w:val="FootnoteText"/>
        <w:rPr>
          <w:lang w:val="ro-MD"/>
        </w:rPr>
      </w:pPr>
      <w:r>
        <w:rPr>
          <w:rStyle w:val="FootnoteReference"/>
        </w:rPr>
        <w:footnoteRef/>
      </w:r>
      <w:r w:rsidRPr="002E5D5A">
        <w:rPr>
          <w:lang w:val="ro-MD"/>
        </w:rPr>
        <w:t xml:space="preserve"> </w:t>
      </w:r>
      <w:hyperlink r:id="rId1" w:history="1">
        <w:r w:rsidRPr="002E5D5A">
          <w:rPr>
            <w:rStyle w:val="Hyperlink"/>
            <w:lang w:val="ro-MD"/>
          </w:rPr>
          <w:t>https://bnm.md/ro/content/raportul-asupra-stabilitatii-financiare-2023</w:t>
        </w:r>
      </w:hyperlink>
      <w:r w:rsidRPr="002E5D5A">
        <w:rPr>
          <w:lang w:val="ro-MD"/>
        </w:rPr>
        <w:t xml:space="preserve"> </w:t>
      </w:r>
    </w:p>
  </w:footnote>
  <w:footnote w:id="2">
    <w:p w14:paraId="7E05F811" w14:textId="4077ABAC" w:rsidR="005F1688" w:rsidRPr="001A76A5" w:rsidRDefault="005F1688" w:rsidP="001A76A5">
      <w:pPr>
        <w:pStyle w:val="FootnoteText"/>
        <w:jc w:val="both"/>
        <w:rPr>
          <w:lang w:val="ro-MD"/>
        </w:rPr>
      </w:pPr>
      <w:r>
        <w:rPr>
          <w:rStyle w:val="FootnoteReference"/>
        </w:rPr>
        <w:footnoteRef/>
      </w:r>
      <w:r w:rsidRPr="00FC08FB">
        <w:rPr>
          <w:lang w:val="pt-BR"/>
        </w:rPr>
        <w:t xml:space="preserve"> </w:t>
      </w:r>
      <w:r w:rsidRPr="001A76A5">
        <w:rPr>
          <w:sz w:val="20"/>
          <w:szCs w:val="20"/>
          <w:shd w:val="clear" w:color="auto" w:fill="FFFFFF"/>
          <w:lang w:val="ro-RO"/>
        </w:rPr>
        <w:t>Importatori de produse petroliere care nu se regăsesc în lista părților obligate din cadrul Programului privind implementarea schemei de obligații în domeniul eficienței energetice, aprobat prin Hotărârea de Guvern nr. 1064/2023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5F1688" w:rsidRPr="00F37ED4" w:rsidRDefault="005F1688" w:rsidP="009D4C0F">
    <w:pPr>
      <w:pStyle w:val="Header"/>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5F1688" w:rsidRPr="00032B46" w:rsidRDefault="005F1688">
    <w:pPr>
      <w:pStyle w:val="Header"/>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E2D"/>
    <w:multiLevelType w:val="hybridMultilevel"/>
    <w:tmpl w:val="FCD2AB14"/>
    <w:lvl w:ilvl="0" w:tplc="E4343A90">
      <w:start w:val="1"/>
      <w:numFmt w:val="decimal"/>
      <w:lvlText w:val="%1."/>
      <w:lvlJc w:val="left"/>
      <w:pPr>
        <w:ind w:left="402" w:hanging="360"/>
      </w:pPr>
      <w:rPr>
        <w:rFonts w:hint="default"/>
        <w:b w:val="0"/>
        <w:color w:val="000000"/>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 w15:restartNumberingAfterBreak="0">
    <w:nsid w:val="02AA6B57"/>
    <w:multiLevelType w:val="hybridMultilevel"/>
    <w:tmpl w:val="93BE7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124CF6"/>
    <w:multiLevelType w:val="hybridMultilevel"/>
    <w:tmpl w:val="B9E06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85B5D"/>
    <w:multiLevelType w:val="hybridMultilevel"/>
    <w:tmpl w:val="BE28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428D9"/>
    <w:multiLevelType w:val="hybridMultilevel"/>
    <w:tmpl w:val="BE28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E4C20"/>
    <w:multiLevelType w:val="hybridMultilevel"/>
    <w:tmpl w:val="33AE0B9C"/>
    <w:lvl w:ilvl="0" w:tplc="73C60C6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741A6"/>
    <w:multiLevelType w:val="hybridMultilevel"/>
    <w:tmpl w:val="8C38A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3B76B8"/>
    <w:multiLevelType w:val="hybridMultilevel"/>
    <w:tmpl w:val="A8763E16"/>
    <w:lvl w:ilvl="0" w:tplc="B69046E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F6AE3"/>
    <w:multiLevelType w:val="hybridMultilevel"/>
    <w:tmpl w:val="CCD8F17E"/>
    <w:lvl w:ilvl="0" w:tplc="B69046E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005CD"/>
    <w:multiLevelType w:val="hybridMultilevel"/>
    <w:tmpl w:val="4CD26CE4"/>
    <w:lvl w:ilvl="0" w:tplc="420E67C4">
      <w:start w:val="3"/>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81099"/>
    <w:multiLevelType w:val="hybridMultilevel"/>
    <w:tmpl w:val="189C9C26"/>
    <w:lvl w:ilvl="0" w:tplc="EE42FF22">
      <w:start w:val="1"/>
      <w:numFmt w:val="lowerLetter"/>
      <w:lvlText w:val="%1)"/>
      <w:lvlJc w:val="left"/>
      <w:pPr>
        <w:ind w:left="778" w:hanging="360"/>
      </w:pPr>
      <w:rPr>
        <w:sz w:val="24"/>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1" w15:restartNumberingAfterBreak="0">
    <w:nsid w:val="3EEE66D9"/>
    <w:multiLevelType w:val="hybridMultilevel"/>
    <w:tmpl w:val="4EC8B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064775"/>
    <w:multiLevelType w:val="hybridMultilevel"/>
    <w:tmpl w:val="0950AEEC"/>
    <w:lvl w:ilvl="0" w:tplc="08090017">
      <w:start w:val="1"/>
      <w:numFmt w:val="lowerLetter"/>
      <w:lvlText w:val="%1)"/>
      <w:lvlJc w:val="left"/>
      <w:pPr>
        <w:ind w:left="1122" w:hanging="360"/>
      </w:pPr>
    </w:lvl>
    <w:lvl w:ilvl="1" w:tplc="08090019" w:tentative="1">
      <w:start w:val="1"/>
      <w:numFmt w:val="lowerLetter"/>
      <w:lvlText w:val="%2."/>
      <w:lvlJc w:val="left"/>
      <w:pPr>
        <w:ind w:left="1842" w:hanging="360"/>
      </w:pPr>
    </w:lvl>
    <w:lvl w:ilvl="2" w:tplc="0809001B" w:tentative="1">
      <w:start w:val="1"/>
      <w:numFmt w:val="lowerRoman"/>
      <w:lvlText w:val="%3."/>
      <w:lvlJc w:val="right"/>
      <w:pPr>
        <w:ind w:left="2562" w:hanging="180"/>
      </w:pPr>
    </w:lvl>
    <w:lvl w:ilvl="3" w:tplc="0809000F" w:tentative="1">
      <w:start w:val="1"/>
      <w:numFmt w:val="decimal"/>
      <w:lvlText w:val="%4."/>
      <w:lvlJc w:val="left"/>
      <w:pPr>
        <w:ind w:left="3282" w:hanging="360"/>
      </w:pPr>
    </w:lvl>
    <w:lvl w:ilvl="4" w:tplc="08090019" w:tentative="1">
      <w:start w:val="1"/>
      <w:numFmt w:val="lowerLetter"/>
      <w:lvlText w:val="%5."/>
      <w:lvlJc w:val="left"/>
      <w:pPr>
        <w:ind w:left="4002" w:hanging="360"/>
      </w:pPr>
    </w:lvl>
    <w:lvl w:ilvl="5" w:tplc="0809001B" w:tentative="1">
      <w:start w:val="1"/>
      <w:numFmt w:val="lowerRoman"/>
      <w:lvlText w:val="%6."/>
      <w:lvlJc w:val="right"/>
      <w:pPr>
        <w:ind w:left="4722" w:hanging="180"/>
      </w:pPr>
    </w:lvl>
    <w:lvl w:ilvl="6" w:tplc="0809000F" w:tentative="1">
      <w:start w:val="1"/>
      <w:numFmt w:val="decimal"/>
      <w:lvlText w:val="%7."/>
      <w:lvlJc w:val="left"/>
      <w:pPr>
        <w:ind w:left="5442" w:hanging="360"/>
      </w:pPr>
    </w:lvl>
    <w:lvl w:ilvl="7" w:tplc="08090019" w:tentative="1">
      <w:start w:val="1"/>
      <w:numFmt w:val="lowerLetter"/>
      <w:lvlText w:val="%8."/>
      <w:lvlJc w:val="left"/>
      <w:pPr>
        <w:ind w:left="6162" w:hanging="360"/>
      </w:pPr>
    </w:lvl>
    <w:lvl w:ilvl="8" w:tplc="0809001B" w:tentative="1">
      <w:start w:val="1"/>
      <w:numFmt w:val="lowerRoman"/>
      <w:lvlText w:val="%9."/>
      <w:lvlJc w:val="right"/>
      <w:pPr>
        <w:ind w:left="6882" w:hanging="180"/>
      </w:pPr>
    </w:lvl>
  </w:abstractNum>
  <w:abstractNum w:abstractNumId="13" w15:restartNumberingAfterBreak="0">
    <w:nsid w:val="41521D77"/>
    <w:multiLevelType w:val="hybridMultilevel"/>
    <w:tmpl w:val="3ED84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95BEF"/>
    <w:multiLevelType w:val="multilevel"/>
    <w:tmpl w:val="370409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760E60"/>
    <w:multiLevelType w:val="hybridMultilevel"/>
    <w:tmpl w:val="32AC6936"/>
    <w:lvl w:ilvl="0" w:tplc="420E67C4">
      <w:start w:val="3"/>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7" w15:restartNumberingAfterBreak="0">
    <w:nsid w:val="64E44950"/>
    <w:multiLevelType w:val="hybridMultilevel"/>
    <w:tmpl w:val="69FA20C0"/>
    <w:lvl w:ilvl="0" w:tplc="420E67C4">
      <w:start w:val="3"/>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30148"/>
    <w:multiLevelType w:val="hybridMultilevel"/>
    <w:tmpl w:val="6B8691DE"/>
    <w:lvl w:ilvl="0" w:tplc="8BF24F1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D3900D6"/>
    <w:multiLevelType w:val="hybridMultilevel"/>
    <w:tmpl w:val="B9E06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2054044">
    <w:abstractNumId w:val="16"/>
  </w:num>
  <w:num w:numId="2" w16cid:durableId="1952324769">
    <w:abstractNumId w:val="15"/>
  </w:num>
  <w:num w:numId="3" w16cid:durableId="986280599">
    <w:abstractNumId w:val="7"/>
  </w:num>
  <w:num w:numId="4" w16cid:durableId="1400593004">
    <w:abstractNumId w:val="8"/>
  </w:num>
  <w:num w:numId="5" w16cid:durableId="1269435745">
    <w:abstractNumId w:val="5"/>
  </w:num>
  <w:num w:numId="6" w16cid:durableId="707950288">
    <w:abstractNumId w:val="9"/>
  </w:num>
  <w:num w:numId="7" w16cid:durableId="1566376602">
    <w:abstractNumId w:val="17"/>
  </w:num>
  <w:num w:numId="8" w16cid:durableId="580067759">
    <w:abstractNumId w:val="10"/>
  </w:num>
  <w:num w:numId="9" w16cid:durableId="678969346">
    <w:abstractNumId w:val="0"/>
  </w:num>
  <w:num w:numId="10" w16cid:durableId="1415587271">
    <w:abstractNumId w:val="12"/>
  </w:num>
  <w:num w:numId="11" w16cid:durableId="90055519">
    <w:abstractNumId w:val="3"/>
  </w:num>
  <w:num w:numId="12" w16cid:durableId="1242327353">
    <w:abstractNumId w:val="18"/>
  </w:num>
  <w:num w:numId="13" w16cid:durableId="334653990">
    <w:abstractNumId w:val="14"/>
  </w:num>
  <w:num w:numId="14" w16cid:durableId="692461265">
    <w:abstractNumId w:val="6"/>
  </w:num>
  <w:num w:numId="15" w16cid:durableId="1498232113">
    <w:abstractNumId w:val="2"/>
  </w:num>
  <w:num w:numId="16" w16cid:durableId="1025180471">
    <w:abstractNumId w:val="11"/>
  </w:num>
  <w:num w:numId="17" w16cid:durableId="1529295373">
    <w:abstractNumId w:val="19"/>
  </w:num>
  <w:num w:numId="18" w16cid:durableId="1845702431">
    <w:abstractNumId w:val="4"/>
  </w:num>
  <w:num w:numId="19" w16cid:durableId="1731225435">
    <w:abstractNumId w:val="13"/>
  </w:num>
  <w:num w:numId="20" w16cid:durableId="175297206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gutterAtTop/>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B8A"/>
    <w:rsid w:val="00002315"/>
    <w:rsid w:val="00005DC0"/>
    <w:rsid w:val="00013460"/>
    <w:rsid w:val="00013804"/>
    <w:rsid w:val="00013AC9"/>
    <w:rsid w:val="0001747F"/>
    <w:rsid w:val="0002084F"/>
    <w:rsid w:val="000231A3"/>
    <w:rsid w:val="000241FD"/>
    <w:rsid w:val="0002435C"/>
    <w:rsid w:val="00024B3D"/>
    <w:rsid w:val="000257DE"/>
    <w:rsid w:val="00026BE5"/>
    <w:rsid w:val="00030521"/>
    <w:rsid w:val="00032B46"/>
    <w:rsid w:val="000331AE"/>
    <w:rsid w:val="00036155"/>
    <w:rsid w:val="000371E2"/>
    <w:rsid w:val="0004289C"/>
    <w:rsid w:val="00043AC7"/>
    <w:rsid w:val="00044D19"/>
    <w:rsid w:val="00052045"/>
    <w:rsid w:val="00054810"/>
    <w:rsid w:val="00055351"/>
    <w:rsid w:val="00061995"/>
    <w:rsid w:val="0006434D"/>
    <w:rsid w:val="000713DA"/>
    <w:rsid w:val="00071EAA"/>
    <w:rsid w:val="0007236F"/>
    <w:rsid w:val="00075A5F"/>
    <w:rsid w:val="00075D23"/>
    <w:rsid w:val="00077932"/>
    <w:rsid w:val="00081267"/>
    <w:rsid w:val="00081F96"/>
    <w:rsid w:val="00083AA2"/>
    <w:rsid w:val="00085029"/>
    <w:rsid w:val="000851F6"/>
    <w:rsid w:val="0008775F"/>
    <w:rsid w:val="0009113C"/>
    <w:rsid w:val="000924CD"/>
    <w:rsid w:val="000A445C"/>
    <w:rsid w:val="000A6044"/>
    <w:rsid w:val="000A6BA5"/>
    <w:rsid w:val="000A6EDB"/>
    <w:rsid w:val="000B2EC8"/>
    <w:rsid w:val="000B3D87"/>
    <w:rsid w:val="000B50EE"/>
    <w:rsid w:val="000B585E"/>
    <w:rsid w:val="000C041B"/>
    <w:rsid w:val="000C2594"/>
    <w:rsid w:val="000C2AB4"/>
    <w:rsid w:val="000D4674"/>
    <w:rsid w:val="000D5C74"/>
    <w:rsid w:val="000D5CFA"/>
    <w:rsid w:val="000D762B"/>
    <w:rsid w:val="000E0137"/>
    <w:rsid w:val="000E1660"/>
    <w:rsid w:val="000E1D40"/>
    <w:rsid w:val="000E2800"/>
    <w:rsid w:val="000E4B60"/>
    <w:rsid w:val="000F497A"/>
    <w:rsid w:val="00102AD8"/>
    <w:rsid w:val="00103705"/>
    <w:rsid w:val="0011153D"/>
    <w:rsid w:val="00113956"/>
    <w:rsid w:val="00116035"/>
    <w:rsid w:val="00120BBC"/>
    <w:rsid w:val="0012118A"/>
    <w:rsid w:val="001211EA"/>
    <w:rsid w:val="0012196F"/>
    <w:rsid w:val="00124619"/>
    <w:rsid w:val="00124712"/>
    <w:rsid w:val="00131250"/>
    <w:rsid w:val="001374F4"/>
    <w:rsid w:val="00141206"/>
    <w:rsid w:val="00143389"/>
    <w:rsid w:val="00143CC4"/>
    <w:rsid w:val="00144FD2"/>
    <w:rsid w:val="00145419"/>
    <w:rsid w:val="00151440"/>
    <w:rsid w:val="0015146D"/>
    <w:rsid w:val="00157D40"/>
    <w:rsid w:val="00157EED"/>
    <w:rsid w:val="00162BE7"/>
    <w:rsid w:val="00162CD6"/>
    <w:rsid w:val="00163896"/>
    <w:rsid w:val="0017006C"/>
    <w:rsid w:val="00172941"/>
    <w:rsid w:val="00172FA9"/>
    <w:rsid w:val="00174E20"/>
    <w:rsid w:val="00177703"/>
    <w:rsid w:val="001831B4"/>
    <w:rsid w:val="00183885"/>
    <w:rsid w:val="00184334"/>
    <w:rsid w:val="00185AC8"/>
    <w:rsid w:val="00187B87"/>
    <w:rsid w:val="00191428"/>
    <w:rsid w:val="001934CF"/>
    <w:rsid w:val="001A25C3"/>
    <w:rsid w:val="001A36CD"/>
    <w:rsid w:val="001A37C7"/>
    <w:rsid w:val="001A5FB7"/>
    <w:rsid w:val="001A76A5"/>
    <w:rsid w:val="001B301A"/>
    <w:rsid w:val="001B3BE4"/>
    <w:rsid w:val="001B5818"/>
    <w:rsid w:val="001B66A4"/>
    <w:rsid w:val="001B6E6E"/>
    <w:rsid w:val="001B7CD5"/>
    <w:rsid w:val="001C2579"/>
    <w:rsid w:val="001C3F21"/>
    <w:rsid w:val="001C4EEE"/>
    <w:rsid w:val="001D178C"/>
    <w:rsid w:val="001D2FA2"/>
    <w:rsid w:val="001E4497"/>
    <w:rsid w:val="001E58A6"/>
    <w:rsid w:val="001E606A"/>
    <w:rsid w:val="001F0570"/>
    <w:rsid w:val="001F2097"/>
    <w:rsid w:val="001F4668"/>
    <w:rsid w:val="001F6B85"/>
    <w:rsid w:val="002000EB"/>
    <w:rsid w:val="00200223"/>
    <w:rsid w:val="00200516"/>
    <w:rsid w:val="00201E30"/>
    <w:rsid w:val="0020204D"/>
    <w:rsid w:val="00202100"/>
    <w:rsid w:val="00203A59"/>
    <w:rsid w:val="00205100"/>
    <w:rsid w:val="0020768F"/>
    <w:rsid w:val="0020794F"/>
    <w:rsid w:val="002164C9"/>
    <w:rsid w:val="002170A5"/>
    <w:rsid w:val="00217C7D"/>
    <w:rsid w:val="00220CF0"/>
    <w:rsid w:val="00230761"/>
    <w:rsid w:val="002310C2"/>
    <w:rsid w:val="00234686"/>
    <w:rsid w:val="00234AA7"/>
    <w:rsid w:val="0023597F"/>
    <w:rsid w:val="00235DF4"/>
    <w:rsid w:val="00236599"/>
    <w:rsid w:val="00236E65"/>
    <w:rsid w:val="00236ECC"/>
    <w:rsid w:val="002372B8"/>
    <w:rsid w:val="00240AC0"/>
    <w:rsid w:val="002411FC"/>
    <w:rsid w:val="002453BD"/>
    <w:rsid w:val="00250594"/>
    <w:rsid w:val="00254B67"/>
    <w:rsid w:val="00257353"/>
    <w:rsid w:val="00266BAD"/>
    <w:rsid w:val="00267618"/>
    <w:rsid w:val="00267AE6"/>
    <w:rsid w:val="002721D2"/>
    <w:rsid w:val="0027425A"/>
    <w:rsid w:val="0028093A"/>
    <w:rsid w:val="002816DE"/>
    <w:rsid w:val="00281C80"/>
    <w:rsid w:val="00281FC0"/>
    <w:rsid w:val="002837FE"/>
    <w:rsid w:val="002950E0"/>
    <w:rsid w:val="002954C4"/>
    <w:rsid w:val="002A4672"/>
    <w:rsid w:val="002A46C5"/>
    <w:rsid w:val="002B07BD"/>
    <w:rsid w:val="002B5444"/>
    <w:rsid w:val="002B547F"/>
    <w:rsid w:val="002C21E9"/>
    <w:rsid w:val="002D38C5"/>
    <w:rsid w:val="002E1C7B"/>
    <w:rsid w:val="002E4217"/>
    <w:rsid w:val="002E505B"/>
    <w:rsid w:val="002F235D"/>
    <w:rsid w:val="002F30F7"/>
    <w:rsid w:val="002F3DAA"/>
    <w:rsid w:val="002F49A3"/>
    <w:rsid w:val="002F5F1E"/>
    <w:rsid w:val="002F7FB5"/>
    <w:rsid w:val="00301D7D"/>
    <w:rsid w:val="00305CD6"/>
    <w:rsid w:val="0031555D"/>
    <w:rsid w:val="00315655"/>
    <w:rsid w:val="00315B32"/>
    <w:rsid w:val="00315BDC"/>
    <w:rsid w:val="00324559"/>
    <w:rsid w:val="00326BC9"/>
    <w:rsid w:val="00327C88"/>
    <w:rsid w:val="003341BB"/>
    <w:rsid w:val="00334833"/>
    <w:rsid w:val="00334C0F"/>
    <w:rsid w:val="003358FF"/>
    <w:rsid w:val="003368B8"/>
    <w:rsid w:val="00347B79"/>
    <w:rsid w:val="003509A8"/>
    <w:rsid w:val="00354545"/>
    <w:rsid w:val="003578E1"/>
    <w:rsid w:val="0036135C"/>
    <w:rsid w:val="00362D0C"/>
    <w:rsid w:val="00364A24"/>
    <w:rsid w:val="0036518F"/>
    <w:rsid w:val="003671B8"/>
    <w:rsid w:val="0036768D"/>
    <w:rsid w:val="00374362"/>
    <w:rsid w:val="00377B12"/>
    <w:rsid w:val="00380147"/>
    <w:rsid w:val="00381C7D"/>
    <w:rsid w:val="00385C9B"/>
    <w:rsid w:val="003872BA"/>
    <w:rsid w:val="00387D77"/>
    <w:rsid w:val="003922EF"/>
    <w:rsid w:val="00392B28"/>
    <w:rsid w:val="003946EC"/>
    <w:rsid w:val="00394A57"/>
    <w:rsid w:val="00397415"/>
    <w:rsid w:val="003A15A5"/>
    <w:rsid w:val="003A2CB2"/>
    <w:rsid w:val="003A4D1C"/>
    <w:rsid w:val="003B012C"/>
    <w:rsid w:val="003B257A"/>
    <w:rsid w:val="003B59FF"/>
    <w:rsid w:val="003B7521"/>
    <w:rsid w:val="003C0C4D"/>
    <w:rsid w:val="003C11CC"/>
    <w:rsid w:val="003C2D71"/>
    <w:rsid w:val="003C3DB4"/>
    <w:rsid w:val="003C3EB9"/>
    <w:rsid w:val="003D5E8B"/>
    <w:rsid w:val="003D5F20"/>
    <w:rsid w:val="003E3748"/>
    <w:rsid w:val="003E3A38"/>
    <w:rsid w:val="003E4DA7"/>
    <w:rsid w:val="003F0CD8"/>
    <w:rsid w:val="003F7E5B"/>
    <w:rsid w:val="00400E8D"/>
    <w:rsid w:val="00405019"/>
    <w:rsid w:val="00406BA9"/>
    <w:rsid w:val="00410C9A"/>
    <w:rsid w:val="004131A7"/>
    <w:rsid w:val="00413CCA"/>
    <w:rsid w:val="004169F8"/>
    <w:rsid w:val="00420C72"/>
    <w:rsid w:val="00421AB5"/>
    <w:rsid w:val="00424212"/>
    <w:rsid w:val="00424CF9"/>
    <w:rsid w:val="0042652F"/>
    <w:rsid w:val="004309BF"/>
    <w:rsid w:val="0043131C"/>
    <w:rsid w:val="0043208D"/>
    <w:rsid w:val="004333B4"/>
    <w:rsid w:val="00433594"/>
    <w:rsid w:val="00434203"/>
    <w:rsid w:val="00434A1B"/>
    <w:rsid w:val="004428C5"/>
    <w:rsid w:val="00452324"/>
    <w:rsid w:val="0045262A"/>
    <w:rsid w:val="00452C3E"/>
    <w:rsid w:val="00452C6C"/>
    <w:rsid w:val="0045451B"/>
    <w:rsid w:val="00457286"/>
    <w:rsid w:val="004615B9"/>
    <w:rsid w:val="00464294"/>
    <w:rsid w:val="00464EA9"/>
    <w:rsid w:val="004735CE"/>
    <w:rsid w:val="0047367C"/>
    <w:rsid w:val="00474658"/>
    <w:rsid w:val="00474FF8"/>
    <w:rsid w:val="0047682B"/>
    <w:rsid w:val="0047797E"/>
    <w:rsid w:val="00493892"/>
    <w:rsid w:val="00497F06"/>
    <w:rsid w:val="004A09CD"/>
    <w:rsid w:val="004A3757"/>
    <w:rsid w:val="004A5642"/>
    <w:rsid w:val="004A594F"/>
    <w:rsid w:val="004B1283"/>
    <w:rsid w:val="004B3984"/>
    <w:rsid w:val="004B5EC1"/>
    <w:rsid w:val="004B7A41"/>
    <w:rsid w:val="004C02DC"/>
    <w:rsid w:val="004C2AD8"/>
    <w:rsid w:val="004C6034"/>
    <w:rsid w:val="004D3941"/>
    <w:rsid w:val="004E129C"/>
    <w:rsid w:val="004E2421"/>
    <w:rsid w:val="004E6489"/>
    <w:rsid w:val="004E6662"/>
    <w:rsid w:val="004E7416"/>
    <w:rsid w:val="004F2A42"/>
    <w:rsid w:val="004F322A"/>
    <w:rsid w:val="004F3A11"/>
    <w:rsid w:val="004F568A"/>
    <w:rsid w:val="005020EC"/>
    <w:rsid w:val="00515450"/>
    <w:rsid w:val="00516555"/>
    <w:rsid w:val="0052219C"/>
    <w:rsid w:val="0052261E"/>
    <w:rsid w:val="005256CF"/>
    <w:rsid w:val="00526D17"/>
    <w:rsid w:val="00541CE7"/>
    <w:rsid w:val="00542C43"/>
    <w:rsid w:val="00547F8E"/>
    <w:rsid w:val="00551299"/>
    <w:rsid w:val="005535FB"/>
    <w:rsid w:val="00555DF5"/>
    <w:rsid w:val="00556ED8"/>
    <w:rsid w:val="00564CE6"/>
    <w:rsid w:val="00572006"/>
    <w:rsid w:val="00573E74"/>
    <w:rsid w:val="00575350"/>
    <w:rsid w:val="0057560E"/>
    <w:rsid w:val="005765E5"/>
    <w:rsid w:val="0057790F"/>
    <w:rsid w:val="00582470"/>
    <w:rsid w:val="005864B2"/>
    <w:rsid w:val="00591355"/>
    <w:rsid w:val="00594DE5"/>
    <w:rsid w:val="005A12D7"/>
    <w:rsid w:val="005A29D6"/>
    <w:rsid w:val="005B0912"/>
    <w:rsid w:val="005B0C92"/>
    <w:rsid w:val="005B3F9C"/>
    <w:rsid w:val="005B4B6C"/>
    <w:rsid w:val="005B7E20"/>
    <w:rsid w:val="005C130F"/>
    <w:rsid w:val="005C1844"/>
    <w:rsid w:val="005C1D42"/>
    <w:rsid w:val="005C412B"/>
    <w:rsid w:val="005C4835"/>
    <w:rsid w:val="005C5A53"/>
    <w:rsid w:val="005C7769"/>
    <w:rsid w:val="005C7852"/>
    <w:rsid w:val="005D22B6"/>
    <w:rsid w:val="005D2E08"/>
    <w:rsid w:val="005D5F1D"/>
    <w:rsid w:val="005E37E8"/>
    <w:rsid w:val="005F02DD"/>
    <w:rsid w:val="005F0F53"/>
    <w:rsid w:val="005F1688"/>
    <w:rsid w:val="005F21F6"/>
    <w:rsid w:val="005F42F7"/>
    <w:rsid w:val="005F584A"/>
    <w:rsid w:val="005F6554"/>
    <w:rsid w:val="0060625D"/>
    <w:rsid w:val="00607B2A"/>
    <w:rsid w:val="00610B30"/>
    <w:rsid w:val="00611BAA"/>
    <w:rsid w:val="00612D18"/>
    <w:rsid w:val="00613AD3"/>
    <w:rsid w:val="00615BB7"/>
    <w:rsid w:val="00616A16"/>
    <w:rsid w:val="00620D18"/>
    <w:rsid w:val="00621954"/>
    <w:rsid w:val="00623361"/>
    <w:rsid w:val="00624BA9"/>
    <w:rsid w:val="0062575C"/>
    <w:rsid w:val="006339EB"/>
    <w:rsid w:val="0064027A"/>
    <w:rsid w:val="00654AE5"/>
    <w:rsid w:val="006559E3"/>
    <w:rsid w:val="00657577"/>
    <w:rsid w:val="006646FE"/>
    <w:rsid w:val="00664FC5"/>
    <w:rsid w:val="00665B97"/>
    <w:rsid w:val="006660B2"/>
    <w:rsid w:val="00667EE9"/>
    <w:rsid w:val="0067056E"/>
    <w:rsid w:val="006730ED"/>
    <w:rsid w:val="006739CA"/>
    <w:rsid w:val="006740AE"/>
    <w:rsid w:val="0068258E"/>
    <w:rsid w:val="00684B98"/>
    <w:rsid w:val="006855AC"/>
    <w:rsid w:val="00691790"/>
    <w:rsid w:val="006933C3"/>
    <w:rsid w:val="0069460A"/>
    <w:rsid w:val="006956E6"/>
    <w:rsid w:val="006958A4"/>
    <w:rsid w:val="00695A4A"/>
    <w:rsid w:val="00697045"/>
    <w:rsid w:val="0069765E"/>
    <w:rsid w:val="006A03F4"/>
    <w:rsid w:val="006A0DC9"/>
    <w:rsid w:val="006A19CE"/>
    <w:rsid w:val="006A27BD"/>
    <w:rsid w:val="006A337B"/>
    <w:rsid w:val="006A3871"/>
    <w:rsid w:val="006A4E08"/>
    <w:rsid w:val="006A57D6"/>
    <w:rsid w:val="006A58BC"/>
    <w:rsid w:val="006B0252"/>
    <w:rsid w:val="006B677F"/>
    <w:rsid w:val="006C374D"/>
    <w:rsid w:val="006C40C7"/>
    <w:rsid w:val="006C589D"/>
    <w:rsid w:val="006D1F09"/>
    <w:rsid w:val="006D3EB7"/>
    <w:rsid w:val="006D7B49"/>
    <w:rsid w:val="006E0A2E"/>
    <w:rsid w:val="006E1269"/>
    <w:rsid w:val="006E4AC5"/>
    <w:rsid w:val="006E7D38"/>
    <w:rsid w:val="006F0870"/>
    <w:rsid w:val="006F43CA"/>
    <w:rsid w:val="006F7EF4"/>
    <w:rsid w:val="007006BB"/>
    <w:rsid w:val="007026DD"/>
    <w:rsid w:val="00702770"/>
    <w:rsid w:val="00702931"/>
    <w:rsid w:val="00703FCE"/>
    <w:rsid w:val="007051CB"/>
    <w:rsid w:val="00707B68"/>
    <w:rsid w:val="007126C4"/>
    <w:rsid w:val="007176D9"/>
    <w:rsid w:val="007225FC"/>
    <w:rsid w:val="007239DD"/>
    <w:rsid w:val="007258CF"/>
    <w:rsid w:val="00732887"/>
    <w:rsid w:val="00732AE9"/>
    <w:rsid w:val="00733F14"/>
    <w:rsid w:val="00734236"/>
    <w:rsid w:val="00737731"/>
    <w:rsid w:val="00740210"/>
    <w:rsid w:val="007411D5"/>
    <w:rsid w:val="007442A6"/>
    <w:rsid w:val="00744C77"/>
    <w:rsid w:val="00756648"/>
    <w:rsid w:val="007572A2"/>
    <w:rsid w:val="00764A7B"/>
    <w:rsid w:val="00767AF4"/>
    <w:rsid w:val="007724CE"/>
    <w:rsid w:val="00780C21"/>
    <w:rsid w:val="007816A4"/>
    <w:rsid w:val="00784B26"/>
    <w:rsid w:val="00784FAA"/>
    <w:rsid w:val="00785A31"/>
    <w:rsid w:val="0079167D"/>
    <w:rsid w:val="00793439"/>
    <w:rsid w:val="007A0931"/>
    <w:rsid w:val="007A232F"/>
    <w:rsid w:val="007A4309"/>
    <w:rsid w:val="007B627D"/>
    <w:rsid w:val="007B6E7F"/>
    <w:rsid w:val="007C53A1"/>
    <w:rsid w:val="007C58BD"/>
    <w:rsid w:val="007C5D4B"/>
    <w:rsid w:val="007D00B1"/>
    <w:rsid w:val="007D0E36"/>
    <w:rsid w:val="007D172F"/>
    <w:rsid w:val="007D2142"/>
    <w:rsid w:val="007D3FB1"/>
    <w:rsid w:val="007E3F69"/>
    <w:rsid w:val="007E7735"/>
    <w:rsid w:val="007F1254"/>
    <w:rsid w:val="007F1374"/>
    <w:rsid w:val="007F62B1"/>
    <w:rsid w:val="00800EE1"/>
    <w:rsid w:val="00801DA3"/>
    <w:rsid w:val="00811CAE"/>
    <w:rsid w:val="00825DC9"/>
    <w:rsid w:val="00827725"/>
    <w:rsid w:val="00831DF3"/>
    <w:rsid w:val="008326E7"/>
    <w:rsid w:val="0083320D"/>
    <w:rsid w:val="008350E8"/>
    <w:rsid w:val="00836669"/>
    <w:rsid w:val="0084241F"/>
    <w:rsid w:val="00843F28"/>
    <w:rsid w:val="0084434E"/>
    <w:rsid w:val="008506B1"/>
    <w:rsid w:val="008510CC"/>
    <w:rsid w:val="008563D8"/>
    <w:rsid w:val="00860C47"/>
    <w:rsid w:val="00860F73"/>
    <w:rsid w:val="00863417"/>
    <w:rsid w:val="0086343C"/>
    <w:rsid w:val="00863D76"/>
    <w:rsid w:val="0086509B"/>
    <w:rsid w:val="00865357"/>
    <w:rsid w:val="0087296A"/>
    <w:rsid w:val="00876262"/>
    <w:rsid w:val="00881E21"/>
    <w:rsid w:val="00883187"/>
    <w:rsid w:val="008842A6"/>
    <w:rsid w:val="0088682B"/>
    <w:rsid w:val="00891049"/>
    <w:rsid w:val="00897403"/>
    <w:rsid w:val="008A40C0"/>
    <w:rsid w:val="008A482B"/>
    <w:rsid w:val="008A5923"/>
    <w:rsid w:val="008B1120"/>
    <w:rsid w:val="008B1817"/>
    <w:rsid w:val="008B1AA1"/>
    <w:rsid w:val="008B1BFF"/>
    <w:rsid w:val="008B3818"/>
    <w:rsid w:val="008B4BE6"/>
    <w:rsid w:val="008C29FE"/>
    <w:rsid w:val="008C2DD5"/>
    <w:rsid w:val="008C3AE8"/>
    <w:rsid w:val="008D4FAD"/>
    <w:rsid w:val="008E0278"/>
    <w:rsid w:val="008F12A1"/>
    <w:rsid w:val="008F3624"/>
    <w:rsid w:val="008F73D1"/>
    <w:rsid w:val="009002CA"/>
    <w:rsid w:val="00903108"/>
    <w:rsid w:val="00903AF9"/>
    <w:rsid w:val="0090579F"/>
    <w:rsid w:val="009143C9"/>
    <w:rsid w:val="00915A40"/>
    <w:rsid w:val="00916FA7"/>
    <w:rsid w:val="009201C9"/>
    <w:rsid w:val="00922AB8"/>
    <w:rsid w:val="009263C1"/>
    <w:rsid w:val="00927302"/>
    <w:rsid w:val="00930424"/>
    <w:rsid w:val="009313FB"/>
    <w:rsid w:val="00935E8A"/>
    <w:rsid w:val="00942BCB"/>
    <w:rsid w:val="00942F03"/>
    <w:rsid w:val="009468C6"/>
    <w:rsid w:val="009474B7"/>
    <w:rsid w:val="00950DFC"/>
    <w:rsid w:val="00952A39"/>
    <w:rsid w:val="00953155"/>
    <w:rsid w:val="0095533C"/>
    <w:rsid w:val="00961B81"/>
    <w:rsid w:val="00962ED5"/>
    <w:rsid w:val="0097003A"/>
    <w:rsid w:val="00971561"/>
    <w:rsid w:val="00972442"/>
    <w:rsid w:val="009761DA"/>
    <w:rsid w:val="0098009E"/>
    <w:rsid w:val="009852E6"/>
    <w:rsid w:val="009858FE"/>
    <w:rsid w:val="009860EA"/>
    <w:rsid w:val="00990719"/>
    <w:rsid w:val="0099315C"/>
    <w:rsid w:val="00997304"/>
    <w:rsid w:val="009A025E"/>
    <w:rsid w:val="009A3F79"/>
    <w:rsid w:val="009A74BE"/>
    <w:rsid w:val="009B078B"/>
    <w:rsid w:val="009B1911"/>
    <w:rsid w:val="009B1B11"/>
    <w:rsid w:val="009B1D70"/>
    <w:rsid w:val="009B6342"/>
    <w:rsid w:val="009C02E5"/>
    <w:rsid w:val="009C0E0E"/>
    <w:rsid w:val="009C26E3"/>
    <w:rsid w:val="009C359C"/>
    <w:rsid w:val="009C47ED"/>
    <w:rsid w:val="009C6DD1"/>
    <w:rsid w:val="009C6EEE"/>
    <w:rsid w:val="009C7CD6"/>
    <w:rsid w:val="009D253B"/>
    <w:rsid w:val="009D2789"/>
    <w:rsid w:val="009D4C0F"/>
    <w:rsid w:val="009D7C44"/>
    <w:rsid w:val="009E4623"/>
    <w:rsid w:val="009E7B86"/>
    <w:rsid w:val="009F366D"/>
    <w:rsid w:val="009F45EC"/>
    <w:rsid w:val="009F4B42"/>
    <w:rsid w:val="00A02C57"/>
    <w:rsid w:val="00A02EE4"/>
    <w:rsid w:val="00A0350D"/>
    <w:rsid w:val="00A06362"/>
    <w:rsid w:val="00A10374"/>
    <w:rsid w:val="00A13D8B"/>
    <w:rsid w:val="00A2390C"/>
    <w:rsid w:val="00A244A2"/>
    <w:rsid w:val="00A24A81"/>
    <w:rsid w:val="00A34443"/>
    <w:rsid w:val="00A345F7"/>
    <w:rsid w:val="00A40344"/>
    <w:rsid w:val="00A404F7"/>
    <w:rsid w:val="00A42581"/>
    <w:rsid w:val="00A44792"/>
    <w:rsid w:val="00A51447"/>
    <w:rsid w:val="00A53F34"/>
    <w:rsid w:val="00A540EB"/>
    <w:rsid w:val="00A549F2"/>
    <w:rsid w:val="00A5539A"/>
    <w:rsid w:val="00A606CC"/>
    <w:rsid w:val="00A60B97"/>
    <w:rsid w:val="00A60F0E"/>
    <w:rsid w:val="00A622BF"/>
    <w:rsid w:val="00A642A9"/>
    <w:rsid w:val="00A669EC"/>
    <w:rsid w:val="00A70FCB"/>
    <w:rsid w:val="00A71E51"/>
    <w:rsid w:val="00A75CFE"/>
    <w:rsid w:val="00A764E4"/>
    <w:rsid w:val="00A77F56"/>
    <w:rsid w:val="00A954D1"/>
    <w:rsid w:val="00A95A2D"/>
    <w:rsid w:val="00AA1109"/>
    <w:rsid w:val="00AA34B1"/>
    <w:rsid w:val="00AA3C18"/>
    <w:rsid w:val="00AA719D"/>
    <w:rsid w:val="00AB0105"/>
    <w:rsid w:val="00AB06B2"/>
    <w:rsid w:val="00AB1C3D"/>
    <w:rsid w:val="00AB2653"/>
    <w:rsid w:val="00AB29A8"/>
    <w:rsid w:val="00AB4D79"/>
    <w:rsid w:val="00AB7D22"/>
    <w:rsid w:val="00AC22A5"/>
    <w:rsid w:val="00AC2670"/>
    <w:rsid w:val="00AD4970"/>
    <w:rsid w:val="00AE1C50"/>
    <w:rsid w:val="00AE1F78"/>
    <w:rsid w:val="00AE5EEE"/>
    <w:rsid w:val="00AF0D75"/>
    <w:rsid w:val="00AF23AF"/>
    <w:rsid w:val="00AF33DA"/>
    <w:rsid w:val="00AF4781"/>
    <w:rsid w:val="00AF4E3A"/>
    <w:rsid w:val="00AF64D3"/>
    <w:rsid w:val="00AF6A53"/>
    <w:rsid w:val="00AF7C7B"/>
    <w:rsid w:val="00B00257"/>
    <w:rsid w:val="00B039D7"/>
    <w:rsid w:val="00B04F6B"/>
    <w:rsid w:val="00B07F61"/>
    <w:rsid w:val="00B11EFC"/>
    <w:rsid w:val="00B15210"/>
    <w:rsid w:val="00B1623B"/>
    <w:rsid w:val="00B16392"/>
    <w:rsid w:val="00B24403"/>
    <w:rsid w:val="00B25206"/>
    <w:rsid w:val="00B27455"/>
    <w:rsid w:val="00B313EF"/>
    <w:rsid w:val="00B32239"/>
    <w:rsid w:val="00B35CA6"/>
    <w:rsid w:val="00B406B4"/>
    <w:rsid w:val="00B42DDB"/>
    <w:rsid w:val="00B472D0"/>
    <w:rsid w:val="00B55AC5"/>
    <w:rsid w:val="00B55F6B"/>
    <w:rsid w:val="00B6145A"/>
    <w:rsid w:val="00B61570"/>
    <w:rsid w:val="00B6585E"/>
    <w:rsid w:val="00B674FB"/>
    <w:rsid w:val="00B71414"/>
    <w:rsid w:val="00B72578"/>
    <w:rsid w:val="00B729BF"/>
    <w:rsid w:val="00B744FB"/>
    <w:rsid w:val="00B76D63"/>
    <w:rsid w:val="00B84A8E"/>
    <w:rsid w:val="00B85221"/>
    <w:rsid w:val="00B85252"/>
    <w:rsid w:val="00B92D67"/>
    <w:rsid w:val="00B93EF5"/>
    <w:rsid w:val="00B952D8"/>
    <w:rsid w:val="00B9590A"/>
    <w:rsid w:val="00B9615A"/>
    <w:rsid w:val="00BA1CBE"/>
    <w:rsid w:val="00BA370F"/>
    <w:rsid w:val="00BA3831"/>
    <w:rsid w:val="00BA500B"/>
    <w:rsid w:val="00BA50BC"/>
    <w:rsid w:val="00BA5B5B"/>
    <w:rsid w:val="00BB008B"/>
    <w:rsid w:val="00BB0093"/>
    <w:rsid w:val="00BB2181"/>
    <w:rsid w:val="00BB3C82"/>
    <w:rsid w:val="00BB57F6"/>
    <w:rsid w:val="00BB7932"/>
    <w:rsid w:val="00BC2684"/>
    <w:rsid w:val="00BC35AA"/>
    <w:rsid w:val="00BC5BB3"/>
    <w:rsid w:val="00BD0C00"/>
    <w:rsid w:val="00BD2F0F"/>
    <w:rsid w:val="00BD53BD"/>
    <w:rsid w:val="00BD5DEF"/>
    <w:rsid w:val="00BD6200"/>
    <w:rsid w:val="00BD7C00"/>
    <w:rsid w:val="00BE2757"/>
    <w:rsid w:val="00BE4802"/>
    <w:rsid w:val="00BE74C4"/>
    <w:rsid w:val="00BF170E"/>
    <w:rsid w:val="00BF509C"/>
    <w:rsid w:val="00BF69CE"/>
    <w:rsid w:val="00BF7CF6"/>
    <w:rsid w:val="00C01B05"/>
    <w:rsid w:val="00C02694"/>
    <w:rsid w:val="00C069DB"/>
    <w:rsid w:val="00C119D6"/>
    <w:rsid w:val="00C141D0"/>
    <w:rsid w:val="00C156CB"/>
    <w:rsid w:val="00C16CFB"/>
    <w:rsid w:val="00C16D59"/>
    <w:rsid w:val="00C20F98"/>
    <w:rsid w:val="00C21F77"/>
    <w:rsid w:val="00C249C9"/>
    <w:rsid w:val="00C25575"/>
    <w:rsid w:val="00C27BEF"/>
    <w:rsid w:val="00C30E90"/>
    <w:rsid w:val="00C31DFD"/>
    <w:rsid w:val="00C32161"/>
    <w:rsid w:val="00C32A74"/>
    <w:rsid w:val="00C33A74"/>
    <w:rsid w:val="00C33BEA"/>
    <w:rsid w:val="00C34A3D"/>
    <w:rsid w:val="00C424F1"/>
    <w:rsid w:val="00C4424F"/>
    <w:rsid w:val="00C445CC"/>
    <w:rsid w:val="00C4599F"/>
    <w:rsid w:val="00C45F82"/>
    <w:rsid w:val="00C475F7"/>
    <w:rsid w:val="00C53E01"/>
    <w:rsid w:val="00C55F8A"/>
    <w:rsid w:val="00C66DD2"/>
    <w:rsid w:val="00C70DBB"/>
    <w:rsid w:val="00C732A5"/>
    <w:rsid w:val="00C81CDA"/>
    <w:rsid w:val="00C83148"/>
    <w:rsid w:val="00C846A9"/>
    <w:rsid w:val="00C87B56"/>
    <w:rsid w:val="00C92426"/>
    <w:rsid w:val="00C94889"/>
    <w:rsid w:val="00C96D2D"/>
    <w:rsid w:val="00C97610"/>
    <w:rsid w:val="00CA2822"/>
    <w:rsid w:val="00CB128D"/>
    <w:rsid w:val="00CB26F8"/>
    <w:rsid w:val="00CB6841"/>
    <w:rsid w:val="00CC050A"/>
    <w:rsid w:val="00CC1D07"/>
    <w:rsid w:val="00CC59BA"/>
    <w:rsid w:val="00CC7262"/>
    <w:rsid w:val="00CC7AC8"/>
    <w:rsid w:val="00CD0459"/>
    <w:rsid w:val="00CD1F68"/>
    <w:rsid w:val="00CD3E6A"/>
    <w:rsid w:val="00CD77E8"/>
    <w:rsid w:val="00CE1C4A"/>
    <w:rsid w:val="00CE20B1"/>
    <w:rsid w:val="00CE224F"/>
    <w:rsid w:val="00CE48DC"/>
    <w:rsid w:val="00CF0410"/>
    <w:rsid w:val="00CF1BF6"/>
    <w:rsid w:val="00CF6CCE"/>
    <w:rsid w:val="00D00C36"/>
    <w:rsid w:val="00D0145D"/>
    <w:rsid w:val="00D01717"/>
    <w:rsid w:val="00D0230C"/>
    <w:rsid w:val="00D02424"/>
    <w:rsid w:val="00D046DF"/>
    <w:rsid w:val="00D07452"/>
    <w:rsid w:val="00D07A16"/>
    <w:rsid w:val="00D10E67"/>
    <w:rsid w:val="00D12DE0"/>
    <w:rsid w:val="00D13F52"/>
    <w:rsid w:val="00D14E81"/>
    <w:rsid w:val="00D1647F"/>
    <w:rsid w:val="00D16C96"/>
    <w:rsid w:val="00D20F95"/>
    <w:rsid w:val="00D30E66"/>
    <w:rsid w:val="00D3779C"/>
    <w:rsid w:val="00D37DCA"/>
    <w:rsid w:val="00D44292"/>
    <w:rsid w:val="00D51B73"/>
    <w:rsid w:val="00D54373"/>
    <w:rsid w:val="00D60261"/>
    <w:rsid w:val="00D61997"/>
    <w:rsid w:val="00D62225"/>
    <w:rsid w:val="00D643BA"/>
    <w:rsid w:val="00D65D20"/>
    <w:rsid w:val="00D745DA"/>
    <w:rsid w:val="00D76764"/>
    <w:rsid w:val="00D77DA5"/>
    <w:rsid w:val="00D82320"/>
    <w:rsid w:val="00D84420"/>
    <w:rsid w:val="00D85438"/>
    <w:rsid w:val="00D85681"/>
    <w:rsid w:val="00D8732D"/>
    <w:rsid w:val="00D927DB"/>
    <w:rsid w:val="00D937E8"/>
    <w:rsid w:val="00DA0D76"/>
    <w:rsid w:val="00DA1274"/>
    <w:rsid w:val="00DA133C"/>
    <w:rsid w:val="00DA2858"/>
    <w:rsid w:val="00DA2B1D"/>
    <w:rsid w:val="00DA30A3"/>
    <w:rsid w:val="00DA7173"/>
    <w:rsid w:val="00DB37A7"/>
    <w:rsid w:val="00DB7EE7"/>
    <w:rsid w:val="00DC0474"/>
    <w:rsid w:val="00DC1CB0"/>
    <w:rsid w:val="00DC3E82"/>
    <w:rsid w:val="00DC529B"/>
    <w:rsid w:val="00DC79AF"/>
    <w:rsid w:val="00DD14B3"/>
    <w:rsid w:val="00DD563C"/>
    <w:rsid w:val="00DE06EE"/>
    <w:rsid w:val="00DE0AE6"/>
    <w:rsid w:val="00DE478D"/>
    <w:rsid w:val="00DE7502"/>
    <w:rsid w:val="00DF0141"/>
    <w:rsid w:val="00DF0807"/>
    <w:rsid w:val="00DF2703"/>
    <w:rsid w:val="00DF513B"/>
    <w:rsid w:val="00DF7176"/>
    <w:rsid w:val="00DF71E8"/>
    <w:rsid w:val="00E02055"/>
    <w:rsid w:val="00E0352C"/>
    <w:rsid w:val="00E03AB6"/>
    <w:rsid w:val="00E03C50"/>
    <w:rsid w:val="00E07BB2"/>
    <w:rsid w:val="00E1085A"/>
    <w:rsid w:val="00E11E1A"/>
    <w:rsid w:val="00E12C95"/>
    <w:rsid w:val="00E14566"/>
    <w:rsid w:val="00E14911"/>
    <w:rsid w:val="00E153A1"/>
    <w:rsid w:val="00E22660"/>
    <w:rsid w:val="00E22E54"/>
    <w:rsid w:val="00E232E0"/>
    <w:rsid w:val="00E23A5B"/>
    <w:rsid w:val="00E260F7"/>
    <w:rsid w:val="00E2684E"/>
    <w:rsid w:val="00E3030C"/>
    <w:rsid w:val="00E32EAF"/>
    <w:rsid w:val="00E34BF8"/>
    <w:rsid w:val="00E37CB7"/>
    <w:rsid w:val="00E42793"/>
    <w:rsid w:val="00E4369C"/>
    <w:rsid w:val="00E442E1"/>
    <w:rsid w:val="00E44F7F"/>
    <w:rsid w:val="00E50CC8"/>
    <w:rsid w:val="00E51FE8"/>
    <w:rsid w:val="00E5244F"/>
    <w:rsid w:val="00E53868"/>
    <w:rsid w:val="00E55E57"/>
    <w:rsid w:val="00E56249"/>
    <w:rsid w:val="00E56F7D"/>
    <w:rsid w:val="00E61B8F"/>
    <w:rsid w:val="00E61E31"/>
    <w:rsid w:val="00E679FA"/>
    <w:rsid w:val="00E67ACE"/>
    <w:rsid w:val="00E67BA7"/>
    <w:rsid w:val="00E71767"/>
    <w:rsid w:val="00E757FD"/>
    <w:rsid w:val="00E75D1A"/>
    <w:rsid w:val="00E84140"/>
    <w:rsid w:val="00E86515"/>
    <w:rsid w:val="00E9054F"/>
    <w:rsid w:val="00E93D69"/>
    <w:rsid w:val="00E94FA8"/>
    <w:rsid w:val="00EA10E1"/>
    <w:rsid w:val="00EA5B6C"/>
    <w:rsid w:val="00EA5F31"/>
    <w:rsid w:val="00EB4E93"/>
    <w:rsid w:val="00EB4FD7"/>
    <w:rsid w:val="00EB632C"/>
    <w:rsid w:val="00EC564B"/>
    <w:rsid w:val="00EC6F58"/>
    <w:rsid w:val="00EC77F5"/>
    <w:rsid w:val="00ED2140"/>
    <w:rsid w:val="00ED29FB"/>
    <w:rsid w:val="00ED4634"/>
    <w:rsid w:val="00ED7CB3"/>
    <w:rsid w:val="00EE1123"/>
    <w:rsid w:val="00EE1706"/>
    <w:rsid w:val="00EE3A4F"/>
    <w:rsid w:val="00EF0C91"/>
    <w:rsid w:val="00EF2660"/>
    <w:rsid w:val="00EF26A2"/>
    <w:rsid w:val="00EF3358"/>
    <w:rsid w:val="00EF3B91"/>
    <w:rsid w:val="00EF5966"/>
    <w:rsid w:val="00F06892"/>
    <w:rsid w:val="00F11A74"/>
    <w:rsid w:val="00F11BAB"/>
    <w:rsid w:val="00F13ADC"/>
    <w:rsid w:val="00F1668A"/>
    <w:rsid w:val="00F269DE"/>
    <w:rsid w:val="00F26A4B"/>
    <w:rsid w:val="00F30C7A"/>
    <w:rsid w:val="00F31636"/>
    <w:rsid w:val="00F376E3"/>
    <w:rsid w:val="00F37ED4"/>
    <w:rsid w:val="00F40A46"/>
    <w:rsid w:val="00F40F46"/>
    <w:rsid w:val="00F41D12"/>
    <w:rsid w:val="00F4210D"/>
    <w:rsid w:val="00F4445B"/>
    <w:rsid w:val="00F45235"/>
    <w:rsid w:val="00F45638"/>
    <w:rsid w:val="00F50B3C"/>
    <w:rsid w:val="00F5592A"/>
    <w:rsid w:val="00F57E9D"/>
    <w:rsid w:val="00F66E1A"/>
    <w:rsid w:val="00F70660"/>
    <w:rsid w:val="00F70EAE"/>
    <w:rsid w:val="00F71EBB"/>
    <w:rsid w:val="00F728DA"/>
    <w:rsid w:val="00F7367F"/>
    <w:rsid w:val="00F736BF"/>
    <w:rsid w:val="00F82258"/>
    <w:rsid w:val="00F8554D"/>
    <w:rsid w:val="00F85F76"/>
    <w:rsid w:val="00F86ABC"/>
    <w:rsid w:val="00F8742F"/>
    <w:rsid w:val="00F95F4A"/>
    <w:rsid w:val="00F962B1"/>
    <w:rsid w:val="00FA07A5"/>
    <w:rsid w:val="00FA3382"/>
    <w:rsid w:val="00FB2C39"/>
    <w:rsid w:val="00FB4E60"/>
    <w:rsid w:val="00FB4F6A"/>
    <w:rsid w:val="00FB7198"/>
    <w:rsid w:val="00FB7854"/>
    <w:rsid w:val="00FC08FB"/>
    <w:rsid w:val="00FC1520"/>
    <w:rsid w:val="00FC4ACC"/>
    <w:rsid w:val="00FC5B9A"/>
    <w:rsid w:val="00FD0892"/>
    <w:rsid w:val="00FD5243"/>
    <w:rsid w:val="00FD6782"/>
    <w:rsid w:val="00FE58B8"/>
    <w:rsid w:val="00FE7186"/>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8A"/>
    <w:pPr>
      <w:ind w:firstLine="0"/>
      <w:jc w:val="left"/>
    </w:pPr>
    <w:rPr>
      <w:sz w:val="24"/>
      <w:szCs w:val="24"/>
      <w:lang w:val="en-GB" w:eastAsia="en-GB"/>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single space"/>
    <w:basedOn w:val="Normal"/>
    <w:link w:val="FootnoteTextChar"/>
    <w:unhideWhenUsed/>
    <w:qFormat/>
    <w:pPr>
      <w:spacing w:after="40"/>
    </w:pPr>
    <w:rPr>
      <w:sz w:val="18"/>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Pr>
      <w:sz w:val="18"/>
    </w:rPr>
  </w:style>
  <w:style w:type="character" w:styleId="FootnoteReference">
    <w:name w:val="footnote reference"/>
    <w:aliases w:val="SUPERS,BVI fnr,Footnote symbol,Footnote Reference Superscript,(Footnote Reference),Footnote reference number,note TESI,EN Footnote Reference,Voetnootverwijzing,Times 10 Point,Exposant 3 Point,Appel note de bas de,No"/>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pPr>
    <w:rPr>
      <w:rFonts w:ascii="Arial" w:eastAsia="Batang" w:hAnsi="Arial" w:cs="Arial"/>
    </w:rPr>
  </w:style>
  <w:style w:type="paragraph" w:styleId="NormalWeb">
    <w:name w:val="Normal (Web)"/>
    <w:basedOn w:val="Normal"/>
    <w:uiPriority w:val="99"/>
    <w:unhideWhenUsed/>
    <w:pPr>
      <w:ind w:firstLine="567"/>
    </w:pPr>
    <w:rPr>
      <w:lang w:val="ru-RU" w:eastAsia="ru-RU"/>
    </w:rPr>
  </w:style>
  <w:style w:type="paragraph" w:customStyle="1" w:styleId="cn">
    <w:name w:val="cn"/>
    <w:basedOn w:val="Normal"/>
    <w:pPr>
      <w:jc w:val="center"/>
    </w:pPr>
    <w:rPr>
      <w:lang w:val="ru-RU" w:eastAsia="ru-RU"/>
    </w:rPr>
  </w:style>
  <w:style w:type="paragraph" w:customStyle="1" w:styleId="cb">
    <w:name w:val="cb"/>
    <w:basedOn w:val="Normal"/>
    <w:uiPriority w:val="99"/>
    <w:semiHidden/>
    <w:pPr>
      <w:jc w:val="center"/>
    </w:pPr>
    <w:rPr>
      <w:b/>
      <w:bCs/>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X Bullet,En tête 1,Indent Paragraph,Table/Figure Heading,Heading,Heading 2_sj,Dot pt,Numbered Para 1,No Spacing1,List Paragraph Char Char Char,Indicator Text,Bullet 1,List Paragraph1,Bullet Points,MAIN CONTENT,List Paragraph12,Bullet EY"/>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jc w:val="center"/>
    </w:pPr>
    <w:rPr>
      <w:b/>
      <w:bCs/>
      <w:lang w:val="ru-RU" w:eastAsia="ru-RU"/>
    </w:rPr>
  </w:style>
  <w:style w:type="paragraph" w:customStyle="1" w:styleId="CharChar0">
    <w:name w:val="Char Char Знак Знак"/>
    <w:basedOn w:val="Normal"/>
    <w:pPr>
      <w:spacing w:after="160" w:line="240" w:lineRule="exac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lang w:val="ru-RU" w:eastAsia="ru-RU"/>
    </w:rPr>
  </w:style>
  <w:style w:type="paragraph" w:customStyle="1" w:styleId="Style8">
    <w:name w:val="Style8"/>
    <w:basedOn w:val="Normal"/>
    <w:uiPriority w:val="99"/>
    <w:pPr>
      <w:widowControl w:val="0"/>
      <w:spacing w:line="317" w:lineRule="exact"/>
    </w:pPr>
    <w:rPr>
      <w:rFonts w:eastAsiaTheme="minorEastAsia"/>
      <w:lang w:val="ru-RU" w:eastAsia="ru-RU"/>
    </w:rPr>
  </w:style>
  <w:style w:type="paragraph" w:customStyle="1" w:styleId="Style9">
    <w:name w:val="Style9"/>
    <w:basedOn w:val="Normal"/>
    <w:uiPriority w:val="99"/>
    <w:pPr>
      <w:widowControl w:val="0"/>
      <w:spacing w:line="326" w:lineRule="exact"/>
      <w:ind w:firstLine="398"/>
    </w:pPr>
    <w:rPr>
      <w:rFonts w:eastAsiaTheme="minorEastAsia"/>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pPr>
    <w:rPr>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paragraph" w:styleId="BodyText">
    <w:name w:val="Body Text"/>
    <w:basedOn w:val="Normal"/>
    <w:link w:val="BodyTextChar"/>
    <w:uiPriority w:val="1"/>
    <w:qFormat/>
    <w:rsid w:val="004169F8"/>
    <w:pPr>
      <w:widowControl w:val="0"/>
      <w:autoSpaceDE w:val="0"/>
      <w:autoSpaceDN w:val="0"/>
    </w:pPr>
    <w:rPr>
      <w:sz w:val="28"/>
      <w:szCs w:val="28"/>
      <w:lang w:val="ro-RO"/>
    </w:rPr>
  </w:style>
  <w:style w:type="character" w:customStyle="1" w:styleId="BodyTextChar">
    <w:name w:val="Body Text Char"/>
    <w:basedOn w:val="DefaultParagraphFont"/>
    <w:link w:val="BodyText"/>
    <w:uiPriority w:val="1"/>
    <w:rsid w:val="004169F8"/>
    <w:rPr>
      <w:sz w:val="28"/>
      <w:szCs w:val="28"/>
      <w:lang w:val="ro-RO" w:eastAsia="en-US"/>
    </w:rPr>
  </w:style>
  <w:style w:type="character" w:customStyle="1" w:styleId="ListParagraphChar">
    <w:name w:val="List Paragraph Char"/>
    <w:aliases w:val="EX Bullet Char,En tête 1 Char,Indent Paragraph Char,Table/Figure Heading Char,Heading Char,Heading 2_sj Char,Dot pt Char,Numbered Para 1 Char,No Spacing1 Char,List Paragraph Char Char Char Char,Indicator Text Char,Bullet 1 Char"/>
    <w:link w:val="ListParagraph"/>
    <w:uiPriority w:val="34"/>
    <w:qFormat/>
    <w:locked/>
    <w:rsid w:val="00234AA7"/>
    <w:rPr>
      <w:lang w:val="en-US" w:eastAsia="en-US"/>
    </w:rPr>
  </w:style>
  <w:style w:type="paragraph" w:customStyle="1" w:styleId="oj-doc-ti">
    <w:name w:val="oj-doc-ti"/>
    <w:basedOn w:val="Normal"/>
    <w:rsid w:val="00234AA7"/>
    <w:pPr>
      <w:spacing w:before="100" w:beforeAutospacing="1" w:after="100" w:afterAutospacing="1"/>
    </w:pPr>
  </w:style>
  <w:style w:type="character" w:styleId="Emphasis">
    <w:name w:val="Emphasis"/>
    <w:basedOn w:val="DefaultParagraphFont"/>
    <w:uiPriority w:val="20"/>
    <w:qFormat/>
    <w:rsid w:val="007D3FB1"/>
    <w:rPr>
      <w:i/>
      <w:iCs/>
    </w:rPr>
  </w:style>
  <w:style w:type="character" w:styleId="UnresolvedMention">
    <w:name w:val="Unresolved Mention"/>
    <w:basedOn w:val="DefaultParagraphFont"/>
    <w:uiPriority w:val="99"/>
    <w:semiHidden/>
    <w:unhideWhenUsed/>
    <w:rsid w:val="00AB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5936">
      <w:bodyDiv w:val="1"/>
      <w:marLeft w:val="0"/>
      <w:marRight w:val="0"/>
      <w:marTop w:val="0"/>
      <w:marBottom w:val="0"/>
      <w:divBdr>
        <w:top w:val="none" w:sz="0" w:space="0" w:color="auto"/>
        <w:left w:val="none" w:sz="0" w:space="0" w:color="auto"/>
        <w:bottom w:val="none" w:sz="0" w:space="0" w:color="auto"/>
        <w:right w:val="none" w:sz="0" w:space="0" w:color="auto"/>
      </w:divBdr>
    </w:div>
    <w:div w:id="127088987">
      <w:bodyDiv w:val="1"/>
      <w:marLeft w:val="0"/>
      <w:marRight w:val="0"/>
      <w:marTop w:val="0"/>
      <w:marBottom w:val="0"/>
      <w:divBdr>
        <w:top w:val="none" w:sz="0" w:space="0" w:color="auto"/>
        <w:left w:val="none" w:sz="0" w:space="0" w:color="auto"/>
        <w:bottom w:val="none" w:sz="0" w:space="0" w:color="auto"/>
        <w:right w:val="none" w:sz="0" w:space="0" w:color="auto"/>
      </w:divBdr>
    </w:div>
    <w:div w:id="293296375">
      <w:bodyDiv w:val="1"/>
      <w:marLeft w:val="0"/>
      <w:marRight w:val="0"/>
      <w:marTop w:val="0"/>
      <w:marBottom w:val="0"/>
      <w:divBdr>
        <w:top w:val="none" w:sz="0" w:space="0" w:color="auto"/>
        <w:left w:val="none" w:sz="0" w:space="0" w:color="auto"/>
        <w:bottom w:val="none" w:sz="0" w:space="0" w:color="auto"/>
        <w:right w:val="none" w:sz="0" w:space="0" w:color="auto"/>
      </w:divBdr>
    </w:div>
    <w:div w:id="314381516">
      <w:bodyDiv w:val="1"/>
      <w:marLeft w:val="0"/>
      <w:marRight w:val="0"/>
      <w:marTop w:val="0"/>
      <w:marBottom w:val="0"/>
      <w:divBdr>
        <w:top w:val="none" w:sz="0" w:space="0" w:color="auto"/>
        <w:left w:val="none" w:sz="0" w:space="0" w:color="auto"/>
        <w:bottom w:val="none" w:sz="0" w:space="0" w:color="auto"/>
        <w:right w:val="none" w:sz="0" w:space="0" w:color="auto"/>
      </w:divBdr>
    </w:div>
    <w:div w:id="429662772">
      <w:bodyDiv w:val="1"/>
      <w:marLeft w:val="0"/>
      <w:marRight w:val="0"/>
      <w:marTop w:val="0"/>
      <w:marBottom w:val="0"/>
      <w:divBdr>
        <w:top w:val="none" w:sz="0" w:space="0" w:color="auto"/>
        <w:left w:val="none" w:sz="0" w:space="0" w:color="auto"/>
        <w:bottom w:val="none" w:sz="0" w:space="0" w:color="auto"/>
        <w:right w:val="none" w:sz="0" w:space="0" w:color="auto"/>
      </w:divBdr>
    </w:div>
    <w:div w:id="459539667">
      <w:bodyDiv w:val="1"/>
      <w:marLeft w:val="0"/>
      <w:marRight w:val="0"/>
      <w:marTop w:val="0"/>
      <w:marBottom w:val="0"/>
      <w:divBdr>
        <w:top w:val="none" w:sz="0" w:space="0" w:color="auto"/>
        <w:left w:val="none" w:sz="0" w:space="0" w:color="auto"/>
        <w:bottom w:val="none" w:sz="0" w:space="0" w:color="auto"/>
        <w:right w:val="none" w:sz="0" w:space="0" w:color="auto"/>
      </w:divBdr>
    </w:div>
    <w:div w:id="638845052">
      <w:bodyDiv w:val="1"/>
      <w:marLeft w:val="0"/>
      <w:marRight w:val="0"/>
      <w:marTop w:val="0"/>
      <w:marBottom w:val="0"/>
      <w:divBdr>
        <w:top w:val="none" w:sz="0" w:space="0" w:color="auto"/>
        <w:left w:val="none" w:sz="0" w:space="0" w:color="auto"/>
        <w:bottom w:val="none" w:sz="0" w:space="0" w:color="auto"/>
        <w:right w:val="none" w:sz="0" w:space="0" w:color="auto"/>
      </w:divBdr>
    </w:div>
    <w:div w:id="660236772">
      <w:bodyDiv w:val="1"/>
      <w:marLeft w:val="0"/>
      <w:marRight w:val="0"/>
      <w:marTop w:val="0"/>
      <w:marBottom w:val="0"/>
      <w:divBdr>
        <w:top w:val="none" w:sz="0" w:space="0" w:color="auto"/>
        <w:left w:val="none" w:sz="0" w:space="0" w:color="auto"/>
        <w:bottom w:val="none" w:sz="0" w:space="0" w:color="auto"/>
        <w:right w:val="none" w:sz="0" w:space="0" w:color="auto"/>
      </w:divBdr>
    </w:div>
    <w:div w:id="680819302">
      <w:bodyDiv w:val="1"/>
      <w:marLeft w:val="0"/>
      <w:marRight w:val="0"/>
      <w:marTop w:val="0"/>
      <w:marBottom w:val="0"/>
      <w:divBdr>
        <w:top w:val="none" w:sz="0" w:space="0" w:color="auto"/>
        <w:left w:val="none" w:sz="0" w:space="0" w:color="auto"/>
        <w:bottom w:val="none" w:sz="0" w:space="0" w:color="auto"/>
        <w:right w:val="none" w:sz="0" w:space="0" w:color="auto"/>
      </w:divBdr>
    </w:div>
    <w:div w:id="757480077">
      <w:bodyDiv w:val="1"/>
      <w:marLeft w:val="0"/>
      <w:marRight w:val="0"/>
      <w:marTop w:val="0"/>
      <w:marBottom w:val="0"/>
      <w:divBdr>
        <w:top w:val="none" w:sz="0" w:space="0" w:color="auto"/>
        <w:left w:val="none" w:sz="0" w:space="0" w:color="auto"/>
        <w:bottom w:val="none" w:sz="0" w:space="0" w:color="auto"/>
        <w:right w:val="none" w:sz="0" w:space="0" w:color="auto"/>
      </w:divBdr>
    </w:div>
    <w:div w:id="875118424">
      <w:bodyDiv w:val="1"/>
      <w:marLeft w:val="0"/>
      <w:marRight w:val="0"/>
      <w:marTop w:val="0"/>
      <w:marBottom w:val="0"/>
      <w:divBdr>
        <w:top w:val="none" w:sz="0" w:space="0" w:color="auto"/>
        <w:left w:val="none" w:sz="0" w:space="0" w:color="auto"/>
        <w:bottom w:val="none" w:sz="0" w:space="0" w:color="auto"/>
        <w:right w:val="none" w:sz="0" w:space="0" w:color="auto"/>
      </w:divBdr>
    </w:div>
    <w:div w:id="956251690">
      <w:bodyDiv w:val="1"/>
      <w:marLeft w:val="0"/>
      <w:marRight w:val="0"/>
      <w:marTop w:val="0"/>
      <w:marBottom w:val="0"/>
      <w:divBdr>
        <w:top w:val="none" w:sz="0" w:space="0" w:color="auto"/>
        <w:left w:val="none" w:sz="0" w:space="0" w:color="auto"/>
        <w:bottom w:val="none" w:sz="0" w:space="0" w:color="auto"/>
        <w:right w:val="none" w:sz="0" w:space="0" w:color="auto"/>
      </w:divBdr>
    </w:div>
    <w:div w:id="987171734">
      <w:bodyDiv w:val="1"/>
      <w:marLeft w:val="0"/>
      <w:marRight w:val="0"/>
      <w:marTop w:val="0"/>
      <w:marBottom w:val="0"/>
      <w:divBdr>
        <w:top w:val="none" w:sz="0" w:space="0" w:color="auto"/>
        <w:left w:val="none" w:sz="0" w:space="0" w:color="auto"/>
        <w:bottom w:val="none" w:sz="0" w:space="0" w:color="auto"/>
        <w:right w:val="none" w:sz="0" w:space="0" w:color="auto"/>
      </w:divBdr>
    </w:div>
    <w:div w:id="1018508922">
      <w:bodyDiv w:val="1"/>
      <w:marLeft w:val="0"/>
      <w:marRight w:val="0"/>
      <w:marTop w:val="0"/>
      <w:marBottom w:val="0"/>
      <w:divBdr>
        <w:top w:val="none" w:sz="0" w:space="0" w:color="auto"/>
        <w:left w:val="none" w:sz="0" w:space="0" w:color="auto"/>
        <w:bottom w:val="none" w:sz="0" w:space="0" w:color="auto"/>
        <w:right w:val="none" w:sz="0" w:space="0" w:color="auto"/>
      </w:divBdr>
    </w:div>
    <w:div w:id="1048148128">
      <w:bodyDiv w:val="1"/>
      <w:marLeft w:val="0"/>
      <w:marRight w:val="0"/>
      <w:marTop w:val="0"/>
      <w:marBottom w:val="0"/>
      <w:divBdr>
        <w:top w:val="none" w:sz="0" w:space="0" w:color="auto"/>
        <w:left w:val="none" w:sz="0" w:space="0" w:color="auto"/>
        <w:bottom w:val="none" w:sz="0" w:space="0" w:color="auto"/>
        <w:right w:val="none" w:sz="0" w:space="0" w:color="auto"/>
      </w:divBdr>
    </w:div>
    <w:div w:id="1079790034">
      <w:bodyDiv w:val="1"/>
      <w:marLeft w:val="0"/>
      <w:marRight w:val="0"/>
      <w:marTop w:val="0"/>
      <w:marBottom w:val="0"/>
      <w:divBdr>
        <w:top w:val="none" w:sz="0" w:space="0" w:color="auto"/>
        <w:left w:val="none" w:sz="0" w:space="0" w:color="auto"/>
        <w:bottom w:val="none" w:sz="0" w:space="0" w:color="auto"/>
        <w:right w:val="none" w:sz="0" w:space="0" w:color="auto"/>
      </w:divBdr>
    </w:div>
    <w:div w:id="1113938508">
      <w:bodyDiv w:val="1"/>
      <w:marLeft w:val="0"/>
      <w:marRight w:val="0"/>
      <w:marTop w:val="0"/>
      <w:marBottom w:val="0"/>
      <w:divBdr>
        <w:top w:val="none" w:sz="0" w:space="0" w:color="auto"/>
        <w:left w:val="none" w:sz="0" w:space="0" w:color="auto"/>
        <w:bottom w:val="none" w:sz="0" w:space="0" w:color="auto"/>
        <w:right w:val="none" w:sz="0" w:space="0" w:color="auto"/>
      </w:divBdr>
    </w:div>
    <w:div w:id="1193804346">
      <w:bodyDiv w:val="1"/>
      <w:marLeft w:val="0"/>
      <w:marRight w:val="0"/>
      <w:marTop w:val="0"/>
      <w:marBottom w:val="0"/>
      <w:divBdr>
        <w:top w:val="none" w:sz="0" w:space="0" w:color="auto"/>
        <w:left w:val="none" w:sz="0" w:space="0" w:color="auto"/>
        <w:bottom w:val="none" w:sz="0" w:space="0" w:color="auto"/>
        <w:right w:val="none" w:sz="0" w:space="0" w:color="auto"/>
      </w:divBdr>
    </w:div>
    <w:div w:id="1254168035">
      <w:bodyDiv w:val="1"/>
      <w:marLeft w:val="0"/>
      <w:marRight w:val="0"/>
      <w:marTop w:val="0"/>
      <w:marBottom w:val="0"/>
      <w:divBdr>
        <w:top w:val="none" w:sz="0" w:space="0" w:color="auto"/>
        <w:left w:val="none" w:sz="0" w:space="0" w:color="auto"/>
        <w:bottom w:val="none" w:sz="0" w:space="0" w:color="auto"/>
        <w:right w:val="none" w:sz="0" w:space="0" w:color="auto"/>
      </w:divBdr>
    </w:div>
    <w:div w:id="1342198851">
      <w:bodyDiv w:val="1"/>
      <w:marLeft w:val="0"/>
      <w:marRight w:val="0"/>
      <w:marTop w:val="0"/>
      <w:marBottom w:val="0"/>
      <w:divBdr>
        <w:top w:val="none" w:sz="0" w:space="0" w:color="auto"/>
        <w:left w:val="none" w:sz="0" w:space="0" w:color="auto"/>
        <w:bottom w:val="none" w:sz="0" w:space="0" w:color="auto"/>
        <w:right w:val="none" w:sz="0" w:space="0" w:color="auto"/>
      </w:divBdr>
    </w:div>
    <w:div w:id="150335539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49344588">
      <w:bodyDiv w:val="1"/>
      <w:marLeft w:val="0"/>
      <w:marRight w:val="0"/>
      <w:marTop w:val="0"/>
      <w:marBottom w:val="0"/>
      <w:divBdr>
        <w:top w:val="none" w:sz="0" w:space="0" w:color="auto"/>
        <w:left w:val="none" w:sz="0" w:space="0" w:color="auto"/>
        <w:bottom w:val="none" w:sz="0" w:space="0" w:color="auto"/>
        <w:right w:val="none" w:sz="0" w:space="0" w:color="auto"/>
      </w:divBdr>
    </w:div>
    <w:div w:id="1569874843">
      <w:bodyDiv w:val="1"/>
      <w:marLeft w:val="0"/>
      <w:marRight w:val="0"/>
      <w:marTop w:val="0"/>
      <w:marBottom w:val="0"/>
      <w:divBdr>
        <w:top w:val="none" w:sz="0" w:space="0" w:color="auto"/>
        <w:left w:val="none" w:sz="0" w:space="0" w:color="auto"/>
        <w:bottom w:val="none" w:sz="0" w:space="0" w:color="auto"/>
        <w:right w:val="none" w:sz="0" w:space="0" w:color="auto"/>
      </w:divBdr>
    </w:div>
    <w:div w:id="1671330045">
      <w:bodyDiv w:val="1"/>
      <w:marLeft w:val="0"/>
      <w:marRight w:val="0"/>
      <w:marTop w:val="0"/>
      <w:marBottom w:val="0"/>
      <w:divBdr>
        <w:top w:val="none" w:sz="0" w:space="0" w:color="auto"/>
        <w:left w:val="none" w:sz="0" w:space="0" w:color="auto"/>
        <w:bottom w:val="none" w:sz="0" w:space="0" w:color="auto"/>
        <w:right w:val="none" w:sz="0" w:space="0" w:color="auto"/>
      </w:divBdr>
    </w:div>
    <w:div w:id="1743523972">
      <w:bodyDiv w:val="1"/>
      <w:marLeft w:val="0"/>
      <w:marRight w:val="0"/>
      <w:marTop w:val="0"/>
      <w:marBottom w:val="0"/>
      <w:divBdr>
        <w:top w:val="none" w:sz="0" w:space="0" w:color="auto"/>
        <w:left w:val="none" w:sz="0" w:space="0" w:color="auto"/>
        <w:bottom w:val="none" w:sz="0" w:space="0" w:color="auto"/>
        <w:right w:val="none" w:sz="0" w:space="0" w:color="auto"/>
      </w:divBdr>
    </w:div>
    <w:div w:id="1824544668">
      <w:bodyDiv w:val="1"/>
      <w:marLeft w:val="0"/>
      <w:marRight w:val="0"/>
      <w:marTop w:val="0"/>
      <w:marBottom w:val="0"/>
      <w:divBdr>
        <w:top w:val="none" w:sz="0" w:space="0" w:color="auto"/>
        <w:left w:val="none" w:sz="0" w:space="0" w:color="auto"/>
        <w:bottom w:val="none" w:sz="0" w:space="0" w:color="auto"/>
        <w:right w:val="none" w:sz="0" w:space="0" w:color="auto"/>
      </w:divBdr>
    </w:div>
    <w:div w:id="1856381121">
      <w:bodyDiv w:val="1"/>
      <w:marLeft w:val="0"/>
      <w:marRight w:val="0"/>
      <w:marTop w:val="0"/>
      <w:marBottom w:val="0"/>
      <w:divBdr>
        <w:top w:val="none" w:sz="0" w:space="0" w:color="auto"/>
        <w:left w:val="none" w:sz="0" w:space="0" w:color="auto"/>
        <w:bottom w:val="none" w:sz="0" w:space="0" w:color="auto"/>
        <w:right w:val="none" w:sz="0" w:space="0" w:color="auto"/>
      </w:divBdr>
    </w:div>
    <w:div w:id="2015525313">
      <w:bodyDiv w:val="1"/>
      <w:marLeft w:val="0"/>
      <w:marRight w:val="0"/>
      <w:marTop w:val="0"/>
      <w:marBottom w:val="0"/>
      <w:divBdr>
        <w:top w:val="none" w:sz="0" w:space="0" w:color="auto"/>
        <w:left w:val="none" w:sz="0" w:space="0" w:color="auto"/>
        <w:bottom w:val="none" w:sz="0" w:space="0" w:color="auto"/>
        <w:right w:val="none" w:sz="0" w:space="0" w:color="auto"/>
      </w:divBdr>
    </w:div>
    <w:div w:id="20516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ticip.gov.m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articip.gov.m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rticip.gov.md/ro/document/stages/ministerul-energiei-in-conformitate-cu-prevederile-art-32-alin-3-din-legea-nr-1002017-cu-privire-la-actele-normative-plaseaza-pentru-consultarea-publica-proiectul-de-lege-cu-privire-la-aprobarea-proiectului-de-lege-pentru-modificarea-legii-nr-1392018-cu-privire-la-eficienta-energetica-numar-unic-1028men2024/135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nm.md/ro/content/raportul-asupra-stabilitatii-financiare-2023"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746A3696-1EA0-484E-BFC4-B09B4060602A}">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2806</TotalTime>
  <Pages>1</Pages>
  <Words>11444</Words>
  <Characters>65235</Characters>
  <Application>Microsoft Office Word</Application>
  <DocSecurity>0</DocSecurity>
  <Lines>543</Lines>
  <Paragraphs>153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76526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Valerian Colun</cp:lastModifiedBy>
  <cp:revision>201</cp:revision>
  <cp:lastPrinted>2024-03-11T11:21:00Z</cp:lastPrinted>
  <dcterms:created xsi:type="dcterms:W3CDTF">2024-03-25T08:15:00Z</dcterms:created>
  <dcterms:modified xsi:type="dcterms:W3CDTF">2025-04-15T07:33:00Z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