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75FDF773" w14:textId="37FB093C" w:rsidR="008E37AD" w:rsidRPr="008E37AD" w:rsidRDefault="00177035" w:rsidP="008E37AD">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177035">
        <w:rPr>
          <w:b/>
          <w:sz w:val="24"/>
          <w:szCs w:val="24"/>
          <w:lang w:val="ro-RO"/>
        </w:rPr>
        <w:t xml:space="preserve">la proiectul </w:t>
      </w:r>
      <w:r w:rsidR="00AE1AB2" w:rsidRPr="00AE1AB2">
        <w:rPr>
          <w:b/>
          <w:sz w:val="24"/>
          <w:szCs w:val="24"/>
          <w:lang w:val="ro-RO"/>
        </w:rPr>
        <w:t xml:space="preserve">de </w:t>
      </w:r>
      <w:r w:rsidR="008E37AD">
        <w:rPr>
          <w:b/>
          <w:sz w:val="24"/>
          <w:szCs w:val="24"/>
          <w:lang w:val="ro-RO"/>
        </w:rPr>
        <w:t xml:space="preserve">hotărâre a Guvernului pentru </w:t>
      </w:r>
      <w:bookmarkStart w:id="0" w:name="_Hlk164775291"/>
      <w:r w:rsidR="008E37AD" w:rsidRPr="008E37AD">
        <w:rPr>
          <w:b/>
          <w:bCs/>
          <w:sz w:val="24"/>
          <w:szCs w:val="24"/>
          <w:lang w:val="ro-RO"/>
        </w:rPr>
        <w:t>modificarea Hotărârii Guvernului nr. 416/2021 pentru aprobarea Regulamentului privind modul de ținere a Registrului de stat</w:t>
      </w:r>
      <w:r w:rsidR="008E37AD">
        <w:rPr>
          <w:b/>
          <w:bCs/>
          <w:sz w:val="24"/>
          <w:szCs w:val="24"/>
          <w:lang w:val="ro-RO"/>
        </w:rPr>
        <w:t xml:space="preserve"> </w:t>
      </w:r>
      <w:r w:rsidR="008E37AD" w:rsidRPr="008E37AD">
        <w:rPr>
          <w:b/>
          <w:bCs/>
          <w:sz w:val="24"/>
          <w:szCs w:val="24"/>
          <w:lang w:val="ro-RO"/>
        </w:rPr>
        <w:t>al armelor, format de Sistemul informațional</w:t>
      </w:r>
      <w:r w:rsidR="008E37AD">
        <w:rPr>
          <w:b/>
          <w:bCs/>
          <w:sz w:val="24"/>
          <w:szCs w:val="24"/>
          <w:lang w:val="ro-RO"/>
        </w:rPr>
        <w:t xml:space="preserve"> </w:t>
      </w:r>
      <w:r w:rsidR="008E37AD" w:rsidRPr="008E37AD">
        <w:rPr>
          <w:b/>
          <w:bCs/>
          <w:sz w:val="24"/>
          <w:szCs w:val="24"/>
          <w:lang w:val="ro-RO"/>
        </w:rPr>
        <w:t xml:space="preserve">automatizat „Registrul de stat al armelor” </w:t>
      </w:r>
    </w:p>
    <w:bookmarkEnd w:id="0"/>
    <w:p w14:paraId="2EEECF7B" w14:textId="1E800365" w:rsidR="00177035" w:rsidRPr="00177035" w:rsidRDefault="00177035" w:rsidP="005A3014">
      <w:pPr>
        <w:pBdr>
          <w:top w:val="none" w:sz="4" w:space="0" w:color="000000"/>
          <w:left w:val="none" w:sz="4" w:space="0" w:color="000000"/>
          <w:bottom w:val="none" w:sz="4" w:space="0" w:color="000000"/>
          <w:right w:val="none" w:sz="4" w:space="0" w:color="000000"/>
        </w:pBdr>
        <w:ind w:firstLine="0"/>
        <w:rPr>
          <w:sz w:val="24"/>
          <w:szCs w:val="24"/>
          <w:lang w:val="ro-RO"/>
        </w:rPr>
      </w:pPr>
    </w:p>
    <w:tbl>
      <w:tblPr>
        <w:tblStyle w:val="Tabelgril"/>
        <w:tblW w:w="15877" w:type="dxa"/>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87"/>
        <w:gridCol w:w="4394"/>
        <w:gridCol w:w="6096"/>
      </w:tblGrid>
      <w:tr w:rsidR="00316697" w:rsidRPr="00177035" w14:paraId="29BCF5A0" w14:textId="77777777" w:rsidTr="00AE1A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316697" w:rsidRPr="00177035" w:rsidRDefault="00316697"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439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316697" w:rsidRPr="00177035" w:rsidRDefault="00316697"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609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316697" w:rsidRPr="00177035" w:rsidRDefault="00316697"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316697" w:rsidRPr="00C978DD" w14:paraId="03DA0353"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58B6" w14:textId="77777777" w:rsidR="008E37AD" w:rsidRDefault="00316697" w:rsidP="00AE1AB2">
            <w:pPr>
              <w:pBdr>
                <w:top w:val="none" w:sz="4" w:space="0" w:color="000000"/>
                <w:left w:val="none" w:sz="4" w:space="0" w:color="000000"/>
                <w:bottom w:val="none" w:sz="4" w:space="0" w:color="000000"/>
                <w:right w:val="none" w:sz="4" w:space="0" w:color="000000"/>
              </w:pBdr>
              <w:ind w:firstLine="183"/>
              <w:rPr>
                <w:rFonts w:ascii="Times New Roman" w:eastAsia="Times New Roman" w:hAnsi="Times New Roman"/>
                <w:sz w:val="24"/>
                <w:szCs w:val="24"/>
                <w:lang w:val="ro-RO"/>
              </w:rPr>
            </w:pPr>
            <w:r w:rsidRPr="00177035">
              <w:rPr>
                <w:rFonts w:ascii="Times New Roman" w:eastAsia="Times New Roman" w:hAnsi="Times New Roman"/>
                <w:sz w:val="24"/>
                <w:szCs w:val="24"/>
                <w:lang w:val="ro-RO"/>
              </w:rPr>
              <w:t xml:space="preserve"> </w:t>
            </w:r>
            <w:r w:rsidR="008E37AD">
              <w:rPr>
                <w:rFonts w:ascii="Times New Roman" w:eastAsia="Times New Roman" w:hAnsi="Times New Roman"/>
                <w:sz w:val="24"/>
                <w:szCs w:val="24"/>
                <w:lang w:val="ro-RO"/>
              </w:rPr>
              <w:t>Pct. 6.</w:t>
            </w:r>
          </w:p>
          <w:p w14:paraId="5127BFD5" w14:textId="089E5233" w:rsidR="00316697" w:rsidRPr="00177035" w:rsidRDefault="008E37AD" w:rsidP="00AE1AB2">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8E37AD">
              <w:rPr>
                <w:rFonts w:ascii="Times New Roman" w:eastAsia="Times New Roman" w:hAnsi="Times New Roman"/>
                <w:b/>
                <w:bCs/>
                <w:i/>
                <w:iCs/>
                <w:sz w:val="24"/>
                <w:szCs w:val="24"/>
                <w:lang w:val="ro-RO"/>
              </w:rPr>
              <w:t>arhiva SIA RSA</w:t>
            </w:r>
            <w:r>
              <w:rPr>
                <w:rFonts w:ascii="Times New Roman" w:eastAsia="Times New Roman" w:hAnsi="Times New Roman"/>
                <w:b/>
                <w:bCs/>
                <w:i/>
                <w:iCs/>
                <w:sz w:val="24"/>
                <w:szCs w:val="24"/>
                <w:lang w:val="ro-RO"/>
              </w:rPr>
              <w:t xml:space="preserve"> </w:t>
            </w:r>
            <w:r w:rsidRPr="008E37AD">
              <w:rPr>
                <w:rFonts w:ascii="Times New Roman" w:eastAsia="Times New Roman" w:hAnsi="Times New Roman"/>
                <w:b/>
                <w:bCs/>
                <w:sz w:val="24"/>
                <w:szCs w:val="24"/>
                <w:lang w:val="ro-RO"/>
              </w:rPr>
              <w:t>–</w:t>
            </w:r>
            <w:r>
              <w:rPr>
                <w:rFonts w:ascii="Times New Roman" w:eastAsia="Times New Roman" w:hAnsi="Times New Roman"/>
                <w:b/>
                <w:bCs/>
                <w:sz w:val="24"/>
                <w:szCs w:val="24"/>
                <w:lang w:val="ro-RO"/>
              </w:rPr>
              <w:t xml:space="preserve"> </w:t>
            </w:r>
            <w:r w:rsidRPr="008E37AD">
              <w:rPr>
                <w:rFonts w:ascii="Times New Roman" w:eastAsia="Times New Roman" w:hAnsi="Times New Roman"/>
                <w:sz w:val="24"/>
                <w:szCs w:val="24"/>
                <w:lang w:val="ro-RO"/>
              </w:rPr>
              <w:t>totalitatea datelor/informațiilor/documentelor privind armele și componentele acestora, posesorii de arme (persoane fizice și juridice) și actele permisive în domeniul autorizării circulației armelor, care se referă la situația acestora din trecut, sunt radiate din circuitul civil și evidența SIA RSA și sunt stocate și păstrate pe termen nelimitat într-un compartiment separat al SIA</w:t>
            </w:r>
            <w:r>
              <w:rPr>
                <w:rFonts w:ascii="Times New Roman" w:eastAsia="Times New Roman" w:hAnsi="Times New Roman"/>
                <w:sz w:val="24"/>
                <w:szCs w:val="24"/>
                <w:lang w:val="ro-RO"/>
              </w:rPr>
              <w:t xml:space="preserve"> </w:t>
            </w:r>
            <w:r w:rsidRPr="008E37AD">
              <w:rPr>
                <w:rFonts w:ascii="Times New Roman" w:eastAsia="Times New Roman" w:hAnsi="Times New Roman"/>
                <w:sz w:val="24"/>
                <w:szCs w:val="24"/>
                <w:lang w:val="ro-RO"/>
              </w:rPr>
              <w:t>RSA;</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1595D7" w14:textId="77777777" w:rsidR="00C978DD" w:rsidRDefault="00316697" w:rsidP="0089672D">
            <w:pPr>
              <w:pBdr>
                <w:top w:val="none" w:sz="4" w:space="0" w:color="000000"/>
                <w:left w:val="none" w:sz="4" w:space="0" w:color="000000"/>
                <w:bottom w:val="none" w:sz="4" w:space="0" w:color="000000"/>
                <w:right w:val="none" w:sz="4" w:space="0" w:color="000000"/>
              </w:pBdr>
              <w:tabs>
                <w:tab w:val="left" w:pos="458"/>
              </w:tabs>
              <w:ind w:firstLine="183"/>
              <w:rPr>
                <w:rFonts w:ascii="Times New Roman" w:hAnsi="Times New Roman"/>
                <w:sz w:val="24"/>
                <w:szCs w:val="24"/>
                <w:lang w:val="ro-RO"/>
              </w:rPr>
            </w:pPr>
            <w:r w:rsidRPr="00177035">
              <w:rPr>
                <w:rFonts w:ascii="Times New Roman" w:hAnsi="Times New Roman"/>
                <w:sz w:val="24"/>
                <w:szCs w:val="24"/>
                <w:lang w:val="ro-RO"/>
              </w:rPr>
              <w:t xml:space="preserve"> </w:t>
            </w:r>
            <w:r w:rsidR="008E37AD" w:rsidRPr="008E37AD">
              <w:rPr>
                <w:rFonts w:ascii="Times New Roman" w:hAnsi="Times New Roman"/>
                <w:sz w:val="24"/>
                <w:szCs w:val="24"/>
                <w:lang w:val="ro-RO"/>
              </w:rPr>
              <w:t xml:space="preserve">La punctul 6, noțiunea </w:t>
            </w:r>
          </w:p>
          <w:p w14:paraId="7CF73DDE" w14:textId="0141CB01" w:rsidR="00316697" w:rsidRPr="00177035" w:rsidRDefault="008E37AD" w:rsidP="0089672D">
            <w:pPr>
              <w:pBdr>
                <w:top w:val="none" w:sz="4" w:space="0" w:color="000000"/>
                <w:left w:val="none" w:sz="4" w:space="0" w:color="000000"/>
                <w:bottom w:val="none" w:sz="4" w:space="0" w:color="000000"/>
                <w:right w:val="none" w:sz="4" w:space="0" w:color="000000"/>
              </w:pBdr>
              <w:tabs>
                <w:tab w:val="left" w:pos="458"/>
              </w:tabs>
              <w:ind w:firstLine="183"/>
              <w:rPr>
                <w:rFonts w:ascii="Times New Roman" w:hAnsi="Times New Roman"/>
                <w:sz w:val="24"/>
                <w:szCs w:val="24"/>
                <w:lang w:val="ro-RO"/>
              </w:rPr>
            </w:pPr>
            <w:r w:rsidRPr="008E37AD">
              <w:rPr>
                <w:rFonts w:ascii="Times New Roman" w:hAnsi="Times New Roman"/>
                <w:sz w:val="24"/>
                <w:szCs w:val="24"/>
                <w:lang w:val="ro-RO"/>
              </w:rPr>
              <w:t>„</w:t>
            </w:r>
            <w:r w:rsidRPr="008E37AD">
              <w:rPr>
                <w:rFonts w:ascii="Times New Roman" w:hAnsi="Times New Roman"/>
                <w:i/>
                <w:iCs/>
                <w:sz w:val="24"/>
                <w:szCs w:val="24"/>
                <w:lang w:val="ro-RO"/>
              </w:rPr>
              <w:t>arhiva SIA RSA</w:t>
            </w:r>
            <w:r w:rsidRPr="008E37AD">
              <w:rPr>
                <w:rFonts w:ascii="Times New Roman" w:hAnsi="Times New Roman"/>
                <w:sz w:val="24"/>
                <w:szCs w:val="24"/>
                <w:lang w:val="ro-RO"/>
              </w:rPr>
              <w:t>” se completează cu textul „ , cu excepțiile prevăzute de prezentul Regulament”</w:t>
            </w: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5BD2D0" w14:textId="77777777" w:rsidR="00C978DD" w:rsidRPr="00C978DD" w:rsidRDefault="00C978DD" w:rsidP="00C978DD">
            <w:pPr>
              <w:ind w:firstLine="567"/>
              <w:rPr>
                <w:rFonts w:asciiTheme="majorBidi" w:eastAsia="Times New Roman" w:hAnsiTheme="majorBidi" w:cstheme="majorBidi"/>
                <w:b/>
                <w:bCs/>
                <w:sz w:val="24"/>
                <w:szCs w:val="24"/>
                <w:lang w:val="ro-RO"/>
              </w:rPr>
            </w:pPr>
            <w:r w:rsidRPr="00C978DD">
              <w:rPr>
                <w:rFonts w:asciiTheme="majorBidi" w:eastAsia="Times New Roman" w:hAnsiTheme="majorBidi" w:cstheme="majorBidi"/>
                <w:b/>
                <w:bCs/>
                <w:sz w:val="24"/>
                <w:szCs w:val="24"/>
                <w:lang w:val="ro-RO"/>
              </w:rPr>
              <w:t>Pct. 6.</w:t>
            </w:r>
          </w:p>
          <w:p w14:paraId="340D78A4" w14:textId="2A0BAFF1" w:rsidR="00316697" w:rsidRPr="00177035" w:rsidRDefault="00C978DD" w:rsidP="00C978DD">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C978DD">
              <w:rPr>
                <w:rFonts w:asciiTheme="majorBidi" w:eastAsia="Times New Roman" w:hAnsiTheme="majorBidi" w:cstheme="majorBidi"/>
                <w:b/>
                <w:bCs/>
                <w:i/>
                <w:iCs/>
                <w:sz w:val="24"/>
                <w:szCs w:val="24"/>
                <w:lang w:val="ro-RO"/>
              </w:rPr>
              <w:t xml:space="preserve">arhiva SIA RSA </w:t>
            </w:r>
            <w:r w:rsidRPr="00C978DD">
              <w:rPr>
                <w:rFonts w:asciiTheme="majorBidi" w:eastAsia="Times New Roman" w:hAnsiTheme="majorBidi" w:cstheme="majorBidi"/>
                <w:b/>
                <w:bCs/>
                <w:sz w:val="24"/>
                <w:szCs w:val="24"/>
                <w:lang w:val="ro-RO"/>
              </w:rPr>
              <w:t xml:space="preserve">– </w:t>
            </w:r>
            <w:r w:rsidRPr="00C978DD">
              <w:rPr>
                <w:rFonts w:asciiTheme="majorBidi" w:eastAsia="Times New Roman" w:hAnsiTheme="majorBidi" w:cstheme="majorBidi"/>
                <w:sz w:val="24"/>
                <w:szCs w:val="24"/>
                <w:lang w:val="ro-RO"/>
              </w:rPr>
              <w:t>totalitatea datelor/informațiilor/documentelor privind armele și componentele acestora, posesorii de arme (persoane fizice și juridice) și actele permisive în domeniul autorizării circulației armelor, care se referă la situația acestora din trecut, sunt radiate din circuitul civil și evidența SIA RSA și sunt stocate și păstrate pe termen nelimitat într-un compartiment separat al SIA</w:t>
            </w:r>
            <w:r>
              <w:rPr>
                <w:rFonts w:asciiTheme="majorBidi" w:eastAsia="Times New Roman" w:hAnsiTheme="majorBidi" w:cstheme="majorBidi"/>
                <w:sz w:val="24"/>
                <w:szCs w:val="24"/>
                <w:lang w:val="ro-RO"/>
              </w:rPr>
              <w:t xml:space="preserve"> </w:t>
            </w:r>
            <w:r w:rsidRPr="00C978DD">
              <w:rPr>
                <w:rFonts w:asciiTheme="majorBidi" w:eastAsia="Times New Roman" w:hAnsiTheme="majorBidi" w:cstheme="majorBidi"/>
                <w:sz w:val="24"/>
                <w:szCs w:val="24"/>
                <w:lang w:val="ro-RO"/>
              </w:rPr>
              <w:t>RSA</w:t>
            </w:r>
            <w:r>
              <w:rPr>
                <w:rFonts w:asciiTheme="majorBidi" w:eastAsia="Times New Roman" w:hAnsiTheme="majorBidi" w:cstheme="majorBidi"/>
                <w:sz w:val="24"/>
                <w:szCs w:val="24"/>
                <w:lang w:val="ro-RO"/>
              </w:rPr>
              <w:t xml:space="preserve">, cu excepțiile </w:t>
            </w:r>
            <w:r w:rsidR="000901F2" w:rsidRPr="000901F2">
              <w:rPr>
                <w:rFonts w:asciiTheme="majorBidi" w:eastAsia="Times New Roman" w:hAnsiTheme="majorBidi" w:cstheme="majorBidi"/>
                <w:sz w:val="24"/>
                <w:szCs w:val="24"/>
                <w:lang w:val="ro-RO"/>
              </w:rPr>
              <w:t>prevăzute de prezentul Regulament</w:t>
            </w:r>
            <w:r w:rsidRPr="00C978DD">
              <w:rPr>
                <w:rFonts w:asciiTheme="majorBidi" w:eastAsia="Times New Roman" w:hAnsiTheme="majorBidi" w:cstheme="majorBidi"/>
                <w:sz w:val="24"/>
                <w:szCs w:val="24"/>
                <w:lang w:val="ro-RO"/>
              </w:rPr>
              <w:t>;</w:t>
            </w:r>
          </w:p>
        </w:tc>
      </w:tr>
      <w:tr w:rsidR="000901F2" w:rsidRPr="00C978DD" w14:paraId="5F5DE804"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22E05" w14:textId="2BE0D392" w:rsidR="000901F2" w:rsidRPr="00A53EAA" w:rsidRDefault="00A53EAA" w:rsidP="00AE1AB2">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A53EAA">
              <w:rPr>
                <w:rFonts w:ascii="Times New Roman" w:hAnsi="Times New Roman"/>
                <w:b/>
                <w:bCs/>
                <w:sz w:val="24"/>
                <w:szCs w:val="24"/>
                <w:lang w:val="ro-RO"/>
              </w:rPr>
              <w:t>61.</w:t>
            </w:r>
            <w:r w:rsidRPr="00A53EAA">
              <w:rPr>
                <w:rFonts w:ascii="Times New Roman" w:hAnsi="Times New Roman"/>
                <w:sz w:val="24"/>
                <w:szCs w:val="24"/>
                <w:lang w:val="ro-RO"/>
              </w:rPr>
              <w:t> </w:t>
            </w:r>
            <w:r w:rsidRPr="00EA45CC">
              <w:rPr>
                <w:rFonts w:ascii="Times New Roman" w:hAnsi="Times New Roman"/>
                <w:b/>
                <w:bCs/>
                <w:sz w:val="24"/>
                <w:szCs w:val="24"/>
                <w:lang w:val="ro-RO"/>
              </w:rPr>
              <w:t>Datele/informațiile/documentele</w:t>
            </w:r>
            <w:r w:rsidRPr="00A53EAA">
              <w:rPr>
                <w:rFonts w:ascii="Times New Roman" w:hAnsi="Times New Roman"/>
                <w:sz w:val="24"/>
                <w:szCs w:val="24"/>
                <w:lang w:val="ro-RO"/>
              </w:rPr>
              <w:t xml:space="preserve"> introduse în Registru sunt stocate și păstrate în acesta până la invalidarea lor, după care datele/informațiile/documentele privind armele, posesorii acestora, actele permisive ce atestă dreptul acestora de deținere și, după caz, de port și folosire a armelor, precum și documentele care au servit ca temei pentru eliberarea actelor permisive sunt transferate, </w:t>
            </w:r>
            <w:r w:rsidRPr="00EA45CC">
              <w:rPr>
                <w:rFonts w:ascii="Times New Roman" w:hAnsi="Times New Roman"/>
                <w:b/>
                <w:bCs/>
                <w:sz w:val="24"/>
                <w:szCs w:val="24"/>
                <w:lang w:val="ro-RO"/>
              </w:rPr>
              <w:t>stocate și păstrate pe termen nelimitat în arhiva Registrului.</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7C3415" w14:textId="3B253B39" w:rsidR="000901F2" w:rsidRPr="00177035" w:rsidRDefault="00A53EAA" w:rsidP="0089672D">
            <w:pPr>
              <w:pBdr>
                <w:top w:val="none" w:sz="4" w:space="0" w:color="000000"/>
                <w:left w:val="none" w:sz="4" w:space="0" w:color="000000"/>
                <w:bottom w:val="none" w:sz="4" w:space="0" w:color="000000"/>
                <w:right w:val="none" w:sz="4" w:space="0" w:color="000000"/>
              </w:pBdr>
              <w:tabs>
                <w:tab w:val="left" w:pos="458"/>
              </w:tabs>
              <w:ind w:firstLine="183"/>
              <w:rPr>
                <w:sz w:val="24"/>
                <w:szCs w:val="24"/>
                <w:lang w:val="ro-RO"/>
              </w:rPr>
            </w:pPr>
            <w:r>
              <w:rPr>
                <w:sz w:val="24"/>
                <w:szCs w:val="24"/>
                <w:lang w:val="ro-RO"/>
              </w:rPr>
              <w:t>-</w:t>
            </w: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E6E14C" w14:textId="100DD918" w:rsidR="000901F2" w:rsidRPr="00C978DD" w:rsidRDefault="00A53EAA" w:rsidP="00C978DD">
            <w:pPr>
              <w:ind w:firstLine="567"/>
              <w:rPr>
                <w:rFonts w:asciiTheme="majorBidi" w:hAnsiTheme="majorBidi" w:cstheme="majorBidi"/>
                <w:b/>
                <w:bCs/>
                <w:sz w:val="24"/>
                <w:szCs w:val="24"/>
                <w:lang w:val="ro-RO"/>
              </w:rPr>
            </w:pPr>
            <w:r>
              <w:rPr>
                <w:rFonts w:asciiTheme="majorBidi" w:hAnsiTheme="majorBidi" w:cstheme="majorBidi"/>
                <w:b/>
                <w:bCs/>
                <w:sz w:val="24"/>
                <w:szCs w:val="24"/>
                <w:lang w:val="ro-RO"/>
              </w:rPr>
              <w:t xml:space="preserve">- </w:t>
            </w:r>
          </w:p>
        </w:tc>
      </w:tr>
      <w:tr w:rsidR="00316697" w:rsidRPr="00AE1AB2" w14:paraId="2EC939B9"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BCC2FE" w14:textId="20154362" w:rsidR="000901F2" w:rsidRPr="000901F2" w:rsidRDefault="000901F2" w:rsidP="000901F2">
            <w:pPr>
              <w:pStyle w:val="Listparagraf"/>
              <w:numPr>
                <w:ilvl w:val="0"/>
                <w:numId w:val="48"/>
              </w:numPr>
              <w:pBdr>
                <w:top w:val="none" w:sz="4" w:space="0" w:color="000000"/>
                <w:left w:val="none" w:sz="4" w:space="0" w:color="000000"/>
                <w:bottom w:val="none" w:sz="4" w:space="0" w:color="000000"/>
                <w:right w:val="none" w:sz="4" w:space="0" w:color="000000"/>
              </w:pBdr>
              <w:rPr>
                <w:sz w:val="24"/>
                <w:szCs w:val="24"/>
                <w:lang w:val="ro-RO"/>
              </w:rPr>
            </w:pPr>
          </w:p>
          <w:p w14:paraId="5DBE2F2A" w14:textId="701527DE" w:rsidR="00316697" w:rsidRPr="00177035" w:rsidRDefault="00316697" w:rsidP="00AE1AB2">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A16018" w14:textId="2C9722D1" w:rsidR="005A3014" w:rsidRDefault="005A3014" w:rsidP="005A3014">
            <w:pPr>
              <w:pBdr>
                <w:top w:val="none" w:sz="4" w:space="0" w:color="000000"/>
                <w:left w:val="none" w:sz="4" w:space="0" w:color="000000"/>
                <w:bottom w:val="none" w:sz="4" w:space="0" w:color="000000"/>
                <w:right w:val="none" w:sz="4" w:space="0" w:color="000000"/>
              </w:pBdr>
              <w:tabs>
                <w:tab w:val="left" w:pos="458"/>
              </w:tabs>
              <w:ind w:firstLine="0"/>
              <w:rPr>
                <w:rFonts w:ascii="Times New Roman" w:hAnsi="Times New Roman"/>
                <w:sz w:val="24"/>
                <w:szCs w:val="24"/>
                <w:lang w:val="ro-RO"/>
              </w:rPr>
            </w:pPr>
            <w:r w:rsidRPr="005A3014">
              <w:rPr>
                <w:rFonts w:ascii="Times New Roman" w:hAnsi="Times New Roman"/>
                <w:sz w:val="24"/>
                <w:szCs w:val="24"/>
                <w:lang w:val="ro-RO"/>
              </w:rPr>
              <w:t>S</w:t>
            </w:r>
            <w:r w:rsidR="000901F2" w:rsidRPr="005A3014">
              <w:rPr>
                <w:rFonts w:ascii="Times New Roman" w:hAnsi="Times New Roman"/>
                <w:sz w:val="24"/>
                <w:szCs w:val="24"/>
                <w:lang w:val="ro-RO"/>
              </w:rPr>
              <w:t>e completează cu punctul 61¹</w:t>
            </w:r>
            <w:r>
              <w:rPr>
                <w:rFonts w:ascii="Times New Roman" w:hAnsi="Times New Roman"/>
                <w:sz w:val="24"/>
                <w:szCs w:val="24"/>
                <w:lang w:val="ro-RO"/>
              </w:rPr>
              <w:t>:</w:t>
            </w:r>
            <w:r w:rsidR="000901F2" w:rsidRPr="005A3014">
              <w:rPr>
                <w:rFonts w:ascii="Times New Roman" w:hAnsi="Times New Roman"/>
                <w:sz w:val="24"/>
                <w:szCs w:val="24"/>
                <w:lang w:val="ro-RO"/>
              </w:rPr>
              <w:t xml:space="preserve"> </w:t>
            </w:r>
          </w:p>
          <w:p w14:paraId="642437F2" w14:textId="76D44196" w:rsidR="00316697" w:rsidRPr="000901F2" w:rsidRDefault="000901F2" w:rsidP="005A3014">
            <w:pPr>
              <w:pBdr>
                <w:top w:val="none" w:sz="4" w:space="0" w:color="000000"/>
                <w:left w:val="none" w:sz="4" w:space="0" w:color="000000"/>
                <w:bottom w:val="none" w:sz="4" w:space="0" w:color="000000"/>
                <w:right w:val="none" w:sz="4" w:space="0" w:color="000000"/>
              </w:pBdr>
              <w:tabs>
                <w:tab w:val="left" w:pos="458"/>
              </w:tabs>
              <w:ind w:firstLine="0"/>
              <w:rPr>
                <w:rFonts w:ascii="Times New Roman" w:hAnsi="Times New Roman"/>
                <w:sz w:val="24"/>
                <w:szCs w:val="24"/>
                <w:lang w:val="ro-RO"/>
              </w:rPr>
            </w:pPr>
            <w:r w:rsidRPr="000901F2">
              <w:rPr>
                <w:rFonts w:ascii="Times New Roman" w:hAnsi="Times New Roman"/>
                <w:sz w:val="24"/>
                <w:szCs w:val="24"/>
                <w:lang w:val="ro-RO"/>
              </w:rPr>
              <w:t xml:space="preserve">61¹. Cu titlu de excepție de la prevederile punctului 61, </w:t>
            </w:r>
            <w:bookmarkStart w:id="1" w:name="_Hlk191991482"/>
            <w:r w:rsidRPr="000901F2">
              <w:rPr>
                <w:rFonts w:ascii="Times New Roman" w:hAnsi="Times New Roman"/>
                <w:sz w:val="24"/>
                <w:szCs w:val="24"/>
                <w:lang w:val="ro-RO"/>
              </w:rPr>
              <w:t>dosarele privind armele de foc și componentele esenţiale, inclusiv datele cu caracter personal aferente</w:t>
            </w:r>
            <w:bookmarkEnd w:id="1"/>
            <w:r w:rsidRPr="000901F2">
              <w:rPr>
                <w:rFonts w:ascii="Times New Roman" w:hAnsi="Times New Roman"/>
                <w:sz w:val="24"/>
                <w:szCs w:val="24"/>
                <w:lang w:val="ro-RO"/>
              </w:rPr>
              <w:t xml:space="preserve">, sunt șterse definitiv din Registru </w:t>
            </w:r>
            <w:bookmarkStart w:id="2" w:name="_Hlk191991299"/>
            <w:r w:rsidRPr="000901F2">
              <w:rPr>
                <w:rFonts w:ascii="Times New Roman" w:hAnsi="Times New Roman"/>
                <w:sz w:val="24"/>
                <w:szCs w:val="24"/>
                <w:lang w:val="ro-RO"/>
              </w:rPr>
              <w:t>la expirarea perioadei de 30 de ani după distrugerea armelor de foc sau a componentelor esenţiale în cauză</w:t>
            </w:r>
            <w:bookmarkEnd w:id="2"/>
            <w:r w:rsidRPr="000901F2">
              <w:rPr>
                <w:rFonts w:ascii="Times New Roman" w:hAnsi="Times New Roman"/>
                <w:sz w:val="24"/>
                <w:szCs w:val="24"/>
                <w:lang w:val="ro-RO"/>
              </w:rPr>
              <w:t>. Ștergerea definitivă a dosarelor este asigurată de serviciul abilitat al Ministerului Afacerilor Interne.”</w:t>
            </w: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CADCC5" w14:textId="1260BC9E" w:rsidR="000901F2" w:rsidRPr="000901F2" w:rsidRDefault="000901F2" w:rsidP="000901F2">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0901F2">
              <w:rPr>
                <w:rFonts w:ascii="Times New Roman" w:hAnsi="Times New Roman"/>
                <w:sz w:val="24"/>
                <w:szCs w:val="24"/>
                <w:lang w:val="ro-RO"/>
              </w:rPr>
              <w:t>61¹. Cu titlu de excepție de la prevederile punctului 61, dosarele privind armele de foc și componentele esenţiale, inclusiv datele cu caracter personal aferente, sunt șterse definitiv din Registru la expirarea perioadei de 30 de ani după distrugerea armelor de foc sau a componentelor esenţiale în cauză. Ștergerea definitivă a dosarelor este asigurată de serviciul abilitat al Ministerului Afacerilor Interne.</w:t>
            </w:r>
          </w:p>
          <w:p w14:paraId="5C832903" w14:textId="3284584B" w:rsidR="00316697" w:rsidRPr="000901F2" w:rsidRDefault="00316697" w:rsidP="00AE1AB2">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
        </w:tc>
      </w:tr>
      <w:tr w:rsidR="00AE1AB2" w:rsidRPr="00100C77" w14:paraId="0440F693"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8D8809" w14:textId="77777777" w:rsidR="00100C77" w:rsidRDefault="00100C77" w:rsidP="00B7514E">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rPr>
            </w:pPr>
            <w:r>
              <w:rPr>
                <w:rFonts w:ascii="Times New Roman" w:hAnsi="Times New Roman"/>
                <w:sz w:val="24"/>
                <w:szCs w:val="24"/>
              </w:rPr>
              <w:lastRenderedPageBreak/>
              <w:t>Pct. 62.</w:t>
            </w:r>
          </w:p>
          <w:p w14:paraId="3FEE031E" w14:textId="40A87BA4" w:rsidR="00AE1AB2" w:rsidRPr="00B7514E" w:rsidRDefault="00100C77" w:rsidP="00B7514E">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roofErr w:type="spellStart"/>
            <w:r w:rsidRPr="00100C77">
              <w:rPr>
                <w:rFonts w:ascii="Times New Roman" w:hAnsi="Times New Roman"/>
                <w:sz w:val="24"/>
                <w:szCs w:val="24"/>
              </w:rPr>
              <w:t>În</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cazul</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modificării</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datelor</w:t>
            </w:r>
            <w:proofErr w:type="spellEnd"/>
            <w:r w:rsidRPr="00100C77">
              <w:rPr>
                <w:rFonts w:ascii="Times New Roman" w:hAnsi="Times New Roman"/>
                <w:sz w:val="24"/>
                <w:szCs w:val="24"/>
              </w:rPr>
              <w:t>/</w:t>
            </w:r>
            <w:proofErr w:type="spellStart"/>
            <w:r w:rsidRPr="00100C77">
              <w:rPr>
                <w:rFonts w:ascii="Times New Roman" w:hAnsi="Times New Roman"/>
                <w:sz w:val="24"/>
                <w:szCs w:val="24"/>
              </w:rPr>
              <w:t>informațiilor</w:t>
            </w:r>
            <w:proofErr w:type="spellEnd"/>
            <w:r w:rsidRPr="00100C77">
              <w:rPr>
                <w:rFonts w:ascii="Times New Roman" w:hAnsi="Times New Roman"/>
                <w:sz w:val="24"/>
                <w:szCs w:val="24"/>
              </w:rPr>
              <w:t xml:space="preserve"> din SIA RSA, </w:t>
            </w:r>
            <w:proofErr w:type="spellStart"/>
            <w:r w:rsidRPr="00100C77">
              <w:rPr>
                <w:rFonts w:ascii="Times New Roman" w:hAnsi="Times New Roman"/>
                <w:sz w:val="24"/>
                <w:szCs w:val="24"/>
              </w:rPr>
              <w:t>versiunea</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inițială</w:t>
            </w:r>
            <w:proofErr w:type="spellEnd"/>
            <w:r w:rsidRPr="00100C77">
              <w:rPr>
                <w:rFonts w:ascii="Times New Roman" w:hAnsi="Times New Roman"/>
                <w:sz w:val="24"/>
                <w:szCs w:val="24"/>
              </w:rPr>
              <w:t xml:space="preserve"> </w:t>
            </w:r>
            <w:proofErr w:type="gramStart"/>
            <w:r w:rsidRPr="00100C77">
              <w:rPr>
                <w:rFonts w:ascii="Times New Roman" w:hAnsi="Times New Roman"/>
                <w:sz w:val="24"/>
                <w:szCs w:val="24"/>
              </w:rPr>
              <w:t>a</w:t>
            </w:r>
            <w:proofErr w:type="gramEnd"/>
            <w:r w:rsidRPr="00100C77">
              <w:rPr>
                <w:rFonts w:ascii="Times New Roman" w:hAnsi="Times New Roman"/>
                <w:sz w:val="24"/>
                <w:szCs w:val="24"/>
              </w:rPr>
              <w:t xml:space="preserve"> </w:t>
            </w:r>
            <w:proofErr w:type="spellStart"/>
            <w:r w:rsidRPr="00100C77">
              <w:rPr>
                <w:rFonts w:ascii="Times New Roman" w:hAnsi="Times New Roman"/>
                <w:sz w:val="24"/>
                <w:szCs w:val="24"/>
              </w:rPr>
              <w:t>acestora</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este</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transferată</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stocată</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și</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păstrată</w:t>
            </w:r>
            <w:proofErr w:type="spellEnd"/>
            <w:r w:rsidRPr="00100C77">
              <w:rPr>
                <w:rFonts w:ascii="Times New Roman" w:hAnsi="Times New Roman"/>
                <w:sz w:val="24"/>
                <w:szCs w:val="24"/>
              </w:rPr>
              <w:t xml:space="preserve"> pe termen </w:t>
            </w:r>
            <w:proofErr w:type="spellStart"/>
            <w:r w:rsidRPr="00100C77">
              <w:rPr>
                <w:rFonts w:ascii="Times New Roman" w:hAnsi="Times New Roman"/>
                <w:sz w:val="24"/>
                <w:szCs w:val="24"/>
              </w:rPr>
              <w:t>nelimitat</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în</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arhiva</w:t>
            </w:r>
            <w:proofErr w:type="spellEnd"/>
            <w:r w:rsidRPr="00100C77">
              <w:rPr>
                <w:rFonts w:ascii="Times New Roman" w:hAnsi="Times New Roman"/>
                <w:sz w:val="24"/>
                <w:szCs w:val="24"/>
              </w:rPr>
              <w:t xml:space="preserve"> </w:t>
            </w:r>
            <w:proofErr w:type="spellStart"/>
            <w:r w:rsidRPr="00100C77">
              <w:rPr>
                <w:rFonts w:ascii="Times New Roman" w:hAnsi="Times New Roman"/>
                <w:sz w:val="24"/>
                <w:szCs w:val="24"/>
              </w:rPr>
              <w:t>Registrului</w:t>
            </w:r>
            <w:proofErr w:type="spellEnd"/>
            <w:r w:rsidRPr="00100C77">
              <w:rPr>
                <w:rFonts w:ascii="Times New Roman" w:hAnsi="Times New Roman"/>
                <w:sz w:val="24"/>
                <w:szCs w:val="24"/>
              </w:rPr>
              <w:t>.</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82B473" w14:textId="77777777" w:rsidR="005A3014" w:rsidRDefault="000A3E68" w:rsidP="005A3014">
            <w:pPr>
              <w:pBdr>
                <w:top w:val="none" w:sz="4" w:space="0" w:color="000000"/>
                <w:left w:val="none" w:sz="4" w:space="0" w:color="000000"/>
                <w:bottom w:val="none" w:sz="4" w:space="0" w:color="000000"/>
                <w:right w:val="none" w:sz="4" w:space="0" w:color="000000"/>
              </w:pBdr>
              <w:tabs>
                <w:tab w:val="left" w:pos="458"/>
              </w:tabs>
              <w:ind w:left="33" w:firstLine="0"/>
              <w:rPr>
                <w:rFonts w:ascii="Times New Roman" w:hAnsi="Times New Roman"/>
                <w:sz w:val="24"/>
                <w:szCs w:val="24"/>
                <w:lang w:val="ro-RO"/>
              </w:rPr>
            </w:pPr>
            <w:r w:rsidRPr="000A3E68">
              <w:rPr>
                <w:rFonts w:ascii="Times New Roman" w:hAnsi="Times New Roman"/>
                <w:sz w:val="24"/>
                <w:szCs w:val="24"/>
                <w:lang w:val="ro-RO"/>
              </w:rPr>
              <w:t xml:space="preserve">Punctul 62 se completează cu textul </w:t>
            </w:r>
          </w:p>
          <w:p w14:paraId="48520DB0" w14:textId="66989B17" w:rsidR="000A3E68" w:rsidRPr="000A3E68" w:rsidRDefault="000A3E68" w:rsidP="005A3014">
            <w:pPr>
              <w:pBdr>
                <w:top w:val="none" w:sz="4" w:space="0" w:color="000000"/>
                <w:left w:val="none" w:sz="4" w:space="0" w:color="000000"/>
                <w:bottom w:val="none" w:sz="4" w:space="0" w:color="000000"/>
                <w:right w:val="none" w:sz="4" w:space="0" w:color="000000"/>
              </w:pBdr>
              <w:tabs>
                <w:tab w:val="left" w:pos="458"/>
              </w:tabs>
              <w:ind w:left="33" w:firstLine="0"/>
              <w:rPr>
                <w:rFonts w:ascii="Times New Roman" w:hAnsi="Times New Roman"/>
                <w:sz w:val="24"/>
                <w:szCs w:val="24"/>
                <w:lang w:val="ro-RO"/>
              </w:rPr>
            </w:pPr>
            <w:r w:rsidRPr="000A3E68">
              <w:rPr>
                <w:rFonts w:ascii="Times New Roman" w:hAnsi="Times New Roman"/>
                <w:sz w:val="24"/>
                <w:szCs w:val="24"/>
                <w:lang w:val="ro-RO"/>
              </w:rPr>
              <w:t>„ , cu excepțiile prevăzute la punctul 61¹”;</w:t>
            </w:r>
          </w:p>
          <w:p w14:paraId="28FA5BA9" w14:textId="22CD8BFD" w:rsidR="00AE1AB2" w:rsidRPr="00100C77" w:rsidRDefault="00AE1AB2" w:rsidP="00100C77">
            <w:pPr>
              <w:pBdr>
                <w:top w:val="none" w:sz="4" w:space="0" w:color="000000"/>
                <w:left w:val="none" w:sz="4" w:space="0" w:color="000000"/>
                <w:bottom w:val="none" w:sz="4" w:space="0" w:color="000000"/>
                <w:right w:val="none" w:sz="4" w:space="0" w:color="000000"/>
              </w:pBdr>
              <w:tabs>
                <w:tab w:val="left" w:pos="458"/>
              </w:tabs>
              <w:ind w:firstLine="33"/>
              <w:rPr>
                <w:rFonts w:ascii="Times New Roman" w:hAnsi="Times New Roman"/>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D3C1E1" w14:textId="77777777" w:rsidR="00100C77" w:rsidRPr="00100C77" w:rsidRDefault="00100C77" w:rsidP="00100C77">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00C77">
              <w:rPr>
                <w:rFonts w:ascii="Times New Roman" w:hAnsi="Times New Roman"/>
                <w:sz w:val="24"/>
                <w:szCs w:val="24"/>
                <w:lang w:val="ro-RO"/>
              </w:rPr>
              <w:t>Pct. 62.</w:t>
            </w:r>
          </w:p>
          <w:p w14:paraId="279B19FE" w14:textId="116FE94C" w:rsidR="00AE1AB2" w:rsidRPr="00100C77" w:rsidRDefault="00100C77" w:rsidP="00100C77">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00C77">
              <w:rPr>
                <w:rFonts w:ascii="Times New Roman" w:hAnsi="Times New Roman"/>
                <w:sz w:val="24"/>
                <w:szCs w:val="24"/>
                <w:lang w:val="ro-RO"/>
              </w:rPr>
              <w:t>În cazul modificării datelor/informațiilor din SIA RSA, versiunea inițială a acestora este transferată, stocată și păstrată pe termen nelimitat în arhiva Registrului</w:t>
            </w:r>
            <w:r w:rsidRPr="00100C77">
              <w:rPr>
                <w:rFonts w:ascii="Times New Roman" w:hAnsi="Times New Roman"/>
                <w:sz w:val="24"/>
                <w:szCs w:val="24"/>
                <w:lang w:val="ro-RO"/>
              </w:rPr>
              <w:t xml:space="preserve">, </w:t>
            </w:r>
            <w:r w:rsidRPr="000A3E68">
              <w:rPr>
                <w:rFonts w:ascii="Times New Roman" w:hAnsi="Times New Roman"/>
                <w:sz w:val="24"/>
                <w:szCs w:val="24"/>
                <w:lang w:val="ro-RO"/>
              </w:rPr>
              <w:t>cu excepțiile prevăzute la punctul 61¹</w:t>
            </w:r>
            <w:r w:rsidRPr="00100C77">
              <w:rPr>
                <w:rFonts w:ascii="Times New Roman" w:hAnsi="Times New Roman"/>
                <w:sz w:val="24"/>
                <w:szCs w:val="24"/>
                <w:lang w:val="ro-RO"/>
              </w:rPr>
              <w:t>.</w:t>
            </w:r>
          </w:p>
        </w:tc>
      </w:tr>
      <w:tr w:rsidR="0089672D" w:rsidRPr="00100C77" w14:paraId="1B8A7E59"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1DD94" w14:textId="77777777" w:rsidR="00100C77" w:rsidRDefault="00100C77"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de-AT"/>
              </w:rPr>
            </w:pPr>
            <w:proofErr w:type="spellStart"/>
            <w:r>
              <w:rPr>
                <w:rFonts w:ascii="Times New Roman" w:hAnsi="Times New Roman"/>
                <w:sz w:val="24"/>
                <w:szCs w:val="24"/>
                <w:lang w:val="de-AT"/>
              </w:rPr>
              <w:t>Pct</w:t>
            </w:r>
            <w:proofErr w:type="spellEnd"/>
            <w:r>
              <w:rPr>
                <w:rFonts w:ascii="Times New Roman" w:hAnsi="Times New Roman"/>
                <w:sz w:val="24"/>
                <w:szCs w:val="24"/>
                <w:lang w:val="de-AT"/>
              </w:rPr>
              <w:t xml:space="preserve">. 64. </w:t>
            </w:r>
          </w:p>
          <w:p w14:paraId="74812FB8" w14:textId="11868DFD" w:rsidR="0089672D" w:rsidRPr="00100C77" w:rsidRDefault="00100C77"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de-AT"/>
              </w:rPr>
            </w:pPr>
            <w:proofErr w:type="spellStart"/>
            <w:r>
              <w:rPr>
                <w:rFonts w:ascii="Times New Roman" w:hAnsi="Times New Roman"/>
                <w:sz w:val="24"/>
                <w:szCs w:val="24"/>
                <w:lang w:val="de-AT"/>
              </w:rPr>
              <w:t>Ș</w:t>
            </w:r>
            <w:r w:rsidRPr="00100C77">
              <w:rPr>
                <w:rFonts w:ascii="Times New Roman" w:hAnsi="Times New Roman"/>
                <w:sz w:val="24"/>
                <w:szCs w:val="24"/>
                <w:lang w:val="de-AT"/>
              </w:rPr>
              <w:t>tergerea</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datelor</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și</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informațiilor</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din</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Registru</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este</w:t>
            </w:r>
            <w:proofErr w:type="spellEnd"/>
            <w:r w:rsidRPr="00100C77">
              <w:rPr>
                <w:rFonts w:ascii="Times New Roman" w:hAnsi="Times New Roman"/>
                <w:sz w:val="24"/>
                <w:szCs w:val="24"/>
                <w:lang w:val="de-AT"/>
              </w:rPr>
              <w:t xml:space="preserve"> </w:t>
            </w:r>
            <w:proofErr w:type="spellStart"/>
            <w:r w:rsidRPr="00100C77">
              <w:rPr>
                <w:rFonts w:ascii="Times New Roman" w:hAnsi="Times New Roman"/>
                <w:sz w:val="24"/>
                <w:szCs w:val="24"/>
                <w:lang w:val="de-AT"/>
              </w:rPr>
              <w:t>interzisă</w:t>
            </w:r>
            <w:proofErr w:type="spellEnd"/>
            <w:r w:rsidRPr="00100C77">
              <w:rPr>
                <w:rFonts w:ascii="Times New Roman" w:hAnsi="Times New Roman"/>
                <w:sz w:val="24"/>
                <w:szCs w:val="24"/>
                <w:lang w:val="de-AT"/>
              </w:rPr>
              <w:t>.</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F3B64A" w14:textId="77777777" w:rsidR="005A3014" w:rsidRDefault="000A3E68" w:rsidP="005A3014">
            <w:pPr>
              <w:pBdr>
                <w:top w:val="none" w:sz="4" w:space="0" w:color="000000"/>
                <w:left w:val="none" w:sz="4" w:space="0" w:color="000000"/>
                <w:bottom w:val="none" w:sz="4" w:space="0" w:color="000000"/>
                <w:right w:val="none" w:sz="4" w:space="0" w:color="000000"/>
              </w:pBdr>
              <w:tabs>
                <w:tab w:val="left" w:pos="316"/>
              </w:tabs>
              <w:ind w:left="33" w:firstLine="0"/>
              <w:rPr>
                <w:rFonts w:ascii="Times New Roman" w:hAnsi="Times New Roman"/>
                <w:sz w:val="24"/>
                <w:szCs w:val="24"/>
                <w:lang w:val="ro-RO"/>
              </w:rPr>
            </w:pPr>
            <w:r w:rsidRPr="000A3E68">
              <w:rPr>
                <w:rFonts w:ascii="Times New Roman" w:hAnsi="Times New Roman"/>
                <w:sz w:val="24"/>
                <w:szCs w:val="24"/>
                <w:lang w:val="ro-RO"/>
              </w:rPr>
              <w:t xml:space="preserve">Punctul 64 se completează cu textul </w:t>
            </w:r>
          </w:p>
          <w:p w14:paraId="19A09000" w14:textId="3C515341" w:rsidR="000A3E68" w:rsidRPr="000A3E68" w:rsidRDefault="000A3E68" w:rsidP="005A3014">
            <w:pPr>
              <w:pBdr>
                <w:top w:val="none" w:sz="4" w:space="0" w:color="000000"/>
                <w:left w:val="none" w:sz="4" w:space="0" w:color="000000"/>
                <w:bottom w:val="none" w:sz="4" w:space="0" w:color="000000"/>
                <w:right w:val="none" w:sz="4" w:space="0" w:color="000000"/>
              </w:pBdr>
              <w:tabs>
                <w:tab w:val="left" w:pos="316"/>
              </w:tabs>
              <w:ind w:left="33" w:firstLine="0"/>
              <w:rPr>
                <w:rFonts w:ascii="Times New Roman" w:hAnsi="Times New Roman"/>
                <w:sz w:val="24"/>
                <w:szCs w:val="24"/>
                <w:lang w:val="ro-RO"/>
              </w:rPr>
            </w:pPr>
            <w:r w:rsidRPr="000A3E68">
              <w:rPr>
                <w:rFonts w:ascii="Times New Roman" w:hAnsi="Times New Roman"/>
                <w:sz w:val="24"/>
                <w:szCs w:val="24"/>
                <w:lang w:val="ro-RO"/>
              </w:rPr>
              <w:t>„ , cu excepțiile prevăzute la punctul 61¹”;</w:t>
            </w:r>
          </w:p>
          <w:p w14:paraId="1B10915E" w14:textId="77777777" w:rsidR="0089672D" w:rsidRPr="00100C77" w:rsidRDefault="0089672D" w:rsidP="00100C77">
            <w:pPr>
              <w:pBdr>
                <w:top w:val="none" w:sz="4" w:space="0" w:color="000000"/>
                <w:left w:val="none" w:sz="4" w:space="0" w:color="000000"/>
                <w:bottom w:val="none" w:sz="4" w:space="0" w:color="000000"/>
                <w:right w:val="none" w:sz="4" w:space="0" w:color="000000"/>
              </w:pBdr>
              <w:ind w:firstLine="33"/>
              <w:rPr>
                <w:rFonts w:ascii="Times New Roman" w:hAnsi="Times New Roman"/>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BD0FD8" w14:textId="77777777" w:rsidR="00100C77" w:rsidRPr="00100C77" w:rsidRDefault="00100C77" w:rsidP="00100C77">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00C77">
              <w:rPr>
                <w:rFonts w:ascii="Times New Roman" w:hAnsi="Times New Roman"/>
                <w:sz w:val="24"/>
                <w:szCs w:val="24"/>
                <w:lang w:val="ro-RO"/>
              </w:rPr>
              <w:t xml:space="preserve">Pct. 64. </w:t>
            </w:r>
          </w:p>
          <w:p w14:paraId="65A58FCC" w14:textId="2F2E51DF" w:rsidR="0089672D" w:rsidRPr="00100C77" w:rsidRDefault="00100C77" w:rsidP="00100C77">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00C77">
              <w:rPr>
                <w:rFonts w:ascii="Times New Roman" w:hAnsi="Times New Roman"/>
                <w:sz w:val="24"/>
                <w:szCs w:val="24"/>
                <w:lang w:val="ro-RO"/>
              </w:rPr>
              <w:t>Ștergerea datelor și informațiilor din Registru este interzisă</w:t>
            </w:r>
            <w:r w:rsidRPr="00100C77">
              <w:rPr>
                <w:rFonts w:ascii="Times New Roman" w:hAnsi="Times New Roman"/>
                <w:sz w:val="24"/>
                <w:szCs w:val="24"/>
                <w:lang w:val="ro-RO"/>
              </w:rPr>
              <w:t>,</w:t>
            </w:r>
            <w:r w:rsidRPr="000A3E68">
              <w:rPr>
                <w:rFonts w:ascii="Times New Roman" w:hAnsi="Times New Roman"/>
                <w:sz w:val="24"/>
                <w:szCs w:val="24"/>
                <w:lang w:val="ro-RO"/>
              </w:rPr>
              <w:t xml:space="preserve"> cu excepțiile prevăzute la punctul 61¹</w:t>
            </w:r>
            <w:r w:rsidRPr="00100C77">
              <w:rPr>
                <w:rFonts w:ascii="Times New Roman" w:hAnsi="Times New Roman"/>
                <w:sz w:val="24"/>
                <w:szCs w:val="24"/>
                <w:lang w:val="ro-RO"/>
              </w:rPr>
              <w:t>.</w:t>
            </w:r>
          </w:p>
        </w:tc>
      </w:tr>
      <w:tr w:rsidR="00EA45CC" w:rsidRPr="008431E0" w14:paraId="796DE739"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ECED08" w14:textId="751B7E01" w:rsidR="00EA45CC" w:rsidRPr="00EA45CC" w:rsidRDefault="00EA45CC" w:rsidP="00EA45CC">
            <w:pPr>
              <w:pStyle w:val="Listparagraf"/>
              <w:numPr>
                <w:ilvl w:val="0"/>
                <w:numId w:val="48"/>
              </w:numPr>
              <w:pBdr>
                <w:top w:val="none" w:sz="4" w:space="0" w:color="000000"/>
                <w:left w:val="none" w:sz="4" w:space="0" w:color="000000"/>
                <w:bottom w:val="none" w:sz="4" w:space="0" w:color="000000"/>
                <w:right w:val="none" w:sz="4" w:space="0" w:color="000000"/>
              </w:pBdr>
              <w:rPr>
                <w:sz w:val="24"/>
                <w:szCs w:val="24"/>
                <w:lang w:val="ro-RO"/>
              </w:rPr>
            </w:pP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FE2378" w14:textId="750025F3" w:rsidR="00EA45CC" w:rsidRPr="00EA45CC" w:rsidRDefault="006856E1"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Pr>
                <w:rFonts w:ascii="Times New Roman" w:hAnsi="Times New Roman"/>
                <w:sz w:val="24"/>
                <w:szCs w:val="24"/>
                <w:lang w:val="ro-RO"/>
              </w:rPr>
              <w:t>S</w:t>
            </w:r>
            <w:r w:rsidR="00EA45CC" w:rsidRPr="00EA45CC">
              <w:rPr>
                <w:rFonts w:ascii="Times New Roman" w:hAnsi="Times New Roman"/>
                <w:sz w:val="24"/>
                <w:szCs w:val="24"/>
                <w:lang w:val="ro-RO"/>
              </w:rPr>
              <w:t>e completează cu punct</w:t>
            </w:r>
            <w:r>
              <w:rPr>
                <w:rFonts w:ascii="Times New Roman" w:hAnsi="Times New Roman"/>
                <w:sz w:val="24"/>
                <w:szCs w:val="24"/>
                <w:lang w:val="ro-RO"/>
              </w:rPr>
              <w:t>ul</w:t>
            </w:r>
            <w:r w:rsidR="00EA45CC" w:rsidRPr="00EA45CC">
              <w:rPr>
                <w:rFonts w:ascii="Times New Roman" w:hAnsi="Times New Roman"/>
                <w:sz w:val="24"/>
                <w:szCs w:val="24"/>
                <w:lang w:val="ro-RO"/>
              </w:rPr>
              <w:t xml:space="preserve"> 65¹</w:t>
            </w:r>
            <w:r>
              <w:rPr>
                <w:rFonts w:ascii="Times New Roman" w:hAnsi="Times New Roman"/>
                <w:sz w:val="24"/>
                <w:szCs w:val="24"/>
                <w:lang w:val="ro-RO"/>
              </w:rPr>
              <w:t>:</w:t>
            </w:r>
          </w:p>
          <w:p w14:paraId="1FA39055" w14:textId="77777777" w:rsidR="00EA45CC" w:rsidRPr="00EA45CC"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„65¹. Vizualizarea dosarelor armelor de foc și componentelor esenţiale, inclusiv a datelor cu caracter personal aferente, la care se face referire în punctul 61¹, poate fi efectuată și de către Serviciul Vamal, pentru o perioadă de 10 ani după distrugerea armei de foc sau a componentelor esenţiale în cauză.</w:t>
            </w:r>
          </w:p>
          <w:p w14:paraId="5C4E1EA0" w14:textId="18B80AE8" w:rsidR="00EA45CC" w:rsidRPr="008431E0"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59D2AA" w14:textId="77777777" w:rsidR="00EA45CC" w:rsidRPr="00EA45CC"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 xml:space="preserve">După pct. 65, se completează cu punctele 65¹), </w:t>
            </w:r>
            <w:r w:rsidRPr="00EA45CC">
              <w:rPr>
                <w:rFonts w:ascii="Times New Roman" w:hAnsi="Times New Roman"/>
                <w:sz w:val="24"/>
                <w:szCs w:val="24"/>
                <w:lang w:val="ro-MD"/>
              </w:rPr>
              <w:t>65</w:t>
            </w:r>
            <w:r w:rsidRPr="00EA45CC">
              <w:rPr>
                <w:rFonts w:ascii="Times New Roman" w:hAnsi="Times New Roman"/>
                <w:sz w:val="24"/>
                <w:szCs w:val="24"/>
                <w:vertAlign w:val="superscript"/>
                <w:lang w:val="ro-MD"/>
              </w:rPr>
              <w:t>2</w:t>
            </w:r>
            <w:r w:rsidRPr="00EA45CC">
              <w:rPr>
                <w:rFonts w:ascii="Times New Roman" w:hAnsi="Times New Roman"/>
                <w:sz w:val="24"/>
                <w:szCs w:val="24"/>
                <w:lang w:val="ro-MD"/>
              </w:rPr>
              <w:t>) și 65</w:t>
            </w:r>
            <w:r w:rsidRPr="00EA45CC">
              <w:rPr>
                <w:rFonts w:ascii="Times New Roman" w:hAnsi="Times New Roman"/>
                <w:sz w:val="24"/>
                <w:szCs w:val="24"/>
                <w:vertAlign w:val="superscript"/>
                <w:lang w:val="ro-MD"/>
              </w:rPr>
              <w:t>3</w:t>
            </w:r>
            <w:r w:rsidRPr="00EA45CC">
              <w:rPr>
                <w:rFonts w:ascii="Times New Roman" w:hAnsi="Times New Roman"/>
                <w:sz w:val="24"/>
                <w:szCs w:val="24"/>
                <w:lang w:val="ro-MD"/>
              </w:rPr>
              <w:t>),</w:t>
            </w:r>
            <w:r w:rsidRPr="00EA45CC">
              <w:rPr>
                <w:rFonts w:ascii="Times New Roman" w:hAnsi="Times New Roman"/>
                <w:sz w:val="24"/>
                <w:szCs w:val="24"/>
                <w:lang w:val="ro-RO"/>
              </w:rPr>
              <w:t xml:space="preserve"> cu următorul conținut:</w:t>
            </w:r>
          </w:p>
          <w:p w14:paraId="64F3BDD0" w14:textId="77777777" w:rsidR="00EA45CC" w:rsidRPr="00EA45CC"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„65¹. Vizualizarea dosarelor armelor de foc și componentelor esenţiale, inclusiv a datelor cu caracter personal aferente, la care se face referire în punctul 61¹, poate fi efectuată și de către Serviciul Vamal, pentru o perioadă de 10 ani după distrugerea armei de foc sau a componentelor esenţiale în cauză.</w:t>
            </w:r>
          </w:p>
          <w:p w14:paraId="3BF9CE58" w14:textId="2426FDED" w:rsidR="00EA45CC" w:rsidRPr="008431E0"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
        </w:tc>
      </w:tr>
      <w:tr w:rsidR="00EA45CC" w:rsidRPr="00EA45CC" w14:paraId="169A6013"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6C5A0D" w14:textId="32DBCFF2" w:rsidR="00EA45CC" w:rsidRPr="005A3014" w:rsidRDefault="00EA45CC" w:rsidP="005A3014">
            <w:pPr>
              <w:pStyle w:val="Listparagraf"/>
              <w:numPr>
                <w:ilvl w:val="0"/>
                <w:numId w:val="48"/>
              </w:numPr>
              <w:pBdr>
                <w:top w:val="none" w:sz="4" w:space="0" w:color="000000"/>
                <w:left w:val="none" w:sz="4" w:space="0" w:color="000000"/>
                <w:bottom w:val="none" w:sz="4" w:space="0" w:color="000000"/>
                <w:right w:val="none" w:sz="4" w:space="0" w:color="000000"/>
              </w:pBdr>
              <w:rPr>
                <w:sz w:val="24"/>
                <w:szCs w:val="24"/>
                <w:lang w:val="ro-RO"/>
              </w:rPr>
            </w:pP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BCD82F" w14:textId="07BA2F9B" w:rsidR="006856E1" w:rsidRPr="00EA45CC" w:rsidRDefault="006856E1" w:rsidP="006856E1">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6856E1">
              <w:rPr>
                <w:rFonts w:ascii="Times New Roman" w:hAnsi="Times New Roman"/>
                <w:sz w:val="24"/>
                <w:szCs w:val="24"/>
                <w:lang w:val="ro-RO"/>
              </w:rPr>
              <w:t xml:space="preserve">Se completează cu punctul </w:t>
            </w:r>
            <w:r w:rsidRPr="00EA45CC">
              <w:rPr>
                <w:rFonts w:ascii="Times New Roman" w:hAnsi="Times New Roman"/>
                <w:sz w:val="24"/>
                <w:szCs w:val="24"/>
                <w:lang w:val="ro-MD"/>
              </w:rPr>
              <w:t>65</w:t>
            </w:r>
            <w:r w:rsidRPr="00EA45CC">
              <w:rPr>
                <w:rFonts w:ascii="Times New Roman" w:hAnsi="Times New Roman"/>
                <w:sz w:val="24"/>
                <w:szCs w:val="24"/>
                <w:vertAlign w:val="superscript"/>
                <w:lang w:val="ro-MD"/>
              </w:rPr>
              <w:t>2</w:t>
            </w:r>
            <w:r>
              <w:rPr>
                <w:rFonts w:ascii="Times New Roman" w:hAnsi="Times New Roman"/>
                <w:sz w:val="24"/>
                <w:szCs w:val="24"/>
                <w:lang w:val="ro-MD"/>
              </w:rPr>
              <w:t>:</w:t>
            </w:r>
          </w:p>
          <w:p w14:paraId="347CCC80" w14:textId="77777777" w:rsidR="00EA45CC" w:rsidRPr="00EA45CC"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65². Alte autorităţi cu atribuții în domeniul prevenirii, combaterii criminalității și urmăririi penale a infracţiunilor, cât și în domeniul executării sancțiunilor de drept penal, pot solicita date și informații din Registru, de la unitatea centrală de specialitate responsabilă de supravegherea și controlul circulației armelor și munițiilor, pe o perioadă de 30 de ani după distrugerea armei de foc sau a componentelor esenţiale în cauză.</w:t>
            </w:r>
          </w:p>
          <w:p w14:paraId="02C76CA8" w14:textId="51E2C0C7" w:rsidR="00EA45CC" w:rsidRPr="008431E0" w:rsidRDefault="00EA45CC" w:rsidP="00EA45CC">
            <w:pPr>
              <w:pBdr>
                <w:top w:val="none" w:sz="4" w:space="0" w:color="000000"/>
                <w:left w:val="none" w:sz="4" w:space="0" w:color="000000"/>
                <w:bottom w:val="none" w:sz="4" w:space="0" w:color="000000"/>
                <w:right w:val="none" w:sz="4" w:space="0" w:color="000000"/>
              </w:pBdr>
              <w:ind w:firstLine="183"/>
              <w:rPr>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C5D0A4" w14:textId="77777777" w:rsidR="00EA45CC" w:rsidRPr="00EA45CC"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65². Alte autorităţi cu atribuții în domeniul prevenirii, combaterii criminalității și urmăririi penale a infracţiunilor, cât și în domeniul executării sancțiunilor de drept penal, pot solicita date și informații din Registru, de la unitatea centrală de specialitate responsabilă de supravegherea și controlul circulației armelor și munițiilor, pe o perioadă de 30 de ani după distrugerea armei de foc sau a componentelor esenţiale în cauză.</w:t>
            </w:r>
          </w:p>
          <w:p w14:paraId="37A02AE5" w14:textId="17667D54" w:rsidR="00EA45CC" w:rsidRPr="008431E0" w:rsidRDefault="00EA45CC" w:rsidP="00EA45CC">
            <w:pPr>
              <w:pBdr>
                <w:top w:val="none" w:sz="4" w:space="0" w:color="000000"/>
                <w:left w:val="none" w:sz="4" w:space="0" w:color="000000"/>
                <w:bottom w:val="none" w:sz="4" w:space="0" w:color="000000"/>
                <w:right w:val="none" w:sz="4" w:space="0" w:color="000000"/>
              </w:pBdr>
              <w:ind w:firstLine="183"/>
              <w:rPr>
                <w:sz w:val="24"/>
                <w:szCs w:val="24"/>
                <w:lang w:val="ro-RO"/>
              </w:rPr>
            </w:pPr>
          </w:p>
        </w:tc>
      </w:tr>
      <w:tr w:rsidR="00EA45CC" w:rsidRPr="00EA45CC" w14:paraId="4E7EAC8D"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686316" w14:textId="034BC4CA" w:rsidR="00EA45CC" w:rsidRPr="005A3014" w:rsidRDefault="00EA45CC" w:rsidP="005A3014">
            <w:pPr>
              <w:pStyle w:val="Listparagraf"/>
              <w:numPr>
                <w:ilvl w:val="0"/>
                <w:numId w:val="48"/>
              </w:numPr>
              <w:pBdr>
                <w:top w:val="none" w:sz="4" w:space="0" w:color="000000"/>
                <w:left w:val="none" w:sz="4" w:space="0" w:color="000000"/>
                <w:bottom w:val="none" w:sz="4" w:space="0" w:color="000000"/>
                <w:right w:val="none" w:sz="4" w:space="0" w:color="000000"/>
              </w:pBdr>
              <w:rPr>
                <w:sz w:val="24"/>
                <w:szCs w:val="24"/>
                <w:lang w:val="ro-RO"/>
              </w:rPr>
            </w:pP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00DC5" w14:textId="43EF1A0A" w:rsidR="006856E1" w:rsidRDefault="006856E1"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6856E1">
              <w:rPr>
                <w:rFonts w:ascii="Times New Roman" w:hAnsi="Times New Roman"/>
                <w:sz w:val="24"/>
                <w:szCs w:val="24"/>
                <w:lang w:val="ro-RO"/>
              </w:rPr>
              <w:t>Se completează cu punctul</w:t>
            </w:r>
            <w:r>
              <w:rPr>
                <w:rFonts w:ascii="Times New Roman" w:hAnsi="Times New Roman"/>
                <w:sz w:val="24"/>
                <w:szCs w:val="24"/>
                <w:lang w:val="ro-RO"/>
              </w:rPr>
              <w:t xml:space="preserve"> </w:t>
            </w:r>
            <w:r w:rsidRPr="006856E1">
              <w:rPr>
                <w:rFonts w:ascii="Times New Roman" w:hAnsi="Times New Roman"/>
                <w:sz w:val="24"/>
                <w:szCs w:val="24"/>
                <w:lang w:val="ro-RO"/>
              </w:rPr>
              <w:t>65³</w:t>
            </w:r>
            <w:r>
              <w:rPr>
                <w:rFonts w:ascii="Times New Roman" w:hAnsi="Times New Roman"/>
                <w:sz w:val="24"/>
                <w:szCs w:val="24"/>
                <w:lang w:val="ro-RO"/>
              </w:rPr>
              <w:t>:</w:t>
            </w:r>
          </w:p>
          <w:p w14:paraId="23AE006F" w14:textId="0CC11505" w:rsidR="00EA45CC" w:rsidRPr="0089672D" w:rsidRDefault="00EA45CC" w:rsidP="00EA45CC">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EA45CC">
              <w:rPr>
                <w:rFonts w:ascii="Times New Roman" w:hAnsi="Times New Roman"/>
                <w:sz w:val="24"/>
                <w:szCs w:val="24"/>
                <w:lang w:val="ro-RO"/>
              </w:rPr>
              <w:t xml:space="preserve">65³. Datele și informațiile cu caracter personal preluate din Registru, de către autorităţile cu atribuții în domeniul prevenirii, combaterii și urmăririi penale a </w:t>
            </w:r>
            <w:r w:rsidRPr="00EA45CC">
              <w:rPr>
                <w:rFonts w:ascii="Times New Roman" w:hAnsi="Times New Roman"/>
                <w:sz w:val="24"/>
                <w:szCs w:val="24"/>
                <w:lang w:val="ro-RO"/>
              </w:rPr>
              <w:lastRenderedPageBreak/>
              <w:t>infracţiunilor sau al executării sancțiunilor de drept penal sunt utilizate doar în scop de serviciu, cu respectarea legislației naționale și a Uniunii Europene din domeniul protecției datelor cu caracter personal.”;</w:t>
            </w: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537A10" w14:textId="40E21BFD" w:rsidR="00EA45CC" w:rsidRPr="008431E0" w:rsidRDefault="00EA45CC" w:rsidP="00EA45CC">
            <w:pPr>
              <w:pBdr>
                <w:top w:val="none" w:sz="4" w:space="0" w:color="000000"/>
                <w:left w:val="none" w:sz="4" w:space="0" w:color="000000"/>
                <w:bottom w:val="none" w:sz="4" w:space="0" w:color="000000"/>
                <w:right w:val="none" w:sz="4" w:space="0" w:color="000000"/>
              </w:pBdr>
              <w:ind w:firstLine="183"/>
              <w:rPr>
                <w:sz w:val="24"/>
                <w:szCs w:val="24"/>
                <w:lang w:val="ro-RO"/>
              </w:rPr>
            </w:pPr>
            <w:r w:rsidRPr="00EA45CC">
              <w:rPr>
                <w:rFonts w:ascii="Times New Roman" w:hAnsi="Times New Roman"/>
                <w:sz w:val="24"/>
                <w:szCs w:val="24"/>
                <w:lang w:val="ro-RO"/>
              </w:rPr>
              <w:lastRenderedPageBreak/>
              <w:t xml:space="preserve">65³. Datele și informațiile cu caracter personal preluate din Registru, de către autorităţile cu atribuții în domeniul prevenirii, combaterii și urmăririi penale a infracţiunilor sau al executării sancțiunilor de drept penal sunt utilizate doar în scop de serviciu, cu respectarea legislației naționale și a </w:t>
            </w:r>
            <w:r w:rsidRPr="00EA45CC">
              <w:rPr>
                <w:rFonts w:ascii="Times New Roman" w:hAnsi="Times New Roman"/>
                <w:sz w:val="24"/>
                <w:szCs w:val="24"/>
                <w:lang w:val="ro-RO"/>
              </w:rPr>
              <w:lastRenderedPageBreak/>
              <w:t>Uniunii Europene din domeniul protecției datelor cu caracter personal.”;</w:t>
            </w:r>
          </w:p>
        </w:tc>
      </w:tr>
      <w:tr w:rsidR="00AE1AB2" w:rsidRPr="003F28E8" w14:paraId="5C7BC88A"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4F17C0" w14:textId="3AEA5C12" w:rsidR="002E4E64" w:rsidRPr="003F28E8" w:rsidRDefault="001514BD"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514BD">
              <w:rPr>
                <w:rFonts w:ascii="Times New Roman" w:hAnsi="Times New Roman"/>
                <w:sz w:val="24"/>
                <w:szCs w:val="24"/>
                <w:lang w:val="ro-RO"/>
              </w:rPr>
              <w:lastRenderedPageBreak/>
              <w:t>P</w:t>
            </w:r>
            <w:r w:rsidRPr="006856E1">
              <w:rPr>
                <w:rFonts w:ascii="Times New Roman" w:hAnsi="Times New Roman"/>
                <w:sz w:val="24"/>
                <w:szCs w:val="24"/>
                <w:lang w:val="ro-RO"/>
              </w:rPr>
              <w:t>unctul</w:t>
            </w:r>
            <w:r w:rsidRPr="001514BD">
              <w:rPr>
                <w:rFonts w:ascii="Times New Roman" w:hAnsi="Times New Roman"/>
                <w:sz w:val="24"/>
                <w:szCs w:val="24"/>
                <w:lang w:val="ro-RO"/>
              </w:rPr>
              <w:t xml:space="preserve"> </w:t>
            </w:r>
            <w:r w:rsidR="003F28E8">
              <w:rPr>
                <w:rFonts w:ascii="Times New Roman" w:hAnsi="Times New Roman"/>
                <w:sz w:val="24"/>
                <w:szCs w:val="24"/>
                <w:lang w:val="ro-RO"/>
              </w:rPr>
              <w:t xml:space="preserve">71. (fraza a doua) </w:t>
            </w:r>
            <w:r w:rsidR="003F28E8" w:rsidRPr="003F28E8">
              <w:rPr>
                <w:rFonts w:ascii="Times New Roman" w:hAnsi="Times New Roman"/>
                <w:sz w:val="24"/>
                <w:szCs w:val="24"/>
                <w:lang w:val="ro-RO"/>
              </w:rPr>
              <w:t>Informația conținută în SIA RSA și SIA e-RSA se accesează în conformitate cu Legea nr. 982/2000 privind accesul la informație și în limitele stabilite de aceasta, precum şi cu alte acte normative.</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74AF76" w14:textId="77777777" w:rsidR="003F28E8" w:rsidRPr="003F28E8" w:rsidRDefault="003F28E8" w:rsidP="003F28E8">
            <w:pPr>
              <w:pBdr>
                <w:top w:val="none" w:sz="4" w:space="0" w:color="000000"/>
                <w:left w:val="none" w:sz="4" w:space="0" w:color="000000"/>
                <w:bottom w:val="none" w:sz="4" w:space="0" w:color="000000"/>
                <w:right w:val="none" w:sz="4" w:space="0" w:color="000000"/>
              </w:pBdr>
              <w:ind w:left="33" w:firstLine="0"/>
              <w:rPr>
                <w:rFonts w:ascii="Times New Roman" w:hAnsi="Times New Roman"/>
                <w:sz w:val="24"/>
                <w:szCs w:val="24"/>
                <w:lang w:val="ro-RO"/>
              </w:rPr>
            </w:pPr>
            <w:r w:rsidRPr="003F28E8">
              <w:rPr>
                <w:rFonts w:ascii="Times New Roman" w:hAnsi="Times New Roman"/>
                <w:sz w:val="24"/>
                <w:szCs w:val="24"/>
                <w:lang w:val="ro-RO"/>
              </w:rPr>
              <w:t xml:space="preserve">La punctul 71, </w:t>
            </w:r>
          </w:p>
          <w:p w14:paraId="17DA5572" w14:textId="63DE1244" w:rsidR="003F28E8" w:rsidRPr="003F28E8" w:rsidRDefault="003F28E8" w:rsidP="003F28E8">
            <w:pPr>
              <w:pBdr>
                <w:top w:val="none" w:sz="4" w:space="0" w:color="000000"/>
                <w:left w:val="none" w:sz="4" w:space="0" w:color="000000"/>
                <w:bottom w:val="none" w:sz="4" w:space="0" w:color="000000"/>
                <w:right w:val="none" w:sz="4" w:space="0" w:color="000000"/>
              </w:pBdr>
              <w:ind w:left="33" w:firstLine="0"/>
              <w:rPr>
                <w:rFonts w:ascii="Times New Roman" w:hAnsi="Times New Roman"/>
                <w:sz w:val="24"/>
                <w:szCs w:val="24"/>
                <w:lang w:val="ro-RO"/>
              </w:rPr>
            </w:pPr>
            <w:r w:rsidRPr="003F28E8">
              <w:rPr>
                <w:rFonts w:ascii="Times New Roman" w:hAnsi="Times New Roman"/>
                <w:sz w:val="24"/>
                <w:szCs w:val="24"/>
                <w:lang w:val="ro-RO"/>
              </w:rPr>
              <w:t>textul „Legea nr. 982/2000 privind accesul la informație” se substituie cu textul „Legea nr. 148/2023 privind accesul la informațiile de interes public”</w:t>
            </w:r>
            <w:r>
              <w:rPr>
                <w:rFonts w:ascii="Times New Roman" w:hAnsi="Times New Roman"/>
                <w:sz w:val="24"/>
                <w:szCs w:val="24"/>
                <w:lang w:val="ro-RO"/>
              </w:rPr>
              <w:t>.</w:t>
            </w:r>
          </w:p>
          <w:p w14:paraId="514ED99F" w14:textId="28ACA3DC" w:rsidR="00AE1AB2" w:rsidRPr="00EF2213" w:rsidRDefault="00AE1AB2" w:rsidP="008967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FF7D6E" w14:textId="5EBA5363" w:rsidR="002E4E64" w:rsidRPr="003F28E8" w:rsidRDefault="001514BD"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1514BD">
              <w:rPr>
                <w:rFonts w:ascii="Times New Roman" w:hAnsi="Times New Roman"/>
                <w:sz w:val="24"/>
                <w:szCs w:val="24"/>
                <w:lang w:val="ro-RO"/>
              </w:rPr>
              <w:t>P</w:t>
            </w:r>
            <w:r w:rsidRPr="006856E1">
              <w:rPr>
                <w:rFonts w:ascii="Times New Roman" w:hAnsi="Times New Roman"/>
                <w:sz w:val="24"/>
                <w:szCs w:val="24"/>
                <w:lang w:val="ro-RO"/>
              </w:rPr>
              <w:t>unctul</w:t>
            </w:r>
            <w:r w:rsidRPr="001514BD">
              <w:rPr>
                <w:rFonts w:ascii="Times New Roman" w:hAnsi="Times New Roman"/>
                <w:sz w:val="24"/>
                <w:szCs w:val="24"/>
                <w:lang w:val="ro-RO"/>
              </w:rPr>
              <w:t xml:space="preserve"> </w:t>
            </w:r>
            <w:r w:rsidR="003F28E8">
              <w:rPr>
                <w:rFonts w:ascii="Times New Roman" w:hAnsi="Times New Roman"/>
                <w:sz w:val="24"/>
                <w:szCs w:val="24"/>
                <w:lang w:val="ro-RO"/>
              </w:rPr>
              <w:t xml:space="preserve">71. (fraza a doua) </w:t>
            </w:r>
            <w:r w:rsidR="003F28E8" w:rsidRPr="003F28E8">
              <w:rPr>
                <w:rFonts w:ascii="Times New Roman" w:hAnsi="Times New Roman"/>
                <w:sz w:val="24"/>
                <w:szCs w:val="24"/>
                <w:lang w:val="ro-RO"/>
              </w:rPr>
              <w:t>Informația conținută în SIA RSA și SIA e-RSA se accesează în conformitate cu Legea nr. 148/2023 privind accesul la informațiile de interes public</w:t>
            </w:r>
            <w:r w:rsidR="003F28E8" w:rsidRPr="003F28E8">
              <w:rPr>
                <w:rFonts w:ascii="Times New Roman" w:hAnsi="Times New Roman"/>
                <w:sz w:val="24"/>
                <w:szCs w:val="24"/>
                <w:lang w:val="ro-RO"/>
              </w:rPr>
              <w:t xml:space="preserve"> </w:t>
            </w:r>
            <w:r w:rsidR="003F28E8" w:rsidRPr="003F28E8">
              <w:rPr>
                <w:rFonts w:ascii="Times New Roman" w:hAnsi="Times New Roman"/>
                <w:sz w:val="24"/>
                <w:szCs w:val="24"/>
                <w:lang w:val="ro-RO"/>
              </w:rPr>
              <w:t>și în limitele stabilite de aceasta, precum şi cu alte acte normative.</w:t>
            </w:r>
          </w:p>
        </w:tc>
      </w:tr>
      <w:tr w:rsidR="0089672D" w:rsidRPr="001514BD" w14:paraId="6A4F6814" w14:textId="77777777" w:rsidTr="00AE1AB2">
        <w:tc>
          <w:tcPr>
            <w:tcW w:w="53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091173" w14:textId="4A44CDDC" w:rsidR="001514BD" w:rsidRPr="001514BD" w:rsidRDefault="001514BD" w:rsidP="00835504">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de-AT"/>
              </w:rPr>
            </w:pPr>
            <w:r w:rsidRPr="001514BD">
              <w:rPr>
                <w:rFonts w:ascii="Times New Roman" w:hAnsi="Times New Roman"/>
                <w:sz w:val="24"/>
                <w:szCs w:val="24"/>
                <w:lang w:val="ro-RO"/>
              </w:rPr>
              <w:t>Punctul 73.</w:t>
            </w:r>
            <w:r w:rsidR="00835504">
              <w:rPr>
                <w:rFonts w:ascii="Times New Roman" w:hAnsi="Times New Roman"/>
                <w:sz w:val="24"/>
                <w:szCs w:val="24"/>
                <w:lang w:val="ro-RO"/>
              </w:rPr>
              <w:tab/>
            </w:r>
            <w:proofErr w:type="spellStart"/>
            <w:r w:rsidR="00835504" w:rsidRPr="00835504">
              <w:rPr>
                <w:rFonts w:ascii="Times New Roman" w:hAnsi="Times New Roman"/>
                <w:sz w:val="24"/>
                <w:szCs w:val="24"/>
                <w:lang w:val="de-AT"/>
              </w:rPr>
              <w:t>Acces</w:t>
            </w:r>
            <w:proofErr w:type="spellEnd"/>
            <w:r w:rsidR="00835504" w:rsidRPr="00835504">
              <w:rPr>
                <w:rFonts w:ascii="Times New Roman" w:hAnsi="Times New Roman"/>
                <w:sz w:val="24"/>
                <w:szCs w:val="24"/>
                <w:lang w:val="de-AT"/>
              </w:rPr>
              <w:t xml:space="preserve"> la SIA RSA </w:t>
            </w:r>
            <w:proofErr w:type="spellStart"/>
            <w:r w:rsidR="00835504" w:rsidRPr="00835504">
              <w:rPr>
                <w:rFonts w:ascii="Times New Roman" w:hAnsi="Times New Roman"/>
                <w:sz w:val="24"/>
                <w:szCs w:val="24"/>
                <w:lang w:val="de-AT"/>
              </w:rPr>
              <w:t>și</w:t>
            </w:r>
            <w:proofErr w:type="spellEnd"/>
            <w:r w:rsidR="00835504" w:rsidRPr="00835504">
              <w:rPr>
                <w:rFonts w:ascii="Times New Roman" w:hAnsi="Times New Roman"/>
                <w:sz w:val="24"/>
                <w:szCs w:val="24"/>
                <w:lang w:val="de-AT"/>
              </w:rPr>
              <w:t xml:space="preserve"> SIA e-RSA </w:t>
            </w:r>
            <w:proofErr w:type="spellStart"/>
            <w:r w:rsidR="00835504" w:rsidRPr="00835504">
              <w:rPr>
                <w:rFonts w:ascii="Times New Roman" w:hAnsi="Times New Roman"/>
                <w:sz w:val="24"/>
                <w:szCs w:val="24"/>
                <w:lang w:val="de-AT"/>
              </w:rPr>
              <w:t>pe</w:t>
            </w:r>
            <w:proofErr w:type="spellEnd"/>
            <w:r w:rsidR="00835504" w:rsidRPr="00835504">
              <w:rPr>
                <w:rFonts w:ascii="Times New Roman" w:hAnsi="Times New Roman"/>
                <w:sz w:val="24"/>
                <w:szCs w:val="24"/>
                <w:lang w:val="de-AT"/>
              </w:rPr>
              <w:t xml:space="preserve"> plan intern au </w:t>
            </w:r>
            <w:proofErr w:type="spellStart"/>
            <w:r w:rsidR="00835504" w:rsidRPr="00835504">
              <w:rPr>
                <w:rFonts w:ascii="Times New Roman" w:hAnsi="Times New Roman"/>
                <w:sz w:val="24"/>
                <w:szCs w:val="24"/>
                <w:lang w:val="de-AT"/>
              </w:rPr>
              <w:t>doar</w:t>
            </w:r>
            <w:proofErr w:type="spellEnd"/>
            <w:r w:rsidR="00835504" w:rsidRPr="00835504">
              <w:rPr>
                <w:rFonts w:ascii="Times New Roman" w:hAnsi="Times New Roman"/>
                <w:sz w:val="24"/>
                <w:szCs w:val="24"/>
                <w:lang w:val="de-AT"/>
              </w:rPr>
              <w:t xml:space="preserve"> </w:t>
            </w:r>
            <w:proofErr w:type="spellStart"/>
            <w:r w:rsidR="00835504" w:rsidRPr="00835504">
              <w:rPr>
                <w:rFonts w:ascii="Times New Roman" w:hAnsi="Times New Roman"/>
                <w:sz w:val="24"/>
                <w:szCs w:val="24"/>
                <w:lang w:val="de-AT"/>
              </w:rPr>
              <w:t>următorii</w:t>
            </w:r>
            <w:proofErr w:type="spellEnd"/>
            <w:r w:rsidR="00835504" w:rsidRPr="00835504">
              <w:rPr>
                <w:rFonts w:ascii="Times New Roman" w:hAnsi="Times New Roman"/>
                <w:sz w:val="24"/>
                <w:szCs w:val="24"/>
                <w:lang w:val="de-AT"/>
              </w:rPr>
              <w:t xml:space="preserve"> </w:t>
            </w:r>
            <w:proofErr w:type="spellStart"/>
            <w:r w:rsidR="00835504" w:rsidRPr="00835504">
              <w:rPr>
                <w:rFonts w:ascii="Times New Roman" w:hAnsi="Times New Roman"/>
                <w:sz w:val="24"/>
                <w:szCs w:val="24"/>
                <w:lang w:val="de-AT"/>
              </w:rPr>
              <w:t>subiecți</w:t>
            </w:r>
            <w:proofErr w:type="spellEnd"/>
            <w:r w:rsidR="00835504" w:rsidRPr="00835504">
              <w:rPr>
                <w:rFonts w:ascii="Times New Roman" w:hAnsi="Times New Roman"/>
                <w:sz w:val="24"/>
                <w:szCs w:val="24"/>
                <w:lang w:val="de-AT"/>
              </w:rPr>
              <w:t>:</w:t>
            </w:r>
          </w:p>
          <w:p w14:paraId="101C300A" w14:textId="58EF425A" w:rsidR="0089672D" w:rsidRPr="0089672D" w:rsidRDefault="001514BD" w:rsidP="001514B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6856E1">
              <w:rPr>
                <w:rFonts w:ascii="Times New Roman" w:hAnsi="Times New Roman"/>
                <w:sz w:val="24"/>
                <w:szCs w:val="24"/>
                <w:lang w:val="ro-RO"/>
              </w:rPr>
              <w:t>subpct 2)</w:t>
            </w:r>
            <w:r w:rsidRPr="001514BD">
              <w:rPr>
                <w:rFonts w:ascii="Times New Roman" w:hAnsi="Times New Roman"/>
                <w:sz w:val="24"/>
                <w:szCs w:val="24"/>
                <w:lang w:val="ro-RO"/>
              </w:rPr>
              <w:t xml:space="preserve"> Inspectoratul Național de Investigații, Centrul cooperare polițienească internațională, Direcția generală urmărire penală, Direcția de poliție a municipiului Chișinău și Direcția de poliție a unității teritoriale autonome Găgăuzia, din subordinea Inspectoratului General al Poliției.</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F36CAF" w14:textId="77777777" w:rsidR="006856E1" w:rsidRPr="006856E1" w:rsidRDefault="006856E1" w:rsidP="006856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56E1">
              <w:rPr>
                <w:rFonts w:ascii="Times New Roman" w:hAnsi="Times New Roman"/>
                <w:sz w:val="24"/>
                <w:szCs w:val="24"/>
                <w:lang w:val="ro-RO"/>
              </w:rPr>
              <w:t xml:space="preserve">La punctul 73, subpunctul 2), </w:t>
            </w:r>
          </w:p>
          <w:p w14:paraId="12400212" w14:textId="6D4C30A7" w:rsidR="006856E1" w:rsidRPr="006856E1" w:rsidRDefault="006856E1" w:rsidP="006856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856E1">
              <w:rPr>
                <w:rFonts w:ascii="Times New Roman" w:hAnsi="Times New Roman"/>
                <w:sz w:val="24"/>
                <w:szCs w:val="24"/>
                <w:lang w:val="ro-RO"/>
              </w:rPr>
              <w:t>textul „Direcția generală urmărire penală,” se exclude.</w:t>
            </w:r>
          </w:p>
          <w:p w14:paraId="246BAC8D" w14:textId="1FCC70BF" w:rsidR="0089672D" w:rsidRPr="0089672D" w:rsidRDefault="0089672D"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p>
        </w:tc>
        <w:tc>
          <w:tcPr>
            <w:tcW w:w="60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21340E" w14:textId="116241C0" w:rsidR="001514BD" w:rsidRPr="00835504" w:rsidRDefault="001514BD"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Pr>
                <w:rFonts w:ascii="Times New Roman" w:hAnsi="Times New Roman"/>
                <w:sz w:val="24"/>
                <w:szCs w:val="24"/>
                <w:lang w:val="ro-RO"/>
              </w:rPr>
              <w:t>P</w:t>
            </w:r>
            <w:r w:rsidRPr="006856E1">
              <w:rPr>
                <w:rFonts w:ascii="Times New Roman" w:hAnsi="Times New Roman"/>
                <w:sz w:val="24"/>
                <w:szCs w:val="24"/>
                <w:lang w:val="ro-RO"/>
              </w:rPr>
              <w:t>unctul 73</w:t>
            </w:r>
            <w:r>
              <w:rPr>
                <w:rFonts w:ascii="Times New Roman" w:hAnsi="Times New Roman"/>
                <w:sz w:val="24"/>
                <w:szCs w:val="24"/>
                <w:lang w:val="ro-RO"/>
              </w:rPr>
              <w:t>.</w:t>
            </w:r>
            <w:r w:rsidR="00835504" w:rsidRPr="00835504">
              <w:rPr>
                <w:rFonts w:ascii="PT Serif" w:eastAsia="Times New Roman" w:hAnsi="PT Serif"/>
                <w:color w:val="333333"/>
                <w:shd w:val="clear" w:color="auto" w:fill="FFFFFF"/>
                <w:lang w:val="ro-RO"/>
              </w:rPr>
              <w:t xml:space="preserve"> </w:t>
            </w:r>
            <w:r w:rsidR="00835504" w:rsidRPr="00835504">
              <w:rPr>
                <w:rFonts w:ascii="Times New Roman" w:hAnsi="Times New Roman"/>
                <w:sz w:val="24"/>
                <w:szCs w:val="24"/>
                <w:lang w:val="ro-RO"/>
              </w:rPr>
              <w:t>Acces la SIA RSA și SIA e-RSA pe plan intern au doar următorii subiecți:</w:t>
            </w:r>
          </w:p>
          <w:p w14:paraId="51C76A8C" w14:textId="2203E737" w:rsidR="0089672D" w:rsidRPr="001514BD" w:rsidRDefault="001514BD" w:rsidP="0089672D">
            <w:pPr>
              <w:pBdr>
                <w:top w:val="none" w:sz="4" w:space="0" w:color="000000"/>
                <w:left w:val="none" w:sz="4" w:space="0" w:color="000000"/>
                <w:bottom w:val="none" w:sz="4" w:space="0" w:color="000000"/>
                <w:right w:val="none" w:sz="4" w:space="0" w:color="000000"/>
              </w:pBdr>
              <w:ind w:firstLine="183"/>
              <w:rPr>
                <w:rFonts w:ascii="Times New Roman" w:hAnsi="Times New Roman"/>
                <w:sz w:val="24"/>
                <w:szCs w:val="24"/>
                <w:lang w:val="ro-RO"/>
              </w:rPr>
            </w:pPr>
            <w:r w:rsidRPr="006856E1">
              <w:rPr>
                <w:rFonts w:ascii="Times New Roman" w:hAnsi="Times New Roman"/>
                <w:sz w:val="24"/>
                <w:szCs w:val="24"/>
                <w:lang w:val="ro-RO"/>
              </w:rPr>
              <w:t>subpct 2)</w:t>
            </w:r>
            <w:r>
              <w:rPr>
                <w:rFonts w:ascii="Times New Roman" w:hAnsi="Times New Roman"/>
                <w:sz w:val="24"/>
                <w:szCs w:val="24"/>
                <w:lang w:val="ro-RO"/>
              </w:rPr>
              <w:t xml:space="preserve"> </w:t>
            </w:r>
            <w:r w:rsidRPr="001514BD">
              <w:rPr>
                <w:rFonts w:ascii="Times New Roman" w:hAnsi="Times New Roman"/>
                <w:sz w:val="24"/>
                <w:szCs w:val="24"/>
                <w:lang w:val="ro-RO"/>
              </w:rPr>
              <w:t>Inspectoratul Național de Investigații, Centrul cooperare polițienească internațională, Direcția de poliție a municipiului Chișinău și Direcția de poliție a unității teritoriale autonome Găgăuzia, din subordinea Inspectoratului General al Poliției.</w:t>
            </w:r>
          </w:p>
        </w:tc>
      </w:tr>
    </w:tbl>
    <w:p w14:paraId="6024583A" w14:textId="7D4CB6AA" w:rsidR="008B4BE6" w:rsidRPr="00AE1AB2" w:rsidRDefault="008B4BE6" w:rsidP="00AE1AB2">
      <w:pPr>
        <w:ind w:firstLine="183"/>
        <w:rPr>
          <w:sz w:val="24"/>
          <w:szCs w:val="24"/>
          <w:lang w:val="ro-RO"/>
        </w:rPr>
      </w:pPr>
    </w:p>
    <w:sectPr w:rsidR="008B4BE6" w:rsidRPr="00AE1AB2" w:rsidSect="006856E1">
      <w:headerReference w:type="default" r:id="rId11"/>
      <w:headerReference w:type="first" r:id="rId12"/>
      <w:pgSz w:w="16840" w:h="11907" w:orient="landscape"/>
      <w:pgMar w:top="709" w:right="567" w:bottom="567" w:left="709"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EB95" w14:textId="77777777" w:rsidR="00EE31E5" w:rsidRDefault="00EE31E5">
      <w:r>
        <w:separator/>
      </w:r>
    </w:p>
  </w:endnote>
  <w:endnote w:type="continuationSeparator" w:id="0">
    <w:p w14:paraId="30B99342" w14:textId="77777777" w:rsidR="00EE31E5" w:rsidRDefault="00EE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4126" w14:textId="77777777" w:rsidR="00EE31E5" w:rsidRDefault="00EE31E5">
      <w:r>
        <w:separator/>
      </w:r>
    </w:p>
  </w:footnote>
  <w:footnote w:type="continuationSeparator" w:id="0">
    <w:p w14:paraId="420315AF" w14:textId="77777777" w:rsidR="00EE31E5" w:rsidRDefault="00EE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4B98D8DF" w:rsidR="00D07A16" w:rsidRPr="006856E1" w:rsidRDefault="00D07A16" w:rsidP="006856E1">
    <w:pPr>
      <w:pStyle w:val="Antet"/>
      <w:ind w:firstLine="0"/>
      <w:rPr>
        <w:sz w:val="28"/>
        <w:szCs w:val="28"/>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61F"/>
    <w:multiLevelType w:val="hybridMultilevel"/>
    <w:tmpl w:val="7F92806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48C319E"/>
    <w:multiLevelType w:val="hybridMultilevel"/>
    <w:tmpl w:val="97366A24"/>
    <w:lvl w:ilvl="0" w:tplc="9C7A698C">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0565FAE"/>
    <w:multiLevelType w:val="hybridMultilevel"/>
    <w:tmpl w:val="7F92806C"/>
    <w:lvl w:ilvl="0" w:tplc="13BC99A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4F35640F"/>
    <w:multiLevelType w:val="hybridMultilevel"/>
    <w:tmpl w:val="C958BC0A"/>
    <w:lvl w:ilvl="0" w:tplc="86E200BE">
      <w:start w:val="2"/>
      <w:numFmt w:val="bullet"/>
      <w:lvlText w:val="-"/>
      <w:lvlJc w:val="left"/>
      <w:pPr>
        <w:ind w:left="543" w:hanging="360"/>
      </w:pPr>
      <w:rPr>
        <w:rFonts w:ascii="Calibri" w:eastAsia="Calibri" w:hAnsi="Calibri" w:cs="Calibri" w:hint="default"/>
      </w:rPr>
    </w:lvl>
    <w:lvl w:ilvl="1" w:tplc="04180003" w:tentative="1">
      <w:start w:val="1"/>
      <w:numFmt w:val="bullet"/>
      <w:lvlText w:val="o"/>
      <w:lvlJc w:val="left"/>
      <w:pPr>
        <w:ind w:left="1263" w:hanging="360"/>
      </w:pPr>
      <w:rPr>
        <w:rFonts w:ascii="Courier New" w:hAnsi="Courier New" w:cs="Courier New" w:hint="default"/>
      </w:rPr>
    </w:lvl>
    <w:lvl w:ilvl="2" w:tplc="04180005" w:tentative="1">
      <w:start w:val="1"/>
      <w:numFmt w:val="bullet"/>
      <w:lvlText w:val=""/>
      <w:lvlJc w:val="left"/>
      <w:pPr>
        <w:ind w:left="1983" w:hanging="360"/>
      </w:pPr>
      <w:rPr>
        <w:rFonts w:ascii="Wingdings" w:hAnsi="Wingdings" w:hint="default"/>
      </w:rPr>
    </w:lvl>
    <w:lvl w:ilvl="3" w:tplc="04180001" w:tentative="1">
      <w:start w:val="1"/>
      <w:numFmt w:val="bullet"/>
      <w:lvlText w:val=""/>
      <w:lvlJc w:val="left"/>
      <w:pPr>
        <w:ind w:left="2703" w:hanging="360"/>
      </w:pPr>
      <w:rPr>
        <w:rFonts w:ascii="Symbol" w:hAnsi="Symbol" w:hint="default"/>
      </w:rPr>
    </w:lvl>
    <w:lvl w:ilvl="4" w:tplc="04180003" w:tentative="1">
      <w:start w:val="1"/>
      <w:numFmt w:val="bullet"/>
      <w:lvlText w:val="o"/>
      <w:lvlJc w:val="left"/>
      <w:pPr>
        <w:ind w:left="3423" w:hanging="360"/>
      </w:pPr>
      <w:rPr>
        <w:rFonts w:ascii="Courier New" w:hAnsi="Courier New" w:cs="Courier New" w:hint="default"/>
      </w:rPr>
    </w:lvl>
    <w:lvl w:ilvl="5" w:tplc="04180005" w:tentative="1">
      <w:start w:val="1"/>
      <w:numFmt w:val="bullet"/>
      <w:lvlText w:val=""/>
      <w:lvlJc w:val="left"/>
      <w:pPr>
        <w:ind w:left="4143" w:hanging="360"/>
      </w:pPr>
      <w:rPr>
        <w:rFonts w:ascii="Wingdings" w:hAnsi="Wingdings" w:hint="default"/>
      </w:rPr>
    </w:lvl>
    <w:lvl w:ilvl="6" w:tplc="04180001" w:tentative="1">
      <w:start w:val="1"/>
      <w:numFmt w:val="bullet"/>
      <w:lvlText w:val=""/>
      <w:lvlJc w:val="left"/>
      <w:pPr>
        <w:ind w:left="4863" w:hanging="360"/>
      </w:pPr>
      <w:rPr>
        <w:rFonts w:ascii="Symbol" w:hAnsi="Symbol" w:hint="default"/>
      </w:rPr>
    </w:lvl>
    <w:lvl w:ilvl="7" w:tplc="04180003" w:tentative="1">
      <w:start w:val="1"/>
      <w:numFmt w:val="bullet"/>
      <w:lvlText w:val="o"/>
      <w:lvlJc w:val="left"/>
      <w:pPr>
        <w:ind w:left="5583" w:hanging="360"/>
      </w:pPr>
      <w:rPr>
        <w:rFonts w:ascii="Courier New" w:hAnsi="Courier New" w:cs="Courier New" w:hint="default"/>
      </w:rPr>
    </w:lvl>
    <w:lvl w:ilvl="8" w:tplc="04180005" w:tentative="1">
      <w:start w:val="1"/>
      <w:numFmt w:val="bullet"/>
      <w:lvlText w:val=""/>
      <w:lvlJc w:val="left"/>
      <w:pPr>
        <w:ind w:left="6303" w:hanging="360"/>
      </w:pPr>
      <w:rPr>
        <w:rFonts w:ascii="Wingdings" w:hAnsi="Wingdings" w:hint="default"/>
      </w:r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A830B0B"/>
    <w:multiLevelType w:val="hybridMultilevel"/>
    <w:tmpl w:val="E64C8D38"/>
    <w:lvl w:ilvl="0" w:tplc="99E46248">
      <w:start w:val="1"/>
      <w:numFmt w:val="bullet"/>
      <w:lvlText w:val="-"/>
      <w:lvlJc w:val="left"/>
      <w:pPr>
        <w:ind w:left="603" w:hanging="360"/>
      </w:pPr>
      <w:rPr>
        <w:rFonts w:ascii="Times New Roman" w:eastAsia="Times New Roman" w:hAnsi="Times New Roman" w:cs="Times New Roman" w:hint="default"/>
      </w:rPr>
    </w:lvl>
    <w:lvl w:ilvl="1" w:tplc="04180003" w:tentative="1">
      <w:start w:val="1"/>
      <w:numFmt w:val="bullet"/>
      <w:lvlText w:val="o"/>
      <w:lvlJc w:val="left"/>
      <w:pPr>
        <w:ind w:left="1323" w:hanging="360"/>
      </w:pPr>
      <w:rPr>
        <w:rFonts w:ascii="Courier New" w:hAnsi="Courier New" w:cs="Courier New" w:hint="default"/>
      </w:rPr>
    </w:lvl>
    <w:lvl w:ilvl="2" w:tplc="04180005" w:tentative="1">
      <w:start w:val="1"/>
      <w:numFmt w:val="bullet"/>
      <w:lvlText w:val=""/>
      <w:lvlJc w:val="left"/>
      <w:pPr>
        <w:ind w:left="2043" w:hanging="360"/>
      </w:pPr>
      <w:rPr>
        <w:rFonts w:ascii="Wingdings" w:hAnsi="Wingdings" w:hint="default"/>
      </w:rPr>
    </w:lvl>
    <w:lvl w:ilvl="3" w:tplc="04180001" w:tentative="1">
      <w:start w:val="1"/>
      <w:numFmt w:val="bullet"/>
      <w:lvlText w:val=""/>
      <w:lvlJc w:val="left"/>
      <w:pPr>
        <w:ind w:left="2763" w:hanging="360"/>
      </w:pPr>
      <w:rPr>
        <w:rFonts w:ascii="Symbol" w:hAnsi="Symbol" w:hint="default"/>
      </w:rPr>
    </w:lvl>
    <w:lvl w:ilvl="4" w:tplc="04180003" w:tentative="1">
      <w:start w:val="1"/>
      <w:numFmt w:val="bullet"/>
      <w:lvlText w:val="o"/>
      <w:lvlJc w:val="left"/>
      <w:pPr>
        <w:ind w:left="3483" w:hanging="360"/>
      </w:pPr>
      <w:rPr>
        <w:rFonts w:ascii="Courier New" w:hAnsi="Courier New" w:cs="Courier New" w:hint="default"/>
      </w:rPr>
    </w:lvl>
    <w:lvl w:ilvl="5" w:tplc="04180005" w:tentative="1">
      <w:start w:val="1"/>
      <w:numFmt w:val="bullet"/>
      <w:lvlText w:val=""/>
      <w:lvlJc w:val="left"/>
      <w:pPr>
        <w:ind w:left="4203" w:hanging="360"/>
      </w:pPr>
      <w:rPr>
        <w:rFonts w:ascii="Wingdings" w:hAnsi="Wingdings" w:hint="default"/>
      </w:rPr>
    </w:lvl>
    <w:lvl w:ilvl="6" w:tplc="04180001" w:tentative="1">
      <w:start w:val="1"/>
      <w:numFmt w:val="bullet"/>
      <w:lvlText w:val=""/>
      <w:lvlJc w:val="left"/>
      <w:pPr>
        <w:ind w:left="4923" w:hanging="360"/>
      </w:pPr>
      <w:rPr>
        <w:rFonts w:ascii="Symbol" w:hAnsi="Symbol" w:hint="default"/>
      </w:rPr>
    </w:lvl>
    <w:lvl w:ilvl="7" w:tplc="04180003" w:tentative="1">
      <w:start w:val="1"/>
      <w:numFmt w:val="bullet"/>
      <w:lvlText w:val="o"/>
      <w:lvlJc w:val="left"/>
      <w:pPr>
        <w:ind w:left="5643" w:hanging="360"/>
      </w:pPr>
      <w:rPr>
        <w:rFonts w:ascii="Courier New" w:hAnsi="Courier New" w:cs="Courier New" w:hint="default"/>
      </w:rPr>
    </w:lvl>
    <w:lvl w:ilvl="8" w:tplc="04180005" w:tentative="1">
      <w:start w:val="1"/>
      <w:numFmt w:val="bullet"/>
      <w:lvlText w:val=""/>
      <w:lvlJc w:val="left"/>
      <w:pPr>
        <w:ind w:left="6363" w:hanging="360"/>
      </w:pPr>
      <w:rPr>
        <w:rFonts w:ascii="Wingdings" w:hAnsi="Wingdings" w:hint="default"/>
      </w:r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C3E790F"/>
    <w:multiLevelType w:val="hybridMultilevel"/>
    <w:tmpl w:val="5C1E50DC"/>
    <w:lvl w:ilvl="0" w:tplc="42E4997A">
      <w:start w:val="7"/>
      <w:numFmt w:val="bullet"/>
      <w:lvlText w:val=""/>
      <w:lvlJc w:val="left"/>
      <w:pPr>
        <w:ind w:left="543" w:hanging="360"/>
      </w:pPr>
      <w:rPr>
        <w:rFonts w:ascii="Times New Roman" w:eastAsia="Calibri" w:hAnsi="Times New Roman" w:cs="Times New Roman" w:hint="default"/>
      </w:rPr>
    </w:lvl>
    <w:lvl w:ilvl="1" w:tplc="04180003" w:tentative="1">
      <w:start w:val="1"/>
      <w:numFmt w:val="bullet"/>
      <w:lvlText w:val="o"/>
      <w:lvlJc w:val="left"/>
      <w:pPr>
        <w:ind w:left="1263" w:hanging="360"/>
      </w:pPr>
      <w:rPr>
        <w:rFonts w:ascii="Courier New" w:hAnsi="Courier New" w:cs="Courier New" w:hint="default"/>
      </w:rPr>
    </w:lvl>
    <w:lvl w:ilvl="2" w:tplc="04180005" w:tentative="1">
      <w:start w:val="1"/>
      <w:numFmt w:val="bullet"/>
      <w:lvlText w:val=""/>
      <w:lvlJc w:val="left"/>
      <w:pPr>
        <w:ind w:left="1983" w:hanging="360"/>
      </w:pPr>
      <w:rPr>
        <w:rFonts w:ascii="Wingdings" w:hAnsi="Wingdings" w:hint="default"/>
      </w:rPr>
    </w:lvl>
    <w:lvl w:ilvl="3" w:tplc="04180001" w:tentative="1">
      <w:start w:val="1"/>
      <w:numFmt w:val="bullet"/>
      <w:lvlText w:val=""/>
      <w:lvlJc w:val="left"/>
      <w:pPr>
        <w:ind w:left="2703" w:hanging="360"/>
      </w:pPr>
      <w:rPr>
        <w:rFonts w:ascii="Symbol" w:hAnsi="Symbol" w:hint="default"/>
      </w:rPr>
    </w:lvl>
    <w:lvl w:ilvl="4" w:tplc="04180003" w:tentative="1">
      <w:start w:val="1"/>
      <w:numFmt w:val="bullet"/>
      <w:lvlText w:val="o"/>
      <w:lvlJc w:val="left"/>
      <w:pPr>
        <w:ind w:left="3423" w:hanging="360"/>
      </w:pPr>
      <w:rPr>
        <w:rFonts w:ascii="Courier New" w:hAnsi="Courier New" w:cs="Courier New" w:hint="default"/>
      </w:rPr>
    </w:lvl>
    <w:lvl w:ilvl="5" w:tplc="04180005" w:tentative="1">
      <w:start w:val="1"/>
      <w:numFmt w:val="bullet"/>
      <w:lvlText w:val=""/>
      <w:lvlJc w:val="left"/>
      <w:pPr>
        <w:ind w:left="4143" w:hanging="360"/>
      </w:pPr>
      <w:rPr>
        <w:rFonts w:ascii="Wingdings" w:hAnsi="Wingdings" w:hint="default"/>
      </w:rPr>
    </w:lvl>
    <w:lvl w:ilvl="6" w:tplc="04180001" w:tentative="1">
      <w:start w:val="1"/>
      <w:numFmt w:val="bullet"/>
      <w:lvlText w:val=""/>
      <w:lvlJc w:val="left"/>
      <w:pPr>
        <w:ind w:left="4863" w:hanging="360"/>
      </w:pPr>
      <w:rPr>
        <w:rFonts w:ascii="Symbol" w:hAnsi="Symbol" w:hint="default"/>
      </w:rPr>
    </w:lvl>
    <w:lvl w:ilvl="7" w:tplc="04180003" w:tentative="1">
      <w:start w:val="1"/>
      <w:numFmt w:val="bullet"/>
      <w:lvlText w:val="o"/>
      <w:lvlJc w:val="left"/>
      <w:pPr>
        <w:ind w:left="5583" w:hanging="360"/>
      </w:pPr>
      <w:rPr>
        <w:rFonts w:ascii="Courier New" w:hAnsi="Courier New" w:cs="Courier New" w:hint="default"/>
      </w:rPr>
    </w:lvl>
    <w:lvl w:ilvl="8" w:tplc="04180005" w:tentative="1">
      <w:start w:val="1"/>
      <w:numFmt w:val="bullet"/>
      <w:lvlText w:val=""/>
      <w:lvlJc w:val="left"/>
      <w:pPr>
        <w:ind w:left="6303" w:hanging="360"/>
      </w:pPr>
      <w:rPr>
        <w:rFonts w:ascii="Wingdings" w:hAnsi="Wingdings" w:hint="default"/>
      </w:r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10B28EA"/>
    <w:multiLevelType w:val="hybridMultilevel"/>
    <w:tmpl w:val="7F92806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3"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4"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5" w15:restartNumberingAfterBreak="0">
    <w:nsid w:val="67B00D34"/>
    <w:multiLevelType w:val="hybridMultilevel"/>
    <w:tmpl w:val="7F92806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7"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7815146C"/>
    <w:multiLevelType w:val="hybridMultilevel"/>
    <w:tmpl w:val="1DC6A9B0"/>
    <w:lvl w:ilvl="0" w:tplc="4EF69718">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41188011">
    <w:abstractNumId w:val="38"/>
  </w:num>
  <w:num w:numId="2" w16cid:durableId="587739740">
    <w:abstractNumId w:val="40"/>
  </w:num>
  <w:num w:numId="3" w16cid:durableId="1295058372">
    <w:abstractNumId w:val="16"/>
  </w:num>
  <w:num w:numId="4" w16cid:durableId="1589391119">
    <w:abstractNumId w:val="31"/>
  </w:num>
  <w:num w:numId="5" w16cid:durableId="813643821">
    <w:abstractNumId w:val="18"/>
  </w:num>
  <w:num w:numId="6" w16cid:durableId="724185697">
    <w:abstractNumId w:val="13"/>
  </w:num>
  <w:num w:numId="7" w16cid:durableId="391120410">
    <w:abstractNumId w:val="7"/>
  </w:num>
  <w:num w:numId="8" w16cid:durableId="1353650711">
    <w:abstractNumId w:val="8"/>
  </w:num>
  <w:num w:numId="9" w16cid:durableId="529756386">
    <w:abstractNumId w:val="27"/>
  </w:num>
  <w:num w:numId="10" w16cid:durableId="1817068414">
    <w:abstractNumId w:val="5"/>
  </w:num>
  <w:num w:numId="11" w16cid:durableId="929969679">
    <w:abstractNumId w:val="26"/>
  </w:num>
  <w:num w:numId="12" w16cid:durableId="463743524">
    <w:abstractNumId w:val="4"/>
  </w:num>
  <w:num w:numId="13" w16cid:durableId="1509369432">
    <w:abstractNumId w:val="43"/>
  </w:num>
  <w:num w:numId="14" w16cid:durableId="144976479">
    <w:abstractNumId w:val="19"/>
  </w:num>
  <w:num w:numId="15" w16cid:durableId="863251399">
    <w:abstractNumId w:val="20"/>
  </w:num>
  <w:num w:numId="16" w16cid:durableId="1336415565">
    <w:abstractNumId w:val="36"/>
  </w:num>
  <w:num w:numId="17" w16cid:durableId="2039770970">
    <w:abstractNumId w:val="32"/>
  </w:num>
  <w:num w:numId="18" w16cid:durableId="1053385257">
    <w:abstractNumId w:val="25"/>
  </w:num>
  <w:num w:numId="19" w16cid:durableId="292299398">
    <w:abstractNumId w:val="22"/>
  </w:num>
  <w:num w:numId="20" w16cid:durableId="2106922115">
    <w:abstractNumId w:val="10"/>
  </w:num>
  <w:num w:numId="21" w16cid:durableId="623384998">
    <w:abstractNumId w:val="34"/>
  </w:num>
  <w:num w:numId="22" w16cid:durableId="1476755032">
    <w:abstractNumId w:val="6"/>
  </w:num>
  <w:num w:numId="23" w16cid:durableId="1389647913">
    <w:abstractNumId w:val="15"/>
  </w:num>
  <w:num w:numId="24" w16cid:durableId="2089496045">
    <w:abstractNumId w:val="12"/>
  </w:num>
  <w:num w:numId="25" w16cid:durableId="1339577544">
    <w:abstractNumId w:val="23"/>
  </w:num>
  <w:num w:numId="26" w16cid:durableId="481776770">
    <w:abstractNumId w:val="39"/>
  </w:num>
  <w:num w:numId="27" w16cid:durableId="59987386">
    <w:abstractNumId w:val="28"/>
  </w:num>
  <w:num w:numId="28" w16cid:durableId="1160584080">
    <w:abstractNumId w:val="46"/>
    <w:lvlOverride w:ilvl="0">
      <w:startOverride w:val="1"/>
    </w:lvlOverride>
  </w:num>
  <w:num w:numId="29" w16cid:durableId="233321069">
    <w:abstractNumId w:val="24"/>
  </w:num>
  <w:num w:numId="30" w16cid:durableId="1228221163">
    <w:abstractNumId w:val="9"/>
  </w:num>
  <w:num w:numId="31" w16cid:durableId="1201281458">
    <w:abstractNumId w:val="44"/>
  </w:num>
  <w:num w:numId="32" w16cid:durableId="517045413">
    <w:abstractNumId w:val="46"/>
  </w:num>
  <w:num w:numId="33" w16cid:durableId="142164304">
    <w:abstractNumId w:val="14"/>
  </w:num>
  <w:num w:numId="34" w16cid:durableId="1121845272">
    <w:abstractNumId w:val="48"/>
  </w:num>
  <w:num w:numId="35" w16cid:durableId="1159076889">
    <w:abstractNumId w:val="47"/>
  </w:num>
  <w:num w:numId="36" w16cid:durableId="41516025">
    <w:abstractNumId w:val="2"/>
  </w:num>
  <w:num w:numId="37" w16cid:durableId="2027753770">
    <w:abstractNumId w:val="11"/>
  </w:num>
  <w:num w:numId="38" w16cid:durableId="2090420006">
    <w:abstractNumId w:val="33"/>
  </w:num>
  <w:num w:numId="39" w16cid:durableId="1843232521">
    <w:abstractNumId w:val="17"/>
  </w:num>
  <w:num w:numId="40" w16cid:durableId="342779046">
    <w:abstractNumId w:val="42"/>
  </w:num>
  <w:num w:numId="41" w16cid:durableId="979921015">
    <w:abstractNumId w:val="30"/>
  </w:num>
  <w:num w:numId="42" w16cid:durableId="1571965743">
    <w:abstractNumId w:val="3"/>
  </w:num>
  <w:num w:numId="43" w16cid:durableId="1367415144">
    <w:abstractNumId w:val="49"/>
  </w:num>
  <w:num w:numId="44" w16cid:durableId="1477378612">
    <w:abstractNumId w:val="37"/>
  </w:num>
  <w:num w:numId="45" w16cid:durableId="351153092">
    <w:abstractNumId w:val="50"/>
  </w:num>
  <w:num w:numId="46" w16cid:durableId="1314605496">
    <w:abstractNumId w:val="1"/>
  </w:num>
  <w:num w:numId="47" w16cid:durableId="1411654005">
    <w:abstractNumId w:val="29"/>
  </w:num>
  <w:num w:numId="48" w16cid:durableId="1203907711">
    <w:abstractNumId w:val="35"/>
  </w:num>
  <w:num w:numId="49" w16cid:durableId="1339192431">
    <w:abstractNumId w:val="21"/>
  </w:num>
  <w:num w:numId="50" w16cid:durableId="643706776">
    <w:abstractNumId w:val="45"/>
  </w:num>
  <w:num w:numId="51" w16cid:durableId="2128230109">
    <w:abstractNumId w:val="0"/>
  </w:num>
  <w:num w:numId="52" w16cid:durableId="16180995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901F2"/>
    <w:rsid w:val="000A3E68"/>
    <w:rsid w:val="000A6BA5"/>
    <w:rsid w:val="000B3D87"/>
    <w:rsid w:val="000B50EE"/>
    <w:rsid w:val="000C041B"/>
    <w:rsid w:val="000C2AB4"/>
    <w:rsid w:val="000D5C74"/>
    <w:rsid w:val="000E0412"/>
    <w:rsid w:val="000E1D40"/>
    <w:rsid w:val="000E2800"/>
    <w:rsid w:val="000F497A"/>
    <w:rsid w:val="00100C77"/>
    <w:rsid w:val="00102AD8"/>
    <w:rsid w:val="00113956"/>
    <w:rsid w:val="00116035"/>
    <w:rsid w:val="001211EA"/>
    <w:rsid w:val="00134AC7"/>
    <w:rsid w:val="00143389"/>
    <w:rsid w:val="00143CC4"/>
    <w:rsid w:val="0015146D"/>
    <w:rsid w:val="001514B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4D8C"/>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4E64"/>
    <w:rsid w:val="002E505B"/>
    <w:rsid w:val="002F0CFA"/>
    <w:rsid w:val="002F30F7"/>
    <w:rsid w:val="002F3DAA"/>
    <w:rsid w:val="002F5F1E"/>
    <w:rsid w:val="002F7FB5"/>
    <w:rsid w:val="00301D7D"/>
    <w:rsid w:val="0031555D"/>
    <w:rsid w:val="00315655"/>
    <w:rsid w:val="00315B32"/>
    <w:rsid w:val="00315BDC"/>
    <w:rsid w:val="00316697"/>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3F28E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07D2D"/>
    <w:rsid w:val="00516555"/>
    <w:rsid w:val="005256CF"/>
    <w:rsid w:val="00542C43"/>
    <w:rsid w:val="00551299"/>
    <w:rsid w:val="00555DF5"/>
    <w:rsid w:val="00563B2B"/>
    <w:rsid w:val="00572006"/>
    <w:rsid w:val="00573E74"/>
    <w:rsid w:val="0057790F"/>
    <w:rsid w:val="00582470"/>
    <w:rsid w:val="00594DE5"/>
    <w:rsid w:val="005A12D7"/>
    <w:rsid w:val="005A29D6"/>
    <w:rsid w:val="005A3014"/>
    <w:rsid w:val="005A5F68"/>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755B6"/>
    <w:rsid w:val="0068258E"/>
    <w:rsid w:val="006855AC"/>
    <w:rsid w:val="006856E1"/>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0CD8"/>
    <w:rsid w:val="006F43CA"/>
    <w:rsid w:val="006F7EF4"/>
    <w:rsid w:val="007026DD"/>
    <w:rsid w:val="00702770"/>
    <w:rsid w:val="00703FCE"/>
    <w:rsid w:val="00707B68"/>
    <w:rsid w:val="007126C4"/>
    <w:rsid w:val="007258CF"/>
    <w:rsid w:val="00726F47"/>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0E8D"/>
    <w:rsid w:val="00831DF3"/>
    <w:rsid w:val="008326E7"/>
    <w:rsid w:val="00835504"/>
    <w:rsid w:val="0084241F"/>
    <w:rsid w:val="008431E0"/>
    <w:rsid w:val="0084434E"/>
    <w:rsid w:val="008506B1"/>
    <w:rsid w:val="008510CC"/>
    <w:rsid w:val="00860C47"/>
    <w:rsid w:val="00863417"/>
    <w:rsid w:val="0086343C"/>
    <w:rsid w:val="00863D76"/>
    <w:rsid w:val="0086509B"/>
    <w:rsid w:val="0087296A"/>
    <w:rsid w:val="00873829"/>
    <w:rsid w:val="00876262"/>
    <w:rsid w:val="00891049"/>
    <w:rsid w:val="0089672D"/>
    <w:rsid w:val="00897403"/>
    <w:rsid w:val="008A40C0"/>
    <w:rsid w:val="008A5923"/>
    <w:rsid w:val="008B1120"/>
    <w:rsid w:val="008B1AA1"/>
    <w:rsid w:val="008B1BFF"/>
    <w:rsid w:val="008B4BE6"/>
    <w:rsid w:val="008C2DD5"/>
    <w:rsid w:val="008E37AD"/>
    <w:rsid w:val="008F12A1"/>
    <w:rsid w:val="008F3624"/>
    <w:rsid w:val="008F73D1"/>
    <w:rsid w:val="009002CA"/>
    <w:rsid w:val="00903AF9"/>
    <w:rsid w:val="0090579F"/>
    <w:rsid w:val="009143C9"/>
    <w:rsid w:val="00915A40"/>
    <w:rsid w:val="009201C9"/>
    <w:rsid w:val="00930424"/>
    <w:rsid w:val="00941A37"/>
    <w:rsid w:val="00942BCB"/>
    <w:rsid w:val="00942F03"/>
    <w:rsid w:val="00953155"/>
    <w:rsid w:val="00961B81"/>
    <w:rsid w:val="00962ED5"/>
    <w:rsid w:val="00971561"/>
    <w:rsid w:val="0097234F"/>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EAA"/>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6848"/>
    <w:rsid w:val="00AB7D22"/>
    <w:rsid w:val="00AC22A5"/>
    <w:rsid w:val="00AC2670"/>
    <w:rsid w:val="00AE1AB2"/>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7514E"/>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75906"/>
    <w:rsid w:val="00C81CDA"/>
    <w:rsid w:val="00C83148"/>
    <w:rsid w:val="00C846A9"/>
    <w:rsid w:val="00C87B56"/>
    <w:rsid w:val="00C97610"/>
    <w:rsid w:val="00C978DD"/>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62F4"/>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3C78"/>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230E"/>
    <w:rsid w:val="00EA45CC"/>
    <w:rsid w:val="00EB4FD7"/>
    <w:rsid w:val="00EC564B"/>
    <w:rsid w:val="00EC6F58"/>
    <w:rsid w:val="00ED4634"/>
    <w:rsid w:val="00ED7CB3"/>
    <w:rsid w:val="00EE1123"/>
    <w:rsid w:val="00EE1706"/>
    <w:rsid w:val="00EE31E5"/>
    <w:rsid w:val="00EE3A4F"/>
    <w:rsid w:val="00EF0C91"/>
    <w:rsid w:val="00EF2213"/>
    <w:rsid w:val="00EF2660"/>
    <w:rsid w:val="00EF26A2"/>
    <w:rsid w:val="00F06892"/>
    <w:rsid w:val="00F1668A"/>
    <w:rsid w:val="00F20A71"/>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25644660">
      <w:bodyDiv w:val="1"/>
      <w:marLeft w:val="0"/>
      <w:marRight w:val="0"/>
      <w:marTop w:val="0"/>
      <w:marBottom w:val="0"/>
      <w:divBdr>
        <w:top w:val="none" w:sz="0" w:space="0" w:color="auto"/>
        <w:left w:val="none" w:sz="0" w:space="0" w:color="auto"/>
        <w:bottom w:val="none" w:sz="0" w:space="0" w:color="auto"/>
        <w:right w:val="none" w:sz="0" w:space="0" w:color="auto"/>
      </w:divBdr>
    </w:div>
    <w:div w:id="1932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1080</Words>
  <Characters>6264</Characters>
  <Application>Microsoft Office Word</Application>
  <DocSecurity>0</DocSecurity>
  <Lines>52</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Sergiu Sofronii</cp:lastModifiedBy>
  <cp:revision>22</cp:revision>
  <cp:lastPrinted>2024-03-11T11:21:00Z</cp:lastPrinted>
  <dcterms:created xsi:type="dcterms:W3CDTF">2024-09-17T11:04:00Z</dcterms:created>
  <dcterms:modified xsi:type="dcterms:W3CDTF">2025-03-19T11:26:00Z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